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022E" w14:textId="3988F7BE" w:rsidR="00296D3F" w:rsidRPr="00296D3F" w:rsidRDefault="00296D3F" w:rsidP="00296D3F">
      <w:pPr>
        <w:spacing w:after="120"/>
        <w:jc w:val="right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2021.01.13</w:t>
      </w:r>
    </w:p>
    <w:p w14:paraId="4AC8E4AB" w14:textId="227F602A" w:rsidR="007F2866" w:rsidRPr="00296D3F" w:rsidRDefault="007F2866" w:rsidP="00296D3F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296D3F">
        <w:rPr>
          <w:rFonts w:ascii="Times New Roman" w:hAnsi="Times New Roman" w:cs="Times New Roman"/>
          <w:b/>
          <w:bCs/>
        </w:rPr>
        <w:t>UZASADNIENIE</w:t>
      </w:r>
    </w:p>
    <w:p w14:paraId="5075FBF4" w14:textId="3D998149" w:rsidR="007F2866" w:rsidRPr="00296D3F" w:rsidRDefault="007F2866" w:rsidP="00296D3F">
      <w:p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 xml:space="preserve">Ustawa z dnia </w:t>
      </w:r>
      <w:r w:rsidR="007549EA" w:rsidRPr="00296D3F">
        <w:rPr>
          <w:rFonts w:ascii="Times New Roman" w:hAnsi="Times New Roman" w:cs="Times New Roman"/>
        </w:rPr>
        <w:t xml:space="preserve">13 stycznia </w:t>
      </w:r>
      <w:r w:rsidRPr="00296D3F">
        <w:rPr>
          <w:rFonts w:ascii="Times New Roman" w:hAnsi="Times New Roman" w:cs="Times New Roman"/>
        </w:rPr>
        <w:t xml:space="preserve">2022 r. o szczególnych rozwiązaniach służących ochronie odbiorców paliw gazowych w związku z sytuacją na rynku gazu (Dz. U. poz. …) wprowadza </w:t>
      </w:r>
      <w:r w:rsidRPr="00296D3F">
        <w:rPr>
          <w:rStyle w:val="Ppogrubienie"/>
          <w:rFonts w:ascii="Times New Roman" w:hAnsi="Times New Roman"/>
          <w:bCs/>
        </w:rPr>
        <w:t xml:space="preserve">szczególne rozwiązania osłonowe, które umożliwiają podjęcie działań minimalizujących negatywne skutki społeczno-gospodarcze związane z nagłym, gwałtownym wzrostem cen gazu ziemnego na rynku. </w:t>
      </w:r>
      <w:r w:rsidRPr="00296D3F">
        <w:rPr>
          <w:rStyle w:val="Ppogrubienie"/>
          <w:rFonts w:ascii="Times New Roman" w:hAnsi="Times New Roman"/>
          <w:b w:val="0"/>
          <w:bCs/>
        </w:rPr>
        <w:t>Celem tych działań jest wzmocnienie</w:t>
      </w:r>
      <w:r w:rsidRPr="00296D3F">
        <w:rPr>
          <w:rStyle w:val="Ppogrubienie"/>
          <w:rFonts w:ascii="Times New Roman" w:hAnsi="Times New Roman"/>
          <w:bCs/>
        </w:rPr>
        <w:t xml:space="preserve"> </w:t>
      </w:r>
      <w:r w:rsidRPr="00296D3F">
        <w:rPr>
          <w:rFonts w:ascii="Times New Roman" w:hAnsi="Times New Roman" w:cs="Times New Roman"/>
        </w:rPr>
        <w:t xml:space="preserve">ochrony odbiorców gazu ziemnego szczególnie narażonych na skutki wzrostu cen, w tym odbiorców w gospodarstwach domowych oraz odbiorców realizujących zadania z zakresu użyteczności publicznej. </w:t>
      </w:r>
    </w:p>
    <w:p w14:paraId="594FADDC" w14:textId="77777777" w:rsidR="007F2866" w:rsidRPr="00296D3F" w:rsidRDefault="007F2866" w:rsidP="00296D3F">
      <w:p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 xml:space="preserve">Ustawa o szczególnych rozwiązaniach służących ochronie odbiorców paliw gazowych w związku z sytuacją na rynku gazu zakłada wprowadzenie mechanizmów pozwalających m.in. na: </w:t>
      </w:r>
    </w:p>
    <w:p w14:paraId="60CDB22D" w14:textId="3EF8987E" w:rsidR="007F2866" w:rsidRPr="00296D3F" w:rsidRDefault="007F2866" w:rsidP="00296D3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rozszerzenie katalogu podmiotów objętych ochroną taryfową do 31 grudnia 2023</w:t>
      </w:r>
      <w:r w:rsidR="00B301CC" w:rsidRPr="00296D3F">
        <w:rPr>
          <w:rFonts w:ascii="Times New Roman" w:hAnsi="Times New Roman" w:cs="Times New Roman"/>
        </w:rPr>
        <w:t xml:space="preserve"> r.</w:t>
      </w:r>
      <w:r w:rsidRPr="00296D3F">
        <w:rPr>
          <w:rFonts w:ascii="Times New Roman" w:hAnsi="Times New Roman" w:cs="Times New Roman"/>
        </w:rPr>
        <w:t xml:space="preserve"> (art. 62b ustawy </w:t>
      </w:r>
      <w:r w:rsidR="007549EA" w:rsidRPr="00296D3F">
        <w:rPr>
          <w:rFonts w:ascii="Times New Roman" w:hAnsi="Times New Roman" w:cs="Times New Roman"/>
        </w:rPr>
        <w:t xml:space="preserve">z dnia 10 kwietnia 1997 r. </w:t>
      </w:r>
      <w:r w:rsidRPr="00296D3F">
        <w:rPr>
          <w:rFonts w:ascii="Times New Roman" w:hAnsi="Times New Roman" w:cs="Times New Roman"/>
        </w:rPr>
        <w:t>– Prawo energetyczne</w:t>
      </w:r>
      <w:r w:rsidR="007549EA" w:rsidRPr="00296D3F">
        <w:rPr>
          <w:rFonts w:ascii="Times New Roman" w:hAnsi="Times New Roman" w:cs="Times New Roman"/>
        </w:rPr>
        <w:t>, zwanej dalej „UPE”</w:t>
      </w:r>
      <w:r w:rsidRPr="00296D3F">
        <w:rPr>
          <w:rFonts w:ascii="Times New Roman" w:hAnsi="Times New Roman" w:cs="Times New Roman"/>
        </w:rPr>
        <w:t>) o niektóre kategorie odbiorców będących podmiotami realizującymi zadania z zakresu użyteczności publicznej;</w:t>
      </w:r>
    </w:p>
    <w:p w14:paraId="4E395FB5" w14:textId="77777777" w:rsidR="007F2866" w:rsidRPr="00296D3F" w:rsidRDefault="007F2866" w:rsidP="00296D3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wprowadzenie mechanizmu rekompensat dla sprzedawców gazu ziemnego do odbiorców taryfowych, który służyłby zrekompensowaniu skutków zamrożenia cen dla nowego katalogu odbiorców taryfowych;</w:t>
      </w:r>
    </w:p>
    <w:p w14:paraId="0A198A29" w14:textId="67F4CED4" w:rsidR="007F2866" w:rsidRPr="00296D3F" w:rsidRDefault="007F2866" w:rsidP="00296D3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 xml:space="preserve">potwierdzenie i podkreślenie w treści przepisów konieczności ochrony taryfowej odbiorców gazu ziemnego w budynkach wielolokalowych, którzy nie zawarli indywidualnych umów kompleksowych lub umów zakupu gazu ziemnego z przedsiębiorstwami energetycznymi. </w:t>
      </w:r>
    </w:p>
    <w:p w14:paraId="10D5ED7C" w14:textId="4C45F772" w:rsidR="007F2866" w:rsidRPr="00296D3F" w:rsidRDefault="007549EA" w:rsidP="00296D3F">
      <w:pPr>
        <w:spacing w:after="120"/>
        <w:jc w:val="both"/>
        <w:rPr>
          <w:rFonts w:ascii="Times New Roman" w:eastAsia="Calibri" w:hAnsi="Times New Roman" w:cs="Times New Roman"/>
        </w:rPr>
      </w:pPr>
      <w:r w:rsidRPr="00296D3F">
        <w:rPr>
          <w:rFonts w:ascii="Times New Roman" w:eastAsia="Calibri" w:hAnsi="Times New Roman" w:cs="Times New Roman"/>
        </w:rPr>
        <w:t xml:space="preserve">Intencją ustawodawcy było wprowadzenie możliwości prowadzenia rozliczeń na podstawie taryf zatwierdzanych przez Prezesa Urzędu Regulacji Energetyki w odniesieniu do sytuacji, w których zużycie gazu związane jest z zaspakajaniem potrzeb mieszkaniowych oraz realizacją zadań z zakresu użyteczności publicznej. </w:t>
      </w:r>
      <w:r w:rsidR="007F2866" w:rsidRPr="00296D3F">
        <w:rPr>
          <w:rFonts w:ascii="Times New Roman" w:eastAsia="Calibri" w:hAnsi="Times New Roman" w:cs="Times New Roman"/>
        </w:rPr>
        <w:t xml:space="preserve">Ze względu na wielość możliwych stanów faktycznych i prawnych  projekt ustawy nie statuuje katalogu zamkniętego tego typu odbiorców kładąc nacisk na cel zużycia paliwa gazowego. </w:t>
      </w:r>
    </w:p>
    <w:p w14:paraId="0AD45E38" w14:textId="5D643998" w:rsidR="007549EA" w:rsidRPr="00296D3F" w:rsidRDefault="007549EA" w:rsidP="00296D3F">
      <w:pPr>
        <w:spacing w:after="120"/>
        <w:jc w:val="both"/>
        <w:rPr>
          <w:rFonts w:ascii="Times New Roman" w:eastAsia="Calibri" w:hAnsi="Times New Roman" w:cs="Times New Roman"/>
        </w:rPr>
      </w:pPr>
      <w:r w:rsidRPr="00296D3F">
        <w:rPr>
          <w:rFonts w:ascii="Times New Roman" w:eastAsia="Calibri" w:hAnsi="Times New Roman" w:cs="Times New Roman"/>
        </w:rPr>
        <w:t>Zgodnie z ww. ustawą, określeni w niej odbiorcy, aby skorzystać z preferencji w niej określonych, będą musieli, w terminie 45 dni od dnia wejścia w życie ustawy, złożyć stosowne oświadczenie, o którym mowa w art. 62ba ust. 1 lub art. 62bb ust. 1 UPE.</w:t>
      </w:r>
    </w:p>
    <w:p w14:paraId="3C8ADAF4" w14:textId="1EEC2CEE" w:rsidR="007549EA" w:rsidRPr="00296D3F" w:rsidRDefault="007F2866" w:rsidP="00296D3F">
      <w:pPr>
        <w:spacing w:after="120"/>
        <w:jc w:val="both"/>
        <w:rPr>
          <w:rFonts w:ascii="Times New Roman" w:hAnsi="Times New Roman"/>
        </w:rPr>
      </w:pPr>
      <w:r w:rsidRPr="00296D3F">
        <w:rPr>
          <w:rFonts w:ascii="Times New Roman" w:hAnsi="Times New Roman" w:cs="Times New Roman"/>
        </w:rPr>
        <w:t xml:space="preserve">W celu zapewnienia przejrzystości i komunikatywności, celowe jest wprowadzenie rozporządzenia, które określi jednolity wzór </w:t>
      </w:r>
      <w:r w:rsidR="007549EA" w:rsidRPr="00296D3F">
        <w:rPr>
          <w:rFonts w:ascii="Times New Roman" w:hAnsi="Times New Roman" w:cs="Times New Roman"/>
        </w:rPr>
        <w:t xml:space="preserve">ww. </w:t>
      </w:r>
      <w:r w:rsidRPr="00296D3F">
        <w:rPr>
          <w:rFonts w:ascii="Times New Roman" w:hAnsi="Times New Roman" w:cs="Times New Roman"/>
        </w:rPr>
        <w:t>oświadczeń</w:t>
      </w:r>
      <w:r w:rsidR="007549EA" w:rsidRPr="00296D3F">
        <w:rPr>
          <w:rFonts w:ascii="Times New Roman" w:hAnsi="Times New Roman" w:cs="Times New Roman"/>
        </w:rPr>
        <w:t xml:space="preserve">. </w:t>
      </w:r>
    </w:p>
    <w:p w14:paraId="5E00EF9A" w14:textId="0A374919" w:rsidR="009E36C6" w:rsidRPr="00296D3F" w:rsidRDefault="009E36C6" w:rsidP="00296D3F">
      <w:pPr>
        <w:spacing w:after="120"/>
        <w:jc w:val="both"/>
        <w:rPr>
          <w:rFonts w:ascii="Times New Roman" w:eastAsia="Calibri" w:hAnsi="Times New Roman" w:cs="Times New Roman"/>
        </w:rPr>
      </w:pPr>
      <w:r w:rsidRPr="00296D3F">
        <w:rPr>
          <w:rFonts w:ascii="Times New Roman" w:eastAsia="Calibri" w:hAnsi="Times New Roman" w:cs="Times New Roman"/>
        </w:rPr>
        <w:t xml:space="preserve">Jak wskazano wyżej, określenie jednolitych wzorów oświadczeń wzoru oświadczeń przyspieszy uzyskanie ochrony taryfowej przez odbiorców gazu ziemnego w budynkach wielolokalowych oraz podmiotów realizujących zadania z zakresu użyteczności publicznej. Tym samym, działanie to przyspieszy proces minimalizowania negatywnych skutków wysokich cen gazu ziemnego na rynku, zwiększając ochronę odbiorców gazu ziemnego dotkniętych drastycznymi cenami błękitnego surowca. </w:t>
      </w:r>
    </w:p>
    <w:p w14:paraId="19C81969" w14:textId="77777777" w:rsidR="002424AE" w:rsidRPr="00296D3F" w:rsidRDefault="00FD4709" w:rsidP="00296D3F">
      <w:pPr>
        <w:spacing w:after="120"/>
        <w:jc w:val="both"/>
        <w:rPr>
          <w:rFonts w:ascii="Times New Roman" w:eastAsia="Calibri" w:hAnsi="Times New Roman" w:cs="Times New Roman"/>
        </w:rPr>
      </w:pPr>
      <w:r w:rsidRPr="00296D3F">
        <w:rPr>
          <w:rFonts w:ascii="Times New Roman" w:eastAsia="Calibri" w:hAnsi="Times New Roman" w:cs="Times New Roman"/>
        </w:rPr>
        <w:t>Zdecydowano się nadać przedmiotowym oświadczeniom tytuł: „Oświadczenie odbiorcy paliwa gazowego o przeznaczeniu paliwa gazowego”</w:t>
      </w:r>
      <w:r w:rsidR="002424AE" w:rsidRPr="00296D3F">
        <w:rPr>
          <w:rFonts w:ascii="Times New Roman" w:eastAsia="Calibri" w:hAnsi="Times New Roman" w:cs="Times New Roman"/>
        </w:rPr>
        <w:t xml:space="preserve">. W opinii projektodawcy taka nazwa oświadczeń będzie zarówno przystępna dla adresatów, jak również stanowi najlepsze, zbiorcze określenie dla pełnej treści obu oświadczeń – bowiem tak określenie rodzaju podmiotu uprawnionego, jak </w:t>
      </w:r>
      <w:r w:rsidRPr="00296D3F">
        <w:rPr>
          <w:rFonts w:ascii="Times New Roman" w:eastAsia="Calibri" w:hAnsi="Times New Roman" w:cs="Times New Roman"/>
        </w:rPr>
        <w:t xml:space="preserve"> </w:t>
      </w:r>
      <w:r w:rsidR="002424AE" w:rsidRPr="00296D3F">
        <w:rPr>
          <w:rFonts w:ascii="Times New Roman" w:eastAsia="Calibri" w:hAnsi="Times New Roman" w:cs="Times New Roman"/>
        </w:rPr>
        <w:t xml:space="preserve">i określenie przeznaczenia szacunkowej ilości paliwa gazowego, w istocie sprowadzają się do wykazania, w kompleksowy sposób, przeznaczenia tego paliwa. Zaproponowany tytuł jest zatem zgodny z zakresem delegacji ustawowej. </w:t>
      </w:r>
    </w:p>
    <w:p w14:paraId="7FB71D52" w14:textId="385CC7DD" w:rsidR="001E7D43" w:rsidRPr="00296D3F" w:rsidRDefault="007F2866" w:rsidP="00296D3F">
      <w:p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lastRenderedPageBreak/>
        <w:t>Wz</w:t>
      </w:r>
      <w:r w:rsidR="002424AE" w:rsidRPr="00296D3F">
        <w:rPr>
          <w:rFonts w:ascii="Times New Roman" w:hAnsi="Times New Roman" w:cs="Times New Roman"/>
        </w:rPr>
        <w:t>ory</w:t>
      </w:r>
      <w:r w:rsidRPr="00296D3F">
        <w:rPr>
          <w:rFonts w:ascii="Times New Roman" w:hAnsi="Times New Roman" w:cs="Times New Roman"/>
        </w:rPr>
        <w:t xml:space="preserve"> </w:t>
      </w:r>
      <w:r w:rsidR="002424AE" w:rsidRPr="00296D3F">
        <w:rPr>
          <w:rFonts w:ascii="Times New Roman" w:hAnsi="Times New Roman" w:cs="Times New Roman"/>
        </w:rPr>
        <w:t xml:space="preserve">oświadczeń </w:t>
      </w:r>
      <w:r w:rsidRPr="00296D3F">
        <w:rPr>
          <w:rFonts w:ascii="Times New Roman" w:hAnsi="Times New Roman" w:cs="Times New Roman"/>
        </w:rPr>
        <w:t>zawierać będ</w:t>
      </w:r>
      <w:r w:rsidR="002424AE" w:rsidRPr="00296D3F">
        <w:rPr>
          <w:rFonts w:ascii="Times New Roman" w:hAnsi="Times New Roman" w:cs="Times New Roman"/>
        </w:rPr>
        <w:t>ą</w:t>
      </w:r>
      <w:r w:rsidR="001E7D43" w:rsidRPr="00296D3F">
        <w:rPr>
          <w:rFonts w:ascii="Times New Roman" w:hAnsi="Times New Roman" w:cs="Times New Roman"/>
        </w:rPr>
        <w:t>:</w:t>
      </w:r>
    </w:p>
    <w:p w14:paraId="2C3BF12D" w14:textId="078A9518" w:rsidR="001E7D43" w:rsidRPr="00296D3F" w:rsidRDefault="001E7D43" w:rsidP="00296D3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 xml:space="preserve">deklarację </w:t>
      </w:r>
      <w:r w:rsidR="007F2866" w:rsidRPr="00296D3F">
        <w:rPr>
          <w:rFonts w:ascii="Times New Roman" w:hAnsi="Times New Roman" w:cs="Times New Roman"/>
        </w:rPr>
        <w:t>o spełnianiu warunków pozwalających na uznanie danego podmiotu za odbiorcę określonego</w:t>
      </w:r>
      <w:r w:rsidR="002424AE" w:rsidRPr="00296D3F">
        <w:rPr>
          <w:rFonts w:ascii="Times New Roman" w:hAnsi="Times New Roman" w:cs="Times New Roman"/>
        </w:rPr>
        <w:t xml:space="preserve"> odpowiednio</w:t>
      </w:r>
      <w:r w:rsidRPr="00296D3F">
        <w:rPr>
          <w:rFonts w:ascii="Times New Roman" w:hAnsi="Times New Roman" w:cs="Times New Roman"/>
        </w:rPr>
        <w:t>:</w:t>
      </w:r>
    </w:p>
    <w:p w14:paraId="1F6E5094" w14:textId="3F804488" w:rsidR="001E7D43" w:rsidRPr="00296D3F" w:rsidRDefault="007F2866" w:rsidP="00296D3F">
      <w:pPr>
        <w:pStyle w:val="Akapitzlist"/>
        <w:numPr>
          <w:ilvl w:val="1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 xml:space="preserve"> w art. 62b ust. 1 pkt 2 lit. b i c</w:t>
      </w:r>
      <w:r w:rsidR="001E7D43" w:rsidRPr="00296D3F">
        <w:rPr>
          <w:rFonts w:ascii="Times New Roman" w:hAnsi="Times New Roman" w:cs="Times New Roman"/>
        </w:rPr>
        <w:t xml:space="preserve"> </w:t>
      </w:r>
      <w:r w:rsidR="002424AE" w:rsidRPr="00296D3F">
        <w:rPr>
          <w:rFonts w:ascii="Times New Roman" w:hAnsi="Times New Roman" w:cs="Times New Roman"/>
        </w:rPr>
        <w:t>UPE</w:t>
      </w:r>
      <w:r w:rsidR="001E7D43" w:rsidRPr="00296D3F">
        <w:rPr>
          <w:rFonts w:ascii="Times New Roman" w:hAnsi="Times New Roman" w:cs="Times New Roman"/>
        </w:rPr>
        <w:t>-</w:t>
      </w:r>
      <w:r w:rsidRPr="00296D3F">
        <w:rPr>
          <w:rFonts w:ascii="Times New Roman" w:hAnsi="Times New Roman" w:cs="Times New Roman"/>
        </w:rPr>
        <w:t xml:space="preserve"> odbiorca będący </w:t>
      </w:r>
      <w:r w:rsidRPr="00296D3F">
        <w:rPr>
          <w:rFonts w:ascii="Times New Roman" w:eastAsia="Calibri" w:hAnsi="Times New Roman" w:cs="Times New Roman"/>
        </w:rPr>
        <w:t>podmiotem zarządzającym podmiotami wielolokalowymi</w:t>
      </w:r>
      <w:r w:rsidRPr="00296D3F">
        <w:rPr>
          <w:rFonts w:ascii="Times New Roman" w:hAnsi="Times New Roman" w:cs="Times New Roman"/>
        </w:rPr>
        <w:t xml:space="preserve"> </w:t>
      </w:r>
      <w:r w:rsidR="002424AE" w:rsidRPr="00296D3F">
        <w:rPr>
          <w:rFonts w:ascii="Times New Roman" w:hAnsi="Times New Roman" w:cs="Times New Roman"/>
        </w:rPr>
        <w:t xml:space="preserve">(załącznik 1) </w:t>
      </w:r>
      <w:r w:rsidRPr="00296D3F">
        <w:rPr>
          <w:rFonts w:ascii="Times New Roman" w:hAnsi="Times New Roman" w:cs="Times New Roman"/>
        </w:rPr>
        <w:t xml:space="preserve">lub </w:t>
      </w:r>
    </w:p>
    <w:p w14:paraId="3F1EC496" w14:textId="7B8E1D8D" w:rsidR="001E7D43" w:rsidRPr="00296D3F" w:rsidRDefault="007F2866" w:rsidP="00296D3F">
      <w:pPr>
        <w:pStyle w:val="Akapitzlist"/>
        <w:numPr>
          <w:ilvl w:val="1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 xml:space="preserve">w art. 62b ust. 1 pkt 2 lit. d </w:t>
      </w:r>
      <w:r w:rsidR="001E7D43" w:rsidRPr="00296D3F">
        <w:rPr>
          <w:rFonts w:ascii="Times New Roman" w:hAnsi="Times New Roman" w:cs="Times New Roman"/>
        </w:rPr>
        <w:t xml:space="preserve">- </w:t>
      </w:r>
      <w:r w:rsidRPr="00296D3F">
        <w:rPr>
          <w:rFonts w:ascii="Times New Roman" w:hAnsi="Times New Roman" w:cs="Times New Roman"/>
        </w:rPr>
        <w:t xml:space="preserve">(odbiorca będący podmiotem realizującymi zadania z zakresu użyteczności publicznej) </w:t>
      </w:r>
      <w:r w:rsidR="002424AE" w:rsidRPr="00296D3F">
        <w:rPr>
          <w:rFonts w:ascii="Times New Roman" w:hAnsi="Times New Roman" w:cs="Times New Roman"/>
        </w:rPr>
        <w:t>(załącznik 2);</w:t>
      </w:r>
    </w:p>
    <w:p w14:paraId="7A04766D" w14:textId="4CD86D63" w:rsidR="007F2866" w:rsidRPr="00296D3F" w:rsidRDefault="007F2866" w:rsidP="00296D3F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określeni</w:t>
      </w:r>
      <w:r w:rsidR="001E7D43" w:rsidRPr="00296D3F">
        <w:rPr>
          <w:rFonts w:ascii="Times New Roman" w:hAnsi="Times New Roman" w:cs="Times New Roman"/>
        </w:rPr>
        <w:t>e</w:t>
      </w:r>
      <w:r w:rsidRPr="00296D3F">
        <w:rPr>
          <w:rFonts w:ascii="Times New Roman" w:hAnsi="Times New Roman" w:cs="Times New Roman"/>
        </w:rPr>
        <w:t xml:space="preserve"> </w:t>
      </w:r>
      <w:r w:rsidRPr="00296D3F">
        <w:rPr>
          <w:rFonts w:ascii="Times New Roman" w:eastAsia="Calibri" w:hAnsi="Times New Roman" w:cs="Times New Roman"/>
        </w:rPr>
        <w:t>części paliwa gazowego zużywanego na cele objęte ochroną taryfową oraz wyłączonego spod administracyjnej kontroli cen.</w:t>
      </w:r>
    </w:p>
    <w:p w14:paraId="1ADE3878" w14:textId="5CF5B84C" w:rsidR="00DF11C2" w:rsidRPr="00296D3F" w:rsidRDefault="00984F2A" w:rsidP="00296D3F">
      <w:pPr>
        <w:spacing w:after="120"/>
        <w:jc w:val="both"/>
        <w:rPr>
          <w:rFonts w:ascii="Times New Roman" w:eastAsia="Calibri" w:hAnsi="Times New Roman" w:cs="Times New Roman"/>
        </w:rPr>
      </w:pPr>
      <w:r w:rsidRPr="00296D3F">
        <w:rPr>
          <w:rFonts w:ascii="Times New Roman" w:hAnsi="Times New Roman" w:cs="Times New Roman"/>
        </w:rPr>
        <w:t xml:space="preserve">Określenie szacowanej części paliwa gazowego </w:t>
      </w:r>
      <w:r w:rsidR="00AD0520" w:rsidRPr="00296D3F">
        <w:rPr>
          <w:rFonts w:ascii="Times New Roman" w:hAnsi="Times New Roman" w:cs="Times New Roman"/>
        </w:rPr>
        <w:t xml:space="preserve">zużywanego na cele objęte ochroną taryfową </w:t>
      </w:r>
      <w:r w:rsidR="00C94798" w:rsidRPr="00296D3F">
        <w:rPr>
          <w:rFonts w:ascii="Times New Roman" w:hAnsi="Times New Roman" w:cs="Times New Roman"/>
        </w:rPr>
        <w:t xml:space="preserve">dotyczy zarówno </w:t>
      </w:r>
      <w:r w:rsidR="00AD0520" w:rsidRPr="00296D3F">
        <w:rPr>
          <w:rFonts w:ascii="Times New Roman" w:hAnsi="Times New Roman" w:cs="Times New Roman"/>
        </w:rPr>
        <w:t>odbiorców w gospodarstwach domowych w lokalach mieszkalnych</w:t>
      </w:r>
      <w:r w:rsidR="00C94798" w:rsidRPr="00296D3F">
        <w:rPr>
          <w:rFonts w:ascii="Times New Roman" w:hAnsi="Times New Roman" w:cs="Times New Roman"/>
        </w:rPr>
        <w:t xml:space="preserve">, jak również podmiotów realizujących </w:t>
      </w:r>
      <w:r w:rsidR="00C94798" w:rsidRPr="00296D3F">
        <w:rPr>
          <w:rFonts w:ascii="Times New Roman" w:eastAsia="Calibri" w:hAnsi="Times New Roman" w:cs="Times New Roman"/>
        </w:rPr>
        <w:t>zadania z zakresu użyteczności publicznej funkcjonujących w budynkach wielolokalowych</w:t>
      </w:r>
      <w:r w:rsidR="00AD0C07" w:rsidRPr="00296D3F">
        <w:rPr>
          <w:rFonts w:ascii="Times New Roman" w:eastAsia="Calibri" w:hAnsi="Times New Roman" w:cs="Times New Roman"/>
        </w:rPr>
        <w:t xml:space="preserve"> (np. przedszkole w</w:t>
      </w:r>
      <w:r w:rsidR="00AB2B45" w:rsidRPr="00296D3F">
        <w:rPr>
          <w:rFonts w:ascii="Times New Roman" w:eastAsia="Calibri" w:hAnsi="Times New Roman" w:cs="Times New Roman"/>
        </w:rPr>
        <w:t>e wspólnocie mieszkaniowej)</w:t>
      </w:r>
      <w:r w:rsidR="00DF11C2" w:rsidRPr="00296D3F">
        <w:rPr>
          <w:rFonts w:ascii="Times New Roman" w:eastAsia="Calibri" w:hAnsi="Times New Roman" w:cs="Times New Roman"/>
        </w:rPr>
        <w:t>.</w:t>
      </w:r>
      <w:r w:rsidR="00AD0C07" w:rsidRPr="00296D3F">
        <w:rPr>
          <w:rFonts w:ascii="Times New Roman" w:eastAsia="Calibri" w:hAnsi="Times New Roman" w:cs="Times New Roman"/>
        </w:rPr>
        <w:t xml:space="preserve"> Celem wskazanego uregulowania jest </w:t>
      </w:r>
      <w:r w:rsidR="00700D15" w:rsidRPr="00296D3F">
        <w:rPr>
          <w:rFonts w:ascii="Times New Roman" w:eastAsia="Calibri" w:hAnsi="Times New Roman" w:cs="Times New Roman"/>
        </w:rPr>
        <w:t xml:space="preserve">zagwarantowanie tym odbiorcom instrumentów pozwalających na rzeczywiste rozliczanie się za paliwa gazowe, wykorzystywane w związku z działalnością pożytku publicznego, po cenach taryfowych. </w:t>
      </w:r>
    </w:p>
    <w:p w14:paraId="0CFDAE4F" w14:textId="3E05917D" w:rsidR="002424AE" w:rsidRPr="00296D3F" w:rsidRDefault="001E7D43" w:rsidP="00296D3F">
      <w:p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Treści, których zawarcie wymagane jest w oświadczeniu</w:t>
      </w:r>
      <w:r w:rsidR="002424AE" w:rsidRPr="00296D3F">
        <w:rPr>
          <w:rFonts w:ascii="Times New Roman" w:hAnsi="Times New Roman" w:cs="Times New Roman"/>
        </w:rPr>
        <w:t>,</w:t>
      </w:r>
      <w:r w:rsidRPr="00296D3F">
        <w:rPr>
          <w:rFonts w:ascii="Times New Roman" w:hAnsi="Times New Roman" w:cs="Times New Roman"/>
        </w:rPr>
        <w:t xml:space="preserve"> </w:t>
      </w:r>
      <w:r w:rsidR="00CC76FA" w:rsidRPr="00296D3F">
        <w:rPr>
          <w:rFonts w:ascii="Times New Roman" w:hAnsi="Times New Roman" w:cs="Times New Roman"/>
        </w:rPr>
        <w:t xml:space="preserve">tj. dane służące określeniu </w:t>
      </w:r>
      <w:r w:rsidR="00C955FE" w:rsidRPr="00296D3F">
        <w:rPr>
          <w:rFonts w:ascii="Times New Roman" w:hAnsi="Times New Roman" w:cs="Times New Roman"/>
        </w:rPr>
        <w:t xml:space="preserve">szacowanej </w:t>
      </w:r>
      <w:r w:rsidR="00CC76FA" w:rsidRPr="00296D3F">
        <w:rPr>
          <w:rFonts w:ascii="Times New Roman" w:hAnsi="Times New Roman" w:cs="Times New Roman"/>
        </w:rPr>
        <w:t>części paliwa gazowego</w:t>
      </w:r>
      <w:r w:rsidR="00CC76FA" w:rsidRPr="00296D3F">
        <w:t xml:space="preserve"> </w:t>
      </w:r>
      <w:r w:rsidR="002424AE" w:rsidRPr="00296D3F">
        <w:rPr>
          <w:rFonts w:ascii="Times New Roman" w:hAnsi="Times New Roman" w:cs="Times New Roman"/>
        </w:rPr>
        <w:t xml:space="preserve">nabywanej </w:t>
      </w:r>
      <w:r w:rsidR="00CC76FA" w:rsidRPr="00296D3F">
        <w:rPr>
          <w:rFonts w:ascii="Times New Roman" w:hAnsi="Times New Roman" w:cs="Times New Roman"/>
        </w:rPr>
        <w:t xml:space="preserve">i </w:t>
      </w:r>
      <w:r w:rsidR="002424AE" w:rsidRPr="00296D3F">
        <w:rPr>
          <w:rFonts w:ascii="Times New Roman" w:hAnsi="Times New Roman" w:cs="Times New Roman"/>
        </w:rPr>
        <w:t xml:space="preserve">pobieranej </w:t>
      </w:r>
      <w:r w:rsidR="00CC76FA" w:rsidRPr="00296D3F">
        <w:rPr>
          <w:rFonts w:ascii="Times New Roman" w:hAnsi="Times New Roman" w:cs="Times New Roman"/>
        </w:rPr>
        <w:t xml:space="preserve">w punktach poboru gazu, </w:t>
      </w:r>
      <w:r w:rsidR="002424AE" w:rsidRPr="00296D3F">
        <w:rPr>
          <w:rFonts w:ascii="Times New Roman" w:hAnsi="Times New Roman" w:cs="Times New Roman"/>
        </w:rPr>
        <w:t>zamieszczono</w:t>
      </w:r>
      <w:r w:rsidR="00CC76FA" w:rsidRPr="00296D3F">
        <w:rPr>
          <w:rFonts w:ascii="Times New Roman" w:hAnsi="Times New Roman" w:cs="Times New Roman"/>
        </w:rPr>
        <w:t xml:space="preserve"> w tabelach stanowiących załącznik do </w:t>
      </w:r>
      <w:r w:rsidR="002424AE" w:rsidRPr="00296D3F">
        <w:rPr>
          <w:rFonts w:ascii="Times New Roman" w:hAnsi="Times New Roman" w:cs="Times New Roman"/>
        </w:rPr>
        <w:t xml:space="preserve">obu </w:t>
      </w:r>
      <w:r w:rsidR="00CC76FA" w:rsidRPr="00296D3F">
        <w:rPr>
          <w:rFonts w:ascii="Times New Roman" w:hAnsi="Times New Roman" w:cs="Times New Roman"/>
        </w:rPr>
        <w:t xml:space="preserve">oświadczeń. Danymi tymi są: </w:t>
      </w:r>
      <w:r w:rsidR="00C54594" w:rsidRPr="00296D3F">
        <w:rPr>
          <w:rFonts w:ascii="Times New Roman" w:hAnsi="Times New Roman" w:cs="Times New Roman"/>
        </w:rPr>
        <w:t>nr</w:t>
      </w:r>
      <w:r w:rsidR="002424AE" w:rsidRPr="00296D3F">
        <w:rPr>
          <w:rFonts w:ascii="Times New Roman" w:hAnsi="Times New Roman" w:cs="Times New Roman"/>
        </w:rPr>
        <w:t xml:space="preserve"> punktu poboru gazu (dalej: „</w:t>
      </w:r>
      <w:r w:rsidR="00C54594" w:rsidRPr="00296D3F">
        <w:rPr>
          <w:rFonts w:ascii="Times New Roman" w:hAnsi="Times New Roman" w:cs="Times New Roman"/>
        </w:rPr>
        <w:t>PPG</w:t>
      </w:r>
      <w:r w:rsidR="002424AE" w:rsidRPr="00296D3F">
        <w:rPr>
          <w:rFonts w:ascii="Times New Roman" w:hAnsi="Times New Roman" w:cs="Times New Roman"/>
        </w:rPr>
        <w:t>”)</w:t>
      </w:r>
      <w:r w:rsidR="00C54594" w:rsidRPr="00296D3F">
        <w:rPr>
          <w:rFonts w:ascii="Times New Roman" w:hAnsi="Times New Roman" w:cs="Times New Roman"/>
        </w:rPr>
        <w:t>, adres PPG, adresy zasilanych budynków, nr umowy sprzedaży lub umowy kompleksowej</w:t>
      </w:r>
      <w:r w:rsidR="002424AE" w:rsidRPr="00296D3F">
        <w:rPr>
          <w:rFonts w:ascii="Times New Roman" w:hAnsi="Times New Roman" w:cs="Times New Roman"/>
        </w:rPr>
        <w:t>, o których mowa odpowiednio w art. 5 ust. 1 i 3 UPE,</w:t>
      </w:r>
      <w:r w:rsidR="00C54594" w:rsidRPr="00296D3F">
        <w:rPr>
          <w:rFonts w:ascii="Times New Roman" w:hAnsi="Times New Roman" w:cs="Times New Roman"/>
        </w:rPr>
        <w:t xml:space="preserve"> oraz data rozpoczęcia poboru paliwa gazowego.</w:t>
      </w:r>
      <w:r w:rsidR="00FB6D8B" w:rsidRPr="00296D3F">
        <w:rPr>
          <w:rFonts w:ascii="Times New Roman" w:hAnsi="Times New Roman" w:cs="Times New Roman"/>
        </w:rPr>
        <w:t xml:space="preserve"> Takie rozwiązanie zapewni przejrzystość dla obu stron</w:t>
      </w:r>
      <w:r w:rsidR="002424AE" w:rsidRPr="00296D3F">
        <w:rPr>
          <w:rFonts w:ascii="Times New Roman" w:hAnsi="Times New Roman" w:cs="Times New Roman"/>
        </w:rPr>
        <w:t>,</w:t>
      </w:r>
      <w:r w:rsidR="00FB6D8B" w:rsidRPr="00296D3F">
        <w:rPr>
          <w:rFonts w:ascii="Times New Roman" w:hAnsi="Times New Roman" w:cs="Times New Roman"/>
        </w:rPr>
        <w:t xml:space="preserve"> tj. odbiorców końcowych, którzy będą składać przedmiotowe oświadczenia</w:t>
      </w:r>
      <w:r w:rsidR="002424AE" w:rsidRPr="00296D3F">
        <w:rPr>
          <w:rFonts w:ascii="Times New Roman" w:hAnsi="Times New Roman" w:cs="Times New Roman"/>
        </w:rPr>
        <w:t>,</w:t>
      </w:r>
      <w:r w:rsidR="00FB6D8B" w:rsidRPr="00296D3F">
        <w:rPr>
          <w:rFonts w:ascii="Times New Roman" w:hAnsi="Times New Roman" w:cs="Times New Roman"/>
        </w:rPr>
        <w:t xml:space="preserve"> jak i przedsiębiorstw energetycznych, które będą wykorzystywać te dane</w:t>
      </w:r>
      <w:r w:rsidR="002424AE" w:rsidRPr="00296D3F">
        <w:rPr>
          <w:rFonts w:ascii="Times New Roman" w:hAnsi="Times New Roman" w:cs="Times New Roman"/>
        </w:rPr>
        <w:t xml:space="preserve"> do zastosowania mechanizmu rozliczeń określonego w ustawie</w:t>
      </w:r>
      <w:r w:rsidR="00FB6D8B" w:rsidRPr="00296D3F">
        <w:rPr>
          <w:rFonts w:ascii="Times New Roman" w:hAnsi="Times New Roman" w:cs="Times New Roman"/>
        </w:rPr>
        <w:t>.</w:t>
      </w:r>
      <w:r w:rsidR="00C955FE" w:rsidRPr="00296D3F">
        <w:rPr>
          <w:rFonts w:ascii="Times New Roman" w:hAnsi="Times New Roman" w:cs="Times New Roman"/>
        </w:rPr>
        <w:t xml:space="preserve"> </w:t>
      </w:r>
    </w:p>
    <w:p w14:paraId="23FB747C" w14:textId="76AB398E" w:rsidR="002424AE" w:rsidRPr="00296D3F" w:rsidRDefault="002424AE" w:rsidP="00296D3F">
      <w:p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W obydwu oświadczeniach zaproponowano analogiczny, tabelaryczny sposób prezentacji ww. danych wraz z szacunkową ilością paliwa gazowego zużywanego na określone w UPE potrzeby</w:t>
      </w:r>
      <w:r w:rsidR="009E36C6" w:rsidRPr="00296D3F">
        <w:rPr>
          <w:rFonts w:ascii="Times New Roman" w:hAnsi="Times New Roman" w:cs="Times New Roman"/>
        </w:rPr>
        <w:t xml:space="preserve">, gdyż treści te są ze sobą powiązane. </w:t>
      </w:r>
      <w:r w:rsidR="00C955FE" w:rsidRPr="00296D3F">
        <w:rPr>
          <w:rFonts w:ascii="Times New Roman" w:hAnsi="Times New Roman" w:cs="Times New Roman"/>
        </w:rPr>
        <w:t>Konieczność określenia procentowo szacowanej części paliwa gazowego</w:t>
      </w:r>
      <w:r w:rsidR="00C955FE" w:rsidRPr="00296D3F">
        <w:t xml:space="preserve"> </w:t>
      </w:r>
      <w:r w:rsidR="00C955FE" w:rsidRPr="00296D3F">
        <w:rPr>
          <w:rFonts w:ascii="Times New Roman" w:hAnsi="Times New Roman" w:cs="Times New Roman"/>
        </w:rPr>
        <w:t>nabywanej i pobieranej w punktach poboru gazu z dokładnością do dwóch miejsc po przecinku wynika wprost z</w:t>
      </w:r>
      <w:r w:rsidR="00B301CC" w:rsidRPr="00296D3F">
        <w:rPr>
          <w:rFonts w:ascii="Times New Roman" w:hAnsi="Times New Roman" w:cs="Times New Roman"/>
        </w:rPr>
        <w:t xml:space="preserve"> UPE</w:t>
      </w:r>
      <w:r w:rsidR="00C955FE" w:rsidRPr="00296D3F">
        <w:rPr>
          <w:rFonts w:ascii="Times New Roman" w:hAnsi="Times New Roman" w:cs="Times New Roman"/>
        </w:rPr>
        <w:t xml:space="preserve">. </w:t>
      </w:r>
    </w:p>
    <w:p w14:paraId="05FBFB28" w14:textId="68DEC2A4" w:rsidR="009E36C6" w:rsidRPr="00296D3F" w:rsidRDefault="009E36C6" w:rsidP="00296D3F">
      <w:p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W opinii projektodawcy realizacja upoważnienia (art. 62bd w zw. z art. 62ba ust. 2 pkt 2 i 3 oraz art. 62bb ust. 1 pkt 2 i 3) poprzez zastosowanie formy tabelarycznego załącznika do wzoru oświadczenia stanowi rozwiązanie najbardziej przystępne dla odbiorców, którzy będą składać oświadczenia oraz najwygodniejsze dla przedsiębiorstw energetycznych, które będą zawarte w nich dane gromadzić i analizować celem wdrożenia rozwiązań wprowadzanych ww. nowelizacją UPE.</w:t>
      </w:r>
    </w:p>
    <w:p w14:paraId="49F0792A" w14:textId="48B89AB1" w:rsidR="002424AE" w:rsidRPr="00296D3F" w:rsidRDefault="002424AE" w:rsidP="00296D3F">
      <w:p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Biorąc pod uwagę fakt, że oświadczenie warunkuje skorzystanie z korzystnego dla odbiorcy mechanizmu określonego w ww. ustawie, ustawodawca zdecydował, że będzie ono składane pod rygorem odpowiedzialności karnej za składanie fałszywych oświadczeń. W związku z tym, w obu wzorach zamieszczono stosowną klauzulę w tym zakresie.</w:t>
      </w:r>
    </w:p>
    <w:p w14:paraId="53C186B6" w14:textId="0BD16F93" w:rsidR="009E36C6" w:rsidRPr="00296D3F" w:rsidRDefault="007F2866" w:rsidP="00296D3F">
      <w:pPr>
        <w:pStyle w:val="ARTartustawynprozporzdzenia"/>
        <w:spacing w:before="0" w:after="12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96D3F">
        <w:rPr>
          <w:rFonts w:ascii="Times New Roman" w:hAnsi="Times New Roman" w:cs="Times New Roman"/>
          <w:sz w:val="22"/>
          <w:szCs w:val="22"/>
        </w:rPr>
        <w:t>Projektowane rozporządzenie wchodzi w życie z dniem następującym po dniu ogłoszenia. Krótkie vacatio legis wynika z konieczności natychmiastowego umożliwienia beneficjentom skorzystania ze wzoru oświadczeń. Wzór ten stanowi załącznik do ww. rozporządzenia. Termin ten jest zgodny z art. 4 ust. 2 ustawy z dnia 20 lipca 2000 r. o ogłaszaniu aktów normatywnych i niektórych innych aktów prawnych (Dz.U. z 2019 r. poz. 1461).</w:t>
      </w:r>
      <w:r w:rsidR="009E36C6" w:rsidRPr="00296D3F">
        <w:rPr>
          <w:rFonts w:ascii="Times New Roman" w:hAnsi="Times New Roman" w:cs="Times New Roman"/>
          <w:sz w:val="22"/>
          <w:szCs w:val="22"/>
        </w:rPr>
        <w:t xml:space="preserve"> Należy podkreślić, że rozwiązanie to nie naruszy zasady demokratycznego państwa prawnego.</w:t>
      </w:r>
    </w:p>
    <w:p w14:paraId="44DBE129" w14:textId="25E95E76" w:rsidR="007F2866" w:rsidRPr="00296D3F" w:rsidRDefault="007F2866" w:rsidP="00296D3F">
      <w:p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296D3F">
        <w:rPr>
          <w:rFonts w:ascii="Times New Roman" w:eastAsiaTheme="minorEastAsia" w:hAnsi="Times New Roman" w:cs="Times New Roman"/>
          <w:lang w:eastAsia="pl-PL"/>
        </w:rPr>
        <w:lastRenderedPageBreak/>
        <w:t xml:space="preserve">Projekt rozporządzenia nie jest objęty prawem Unii Europejskiej z uwagi na krajowy charakter projektowanej regulacji. Powyższy akt ma charakter wykonawczy, na podstawie delegacji ustawowej zawartej w ustawie z dnia …. </w:t>
      </w:r>
      <w:r w:rsidRPr="00296D3F">
        <w:rPr>
          <w:rFonts w:ascii="Times New Roman" w:hAnsi="Times New Roman" w:cs="Times New Roman"/>
        </w:rPr>
        <w:t xml:space="preserve">o szczególnych rozwiązaniach służących ochronie odbiorców paliw gazowych w związku z sytuacją na rynku gazu, </w:t>
      </w:r>
      <w:r w:rsidRPr="00296D3F">
        <w:rPr>
          <w:rFonts w:ascii="Times New Roman" w:eastAsiaTheme="minorEastAsia" w:hAnsi="Times New Roman" w:cs="Times New Roman"/>
          <w:lang w:eastAsia="pl-PL"/>
        </w:rPr>
        <w:t>określa on wzór oświadczeń,</w:t>
      </w:r>
      <w:r w:rsidRPr="00296D3F">
        <w:rPr>
          <w:rFonts w:ascii="Times New Roman" w:hAnsi="Times New Roman" w:cs="Times New Roman"/>
        </w:rPr>
        <w:t xml:space="preserve"> o których mowa w art. 62ba i art. 62bb </w:t>
      </w:r>
      <w:r w:rsidR="00B301CC" w:rsidRPr="00296D3F">
        <w:rPr>
          <w:rFonts w:ascii="Times New Roman" w:hAnsi="Times New Roman" w:cs="Times New Roman"/>
        </w:rPr>
        <w:t>UPE</w:t>
      </w:r>
      <w:r w:rsidRPr="00296D3F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14:paraId="05E03FDB" w14:textId="11D4663D" w:rsidR="007F2866" w:rsidRPr="00296D3F" w:rsidRDefault="007F2866" w:rsidP="00296D3F">
      <w:p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</w:t>
      </w:r>
      <w:proofErr w:type="spellStart"/>
      <w:r w:rsidRPr="00296D3F">
        <w:rPr>
          <w:rFonts w:ascii="Times New Roman" w:hAnsi="Times New Roman" w:cs="Times New Roman"/>
        </w:rPr>
        <w:t>późn</w:t>
      </w:r>
      <w:proofErr w:type="spellEnd"/>
      <w:r w:rsidRPr="00296D3F">
        <w:rPr>
          <w:rFonts w:ascii="Times New Roman" w:hAnsi="Times New Roman" w:cs="Times New Roman"/>
        </w:rPr>
        <w:t>. zm.).</w:t>
      </w:r>
    </w:p>
    <w:p w14:paraId="06FE5B73" w14:textId="77777777" w:rsidR="007F2866" w:rsidRPr="00296D3F" w:rsidRDefault="007F2866" w:rsidP="00296D3F">
      <w:pPr>
        <w:spacing w:after="120"/>
        <w:jc w:val="both"/>
        <w:rPr>
          <w:rFonts w:ascii="Times New Roman" w:hAnsi="Times New Roman" w:cs="Times New Roman"/>
        </w:rPr>
      </w:pPr>
      <w:r w:rsidRPr="00296D3F">
        <w:rPr>
          <w:rFonts w:ascii="Times New Roman" w:hAnsi="Times New Roman" w:cs="Times New Roman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13E46350" w14:textId="21750409" w:rsidR="007F2866" w:rsidRPr="00296D3F" w:rsidRDefault="007F2866" w:rsidP="00296D3F">
      <w:pPr>
        <w:spacing w:after="120"/>
        <w:jc w:val="both"/>
        <w:rPr>
          <w:rFonts w:ascii="Times New Roman" w:hAnsi="Times New Roman" w:cs="Times New Roman"/>
          <w:bCs/>
        </w:rPr>
      </w:pPr>
      <w:r w:rsidRPr="00296D3F">
        <w:rPr>
          <w:rFonts w:ascii="Times New Roman" w:hAnsi="Times New Roman" w:cs="Times New Roman"/>
          <w:bCs/>
        </w:rPr>
        <w:t xml:space="preserve">Projekt rozporządzenia nie dotyczy majątkowych praw i obowiązków przedsiębiorców lub praw i obowiązków przedsiębiorców wobec organów administracji publicznej i nie wpływa na działalność </w:t>
      </w:r>
      <w:proofErr w:type="spellStart"/>
      <w:r w:rsidRPr="00296D3F">
        <w:rPr>
          <w:rFonts w:ascii="Times New Roman" w:hAnsi="Times New Roman" w:cs="Times New Roman"/>
          <w:bCs/>
        </w:rPr>
        <w:t>mikroprzedsiębiorców</w:t>
      </w:r>
      <w:proofErr w:type="spellEnd"/>
      <w:r w:rsidRPr="00296D3F">
        <w:rPr>
          <w:rFonts w:ascii="Times New Roman" w:hAnsi="Times New Roman" w:cs="Times New Roman"/>
          <w:bCs/>
        </w:rPr>
        <w:t xml:space="preserve"> oraz małych i średnich przedsiębiorców.</w:t>
      </w:r>
    </w:p>
    <w:p w14:paraId="358CAB3E" w14:textId="77777777" w:rsidR="00183222" w:rsidRPr="00296D3F" w:rsidRDefault="00183222" w:rsidP="00296D3F">
      <w:pPr>
        <w:spacing w:after="120"/>
        <w:ind w:left="7938"/>
        <w:jc w:val="both"/>
        <w:rPr>
          <w:rFonts w:ascii="Times New Roman" w:hAnsi="Times New Roman" w:cs="Times New Roman"/>
          <w:b/>
        </w:rPr>
      </w:pPr>
    </w:p>
    <w:sectPr w:rsidR="00183222" w:rsidRPr="00296D3F" w:rsidSect="00070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E7E7" w14:textId="77777777" w:rsidR="00C84A20" w:rsidRDefault="00C84A20" w:rsidP="0075218F">
      <w:pPr>
        <w:spacing w:after="0" w:line="240" w:lineRule="auto"/>
      </w:pPr>
      <w:r>
        <w:separator/>
      </w:r>
    </w:p>
  </w:endnote>
  <w:endnote w:type="continuationSeparator" w:id="0">
    <w:p w14:paraId="4C690B23" w14:textId="77777777" w:rsidR="00C84A20" w:rsidRDefault="00C84A20" w:rsidP="0075218F">
      <w:pPr>
        <w:spacing w:after="0" w:line="240" w:lineRule="auto"/>
      </w:pPr>
      <w:r>
        <w:continuationSeparator/>
      </w:r>
    </w:p>
  </w:endnote>
  <w:endnote w:type="continuationNotice" w:id="1">
    <w:p w14:paraId="61FFC732" w14:textId="77777777" w:rsidR="00C84A20" w:rsidRDefault="00C84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E06D" w14:textId="77777777" w:rsidR="00025011" w:rsidRDefault="00025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62E1" w14:textId="77777777" w:rsidR="00025011" w:rsidRDefault="000250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E95C" w14:textId="77777777" w:rsidR="00025011" w:rsidRDefault="00025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8195" w14:textId="77777777" w:rsidR="00C84A20" w:rsidRDefault="00C84A20" w:rsidP="0075218F">
      <w:pPr>
        <w:spacing w:after="0" w:line="240" w:lineRule="auto"/>
      </w:pPr>
      <w:r>
        <w:separator/>
      </w:r>
    </w:p>
  </w:footnote>
  <w:footnote w:type="continuationSeparator" w:id="0">
    <w:p w14:paraId="0BB6ED9A" w14:textId="77777777" w:rsidR="00C84A20" w:rsidRDefault="00C84A20" w:rsidP="0075218F">
      <w:pPr>
        <w:spacing w:after="0" w:line="240" w:lineRule="auto"/>
      </w:pPr>
      <w:r>
        <w:continuationSeparator/>
      </w:r>
    </w:p>
  </w:footnote>
  <w:footnote w:type="continuationNotice" w:id="1">
    <w:p w14:paraId="5C785BCA" w14:textId="77777777" w:rsidR="00C84A20" w:rsidRDefault="00C84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56E6" w14:textId="77777777" w:rsidR="00025011" w:rsidRDefault="00025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F1B5" w14:textId="77777777" w:rsidR="00025011" w:rsidRDefault="000250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9DE" w14:textId="77777777" w:rsidR="004E6ABA" w:rsidRPr="004E6ABA" w:rsidRDefault="0088716C" w:rsidP="0088716C">
    <w:pPr>
      <w:pBdr>
        <w:bottom w:val="single" w:sz="6" w:space="1" w:color="auto"/>
      </w:pBdr>
      <w:tabs>
        <w:tab w:val="left" w:pos="6324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A6A"/>
    <w:multiLevelType w:val="hybridMultilevel"/>
    <w:tmpl w:val="29A40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F58"/>
    <w:multiLevelType w:val="hybridMultilevel"/>
    <w:tmpl w:val="8F0C2B5E"/>
    <w:lvl w:ilvl="0" w:tplc="D82484D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50C"/>
    <w:multiLevelType w:val="hybridMultilevel"/>
    <w:tmpl w:val="C9D0A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42366"/>
    <w:multiLevelType w:val="hybridMultilevel"/>
    <w:tmpl w:val="5BCAEA9C"/>
    <w:lvl w:ilvl="0" w:tplc="363AC53E">
      <w:start w:val="1"/>
      <w:numFmt w:val="decimal"/>
      <w:lvlText w:val="%1)"/>
      <w:lvlJc w:val="left"/>
      <w:pPr>
        <w:ind w:left="720" w:hanging="360"/>
      </w:pPr>
    </w:lvl>
    <w:lvl w:ilvl="1" w:tplc="72DCF13A" w:tentative="1">
      <w:start w:val="1"/>
      <w:numFmt w:val="lowerLetter"/>
      <w:lvlText w:val="%2."/>
      <w:lvlJc w:val="left"/>
      <w:pPr>
        <w:ind w:left="1440" w:hanging="360"/>
      </w:pPr>
    </w:lvl>
    <w:lvl w:ilvl="2" w:tplc="F052387C" w:tentative="1">
      <w:start w:val="1"/>
      <w:numFmt w:val="lowerRoman"/>
      <w:lvlText w:val="%3."/>
      <w:lvlJc w:val="right"/>
      <w:pPr>
        <w:ind w:left="2160" w:hanging="180"/>
      </w:pPr>
    </w:lvl>
    <w:lvl w:ilvl="3" w:tplc="363C1588" w:tentative="1">
      <w:start w:val="1"/>
      <w:numFmt w:val="decimal"/>
      <w:lvlText w:val="%4."/>
      <w:lvlJc w:val="left"/>
      <w:pPr>
        <w:ind w:left="2880" w:hanging="360"/>
      </w:pPr>
    </w:lvl>
    <w:lvl w:ilvl="4" w:tplc="840E9756" w:tentative="1">
      <w:start w:val="1"/>
      <w:numFmt w:val="lowerLetter"/>
      <w:lvlText w:val="%5."/>
      <w:lvlJc w:val="left"/>
      <w:pPr>
        <w:ind w:left="3600" w:hanging="360"/>
      </w:pPr>
    </w:lvl>
    <w:lvl w:ilvl="5" w:tplc="2200CACC" w:tentative="1">
      <w:start w:val="1"/>
      <w:numFmt w:val="lowerRoman"/>
      <w:lvlText w:val="%6."/>
      <w:lvlJc w:val="right"/>
      <w:pPr>
        <w:ind w:left="4320" w:hanging="180"/>
      </w:pPr>
    </w:lvl>
    <w:lvl w:ilvl="6" w:tplc="A3185B68" w:tentative="1">
      <w:start w:val="1"/>
      <w:numFmt w:val="decimal"/>
      <w:lvlText w:val="%7."/>
      <w:lvlJc w:val="left"/>
      <w:pPr>
        <w:ind w:left="5040" w:hanging="360"/>
      </w:pPr>
    </w:lvl>
    <w:lvl w:ilvl="7" w:tplc="30301428" w:tentative="1">
      <w:start w:val="1"/>
      <w:numFmt w:val="lowerLetter"/>
      <w:lvlText w:val="%8."/>
      <w:lvlJc w:val="left"/>
      <w:pPr>
        <w:ind w:left="5760" w:hanging="360"/>
      </w:pPr>
    </w:lvl>
    <w:lvl w:ilvl="8" w:tplc="A726C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CA7"/>
    <w:multiLevelType w:val="hybridMultilevel"/>
    <w:tmpl w:val="7BBC77A0"/>
    <w:lvl w:ilvl="0" w:tplc="C038D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807C7"/>
    <w:multiLevelType w:val="hybridMultilevel"/>
    <w:tmpl w:val="41967F42"/>
    <w:lvl w:ilvl="0" w:tplc="827E8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3192"/>
    <w:multiLevelType w:val="hybridMultilevel"/>
    <w:tmpl w:val="43903B0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82"/>
    <w:rsid w:val="00015B8A"/>
    <w:rsid w:val="00023EC8"/>
    <w:rsid w:val="00025011"/>
    <w:rsid w:val="0003098F"/>
    <w:rsid w:val="00033DD5"/>
    <w:rsid w:val="0004722A"/>
    <w:rsid w:val="000560F0"/>
    <w:rsid w:val="00056190"/>
    <w:rsid w:val="00061B8F"/>
    <w:rsid w:val="000627F1"/>
    <w:rsid w:val="000636C8"/>
    <w:rsid w:val="00070E29"/>
    <w:rsid w:val="000726F4"/>
    <w:rsid w:val="00080D9B"/>
    <w:rsid w:val="0008193B"/>
    <w:rsid w:val="0008544E"/>
    <w:rsid w:val="000A035D"/>
    <w:rsid w:val="000A4FBC"/>
    <w:rsid w:val="000A74C9"/>
    <w:rsid w:val="000B7E5F"/>
    <w:rsid w:val="000E0700"/>
    <w:rsid w:val="000E3668"/>
    <w:rsid w:val="000F0BB9"/>
    <w:rsid w:val="000F4CA2"/>
    <w:rsid w:val="00100765"/>
    <w:rsid w:val="00101791"/>
    <w:rsid w:val="00103FFE"/>
    <w:rsid w:val="00106FD1"/>
    <w:rsid w:val="0011051D"/>
    <w:rsid w:val="0012218F"/>
    <w:rsid w:val="001334A1"/>
    <w:rsid w:val="00136AE6"/>
    <w:rsid w:val="001407A0"/>
    <w:rsid w:val="00142482"/>
    <w:rsid w:val="00142581"/>
    <w:rsid w:val="001439C9"/>
    <w:rsid w:val="00144BD2"/>
    <w:rsid w:val="00151BAD"/>
    <w:rsid w:val="0015426A"/>
    <w:rsid w:val="00156DE6"/>
    <w:rsid w:val="00161D2E"/>
    <w:rsid w:val="00182E8E"/>
    <w:rsid w:val="00183222"/>
    <w:rsid w:val="001A1445"/>
    <w:rsid w:val="001A1F97"/>
    <w:rsid w:val="001B5933"/>
    <w:rsid w:val="001B7282"/>
    <w:rsid w:val="001C2916"/>
    <w:rsid w:val="001D57EB"/>
    <w:rsid w:val="001E7D43"/>
    <w:rsid w:val="001E7E3C"/>
    <w:rsid w:val="001F0880"/>
    <w:rsid w:val="00201F99"/>
    <w:rsid w:val="002034ED"/>
    <w:rsid w:val="00203C84"/>
    <w:rsid w:val="00204E97"/>
    <w:rsid w:val="00211519"/>
    <w:rsid w:val="00211EAA"/>
    <w:rsid w:val="002222D0"/>
    <w:rsid w:val="00224D7E"/>
    <w:rsid w:val="0023068E"/>
    <w:rsid w:val="002424AE"/>
    <w:rsid w:val="00245745"/>
    <w:rsid w:val="00245C9E"/>
    <w:rsid w:val="00247FC1"/>
    <w:rsid w:val="00251187"/>
    <w:rsid w:val="00251690"/>
    <w:rsid w:val="002575D6"/>
    <w:rsid w:val="00261032"/>
    <w:rsid w:val="00267ACB"/>
    <w:rsid w:val="0027023D"/>
    <w:rsid w:val="00276B9B"/>
    <w:rsid w:val="00276C20"/>
    <w:rsid w:val="00280EA3"/>
    <w:rsid w:val="0028646C"/>
    <w:rsid w:val="00290DFB"/>
    <w:rsid w:val="00291B6C"/>
    <w:rsid w:val="00292BBF"/>
    <w:rsid w:val="002957D9"/>
    <w:rsid w:val="00296D3F"/>
    <w:rsid w:val="002A473B"/>
    <w:rsid w:val="002C6C78"/>
    <w:rsid w:val="002E5782"/>
    <w:rsid w:val="002E74C6"/>
    <w:rsid w:val="00304A08"/>
    <w:rsid w:val="00304B17"/>
    <w:rsid w:val="00306E26"/>
    <w:rsid w:val="00312BE7"/>
    <w:rsid w:val="003234B7"/>
    <w:rsid w:val="003244F3"/>
    <w:rsid w:val="00325954"/>
    <w:rsid w:val="00340541"/>
    <w:rsid w:val="00341B58"/>
    <w:rsid w:val="00346A40"/>
    <w:rsid w:val="0035668B"/>
    <w:rsid w:val="00361A1D"/>
    <w:rsid w:val="00370491"/>
    <w:rsid w:val="003720AF"/>
    <w:rsid w:val="00372688"/>
    <w:rsid w:val="00373B1B"/>
    <w:rsid w:val="003860B2"/>
    <w:rsid w:val="003B46B0"/>
    <w:rsid w:val="003C20B4"/>
    <w:rsid w:val="003C65E5"/>
    <w:rsid w:val="003D142A"/>
    <w:rsid w:val="003D1E6F"/>
    <w:rsid w:val="003E30CA"/>
    <w:rsid w:val="003E31E7"/>
    <w:rsid w:val="003E546B"/>
    <w:rsid w:val="00403EBE"/>
    <w:rsid w:val="00405834"/>
    <w:rsid w:val="00414B28"/>
    <w:rsid w:val="004278FE"/>
    <w:rsid w:val="00441F8F"/>
    <w:rsid w:val="0045442E"/>
    <w:rsid w:val="00454A28"/>
    <w:rsid w:val="00462E87"/>
    <w:rsid w:val="0047153E"/>
    <w:rsid w:val="004721EE"/>
    <w:rsid w:val="00486A2D"/>
    <w:rsid w:val="00497D7E"/>
    <w:rsid w:val="004C6743"/>
    <w:rsid w:val="004C6B50"/>
    <w:rsid w:val="004C6EAF"/>
    <w:rsid w:val="004D0278"/>
    <w:rsid w:val="004E6ABA"/>
    <w:rsid w:val="004F0CE5"/>
    <w:rsid w:val="004F2678"/>
    <w:rsid w:val="004F2E99"/>
    <w:rsid w:val="004F517B"/>
    <w:rsid w:val="004F6BE5"/>
    <w:rsid w:val="005025C7"/>
    <w:rsid w:val="005039B6"/>
    <w:rsid w:val="00503ED1"/>
    <w:rsid w:val="00523283"/>
    <w:rsid w:val="00535998"/>
    <w:rsid w:val="00543084"/>
    <w:rsid w:val="00552BD0"/>
    <w:rsid w:val="005543D4"/>
    <w:rsid w:val="00555786"/>
    <w:rsid w:val="00556193"/>
    <w:rsid w:val="00560203"/>
    <w:rsid w:val="00560B76"/>
    <w:rsid w:val="00560CB5"/>
    <w:rsid w:val="0057360E"/>
    <w:rsid w:val="00581375"/>
    <w:rsid w:val="005903DD"/>
    <w:rsid w:val="00593183"/>
    <w:rsid w:val="005A6670"/>
    <w:rsid w:val="005B3D19"/>
    <w:rsid w:val="005B4814"/>
    <w:rsid w:val="005C0BD0"/>
    <w:rsid w:val="005C17D0"/>
    <w:rsid w:val="005E3D0E"/>
    <w:rsid w:val="005E6EEB"/>
    <w:rsid w:val="005F0D1E"/>
    <w:rsid w:val="005F1004"/>
    <w:rsid w:val="00606491"/>
    <w:rsid w:val="006068E8"/>
    <w:rsid w:val="00607B4A"/>
    <w:rsid w:val="00614972"/>
    <w:rsid w:val="006155E7"/>
    <w:rsid w:val="00616A2F"/>
    <w:rsid w:val="00616EA9"/>
    <w:rsid w:val="006243E7"/>
    <w:rsid w:val="00636B87"/>
    <w:rsid w:val="00651D4D"/>
    <w:rsid w:val="006561F4"/>
    <w:rsid w:val="006677CA"/>
    <w:rsid w:val="0067334E"/>
    <w:rsid w:val="00680583"/>
    <w:rsid w:val="0069513F"/>
    <w:rsid w:val="006A114E"/>
    <w:rsid w:val="006A4769"/>
    <w:rsid w:val="006A4D3C"/>
    <w:rsid w:val="006B26D4"/>
    <w:rsid w:val="006B561B"/>
    <w:rsid w:val="006C4E03"/>
    <w:rsid w:val="006C6542"/>
    <w:rsid w:val="006C689D"/>
    <w:rsid w:val="006C6A8A"/>
    <w:rsid w:val="006D3ABE"/>
    <w:rsid w:val="006D76BF"/>
    <w:rsid w:val="006E30BD"/>
    <w:rsid w:val="00700D15"/>
    <w:rsid w:val="00700FF7"/>
    <w:rsid w:val="00707026"/>
    <w:rsid w:val="00725588"/>
    <w:rsid w:val="00727000"/>
    <w:rsid w:val="00727577"/>
    <w:rsid w:val="0073183A"/>
    <w:rsid w:val="007330A6"/>
    <w:rsid w:val="00736196"/>
    <w:rsid w:val="007454E3"/>
    <w:rsid w:val="0075218F"/>
    <w:rsid w:val="007549EA"/>
    <w:rsid w:val="007663D2"/>
    <w:rsid w:val="00777D56"/>
    <w:rsid w:val="00786C76"/>
    <w:rsid w:val="00790F40"/>
    <w:rsid w:val="00792057"/>
    <w:rsid w:val="0079443B"/>
    <w:rsid w:val="0079660C"/>
    <w:rsid w:val="007A10A2"/>
    <w:rsid w:val="007A1EAD"/>
    <w:rsid w:val="007A7CBB"/>
    <w:rsid w:val="007A7E1A"/>
    <w:rsid w:val="007B58C8"/>
    <w:rsid w:val="007D4273"/>
    <w:rsid w:val="007D445B"/>
    <w:rsid w:val="007F2866"/>
    <w:rsid w:val="007F3FFF"/>
    <w:rsid w:val="00800794"/>
    <w:rsid w:val="00813CF6"/>
    <w:rsid w:val="00814071"/>
    <w:rsid w:val="00815BA1"/>
    <w:rsid w:val="00823C90"/>
    <w:rsid w:val="008340AF"/>
    <w:rsid w:val="008343D0"/>
    <w:rsid w:val="00840B49"/>
    <w:rsid w:val="008426CA"/>
    <w:rsid w:val="00845B3C"/>
    <w:rsid w:val="00845B45"/>
    <w:rsid w:val="008518F9"/>
    <w:rsid w:val="00852DC9"/>
    <w:rsid w:val="00857273"/>
    <w:rsid w:val="00861021"/>
    <w:rsid w:val="00865502"/>
    <w:rsid w:val="00866E8D"/>
    <w:rsid w:val="00877E65"/>
    <w:rsid w:val="00881E5F"/>
    <w:rsid w:val="0088716C"/>
    <w:rsid w:val="008923DD"/>
    <w:rsid w:val="00896182"/>
    <w:rsid w:val="008B12D3"/>
    <w:rsid w:val="008B6884"/>
    <w:rsid w:val="008C3F62"/>
    <w:rsid w:val="008D4369"/>
    <w:rsid w:val="008D449C"/>
    <w:rsid w:val="008D672F"/>
    <w:rsid w:val="008F062D"/>
    <w:rsid w:val="008F5DB6"/>
    <w:rsid w:val="00901434"/>
    <w:rsid w:val="00950BAD"/>
    <w:rsid w:val="0095240B"/>
    <w:rsid w:val="009563F4"/>
    <w:rsid w:val="0097284A"/>
    <w:rsid w:val="00973A23"/>
    <w:rsid w:val="0097722C"/>
    <w:rsid w:val="00984F2A"/>
    <w:rsid w:val="009910C8"/>
    <w:rsid w:val="009912FB"/>
    <w:rsid w:val="009A2F6E"/>
    <w:rsid w:val="009C1E2E"/>
    <w:rsid w:val="009D0E0A"/>
    <w:rsid w:val="009D2963"/>
    <w:rsid w:val="009D5D4F"/>
    <w:rsid w:val="009D7242"/>
    <w:rsid w:val="009D7B04"/>
    <w:rsid w:val="009E0B0E"/>
    <w:rsid w:val="009E36C6"/>
    <w:rsid w:val="009E37B1"/>
    <w:rsid w:val="009F2216"/>
    <w:rsid w:val="009F3D27"/>
    <w:rsid w:val="00A01E56"/>
    <w:rsid w:val="00A05BA7"/>
    <w:rsid w:val="00A10179"/>
    <w:rsid w:val="00A11293"/>
    <w:rsid w:val="00A13D45"/>
    <w:rsid w:val="00A24CA9"/>
    <w:rsid w:val="00A37AA1"/>
    <w:rsid w:val="00A5044C"/>
    <w:rsid w:val="00A51A40"/>
    <w:rsid w:val="00A55413"/>
    <w:rsid w:val="00A607A0"/>
    <w:rsid w:val="00A63C52"/>
    <w:rsid w:val="00A67F4B"/>
    <w:rsid w:val="00A71F24"/>
    <w:rsid w:val="00A9248E"/>
    <w:rsid w:val="00AB2B45"/>
    <w:rsid w:val="00AC1BD0"/>
    <w:rsid w:val="00AC2F18"/>
    <w:rsid w:val="00AC3B92"/>
    <w:rsid w:val="00AD0520"/>
    <w:rsid w:val="00AD0C07"/>
    <w:rsid w:val="00AD7078"/>
    <w:rsid w:val="00AF6C3B"/>
    <w:rsid w:val="00B0570C"/>
    <w:rsid w:val="00B110A1"/>
    <w:rsid w:val="00B12EF3"/>
    <w:rsid w:val="00B1723C"/>
    <w:rsid w:val="00B21246"/>
    <w:rsid w:val="00B23669"/>
    <w:rsid w:val="00B301CC"/>
    <w:rsid w:val="00B46B1B"/>
    <w:rsid w:val="00B50C5C"/>
    <w:rsid w:val="00B53E07"/>
    <w:rsid w:val="00B62C03"/>
    <w:rsid w:val="00B6449B"/>
    <w:rsid w:val="00B846EA"/>
    <w:rsid w:val="00B864A2"/>
    <w:rsid w:val="00B90C96"/>
    <w:rsid w:val="00B91D7F"/>
    <w:rsid w:val="00BA7AB9"/>
    <w:rsid w:val="00BB648F"/>
    <w:rsid w:val="00BB7EC6"/>
    <w:rsid w:val="00BC1471"/>
    <w:rsid w:val="00BD08FB"/>
    <w:rsid w:val="00BD484D"/>
    <w:rsid w:val="00BD6146"/>
    <w:rsid w:val="00BE2BE1"/>
    <w:rsid w:val="00BE2C11"/>
    <w:rsid w:val="00BE4A92"/>
    <w:rsid w:val="00BF34D0"/>
    <w:rsid w:val="00BF5535"/>
    <w:rsid w:val="00C05359"/>
    <w:rsid w:val="00C10FF8"/>
    <w:rsid w:val="00C15E73"/>
    <w:rsid w:val="00C21CD3"/>
    <w:rsid w:val="00C32B11"/>
    <w:rsid w:val="00C448EB"/>
    <w:rsid w:val="00C4771F"/>
    <w:rsid w:val="00C47CB4"/>
    <w:rsid w:val="00C506F3"/>
    <w:rsid w:val="00C540F4"/>
    <w:rsid w:val="00C54594"/>
    <w:rsid w:val="00C549EB"/>
    <w:rsid w:val="00C63F64"/>
    <w:rsid w:val="00C64A43"/>
    <w:rsid w:val="00C66070"/>
    <w:rsid w:val="00C71ADB"/>
    <w:rsid w:val="00C73A15"/>
    <w:rsid w:val="00C84A20"/>
    <w:rsid w:val="00C94798"/>
    <w:rsid w:val="00C955FE"/>
    <w:rsid w:val="00C96F62"/>
    <w:rsid w:val="00C972F4"/>
    <w:rsid w:val="00CB5B63"/>
    <w:rsid w:val="00CB713B"/>
    <w:rsid w:val="00CC292C"/>
    <w:rsid w:val="00CC4791"/>
    <w:rsid w:val="00CC76FA"/>
    <w:rsid w:val="00CD208A"/>
    <w:rsid w:val="00CD6815"/>
    <w:rsid w:val="00CE3C14"/>
    <w:rsid w:val="00D04F20"/>
    <w:rsid w:val="00D06E0B"/>
    <w:rsid w:val="00D07223"/>
    <w:rsid w:val="00D13559"/>
    <w:rsid w:val="00D2583A"/>
    <w:rsid w:val="00D26666"/>
    <w:rsid w:val="00D42A4F"/>
    <w:rsid w:val="00D446DE"/>
    <w:rsid w:val="00D4470B"/>
    <w:rsid w:val="00D54829"/>
    <w:rsid w:val="00D55096"/>
    <w:rsid w:val="00D57AD4"/>
    <w:rsid w:val="00D65BBB"/>
    <w:rsid w:val="00D7179A"/>
    <w:rsid w:val="00D721B1"/>
    <w:rsid w:val="00D80737"/>
    <w:rsid w:val="00D8604B"/>
    <w:rsid w:val="00D940C5"/>
    <w:rsid w:val="00DA0104"/>
    <w:rsid w:val="00DA11C0"/>
    <w:rsid w:val="00DA1E29"/>
    <w:rsid w:val="00DA2906"/>
    <w:rsid w:val="00DB1250"/>
    <w:rsid w:val="00DC032D"/>
    <w:rsid w:val="00DC361B"/>
    <w:rsid w:val="00DC3997"/>
    <w:rsid w:val="00DD21A3"/>
    <w:rsid w:val="00DD22D1"/>
    <w:rsid w:val="00DD3DD8"/>
    <w:rsid w:val="00DD491F"/>
    <w:rsid w:val="00DE1DF5"/>
    <w:rsid w:val="00DE4B35"/>
    <w:rsid w:val="00DE6CA0"/>
    <w:rsid w:val="00DE74BD"/>
    <w:rsid w:val="00DF11C2"/>
    <w:rsid w:val="00DF296F"/>
    <w:rsid w:val="00DF71DD"/>
    <w:rsid w:val="00E07086"/>
    <w:rsid w:val="00E111B4"/>
    <w:rsid w:val="00E150FF"/>
    <w:rsid w:val="00E311E9"/>
    <w:rsid w:val="00E469A1"/>
    <w:rsid w:val="00E529FB"/>
    <w:rsid w:val="00E6525F"/>
    <w:rsid w:val="00E74FCE"/>
    <w:rsid w:val="00E82521"/>
    <w:rsid w:val="00E85B49"/>
    <w:rsid w:val="00E94049"/>
    <w:rsid w:val="00EA4D62"/>
    <w:rsid w:val="00EA5FFA"/>
    <w:rsid w:val="00EA7CD3"/>
    <w:rsid w:val="00EB003B"/>
    <w:rsid w:val="00EB3A57"/>
    <w:rsid w:val="00EC228F"/>
    <w:rsid w:val="00EC5554"/>
    <w:rsid w:val="00ED28F5"/>
    <w:rsid w:val="00ED3F26"/>
    <w:rsid w:val="00ED549F"/>
    <w:rsid w:val="00EF18B1"/>
    <w:rsid w:val="00EF2811"/>
    <w:rsid w:val="00F00E28"/>
    <w:rsid w:val="00F016F8"/>
    <w:rsid w:val="00F04A1B"/>
    <w:rsid w:val="00F116A3"/>
    <w:rsid w:val="00F15C32"/>
    <w:rsid w:val="00F21B12"/>
    <w:rsid w:val="00F257B6"/>
    <w:rsid w:val="00F30694"/>
    <w:rsid w:val="00F3695D"/>
    <w:rsid w:val="00F42704"/>
    <w:rsid w:val="00F5314C"/>
    <w:rsid w:val="00F5494A"/>
    <w:rsid w:val="00F65F05"/>
    <w:rsid w:val="00F66316"/>
    <w:rsid w:val="00F70D78"/>
    <w:rsid w:val="00F71A3C"/>
    <w:rsid w:val="00F74B67"/>
    <w:rsid w:val="00F7551A"/>
    <w:rsid w:val="00F82180"/>
    <w:rsid w:val="00F8357B"/>
    <w:rsid w:val="00F92A6B"/>
    <w:rsid w:val="00FA68F8"/>
    <w:rsid w:val="00FB6D8B"/>
    <w:rsid w:val="00FB71D2"/>
    <w:rsid w:val="00FC7BC4"/>
    <w:rsid w:val="00FD4709"/>
    <w:rsid w:val="00FD6BE6"/>
    <w:rsid w:val="00FF0B33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87A30"/>
  <w15:docId w15:val="{683BC3EE-AB0A-417E-9AE9-DCA06CD8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1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1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18F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C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2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2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2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B28"/>
  </w:style>
  <w:style w:type="paragraph" w:styleId="Stopka">
    <w:name w:val="footer"/>
    <w:basedOn w:val="Normalny"/>
    <w:link w:val="StopkaZnak"/>
    <w:uiPriority w:val="99"/>
    <w:unhideWhenUsed/>
    <w:rsid w:val="0041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B28"/>
  </w:style>
  <w:style w:type="table" w:styleId="Tabela-Siatka">
    <w:name w:val="Table Grid"/>
    <w:basedOn w:val="Standardowy"/>
    <w:uiPriority w:val="59"/>
    <w:rsid w:val="0015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0B4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1 Akapit z listą,목록 단락,Akapit z listą11,Numbered Para 1,No Spacing1,List Paragraph Char Char Ch"/>
    <w:basedOn w:val="Normalny"/>
    <w:link w:val="AkapitzlistZnak"/>
    <w:uiPriority w:val="34"/>
    <w:qFormat/>
    <w:rsid w:val="00292BBF"/>
    <w:pPr>
      <w:ind w:left="720"/>
      <w:contextualSpacing/>
    </w:pPr>
  </w:style>
  <w:style w:type="paragraph" w:styleId="Poprawka">
    <w:name w:val="Revision"/>
    <w:hidden/>
    <w:uiPriority w:val="99"/>
    <w:semiHidden/>
    <w:rsid w:val="00852DC9"/>
    <w:pPr>
      <w:spacing w:after="0" w:line="240" w:lineRule="auto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DC399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C399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DC399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99"/>
    <w:qFormat/>
    <w:rsid w:val="00DC3997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C3997"/>
    <w:rPr>
      <w:b/>
      <w:vanish w:val="0"/>
      <w:spacing w:val="0"/>
      <w:vertAlign w:val="superscript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C3997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330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330A6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99"/>
    <w:qFormat/>
    <w:rsid w:val="007330A6"/>
    <w:rPr>
      <w:b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9D0E0A"/>
    <w:pPr>
      <w:spacing w:after="0" w:line="360" w:lineRule="auto"/>
      <w:ind w:left="189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F2866"/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1 Akapit z listą Znak,목록 단락 Znak"/>
    <w:link w:val="Akapitzlist"/>
    <w:uiPriority w:val="34"/>
    <w:qFormat/>
    <w:locked/>
    <w:rsid w:val="007F2866"/>
  </w:style>
  <w:style w:type="character" w:customStyle="1" w:styleId="Nagwek1Znak">
    <w:name w:val="Nagłówek 1 Znak"/>
    <w:basedOn w:val="Domylnaczcionkaakapitu"/>
    <w:link w:val="Nagwek1"/>
    <w:rsid w:val="007F28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E94049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64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99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2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3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91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20AE-DE14-4334-A774-E4B7752F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Pyrzak Piotr</dc:creator>
  <cp:lastModifiedBy>MACHAJ Maciej</cp:lastModifiedBy>
  <cp:revision>5</cp:revision>
  <cp:lastPrinted>2019-03-08T10:47:00Z</cp:lastPrinted>
  <dcterms:created xsi:type="dcterms:W3CDTF">2022-01-13T13:43:00Z</dcterms:created>
  <dcterms:modified xsi:type="dcterms:W3CDTF">2022-01-13T15:03:00Z</dcterms:modified>
</cp:coreProperties>
</file>