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716B" w14:textId="77777777" w:rsidR="00C438E1" w:rsidRDefault="00C438E1" w:rsidP="00C438E1">
      <w:pPr>
        <w:pStyle w:val="TYTUAKTUprzedmiotregulacjiustawylubrozporzdzenia"/>
      </w:pPr>
      <w:r>
        <w:t>Uzasadnienie</w:t>
      </w:r>
    </w:p>
    <w:p w14:paraId="79DDF4F4" w14:textId="37C23E03" w:rsidR="00C438E1" w:rsidRDefault="00C438E1" w:rsidP="00C438E1">
      <w:pPr>
        <w:pStyle w:val="USTustnpkodeksu"/>
      </w:pPr>
      <w:r>
        <w:t>Ze względu na k</w:t>
      </w:r>
      <w:r w:rsidRPr="00F63C36">
        <w:t>onieczność implementacji dyrektywy Parlamentu Europejskiego i Rady</w:t>
      </w:r>
      <w:r>
        <w:t xml:space="preserve"> (UE)</w:t>
      </w:r>
      <w:r w:rsidRPr="00F63C36">
        <w:t xml:space="preserve"> </w:t>
      </w:r>
      <w:bookmarkStart w:id="0" w:name="_Hlk47691480"/>
      <w:r w:rsidRPr="00F63C36">
        <w:t xml:space="preserve">2018/2002 </w:t>
      </w:r>
      <w:bookmarkEnd w:id="0"/>
      <w:r w:rsidRPr="00F63C36">
        <w:t xml:space="preserve">z dnia 11 grudnia 2018 r., zmieniającej dyrektywę 2012/27/UE w sprawie efektywności energetycznej (Dz. Urz. UE L 328 z 21.12.2018, str. 210), w ustawie z 20 maja 2016 r. </w:t>
      </w:r>
      <w:r w:rsidRPr="007C6462">
        <w:rPr>
          <w:i/>
        </w:rPr>
        <w:t>o efektywności energetycznej</w:t>
      </w:r>
      <w:r w:rsidR="00C338E8">
        <w:t xml:space="preserve"> (Dz. U. z 2021 r. poz. 468 i 868), zwanej dalej „ustawą”,</w:t>
      </w:r>
      <w:r>
        <w:t xml:space="preserve"> rozszerzono grupę podmiotów wykonujących obowiązek </w:t>
      </w:r>
      <w:r w:rsidR="007B4B56">
        <w:t>uzyskania oszczędności energii</w:t>
      </w:r>
      <w:r>
        <w:t>, o którym mowa w art. 10 ust 2</w:t>
      </w:r>
      <w:r w:rsidR="00C338E8">
        <w:t xml:space="preserve"> ustawy</w:t>
      </w:r>
      <w:r>
        <w:t xml:space="preserve"> o podmioty paliwowe</w:t>
      </w:r>
      <w:r w:rsidR="007B4B56">
        <w:t>, tj</w:t>
      </w:r>
      <w:r>
        <w:t>.</w:t>
      </w:r>
      <w:r w:rsidR="007B4B56">
        <w:t xml:space="preserve"> rozumiane jako </w:t>
      </w:r>
      <w:r w:rsidR="007B4B56" w:rsidRPr="00891416">
        <w:t>każdy podmiot, w tym mający siedzibę lub miejsce zamieszkania poza terytorium Rzeczypospolitej Polskiej, dokonujący, samodzielnie lub za pośrednictwem innego podmiotu, wytwarzania, importu lub nabycia wewnątrzwspólnotowego paliw ciekłych</w:t>
      </w:r>
      <w:r w:rsidR="007B4B56">
        <w:t>.</w:t>
      </w:r>
      <w:r>
        <w:t xml:space="preserve"> </w:t>
      </w:r>
      <w:r w:rsidR="00072224">
        <w:t>Powyższe</w:t>
      </w:r>
      <w:r w:rsidR="00BC62FC">
        <w:t xml:space="preserve"> </w:t>
      </w:r>
      <w:r w:rsidR="00072224">
        <w:t>implikuje</w:t>
      </w:r>
      <w:r w:rsidR="00BC62FC">
        <w:t xml:space="preserve"> również konieczność</w:t>
      </w:r>
      <w:r w:rsidR="00072224">
        <w:t xml:space="preserve"> nowelizac</w:t>
      </w:r>
      <w:r w:rsidR="00BC62FC">
        <w:t>ji</w:t>
      </w:r>
      <w:r w:rsidR="00072224">
        <w:t xml:space="preserve"> rozporządzenia Ministra Energii z dnia 5 października 2017 r. w sprawie szczegółowego zakresu i sposobu sporządzania audytu efektywności energetycznej oraz metod obliczania oszczędności energii (Dz. U. z 2017 r. poz. 1912), zwane</w:t>
      </w:r>
      <w:r w:rsidR="00BC62FC">
        <w:t>go</w:t>
      </w:r>
      <w:r w:rsidR="00072224">
        <w:t xml:space="preserve"> dalej</w:t>
      </w:r>
      <w:r w:rsidR="006519CB">
        <w:t xml:space="preserve"> </w:t>
      </w:r>
      <w:r w:rsidR="00072224">
        <w:t>„rozporządzeniem”.</w:t>
      </w:r>
    </w:p>
    <w:p w14:paraId="530B21BC" w14:textId="3F630B45" w:rsidR="00C438E1" w:rsidRDefault="007B4B56" w:rsidP="00C438E1">
      <w:pPr>
        <w:pStyle w:val="USTustnpkodeksu"/>
      </w:pPr>
      <w:r>
        <w:t>Dyrektywa 2018/2002</w:t>
      </w:r>
      <w:r w:rsidR="00C438E1" w:rsidRPr="00F63C36">
        <w:t xml:space="preserve"> w art. 7 zobowiązuje państwa członkowskie UE do osiągnięcia w latach 2021-2030 łącznych oszczędności zużycia energii finalnej, równoważnych corocznym nowym oszczędnościom w wysokości 0,8% średniorocznego zużycia energii finalnej z lat 2016-2018.</w:t>
      </w:r>
      <w:r w:rsidR="00C438E1">
        <w:t xml:space="preserve"> Wyznaczony</w:t>
      </w:r>
      <w:r w:rsidR="00C438E1" w:rsidRPr="00183B39">
        <w:t xml:space="preserve"> ogólny cel oszczędności energii dla </w:t>
      </w:r>
      <w:r>
        <w:t xml:space="preserve">UE </w:t>
      </w:r>
      <w:r w:rsidR="00C438E1" w:rsidRPr="00F63C36">
        <w:t>w wysokości 32,5 % w stosunku do scenariusza referencyjnego (PRIMES 2007)</w:t>
      </w:r>
      <w:r w:rsidR="00C438E1">
        <w:t xml:space="preserve"> </w:t>
      </w:r>
      <w:r w:rsidR="00C438E1" w:rsidRPr="00F63C36">
        <w:t>przekłada się na maksymalne możliwe zużycie energii pierwotnej</w:t>
      </w:r>
      <w:r>
        <w:t xml:space="preserve"> w UE </w:t>
      </w:r>
      <w:r w:rsidR="00C438E1" w:rsidRPr="00F63C36">
        <w:t xml:space="preserve">wynoszące 1 273 </w:t>
      </w:r>
      <w:proofErr w:type="spellStart"/>
      <w:r w:rsidR="00C438E1" w:rsidRPr="00F63C36">
        <w:t>Mtoe</w:t>
      </w:r>
      <w:proofErr w:type="spellEnd"/>
      <w:r w:rsidR="00C438E1" w:rsidRPr="00F63C36">
        <w:t xml:space="preserve"> oraz finalnej 956 </w:t>
      </w:r>
      <w:proofErr w:type="spellStart"/>
      <w:r w:rsidR="00C438E1" w:rsidRPr="00F63C36">
        <w:t>Mtoe</w:t>
      </w:r>
      <w:proofErr w:type="spellEnd"/>
      <w:r w:rsidR="00C438E1" w:rsidRPr="00F63C36">
        <w:t xml:space="preserve"> w roku 2030</w:t>
      </w:r>
      <w:r w:rsidR="00C438E1">
        <w:t xml:space="preserve">. </w:t>
      </w:r>
      <w:r w:rsidR="00C438E1" w:rsidRPr="00F63C36">
        <w:t xml:space="preserve">Krajowe cele </w:t>
      </w:r>
      <w:r>
        <w:t>w zakresie efektywności energetycznej na 2030 rok</w:t>
      </w:r>
      <w:r w:rsidR="00C438E1" w:rsidRPr="00F63C36">
        <w:t xml:space="preserve">, deklarowane przez </w:t>
      </w:r>
      <w:r>
        <w:t>poszczególne kraje członkowskie UE</w:t>
      </w:r>
      <w:r w:rsidR="00C438E1" w:rsidRPr="00F63C36">
        <w:t xml:space="preserve"> mogą być zdefiniowane docelowo na określonym poziomie zużycia energii pierwotnej lub finalnej, przy czym w Krajowym planie na rzecz energii i klimatu na lata 2021-2030, zadeklarowano </w:t>
      </w:r>
      <w:r>
        <w:t xml:space="preserve">zmniejszenie przez Polskę zużycia </w:t>
      </w:r>
      <w:r w:rsidR="00C438E1" w:rsidRPr="00F63C36">
        <w:t xml:space="preserve">energii pierwotnej do 2030 r. na poziomie 23% w odniesieniu do prognozy PRIMES 2007, co przekłada się na </w:t>
      </w:r>
      <w:r>
        <w:t>redukcję zużycia</w:t>
      </w:r>
      <w:r w:rsidR="00C438E1" w:rsidRPr="00F63C36">
        <w:t xml:space="preserve"> energii pierwotnej </w:t>
      </w:r>
      <w:r>
        <w:t>o ok.</w:t>
      </w:r>
      <w:r w:rsidR="00C438E1" w:rsidRPr="00F63C36">
        <w:t xml:space="preserve"> 27</w:t>
      </w:r>
      <w:r>
        <w:t>,3</w:t>
      </w:r>
      <w:r w:rsidR="00C438E1" w:rsidRPr="00F63C36">
        <w:t xml:space="preserve"> </w:t>
      </w:r>
      <w:proofErr w:type="spellStart"/>
      <w:r w:rsidR="00C438E1" w:rsidRPr="00F63C36">
        <w:t>Mtoe</w:t>
      </w:r>
      <w:proofErr w:type="spellEnd"/>
      <w:r>
        <w:t xml:space="preserve"> w porównaniu do prognoz </w:t>
      </w:r>
      <w:r w:rsidRPr="003E3C1C">
        <w:t>PRIMES 2007</w:t>
      </w:r>
      <w:r w:rsidR="00C438E1" w:rsidRPr="00F63C36">
        <w:t>. Ponadto wskazano, że nie jest możliwe obniżenie całkowitego wolumenu oszczędności</w:t>
      </w:r>
      <w:r>
        <w:t xml:space="preserve"> energii</w:t>
      </w:r>
      <w:r w:rsidR="00C438E1" w:rsidRPr="00F63C36">
        <w:t xml:space="preserve"> poprzez wyłączenie zużycia energii w sektorze transportu, przy czym nałożony dyrektywą obowiązek może być osiągnięty zarówno poprzez dedykowany system służący poprawie efektywności energetycznej, jak również przez środki alternatywne</w:t>
      </w:r>
      <w:r w:rsidR="00C438E1">
        <w:t>, spełniające określone wymogi.</w:t>
      </w:r>
    </w:p>
    <w:p w14:paraId="6D1A151E" w14:textId="77777777" w:rsidR="00C438E1" w:rsidRDefault="00C438E1" w:rsidP="00C438E1">
      <w:pPr>
        <w:pStyle w:val="USTustnpkodeksu"/>
      </w:pPr>
      <w:r w:rsidRPr="009B4423">
        <w:lastRenderedPageBreak/>
        <w:t>Sto</w:t>
      </w:r>
      <w:r>
        <w:t>sownie do wymagań ww. dyrektywy</w:t>
      </w:r>
      <w:r w:rsidR="007B4B56">
        <w:t xml:space="preserve"> 2018/2002</w:t>
      </w:r>
      <w:r>
        <w:t xml:space="preserve"> </w:t>
      </w:r>
      <w:r w:rsidRPr="009B4423">
        <w:t xml:space="preserve">ustawa poszerza katalog podmiotów objętych systemem świadectw efektywności energetycznej o przedsiębiorstwa paliwowe wprowadzające paliwa ciekłe do obrotu. Obowiązujący system świadectw efektywności energetycznej okazał się niewystarczający w zakresie wypełnienia wyznaczonego celu, stąd pojawiła się konieczność objęcia systemem większej liczby podmiotów. Celem, który powinien zostać osiągnięty w sektorze paliw ciekłych jest realizowanie przedsięwzięć służących poprawie efektywności energetycznej, dzięki którym możliwe będzie osiągniecie wymaganego dyrektywą 2018/2002/UE poziomu oszczędności energii. Przedsięwzięcia służące poprawie efektywności energetycznej realizowane przez podmioty paliwowe mogą dotyczyć zarówno obszaru transportu, jak również innych obszarów końcowego zużycia energii, zgodnie z zakresem wskazanym w ustawie. Obowiązek oszczędności energii może też być spełniony w drodze umarzania </w:t>
      </w:r>
      <w:r w:rsidR="007B4B56">
        <w:t>świadectw efektywności energetycznej</w:t>
      </w:r>
      <w:r>
        <w:t>.</w:t>
      </w:r>
    </w:p>
    <w:p w14:paraId="1CA9085A" w14:textId="09B21B00" w:rsidR="00C438E1" w:rsidRDefault="00C438E1" w:rsidP="00C438E1">
      <w:pPr>
        <w:pStyle w:val="USTustnpkodeksu"/>
      </w:pPr>
      <w:r>
        <w:t>Zmiany wprowadzone w przedmiotowym rozporządzeniu pozwalają na pełne uczestnictwo podmiotów paliwowych w systemie. Rozporządzenie ustala</w:t>
      </w:r>
      <w:r w:rsidR="006519CB">
        <w:t>,</w:t>
      </w:r>
      <w:r>
        <w:t xml:space="preserve"> w jaki sposób należy obliczać oszczędności energii wynikające z realizacji przedsięwzięć służących poprawie efektywności energetycznej w zakresie paliw ciekłych</w:t>
      </w:r>
      <w:r w:rsidR="007B4B56" w:rsidRPr="007B4B56">
        <w:t xml:space="preserve"> </w:t>
      </w:r>
      <w:r w:rsidR="007B4B56">
        <w:t>stosowanych w transporcie</w:t>
      </w:r>
      <w:r>
        <w:t>.</w:t>
      </w:r>
    </w:p>
    <w:p w14:paraId="1BB22044" w14:textId="0EC14EC4" w:rsidR="00072224" w:rsidRDefault="00072224" w:rsidP="00C438E1">
      <w:pPr>
        <w:pStyle w:val="USTustnpkodeksu"/>
      </w:pPr>
      <w:r>
        <w:t>Pierwsza zaproponowana w projekcie zmiana</w:t>
      </w:r>
      <w:r w:rsidR="007B4B56">
        <w:t>, w</w:t>
      </w:r>
      <w:r>
        <w:t xml:space="preserve"> </w:t>
      </w:r>
      <w:r w:rsidRPr="00072224">
        <w:t>§ 5 ust. 2</w:t>
      </w:r>
      <w:r>
        <w:t xml:space="preserve"> pkt 9</w:t>
      </w:r>
      <w:r w:rsidR="007B4B56">
        <w:t xml:space="preserve"> projektu rozporządzenia,</w:t>
      </w:r>
      <w:r>
        <w:t xml:space="preserve"> dotyczy uwzględnienia paliw ciekłych w </w:t>
      </w:r>
      <w:r w:rsidR="00A007F6">
        <w:t>sposobie przeprowadzania audytu efektywności energetycznej</w:t>
      </w:r>
      <w:r w:rsidR="006519CB">
        <w:t>,</w:t>
      </w:r>
      <w:r w:rsidR="00A007F6">
        <w:t xml:space="preserve"> o którym mowa w </w:t>
      </w:r>
      <w:r w:rsidR="00A007F6" w:rsidRPr="00072224">
        <w:t xml:space="preserve">§ </w:t>
      </w:r>
      <w:r w:rsidR="00A007F6">
        <w:t>4</w:t>
      </w:r>
      <w:r w:rsidR="00A007F6" w:rsidRPr="00072224">
        <w:t xml:space="preserve"> ust. </w:t>
      </w:r>
      <w:r w:rsidR="00A007F6">
        <w:t>1 rozporządzenia.</w:t>
      </w:r>
    </w:p>
    <w:p w14:paraId="1B8C93B1" w14:textId="55B42138" w:rsidR="00A007F6" w:rsidRDefault="007B4B56" w:rsidP="00C438E1">
      <w:pPr>
        <w:pStyle w:val="USTustnpkodeksu"/>
      </w:pPr>
      <w:r>
        <w:t>Dodane zostały nowe</w:t>
      </w:r>
      <w:r w:rsidR="00A007F6">
        <w:t xml:space="preserve"> </w:t>
      </w:r>
      <w:r w:rsidR="00133AF6">
        <w:t xml:space="preserve">pkt </w:t>
      </w:r>
      <w:r w:rsidR="00A007F6">
        <w:t xml:space="preserve">11-14 </w:t>
      </w:r>
      <w:bookmarkStart w:id="1" w:name="_Hlk86939963"/>
      <w:r w:rsidR="00A007F6">
        <w:t xml:space="preserve">w </w:t>
      </w:r>
      <w:r w:rsidR="00A007F6" w:rsidRPr="00072224">
        <w:t>§ 5 ust. 2</w:t>
      </w:r>
      <w:bookmarkEnd w:id="1"/>
      <w:r>
        <w:t>, które</w:t>
      </w:r>
      <w:r w:rsidR="00A007F6">
        <w:t xml:space="preserve"> zawierają </w:t>
      </w:r>
      <w:r>
        <w:t>przepisy</w:t>
      </w:r>
      <w:r w:rsidR="00A007F6">
        <w:t xml:space="preserve"> dotyczące sposobu sporządzania audytu efektywności energetycznej dla przedsięwzięć służących poprawie efektywności energetycznej w sektorze transportu. </w:t>
      </w:r>
    </w:p>
    <w:p w14:paraId="7B0AAF9C" w14:textId="1DEA0377" w:rsidR="00A007F6" w:rsidRDefault="00133AF6" w:rsidP="00C438E1">
      <w:pPr>
        <w:pStyle w:val="USTustnpkodeksu"/>
      </w:pPr>
      <w:r>
        <w:t xml:space="preserve">Pkt </w:t>
      </w:r>
      <w:r w:rsidR="00A007F6">
        <w:t xml:space="preserve">11 </w:t>
      </w:r>
      <w:r>
        <w:t xml:space="preserve">w </w:t>
      </w:r>
      <w:r w:rsidRPr="00133AF6">
        <w:t>§ 5 ust. 2</w:t>
      </w:r>
      <w:r>
        <w:t xml:space="preserve"> zmienianego </w:t>
      </w:r>
      <w:r w:rsidR="007B4B56">
        <w:t>rozporządzenia reguluje</w:t>
      </w:r>
      <w:r w:rsidR="00A007F6">
        <w:t xml:space="preserve"> </w:t>
      </w:r>
      <w:r w:rsidR="007B4B56">
        <w:t>sposób</w:t>
      </w:r>
      <w:r w:rsidR="00A007F6">
        <w:t xml:space="preserve"> wykonywania audytu efektywności energetycznej dla przedsięwzięcia służącego poprawie efektywności energetycznej polegającego na wymianie </w:t>
      </w:r>
      <w:r w:rsidR="00A007F6" w:rsidRPr="00A007F6">
        <w:t>pojazdów służących do transportu drogowego na nowe pojazdy w przypadku gdy są one objęte zakresem Rozporządzenia Parlamentu Europejskiego i Rady (UE) 2019/631 z dnia 17 kwietnia 2019 r. określającego normy emisji CO2 dla nowych samochodów osobowych i dla nowych lekkich pojazdów użytkowych oraz uchylające rozporządzenia (WE) nr 443/2009 i (UE) nr 510/2011 lub Rozporządzenia Parlamentu Europejskiego i Rady (UE) 2019/1242 z dnia 20 czerwca 2019 r. określającego normy emisji CO2 dla nowych pojazdów ciężkich oraz zmieniającego rozporządzenia Parlamentu Europejskiego i Rady (WE) nr 595/2009 i (UE) 2018/956 oraz dyrektywę Rady 96/53/WE</w:t>
      </w:r>
      <w:r w:rsidR="00A007F6">
        <w:t>.</w:t>
      </w:r>
    </w:p>
    <w:p w14:paraId="63FFEA5B" w14:textId="6C79A11F" w:rsidR="00A007F6" w:rsidRDefault="00A007F6" w:rsidP="00C438E1">
      <w:pPr>
        <w:pStyle w:val="USTustnpkodeksu"/>
      </w:pPr>
      <w:r>
        <w:lastRenderedPageBreak/>
        <w:t xml:space="preserve">Z kolei </w:t>
      </w:r>
      <w:r w:rsidR="00133AF6">
        <w:t>pkt</w:t>
      </w:r>
      <w:r w:rsidR="0036643F">
        <w:t xml:space="preserve"> </w:t>
      </w:r>
      <w:r>
        <w:t>12</w:t>
      </w:r>
      <w:r w:rsidR="007B4B56" w:rsidRPr="007B4B56">
        <w:t xml:space="preserve"> </w:t>
      </w:r>
      <w:r w:rsidR="00133AF6" w:rsidRPr="00133AF6">
        <w:t>w § 5 ust. 2</w:t>
      </w:r>
      <w:r w:rsidR="00133AF6">
        <w:t xml:space="preserve"> zmienianego </w:t>
      </w:r>
      <w:r w:rsidR="007B4B56">
        <w:t>rozporządzenia</w:t>
      </w:r>
      <w:r>
        <w:t xml:space="preserve"> </w:t>
      </w:r>
      <w:r w:rsidR="007B4B56">
        <w:t xml:space="preserve">reguluje sposób </w:t>
      </w:r>
      <w:r>
        <w:t xml:space="preserve">wykonywania audytu efektywności energetycznej dla przedsięwzięcia służącego poprawie efektywności energetycznej polegającego na wymianie </w:t>
      </w:r>
      <w:r w:rsidRPr="00A007F6">
        <w:t>pojazdów służących do transportu drogowego innych niż wymienione w pkt 11 lub pojazdów służących do transportu kolejowego</w:t>
      </w:r>
      <w:r>
        <w:t>.</w:t>
      </w:r>
    </w:p>
    <w:p w14:paraId="6BCE9A78" w14:textId="2A6D7615" w:rsidR="00A007F6" w:rsidRDefault="00133AF6" w:rsidP="00C438E1">
      <w:pPr>
        <w:pStyle w:val="USTustnpkodeksu"/>
      </w:pPr>
      <w:r>
        <w:t xml:space="preserve">Pkt </w:t>
      </w:r>
      <w:r w:rsidR="00A007F6">
        <w:t>13</w:t>
      </w:r>
      <w:r w:rsidRPr="00133AF6">
        <w:t xml:space="preserve"> w § 5 ust. 2</w:t>
      </w:r>
      <w:r w:rsidR="007B4B56" w:rsidRPr="007B4B56">
        <w:t xml:space="preserve"> </w:t>
      </w:r>
      <w:r>
        <w:t xml:space="preserve">zmienianego </w:t>
      </w:r>
      <w:r w:rsidR="007B4B56">
        <w:t xml:space="preserve">rozporządzenia </w:t>
      </w:r>
      <w:r w:rsidR="00A007F6">
        <w:t xml:space="preserve">dotyczy przedsięwzięć służących poprawie efektywności energetycznej polegających na </w:t>
      </w:r>
      <w:r w:rsidR="00A007F6" w:rsidRPr="00A007F6">
        <w:t>modernizacji pojazdów służących do transportu drogowego lub kolejowego w przypadku gdy dokonywane jest ono przed upływem cyklu życia pojazdu lub gdy w wyniku jego realizacji cykl życia ulegnie wydłużeniu</w:t>
      </w:r>
      <w:r w:rsidR="00A007F6">
        <w:t>.</w:t>
      </w:r>
    </w:p>
    <w:p w14:paraId="7008DFA2" w14:textId="161936CA" w:rsidR="00A007F6" w:rsidRDefault="007B4B56" w:rsidP="00C438E1">
      <w:pPr>
        <w:pStyle w:val="USTustnpkodeksu"/>
      </w:pPr>
      <w:r>
        <w:t>Sposób</w:t>
      </w:r>
      <w:r w:rsidR="00A007F6">
        <w:t xml:space="preserve"> wykonywania audytu efektywności energetycznej dla przedsięwzięcia</w:t>
      </w:r>
      <w:r w:rsidRPr="007B4B56">
        <w:t xml:space="preserve"> </w:t>
      </w:r>
      <w:r>
        <w:t xml:space="preserve">służącego poprawie efektywności energetycznej </w:t>
      </w:r>
      <w:r w:rsidR="00A007F6">
        <w:t xml:space="preserve">w zakresie </w:t>
      </w:r>
      <w:r w:rsidR="00A007F6" w:rsidRPr="00A007F6">
        <w:t xml:space="preserve">ograniczania strat związanych </w:t>
      </w:r>
      <w:r w:rsidR="00BB55B7">
        <w:br/>
      </w:r>
      <w:r w:rsidR="00A007F6" w:rsidRPr="00A007F6">
        <w:t>z magazynowaniem i przeładunkiem paliw ciekłych</w:t>
      </w:r>
      <w:r>
        <w:t xml:space="preserve"> został natomiast zawarty</w:t>
      </w:r>
      <w:r w:rsidR="00A007F6">
        <w:t xml:space="preserve"> w p</w:t>
      </w:r>
      <w:r w:rsidR="00BB55B7">
        <w:t>kt</w:t>
      </w:r>
      <w:r w:rsidR="00A007F6">
        <w:t xml:space="preserve"> 14</w:t>
      </w:r>
      <w:r w:rsidRPr="007B4B56">
        <w:t xml:space="preserve"> </w:t>
      </w:r>
      <w:r>
        <w:t>projektu rozporządzenia</w:t>
      </w:r>
      <w:r w:rsidR="00A007F6">
        <w:t>.</w:t>
      </w:r>
    </w:p>
    <w:p w14:paraId="1F783560" w14:textId="10D00446" w:rsidR="00A007F6" w:rsidRDefault="00502F1A" w:rsidP="00C438E1">
      <w:pPr>
        <w:pStyle w:val="USTustnpkodeksu"/>
      </w:pPr>
      <w:r>
        <w:t xml:space="preserve">Kolejna zmiana </w:t>
      </w:r>
      <w:r w:rsidR="007B4B56">
        <w:t xml:space="preserve">uregulowana w projekcie </w:t>
      </w:r>
      <w:r>
        <w:t xml:space="preserve">odnosi się do </w:t>
      </w:r>
      <w:r w:rsidRPr="00502F1A">
        <w:t>§ 13</w:t>
      </w:r>
      <w:r>
        <w:t xml:space="preserve"> roz</w:t>
      </w:r>
      <w:r w:rsidR="007B4B56">
        <w:t>porządzenia. Zaproponowano w niej</w:t>
      </w:r>
      <w:r>
        <w:t xml:space="preserve"> aby współczynnik nakładu nieodnawialnej energii pierwotnej </w:t>
      </w:r>
      <w:r w:rsidRPr="00502F1A">
        <w:t>dla gazu ziemnego, dostarczanego do odbiorcy końcowego z sieci gazowej</w:t>
      </w:r>
      <w:r>
        <w:t xml:space="preserve"> obliczać jako </w:t>
      </w:r>
      <w:r w:rsidRPr="00502F1A">
        <w:t>sum</w:t>
      </w:r>
      <w:r>
        <w:t>ę</w:t>
      </w:r>
      <w:r w:rsidR="0036643F">
        <w:t xml:space="preserve"> gazu ziemnego i biogazu</w:t>
      </w:r>
      <w:r>
        <w:t xml:space="preserve"> według wzoru (4) określonego w pkt. 1.4 załącznika nr 4 do rozporządzenia. Projektowane rozwiązanie pozwoli na obliczenie współczynnika nakładu nieodnawialnej energii pierwotnej dla gazu ziemnego będącego mieszaniną gazu ziemnego i biogazu. W dotychczas obowiązującym brzemieniu tego przepisu takie działanie było niedopuszczalne i niekorzystnie wpływało na podmioty, które pomimo zwiększania udziału odnawialnego paliwa gazowego w mieszaninie gazu ziemnego nie mogły tego faktu uwzględnić.</w:t>
      </w:r>
    </w:p>
    <w:p w14:paraId="61A47086" w14:textId="52C503B1" w:rsidR="00502F1A" w:rsidRDefault="00502F1A" w:rsidP="00C438E1">
      <w:pPr>
        <w:pStyle w:val="USTustnpkodeksu"/>
      </w:pPr>
      <w:r>
        <w:t>Ostatnia zmiana</w:t>
      </w:r>
      <w:r w:rsidR="007B4B56">
        <w:t xml:space="preserve"> zaproponowana w projekcie</w:t>
      </w:r>
      <w:r>
        <w:t xml:space="preserve"> rozporządzenia (</w:t>
      </w:r>
      <w:r w:rsidRPr="00003D3D">
        <w:t xml:space="preserve">§ </w:t>
      </w:r>
      <w:r>
        <w:t xml:space="preserve">14 </w:t>
      </w:r>
      <w:r w:rsidR="00133AF6">
        <w:t xml:space="preserve">zmienianego </w:t>
      </w:r>
      <w:r>
        <w:t xml:space="preserve">rozporządzenia) wynika z potrzeby dodania dla paliw ciekłych </w:t>
      </w:r>
      <w:r w:rsidR="007B4B56">
        <w:t xml:space="preserve">odpowiednich współczynników przeliczeniowych </w:t>
      </w:r>
      <w:r>
        <w:t>energii na porównywalne jednostki.</w:t>
      </w:r>
    </w:p>
    <w:p w14:paraId="7C7DBDE9" w14:textId="77777777" w:rsidR="00502F1A" w:rsidRDefault="00502F1A" w:rsidP="00C438E1">
      <w:pPr>
        <w:pStyle w:val="USTustnpkodeksu"/>
      </w:pPr>
      <w:r>
        <w:t xml:space="preserve">W załączniku nr 1 do rozporządzenia </w:t>
      </w:r>
      <w:r w:rsidR="007B4B56">
        <w:t>dopisano w ramach metod</w:t>
      </w:r>
      <w:r w:rsidR="00C46286">
        <w:t xml:space="preserve"> uproszczon</w:t>
      </w:r>
      <w:r w:rsidR="007B4B56">
        <w:t>ych</w:t>
      </w:r>
      <w:r w:rsidR="00C46286">
        <w:t xml:space="preserve"> obliczania oszczędności energii finalnej przedsięwzi</w:t>
      </w:r>
      <w:r w:rsidR="007B4B56">
        <w:t>ęcia</w:t>
      </w:r>
      <w:r w:rsidR="00C46286">
        <w:t xml:space="preserve"> z zakresu wymiany pojazdów służących do transportu drogowego </w:t>
      </w:r>
      <w:r w:rsidR="007B4B56">
        <w:t>lub</w:t>
      </w:r>
      <w:r w:rsidR="00C46286">
        <w:t xml:space="preserve"> kolejowego.</w:t>
      </w:r>
    </w:p>
    <w:p w14:paraId="7EEB8FCC" w14:textId="77777777" w:rsidR="00C46286" w:rsidRDefault="00C46286" w:rsidP="00C438E1">
      <w:pPr>
        <w:pStyle w:val="USTustnpkodeksu"/>
      </w:pPr>
      <w:r>
        <w:t xml:space="preserve">Załącznik nr </w:t>
      </w:r>
      <w:r w:rsidR="007B4B56">
        <w:t>2 uzupełniono o</w:t>
      </w:r>
      <w:r>
        <w:t xml:space="preserve"> w pkt. 1.2 dane </w:t>
      </w:r>
      <w:r w:rsidRPr="00C46286">
        <w:t>wykorzystywane do określania i weryfikacji ilości energii zaoszczędzonej w wyniku realizacji przedsięwzięcia służącego poprawie efektywności energetycznej</w:t>
      </w:r>
      <w:r>
        <w:t xml:space="preserve"> </w:t>
      </w:r>
      <w:r w:rsidR="007B4B56">
        <w:t xml:space="preserve">z zakresu transportu, </w:t>
      </w:r>
      <w:r>
        <w:t>w tym tabele: wskaźniki zużycia energii w zależności od typu pojazdu; średni przebieg w podziale na typy pojazdów i średni cykl życia w podziale na typy pojazdów.</w:t>
      </w:r>
    </w:p>
    <w:p w14:paraId="2DF88490" w14:textId="77777777" w:rsidR="00C46286" w:rsidRPr="00F63C36" w:rsidRDefault="00C46286" w:rsidP="00C438E1">
      <w:pPr>
        <w:pStyle w:val="USTustnpkodeksu"/>
      </w:pPr>
      <w:r>
        <w:lastRenderedPageBreak/>
        <w:t xml:space="preserve">Załącznik nr 4 określa w pkt 1.4 sposób obliczania współczynnika nakładu </w:t>
      </w:r>
      <w:r w:rsidRPr="00C46286">
        <w:t>energii pierwotnej dla gazu ziemnego, dostarczanego do odbiorcy końcowego</w:t>
      </w:r>
      <w:r>
        <w:t xml:space="preserve"> oraz zaktualizowaną tabelę </w:t>
      </w:r>
      <w:r w:rsidR="00725FD2">
        <w:t xml:space="preserve">1 </w:t>
      </w:r>
      <w:r>
        <w:t>wartości współczynnika nakładu nieodnawialnej energii pierwotnej dla poszczególnych nośników energii. Aktualizacja polegała na dodaniu wspomnianych współczynników dla paliw ciekłych: oleju napędowego, benzyn, LPG oraz wodoru.</w:t>
      </w:r>
      <w:r w:rsidR="009F7A03">
        <w:t xml:space="preserve"> </w:t>
      </w:r>
      <w:r w:rsidR="00725FD2">
        <w:t>Wartości współczynnika nakładu nieodnawialnej energii pierwotnej dla wodoru podzielono ze względu na technologie produkcji wodoru</w:t>
      </w:r>
      <w:r w:rsidR="007B4B56">
        <w:t>,</w:t>
      </w:r>
      <w:r w:rsidR="00725FD2">
        <w:t xml:space="preserve"> tj</w:t>
      </w:r>
      <w:r w:rsidR="007B4B56">
        <w:t>.</w:t>
      </w:r>
      <w:r w:rsidR="00725FD2">
        <w:t xml:space="preserve"> pozycja 15</w:t>
      </w:r>
      <w:r w:rsidR="007B4B56">
        <w:t xml:space="preserve"> –</w:t>
      </w:r>
      <w:r w:rsidR="00725FD2">
        <w:t xml:space="preserve"> </w:t>
      </w:r>
      <w:r w:rsidR="007B4B56">
        <w:t>energię elektryczną</w:t>
      </w:r>
      <w:r w:rsidR="00725FD2">
        <w:t xml:space="preserve"> z produkcji mieszanej; pozycja 16 </w:t>
      </w:r>
      <w:r w:rsidR="007B4B56">
        <w:t xml:space="preserve">– energię elektryczną </w:t>
      </w:r>
      <w:r w:rsidR="00725FD2">
        <w:t>z energii słonecznej</w:t>
      </w:r>
      <w:r w:rsidR="007B4B56">
        <w:t xml:space="preserve"> (PV)</w:t>
      </w:r>
      <w:r w:rsidR="00725FD2">
        <w:t>; pozycja 17</w:t>
      </w:r>
      <w:r w:rsidR="007B4B56">
        <w:t xml:space="preserve"> –</w:t>
      </w:r>
      <w:r w:rsidR="00725FD2">
        <w:t xml:space="preserve"> </w:t>
      </w:r>
      <w:r w:rsidR="007B4B56">
        <w:t>energię elektryczną</w:t>
      </w:r>
      <w:r w:rsidR="00725FD2">
        <w:t xml:space="preserve"> z pozostałych odnawialnych źródeł energii oraz pozycja 18</w:t>
      </w:r>
      <w:r w:rsidR="007B4B56">
        <w:t xml:space="preserve"> – wodór (reforming parowy metanu).</w:t>
      </w:r>
    </w:p>
    <w:p w14:paraId="3202611B" w14:textId="77777777" w:rsidR="00C438E1" w:rsidRDefault="00C438E1" w:rsidP="00C438E1">
      <w:pPr>
        <w:pStyle w:val="USTustnpkodeksu"/>
      </w:pPr>
      <w:r>
        <w:t>Zaproponowane zmiany przyczynią się do wzrostu ilości zaoszczędzonej energii finalnej przez odbiorców końcowych, co przekłada się na wypełnienie zobowiązań wynikającyc</w:t>
      </w:r>
      <w:r w:rsidR="007B4B56">
        <w:t>h z art. 7 dyrektywy 2018/2002</w:t>
      </w:r>
      <w:r>
        <w:t>.</w:t>
      </w:r>
    </w:p>
    <w:p w14:paraId="205405A7" w14:textId="77777777" w:rsidR="00C438E1" w:rsidRPr="00F63C36" w:rsidRDefault="00C438E1" w:rsidP="00C438E1">
      <w:pPr>
        <w:pStyle w:val="USTustnpkodeksu"/>
      </w:pPr>
      <w:r w:rsidRPr="00765594">
        <w:t xml:space="preserve">Projektowane przepisy nie naruszają zasad określonych w przepisach rozporządzenia Parlamentu Europejskiego i Rady (UE) 2016/679 z dnia 27 kwietnia 2016 r. w sprawie ochrony osób fizycznych w związku z przetwarzaniem danych osobowych i w sprawie swobodnego przepływu takich danych oraz uchylenia dyrektywy 95/46/WE, w tym zasady określonej w art. 5 ust. 1 lit. c ww. rozporządzenia, która stanowi, że dane osobowe muszą być adekwatne, stosowne oraz ograniczone do tego co niezbędne do celów, w których są przetwarzane – tzw. zasada ,,minimalizacji” danych. </w:t>
      </w:r>
    </w:p>
    <w:p w14:paraId="52699E06" w14:textId="77777777" w:rsidR="00C438E1" w:rsidRPr="00F63C36" w:rsidRDefault="00C438E1" w:rsidP="00C438E1">
      <w:pPr>
        <w:pStyle w:val="USTustnpkodeksu"/>
      </w:pPr>
      <w:r w:rsidRPr="00765594">
        <w:t xml:space="preserve">Rozporządzenie wejdzie w życie </w:t>
      </w:r>
      <w:r>
        <w:t>14 dni po dniu ogłoszenia.</w:t>
      </w:r>
    </w:p>
    <w:p w14:paraId="38E03B86" w14:textId="77777777" w:rsidR="00C438E1" w:rsidRPr="00F63C36" w:rsidRDefault="00C438E1" w:rsidP="00C438E1">
      <w:pPr>
        <w:pStyle w:val="USTustnpkodeksu"/>
      </w:pPr>
      <w:r w:rsidRPr="00765594">
        <w:t>Projekt rozporządzenia nie zawiera przepisów technicznych w rozumieniu rozporządzenia Rady Ministrów z dnia 23 grudnia 2002 r. w sprawie sposobu funkcjonowania krajowego systemu notyfikacji norm i aktów prawnych (Dz. U. poz. 2039, z późn. zm.), w związku z czym nie podlega notyfikacji.</w:t>
      </w:r>
    </w:p>
    <w:p w14:paraId="0D585A60" w14:textId="77777777" w:rsidR="00C438E1" w:rsidRPr="00F63C36" w:rsidRDefault="00C438E1" w:rsidP="00C438E1">
      <w:pPr>
        <w:pStyle w:val="USTustnpkodeksu"/>
      </w:pPr>
      <w:r w:rsidRPr="00765594">
        <w:t>Projekt nie wymaga przedstawienia organom i instytucjom Unii Europejskiej, o których mowa w § 27 ust. 4 uchwały nr 190 Rady Ministrów z dnia 29 października 2013 r. – Regulamin pracy Rady Ministrów (M.P. z 2016 r. poz. 1006, z późn. zm.) w celu uzyskania opinii, dokonania powiadomienia, konsultacji albo uzgodnienia.</w:t>
      </w:r>
    </w:p>
    <w:p w14:paraId="118FCE6C" w14:textId="0C2A3BAC" w:rsidR="00C438E1" w:rsidRDefault="00C438E1" w:rsidP="00C438E1">
      <w:pPr>
        <w:pStyle w:val="USTustnpkodeksu"/>
      </w:pPr>
      <w:r w:rsidRPr="00765594">
        <w:t>Zgodnie z § 52 ust. 1 uchwały nr 190 Rady Ministrów z dnia 29 października 2013 r. – Regulaminu pracy Rady Ministrów, projekt rozporządzenia zostanie udostępniony w Biuletynie Informacji Publicznej na stronie podmiotowej Rządowego Centrum Legislacji, w serwisie Rządowy Proces Legislacyjny.</w:t>
      </w:r>
    </w:p>
    <w:p w14:paraId="54EECBE4" w14:textId="77777777" w:rsidR="00072224" w:rsidRPr="00F63C36" w:rsidRDefault="00072224" w:rsidP="00072224">
      <w:pPr>
        <w:pStyle w:val="USTustnpkodeksu"/>
      </w:pPr>
      <w:r w:rsidRPr="00D45804">
        <w:lastRenderedPageBreak/>
        <w:t xml:space="preserve">Projektowane rozporządzenie nie będzie wywierać wpływu na </w:t>
      </w:r>
      <w:r>
        <w:t xml:space="preserve">działalność </w:t>
      </w:r>
      <w:proofErr w:type="spellStart"/>
      <w:r w:rsidRPr="00D45804">
        <w:t>mikro</w:t>
      </w:r>
      <w:r>
        <w:t>przedsiębiorców</w:t>
      </w:r>
      <w:proofErr w:type="spellEnd"/>
      <w:r>
        <w:t>,</w:t>
      </w:r>
      <w:r w:rsidRPr="00D45804">
        <w:t xml:space="preserve"> małych i średnich przedsiębiorców. Obowiązek </w:t>
      </w:r>
      <w:r>
        <w:t>w zakresie uzyskania oszczędności energii</w:t>
      </w:r>
      <w:r w:rsidRPr="00D45804">
        <w:t xml:space="preserve"> nakłada bowiem ustawa, przepisy projektowanego rozporządzenia tworzą jedynie ramy techniczne i obliczeniowe dla systemu</w:t>
      </w:r>
      <w:r>
        <w:t xml:space="preserve"> wprowadzonego ustawą</w:t>
      </w:r>
      <w:r w:rsidRPr="00D45804">
        <w:t>.</w:t>
      </w:r>
      <w:r>
        <w:t xml:space="preserve"> </w:t>
      </w:r>
    </w:p>
    <w:p w14:paraId="6810CEAE" w14:textId="77777777" w:rsidR="00C438E1" w:rsidRDefault="00C438E1" w:rsidP="00C438E1">
      <w:pPr>
        <w:pStyle w:val="USTustnpkodeksu"/>
      </w:pPr>
      <w:r w:rsidRPr="00765594">
        <w:t>Projekt rozporządzenia jest zgodny z prawem Unii Europejskiej.</w:t>
      </w:r>
      <w:bookmarkStart w:id="2" w:name="Wybór1"/>
      <w:bookmarkEnd w:id="2"/>
    </w:p>
    <w:p w14:paraId="67D5D5C8" w14:textId="77777777" w:rsidR="00C438E1" w:rsidRDefault="00C438E1" w:rsidP="00C438E1">
      <w:pPr>
        <w:widowControl/>
        <w:autoSpaceDE/>
        <w:autoSpaceDN/>
        <w:adjustRightInd/>
        <w:rPr>
          <w:rFonts w:ascii="Times" w:hAnsi="Times"/>
          <w:bCs/>
        </w:rPr>
      </w:pPr>
    </w:p>
    <w:p w14:paraId="11773B11" w14:textId="77777777" w:rsidR="00C438E1" w:rsidRDefault="00C438E1" w:rsidP="00C438E1"/>
    <w:p w14:paraId="2621B3C0" w14:textId="77777777" w:rsidR="00570695" w:rsidRDefault="00570695"/>
    <w:sectPr w:rsidR="00570695" w:rsidSect="00322A2B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E1"/>
    <w:rsid w:val="00072224"/>
    <w:rsid w:val="00133AF6"/>
    <w:rsid w:val="0036643F"/>
    <w:rsid w:val="00502F1A"/>
    <w:rsid w:val="00570695"/>
    <w:rsid w:val="006519CB"/>
    <w:rsid w:val="00725FD2"/>
    <w:rsid w:val="007B4B56"/>
    <w:rsid w:val="007C6462"/>
    <w:rsid w:val="009A7365"/>
    <w:rsid w:val="009F7A03"/>
    <w:rsid w:val="00A007F6"/>
    <w:rsid w:val="00A049C9"/>
    <w:rsid w:val="00AC320F"/>
    <w:rsid w:val="00BB55B7"/>
    <w:rsid w:val="00BC62FC"/>
    <w:rsid w:val="00C338E8"/>
    <w:rsid w:val="00C438E1"/>
    <w:rsid w:val="00C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1990"/>
  <w15:chartTrackingRefBased/>
  <w15:docId w15:val="{F0BF4D51-42DB-4870-83C6-5CE28FC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8E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438E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C438E1"/>
    <w:pPr>
      <w:widowControl/>
      <w:suppressAutoHyphens/>
      <w:ind w:firstLine="510"/>
      <w:jc w:val="both"/>
    </w:pPr>
    <w:rPr>
      <w:rFonts w:ascii="Times" w:hAnsi="Times"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E8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33AF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WĄTROBA Przemysław</dc:creator>
  <cp:keywords/>
  <dc:description/>
  <cp:lastModifiedBy>RZODKIEWICZ Michał</cp:lastModifiedBy>
  <cp:revision>12</cp:revision>
  <dcterms:created xsi:type="dcterms:W3CDTF">2021-07-26T09:36:00Z</dcterms:created>
  <dcterms:modified xsi:type="dcterms:W3CDTF">2022-01-03T10:38:00Z</dcterms:modified>
</cp:coreProperties>
</file>