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C1F62" w14:textId="77777777" w:rsidR="00E4790C" w:rsidRPr="007D3F15" w:rsidRDefault="00E4790C" w:rsidP="007D3F15">
      <w:pPr>
        <w:pStyle w:val="OZNRODZAKTUtznustawalubrozporzdzenieiorganwydajcy"/>
        <w:spacing w:before="120"/>
        <w:rPr>
          <w:rFonts w:ascii="Times New Roman" w:hAnsi="Times New Roman"/>
          <w:spacing w:val="0"/>
        </w:rPr>
      </w:pPr>
      <w:bookmarkStart w:id="0" w:name="_GoBack"/>
      <w:bookmarkEnd w:id="0"/>
      <w:r w:rsidRPr="007D3F15">
        <w:rPr>
          <w:rFonts w:ascii="Times New Roman" w:hAnsi="Times New Roman"/>
          <w:spacing w:val="0"/>
        </w:rPr>
        <w:t>UZASADNIENIE</w:t>
      </w:r>
    </w:p>
    <w:p w14:paraId="0301BBAD" w14:textId="527EADD5" w:rsidR="00F806FA" w:rsidRDefault="00F806FA" w:rsidP="007D3F15">
      <w:pPr>
        <w:spacing w:after="120"/>
        <w:rPr>
          <w:rFonts w:cs="Times New Roman"/>
          <w:color w:val="000000" w:themeColor="text1"/>
          <w:szCs w:val="24"/>
        </w:rPr>
      </w:pPr>
      <w:r w:rsidRPr="007D3F15">
        <w:rPr>
          <w:rFonts w:cs="Times New Roman"/>
          <w:color w:val="000000" w:themeColor="text1"/>
          <w:szCs w:val="24"/>
        </w:rPr>
        <w:t xml:space="preserve">Celem projektu jest dokonanie </w:t>
      </w:r>
      <w:r w:rsidR="00CC04F8">
        <w:rPr>
          <w:rFonts w:cs="Times New Roman"/>
          <w:color w:val="000000" w:themeColor="text1"/>
          <w:szCs w:val="24"/>
        </w:rPr>
        <w:t xml:space="preserve">zmiany </w:t>
      </w:r>
      <w:r w:rsidRPr="007D3F15">
        <w:rPr>
          <w:rFonts w:cs="Times New Roman"/>
          <w:color w:val="000000" w:themeColor="text1"/>
          <w:szCs w:val="24"/>
        </w:rPr>
        <w:t xml:space="preserve">rozporządzenia </w:t>
      </w:r>
      <w:r w:rsidR="00CC04F8" w:rsidRPr="00CC04F8">
        <w:rPr>
          <w:rFonts w:cs="Times New Roman"/>
          <w:color w:val="000000" w:themeColor="text1"/>
          <w:szCs w:val="24"/>
        </w:rPr>
        <w:t>Ministra Rozwoju i Finansów z dnia 25 maja 2017 r</w:t>
      </w:r>
      <w:r w:rsidR="00CC04F8" w:rsidRPr="00CD49EB">
        <w:rPr>
          <w:rFonts w:cs="Times New Roman"/>
          <w:color w:val="000000" w:themeColor="text1"/>
          <w:szCs w:val="24"/>
        </w:rPr>
        <w:t xml:space="preserve">. </w:t>
      </w:r>
      <w:r w:rsidR="00CC04F8" w:rsidRPr="00BD096D">
        <w:rPr>
          <w:rFonts w:cs="Times New Roman"/>
          <w:color w:val="000000" w:themeColor="text1"/>
          <w:szCs w:val="24"/>
        </w:rPr>
        <w:t>w sprawie wyższej wagi ryzyka dla ekspozycji zabezpieczonych hipotekami na nieruchomościach</w:t>
      </w:r>
      <w:r w:rsidR="00CC04F8" w:rsidRPr="00CC04F8">
        <w:rPr>
          <w:rFonts w:cs="Times New Roman"/>
          <w:color w:val="000000" w:themeColor="text1"/>
          <w:szCs w:val="24"/>
        </w:rPr>
        <w:t xml:space="preserve"> (Dz. U. z 2021 r. poz. 1741)</w:t>
      </w:r>
      <w:r w:rsidRPr="007D3F15">
        <w:rPr>
          <w:rFonts w:cs="Times New Roman"/>
          <w:color w:val="000000" w:themeColor="text1"/>
          <w:szCs w:val="24"/>
        </w:rPr>
        <w:t>, zwanego dalej „rozporządzeniem”.</w:t>
      </w:r>
      <w:r w:rsidR="00985E21">
        <w:rPr>
          <w:rFonts w:cs="Times New Roman"/>
          <w:color w:val="000000" w:themeColor="text1"/>
          <w:szCs w:val="24"/>
        </w:rPr>
        <w:t xml:space="preserve"> Jednocześnie p</w:t>
      </w:r>
      <w:r w:rsidR="00985E21" w:rsidRPr="00985E21">
        <w:rPr>
          <w:rFonts w:cs="Times New Roman"/>
          <w:color w:val="000000" w:themeColor="text1"/>
          <w:szCs w:val="24"/>
        </w:rPr>
        <w:t xml:space="preserve">rojektowane rozporządzenie stanowi realizację rekomendacji Komitetu Stabilności Finansowej nr </w:t>
      </w:r>
      <w:r w:rsidR="00985E21">
        <w:rPr>
          <w:rFonts w:cs="Times New Roman"/>
          <w:color w:val="000000" w:themeColor="text1"/>
          <w:szCs w:val="24"/>
        </w:rPr>
        <w:t>52</w:t>
      </w:r>
      <w:r w:rsidR="00985E21" w:rsidRPr="00985E21">
        <w:rPr>
          <w:rFonts w:cs="Times New Roman"/>
          <w:color w:val="000000" w:themeColor="text1"/>
          <w:szCs w:val="24"/>
        </w:rPr>
        <w:t>/202</w:t>
      </w:r>
      <w:r w:rsidR="00985E21">
        <w:rPr>
          <w:rFonts w:cs="Times New Roman"/>
          <w:color w:val="000000" w:themeColor="text1"/>
          <w:szCs w:val="24"/>
        </w:rPr>
        <w:t>1</w:t>
      </w:r>
      <w:r w:rsidR="00985E21" w:rsidRPr="00985E21">
        <w:rPr>
          <w:rFonts w:cs="Times New Roman"/>
          <w:color w:val="000000" w:themeColor="text1"/>
          <w:szCs w:val="24"/>
        </w:rPr>
        <w:t>, wydan</w:t>
      </w:r>
      <w:r w:rsidR="00DD58E2">
        <w:rPr>
          <w:rFonts w:cs="Times New Roman"/>
          <w:color w:val="000000" w:themeColor="text1"/>
          <w:szCs w:val="24"/>
        </w:rPr>
        <w:t>ej</w:t>
      </w:r>
      <w:r w:rsidR="00985E21" w:rsidRPr="00985E21">
        <w:rPr>
          <w:rFonts w:cs="Times New Roman"/>
          <w:color w:val="000000" w:themeColor="text1"/>
          <w:szCs w:val="24"/>
        </w:rPr>
        <w:t xml:space="preserve"> w dniu </w:t>
      </w:r>
      <w:r w:rsidR="00985E21">
        <w:rPr>
          <w:rFonts w:cs="Times New Roman"/>
          <w:color w:val="000000" w:themeColor="text1"/>
          <w:szCs w:val="24"/>
        </w:rPr>
        <w:t>28 września 2021</w:t>
      </w:r>
      <w:r w:rsidR="00985E21" w:rsidRPr="00985E21">
        <w:rPr>
          <w:rFonts w:cs="Times New Roman"/>
          <w:color w:val="000000" w:themeColor="text1"/>
          <w:szCs w:val="24"/>
        </w:rPr>
        <w:t xml:space="preserve"> r. w drodze uchwały, dotycząc</w:t>
      </w:r>
      <w:r w:rsidR="00985E21">
        <w:rPr>
          <w:rFonts w:cs="Times New Roman"/>
          <w:color w:val="000000" w:themeColor="text1"/>
          <w:szCs w:val="24"/>
        </w:rPr>
        <w:t>ej</w:t>
      </w:r>
      <w:r w:rsidR="00985E21" w:rsidRPr="00985E21">
        <w:rPr>
          <w:rFonts w:cs="Times New Roman"/>
          <w:color w:val="000000" w:themeColor="text1"/>
          <w:szCs w:val="24"/>
        </w:rPr>
        <w:t xml:space="preserve"> wag ryzyka dla ekspozycji zabezpieczonych hipoteką na nieruchomości </w:t>
      </w:r>
      <w:r w:rsidR="00DD58E2">
        <w:rPr>
          <w:rFonts w:cs="Times New Roman"/>
          <w:color w:val="000000" w:themeColor="text1"/>
          <w:szCs w:val="24"/>
        </w:rPr>
        <w:t>mieszkalnej</w:t>
      </w:r>
      <w:r w:rsidR="00985E21" w:rsidRPr="00985E21">
        <w:rPr>
          <w:rFonts w:cs="Times New Roman"/>
          <w:color w:val="000000" w:themeColor="text1"/>
          <w:szCs w:val="24"/>
        </w:rPr>
        <w:t>.</w:t>
      </w:r>
      <w:r w:rsidR="006F74D3">
        <w:rPr>
          <w:rFonts w:cs="Times New Roman"/>
          <w:color w:val="000000" w:themeColor="text1"/>
          <w:szCs w:val="24"/>
        </w:rPr>
        <w:t xml:space="preserve"> Rekomendacja skierowana jest do Ministra Finansów w zakresie okresowego (przez </w:t>
      </w:r>
      <w:r w:rsidR="00837801">
        <w:rPr>
          <w:rFonts w:cs="Times New Roman"/>
          <w:color w:val="000000" w:themeColor="text1"/>
          <w:szCs w:val="24"/>
        </w:rPr>
        <w:t xml:space="preserve">ok. </w:t>
      </w:r>
      <w:r w:rsidR="006F74D3">
        <w:rPr>
          <w:rFonts w:cs="Times New Roman"/>
          <w:color w:val="000000" w:themeColor="text1"/>
          <w:szCs w:val="24"/>
        </w:rPr>
        <w:t>18 miesięcy</w:t>
      </w:r>
      <w:r w:rsidR="00837801">
        <w:rPr>
          <w:rFonts w:cs="Times New Roman"/>
          <w:color w:val="000000" w:themeColor="text1"/>
          <w:szCs w:val="24"/>
        </w:rPr>
        <w:t xml:space="preserve"> – do dnia 30 września 2023 r.</w:t>
      </w:r>
      <w:r w:rsidR="006F74D3">
        <w:rPr>
          <w:rFonts w:cs="Times New Roman"/>
          <w:color w:val="000000" w:themeColor="text1"/>
          <w:szCs w:val="24"/>
        </w:rPr>
        <w:t xml:space="preserve">) obniżenia wagi ryzyka </w:t>
      </w:r>
      <w:r w:rsidR="006F74D3" w:rsidRPr="006F74D3">
        <w:rPr>
          <w:rFonts w:cs="Times New Roman"/>
          <w:color w:val="000000" w:themeColor="text1"/>
          <w:szCs w:val="24"/>
        </w:rPr>
        <w:t>dla ekspozycji zabezpieczonych hipoteką na nieruchomości mieszkalnej, w przypadku której wysokość raty kapitałowej lub odsetkowej uzależniona jest od zmian kursu waluty lub walut innych niż waluty przychodów osiąganych przez dłużnika</w:t>
      </w:r>
      <w:r w:rsidR="00CD49EB">
        <w:rPr>
          <w:rFonts w:cs="Times New Roman"/>
          <w:color w:val="000000" w:themeColor="text1"/>
          <w:szCs w:val="24"/>
        </w:rPr>
        <w:t>,</w:t>
      </w:r>
      <w:r w:rsidR="006F74D3">
        <w:rPr>
          <w:rFonts w:cs="Times New Roman"/>
          <w:color w:val="000000" w:themeColor="text1"/>
          <w:szCs w:val="24"/>
        </w:rPr>
        <w:t xml:space="preserve"> poniżej 150% oraz uzależnienie wagi ryzyka od </w:t>
      </w:r>
      <w:r w:rsidR="006F74D3" w:rsidRPr="006F74D3">
        <w:rPr>
          <w:rFonts w:cs="Times New Roman"/>
          <w:color w:val="000000" w:themeColor="text1"/>
          <w:szCs w:val="24"/>
        </w:rPr>
        <w:t xml:space="preserve">wysokości związanych z tymi ekspozycjami rezerw celowych, odpisów lub korekt wartości </w:t>
      </w:r>
      <w:r w:rsidR="001A2738">
        <w:rPr>
          <w:rFonts w:cs="Times New Roman"/>
          <w:color w:val="000000" w:themeColor="text1"/>
          <w:szCs w:val="24"/>
        </w:rPr>
        <w:t>bilansowej brutto utworzonych w </w:t>
      </w:r>
      <w:r w:rsidR="006F74D3" w:rsidRPr="006F74D3">
        <w:rPr>
          <w:rFonts w:cs="Times New Roman"/>
          <w:color w:val="000000" w:themeColor="text1"/>
          <w:szCs w:val="24"/>
        </w:rPr>
        <w:t>związku z zamiarem zawierania ugód z kredytobiorcami skutkujących uniezależnieniem wysokości raty kapitałowej i odsetkowej od zmian kursu walutowego</w:t>
      </w:r>
      <w:r w:rsidR="006F74D3">
        <w:rPr>
          <w:rFonts w:cs="Times New Roman"/>
          <w:color w:val="000000" w:themeColor="text1"/>
          <w:szCs w:val="24"/>
        </w:rPr>
        <w:t>, natomiast do Komisji Nadzoru Finansowego</w:t>
      </w:r>
      <w:r w:rsidR="00CD49EB">
        <w:rPr>
          <w:rFonts w:cs="Times New Roman"/>
          <w:color w:val="000000" w:themeColor="text1"/>
          <w:szCs w:val="24"/>
        </w:rPr>
        <w:t xml:space="preserve"> -</w:t>
      </w:r>
      <w:r w:rsidR="00DE50E5">
        <w:rPr>
          <w:rFonts w:cs="Times New Roman"/>
          <w:color w:val="000000" w:themeColor="text1"/>
          <w:szCs w:val="24"/>
        </w:rPr>
        <w:t xml:space="preserve"> </w:t>
      </w:r>
      <w:r w:rsidR="00DE50E5" w:rsidRPr="00DE50E5">
        <w:rPr>
          <w:rFonts w:cs="Times New Roman"/>
          <w:color w:val="000000" w:themeColor="text1"/>
          <w:szCs w:val="24"/>
        </w:rPr>
        <w:t>opracowani</w:t>
      </w:r>
      <w:r w:rsidR="00DE50E5">
        <w:rPr>
          <w:rFonts w:cs="Times New Roman"/>
          <w:color w:val="000000" w:themeColor="text1"/>
          <w:szCs w:val="24"/>
        </w:rPr>
        <w:t>a</w:t>
      </w:r>
      <w:r w:rsidR="00DE50E5" w:rsidRPr="00DE50E5">
        <w:rPr>
          <w:rFonts w:cs="Times New Roman"/>
          <w:color w:val="000000" w:themeColor="text1"/>
          <w:szCs w:val="24"/>
        </w:rPr>
        <w:t xml:space="preserve"> propozycji szczegółowych rozwiązań</w:t>
      </w:r>
      <w:r w:rsidR="00DE50E5">
        <w:rPr>
          <w:rFonts w:cs="Times New Roman"/>
          <w:color w:val="000000" w:themeColor="text1"/>
          <w:szCs w:val="24"/>
        </w:rPr>
        <w:t xml:space="preserve"> w powyższym zakresie.</w:t>
      </w:r>
    </w:p>
    <w:p w14:paraId="74898D99" w14:textId="251C9B4C" w:rsidR="00BC739E" w:rsidRPr="00BC739E" w:rsidRDefault="00BC739E" w:rsidP="00F51B18">
      <w:pPr>
        <w:spacing w:after="120"/>
        <w:rPr>
          <w:rFonts w:cs="Times New Roman"/>
          <w:color w:val="000000" w:themeColor="text1"/>
          <w:szCs w:val="24"/>
        </w:rPr>
      </w:pPr>
      <w:r w:rsidRPr="00BC739E">
        <w:rPr>
          <w:rFonts w:cs="Times New Roman"/>
          <w:color w:val="000000" w:themeColor="text1"/>
          <w:szCs w:val="24"/>
        </w:rPr>
        <w:t>Zgodnie z projekt</w:t>
      </w:r>
      <w:r w:rsidR="00C92F1C">
        <w:rPr>
          <w:rFonts w:cs="Times New Roman"/>
          <w:color w:val="000000" w:themeColor="text1"/>
          <w:szCs w:val="24"/>
        </w:rPr>
        <w:t>em</w:t>
      </w:r>
      <w:r w:rsidRPr="00BC739E">
        <w:rPr>
          <w:rFonts w:cs="Times New Roman"/>
          <w:color w:val="000000" w:themeColor="text1"/>
          <w:szCs w:val="24"/>
        </w:rPr>
        <w:t xml:space="preserve"> rozporządzenia </w:t>
      </w:r>
      <w:r w:rsidR="00F51B18">
        <w:rPr>
          <w:rFonts w:cs="Times New Roman"/>
          <w:color w:val="000000" w:themeColor="text1"/>
          <w:szCs w:val="24"/>
        </w:rPr>
        <w:t xml:space="preserve">obniżenie wagi ryzyka dla ekspozycji zabezpieczonych </w:t>
      </w:r>
      <w:r w:rsidR="00CD49EB">
        <w:rPr>
          <w:rFonts w:cs="Times New Roman"/>
          <w:color w:val="000000" w:themeColor="text1"/>
          <w:szCs w:val="24"/>
        </w:rPr>
        <w:t xml:space="preserve">hipoteką </w:t>
      </w:r>
      <w:r w:rsidR="00F51B18">
        <w:rPr>
          <w:rFonts w:cs="Times New Roman"/>
          <w:color w:val="000000" w:themeColor="text1"/>
          <w:szCs w:val="24"/>
        </w:rPr>
        <w:t xml:space="preserve">na nieruchomości </w:t>
      </w:r>
      <w:r w:rsidRPr="00BC739E">
        <w:rPr>
          <w:rFonts w:cs="Times New Roman"/>
          <w:color w:val="000000" w:themeColor="text1"/>
          <w:szCs w:val="24"/>
        </w:rPr>
        <w:t xml:space="preserve"> </w:t>
      </w:r>
      <w:r w:rsidR="00F51B18">
        <w:rPr>
          <w:rFonts w:cs="Times New Roman"/>
          <w:color w:val="000000" w:themeColor="text1"/>
          <w:szCs w:val="24"/>
        </w:rPr>
        <w:t xml:space="preserve">mieszkalnej, w </w:t>
      </w:r>
      <w:r w:rsidR="00F51B18" w:rsidRPr="00F51B18">
        <w:rPr>
          <w:rFonts w:cs="Times New Roman"/>
          <w:color w:val="000000" w:themeColor="text1"/>
          <w:szCs w:val="24"/>
        </w:rPr>
        <w:t>przypadku której wysokość raty kapitałowej lub odsetkowej uzależniona jest od zmian</w:t>
      </w:r>
      <w:r w:rsidR="00F51B18">
        <w:rPr>
          <w:rFonts w:cs="Times New Roman"/>
          <w:color w:val="000000" w:themeColor="text1"/>
          <w:szCs w:val="24"/>
        </w:rPr>
        <w:t xml:space="preserve"> </w:t>
      </w:r>
      <w:r w:rsidR="00F51B18" w:rsidRPr="00F51B18">
        <w:rPr>
          <w:rFonts w:cs="Times New Roman"/>
          <w:color w:val="000000" w:themeColor="text1"/>
          <w:szCs w:val="24"/>
        </w:rPr>
        <w:t>kursu waluty lub walut innych niż waluty przychodów osiąganych przez dłużnika</w:t>
      </w:r>
      <w:r w:rsidR="00F51B18">
        <w:rPr>
          <w:rFonts w:cs="Times New Roman"/>
          <w:color w:val="000000" w:themeColor="text1"/>
          <w:szCs w:val="24"/>
        </w:rPr>
        <w:t xml:space="preserve"> (dalej: „walutowe kredyty mieszkaniowe”),</w:t>
      </w:r>
      <w:r w:rsidR="001A2738">
        <w:rPr>
          <w:rFonts w:cs="Times New Roman"/>
          <w:color w:val="000000" w:themeColor="text1"/>
          <w:szCs w:val="24"/>
        </w:rPr>
        <w:t xml:space="preserve"> będzie możliwe w </w:t>
      </w:r>
      <w:r w:rsidRPr="00BC739E">
        <w:rPr>
          <w:rFonts w:cs="Times New Roman"/>
          <w:color w:val="000000" w:themeColor="text1"/>
          <w:szCs w:val="24"/>
        </w:rPr>
        <w:t xml:space="preserve">sytuacji, w której banki zobowiążą się do uczestnictwa w postępowaniach przed sądem polubownym, których celem jest zawarcie ugód z kredytobiorcami. Z uwagi na efektywność pozasądowego rozwiązywania sporów, którego formą są postępowania przed sądem polubownym, uzasadnione jest stworzenie regulacyjnych bodźców, by tego rodzaju proces objął w szerokim zakresie walutowe kredyty mieszkaniowe. </w:t>
      </w:r>
    </w:p>
    <w:p w14:paraId="5C0A17CD" w14:textId="5868ABFD" w:rsidR="00BC739E" w:rsidRPr="00BC739E" w:rsidRDefault="00BC739E" w:rsidP="00BC739E">
      <w:pPr>
        <w:spacing w:after="120"/>
        <w:rPr>
          <w:rFonts w:cs="Times New Roman"/>
          <w:color w:val="000000" w:themeColor="text1"/>
          <w:szCs w:val="24"/>
        </w:rPr>
      </w:pPr>
      <w:r w:rsidRPr="00BC739E">
        <w:rPr>
          <w:rFonts w:cs="Times New Roman"/>
          <w:color w:val="000000" w:themeColor="text1"/>
          <w:szCs w:val="24"/>
        </w:rPr>
        <w:t xml:space="preserve">Jak najszersze zaangażowanie banków w postępowania przed sądem polubownym (zmierzające do zawarcia ugód z kredytobiorcami) jest szczególnie istotne z perspektywy utrzymania stabilności sektora finansowego. </w:t>
      </w:r>
      <w:r w:rsidR="00985E21">
        <w:rPr>
          <w:rFonts w:cs="Times New Roman"/>
          <w:color w:val="000000" w:themeColor="text1"/>
          <w:szCs w:val="24"/>
        </w:rPr>
        <w:t>Zgodnie z informacją przekazaną przez Urząd Komisji Nadzoru Finansowego, w</w:t>
      </w:r>
      <w:r w:rsidRPr="00BC739E">
        <w:rPr>
          <w:rFonts w:cs="Times New Roman"/>
          <w:color w:val="000000" w:themeColor="text1"/>
          <w:szCs w:val="24"/>
        </w:rPr>
        <w:t>edług stanu na dzień 30 września 2021 r.</w:t>
      </w:r>
      <w:r w:rsidR="00985E21">
        <w:rPr>
          <w:rFonts w:cs="Times New Roman"/>
          <w:color w:val="000000" w:themeColor="text1"/>
          <w:szCs w:val="24"/>
        </w:rPr>
        <w:t>,</w:t>
      </w:r>
      <w:r w:rsidRPr="00BC739E">
        <w:rPr>
          <w:rFonts w:cs="Times New Roman"/>
          <w:color w:val="000000" w:themeColor="text1"/>
          <w:szCs w:val="24"/>
        </w:rPr>
        <w:t xml:space="preserve"> portfel walutowych kredytów mieszkaniowych stanowił około 23% wartości bilansowej brutto (przed wszelkimi korektami) całego portfela kredytów mieszkaniowych krajowych banków komercyjnych. Istotne ekspozycje na ryzyko, zaliczane do walutowych kredytów mieszkaniowych, posiada </w:t>
      </w:r>
      <w:r w:rsidRPr="00BC739E">
        <w:rPr>
          <w:rFonts w:cs="Times New Roman"/>
          <w:color w:val="000000" w:themeColor="text1"/>
          <w:szCs w:val="24"/>
        </w:rPr>
        <w:lastRenderedPageBreak/>
        <w:t>również większość banków, które na podstawie przepisów ustawy z</w:t>
      </w:r>
      <w:r w:rsidR="005116EB">
        <w:rPr>
          <w:rFonts w:cs="Times New Roman"/>
          <w:color w:val="000000" w:themeColor="text1"/>
          <w:szCs w:val="24"/>
        </w:rPr>
        <w:t> </w:t>
      </w:r>
      <w:r w:rsidRPr="00BC739E">
        <w:rPr>
          <w:rFonts w:cs="Times New Roman"/>
          <w:color w:val="000000" w:themeColor="text1"/>
          <w:szCs w:val="24"/>
        </w:rPr>
        <w:t xml:space="preserve">dnia 5 sierpnia 2015 r. </w:t>
      </w:r>
      <w:r w:rsidR="001A2738">
        <w:rPr>
          <w:rFonts w:cs="Times New Roman"/>
          <w:color w:val="000000" w:themeColor="text1"/>
          <w:szCs w:val="24"/>
        </w:rPr>
        <w:t>o </w:t>
      </w:r>
      <w:r w:rsidRPr="00BD096D">
        <w:rPr>
          <w:rFonts w:cs="Times New Roman"/>
          <w:color w:val="000000" w:themeColor="text1"/>
          <w:szCs w:val="24"/>
        </w:rPr>
        <w:t>nadzorze makroostrożnościowym nad systemem finansowym i</w:t>
      </w:r>
      <w:r w:rsidR="005116EB" w:rsidRPr="00BD096D">
        <w:rPr>
          <w:rFonts w:cs="Times New Roman"/>
          <w:color w:val="000000" w:themeColor="text1"/>
          <w:szCs w:val="24"/>
        </w:rPr>
        <w:t> </w:t>
      </w:r>
      <w:r w:rsidR="001A2738">
        <w:rPr>
          <w:rFonts w:cs="Times New Roman"/>
          <w:color w:val="000000" w:themeColor="text1"/>
          <w:szCs w:val="24"/>
        </w:rPr>
        <w:t>zarządzaniu kryzysowym w </w:t>
      </w:r>
      <w:r w:rsidRPr="00BD096D">
        <w:rPr>
          <w:rFonts w:cs="Times New Roman"/>
          <w:color w:val="000000" w:themeColor="text1"/>
          <w:szCs w:val="24"/>
        </w:rPr>
        <w:t>systemie finansowym</w:t>
      </w:r>
      <w:r w:rsidRPr="006548BF">
        <w:rPr>
          <w:rFonts w:cs="Times New Roman"/>
          <w:color w:val="000000" w:themeColor="text1"/>
          <w:szCs w:val="24"/>
        </w:rPr>
        <w:t xml:space="preserve"> </w:t>
      </w:r>
      <w:r w:rsidRPr="00BC739E">
        <w:rPr>
          <w:rFonts w:cs="Times New Roman"/>
          <w:color w:val="000000" w:themeColor="text1"/>
          <w:szCs w:val="24"/>
        </w:rPr>
        <w:t>(Dz. U. z 20</w:t>
      </w:r>
      <w:r w:rsidR="007A6523">
        <w:rPr>
          <w:rFonts w:cs="Times New Roman"/>
          <w:color w:val="000000" w:themeColor="text1"/>
          <w:szCs w:val="24"/>
        </w:rPr>
        <w:t>21</w:t>
      </w:r>
      <w:r w:rsidRPr="00BC739E">
        <w:rPr>
          <w:rFonts w:cs="Times New Roman"/>
          <w:color w:val="000000" w:themeColor="text1"/>
          <w:szCs w:val="24"/>
        </w:rPr>
        <w:t xml:space="preserve"> r. poz. </w:t>
      </w:r>
      <w:r w:rsidR="007A6523">
        <w:rPr>
          <w:rFonts w:cs="Times New Roman"/>
          <w:color w:val="000000" w:themeColor="text1"/>
          <w:szCs w:val="24"/>
        </w:rPr>
        <w:t>14</w:t>
      </w:r>
      <w:r w:rsidR="009E4B07">
        <w:rPr>
          <w:rFonts w:cs="Times New Roman"/>
          <w:color w:val="000000" w:themeColor="text1"/>
          <w:szCs w:val="24"/>
        </w:rPr>
        <w:t>0</w:t>
      </w:r>
      <w:r w:rsidRPr="00BC739E">
        <w:rPr>
          <w:rFonts w:cs="Times New Roman"/>
          <w:color w:val="000000" w:themeColor="text1"/>
          <w:szCs w:val="24"/>
        </w:rPr>
        <w:t xml:space="preserve">, </w:t>
      </w:r>
      <w:r w:rsidR="00DD58E2" w:rsidRPr="00BC739E">
        <w:rPr>
          <w:rFonts w:cs="Times New Roman"/>
          <w:color w:val="000000" w:themeColor="text1"/>
          <w:szCs w:val="24"/>
        </w:rPr>
        <w:t>z</w:t>
      </w:r>
      <w:r w:rsidR="00DD58E2">
        <w:rPr>
          <w:rFonts w:cs="Times New Roman"/>
          <w:color w:val="000000" w:themeColor="text1"/>
          <w:szCs w:val="24"/>
        </w:rPr>
        <w:t xml:space="preserve"> późn.</w:t>
      </w:r>
      <w:r w:rsidR="00DD58E2" w:rsidRPr="00BC739E">
        <w:rPr>
          <w:rFonts w:cs="Times New Roman"/>
          <w:color w:val="000000" w:themeColor="text1"/>
          <w:szCs w:val="24"/>
        </w:rPr>
        <w:t xml:space="preserve"> </w:t>
      </w:r>
      <w:r w:rsidRPr="00BC739E">
        <w:rPr>
          <w:rFonts w:cs="Times New Roman"/>
          <w:color w:val="000000" w:themeColor="text1"/>
          <w:szCs w:val="24"/>
        </w:rPr>
        <w:t xml:space="preserve">zm.) zostały uznane za inne instytucje o znaczeniu systemowym (O-SII). </w:t>
      </w:r>
      <w:r w:rsidR="00985E21">
        <w:rPr>
          <w:rFonts w:cs="Times New Roman"/>
          <w:color w:val="000000" w:themeColor="text1"/>
          <w:szCs w:val="24"/>
        </w:rPr>
        <w:t>Jednocześnie,</w:t>
      </w:r>
      <w:r w:rsidRPr="00BC739E">
        <w:rPr>
          <w:rFonts w:cs="Times New Roman"/>
          <w:color w:val="000000" w:themeColor="text1"/>
          <w:szCs w:val="24"/>
        </w:rPr>
        <w:t xml:space="preserve"> wedł</w:t>
      </w:r>
      <w:r w:rsidR="001A2738">
        <w:rPr>
          <w:rFonts w:cs="Times New Roman"/>
          <w:color w:val="000000" w:themeColor="text1"/>
          <w:szCs w:val="24"/>
        </w:rPr>
        <w:t>ug stanu na dzień 31 lipca 2021 </w:t>
      </w:r>
      <w:r w:rsidRPr="00BC739E">
        <w:rPr>
          <w:rFonts w:cs="Times New Roman"/>
          <w:color w:val="000000" w:themeColor="text1"/>
          <w:szCs w:val="24"/>
        </w:rPr>
        <w:t>r.</w:t>
      </w:r>
      <w:r w:rsidR="00985E21">
        <w:rPr>
          <w:rFonts w:cs="Times New Roman"/>
          <w:color w:val="000000" w:themeColor="text1"/>
          <w:szCs w:val="24"/>
        </w:rPr>
        <w:t>,</w:t>
      </w:r>
      <w:r w:rsidRPr="00BC739E">
        <w:rPr>
          <w:rFonts w:cs="Times New Roman"/>
          <w:color w:val="000000" w:themeColor="text1"/>
          <w:szCs w:val="24"/>
        </w:rPr>
        <w:t xml:space="preserve"> wartość depozytów gwarantowanych złożonych w bankach posiadających wspomniane portfele mieszkaniowych kredytów walutowych stanowiła około 98% wszystkich depozytów objętych gwarancjami Bankowego Funduszu Gwarancyjnego w</w:t>
      </w:r>
      <w:r w:rsidR="005116EB">
        <w:rPr>
          <w:rFonts w:cs="Times New Roman"/>
          <w:color w:val="000000" w:themeColor="text1"/>
          <w:szCs w:val="24"/>
        </w:rPr>
        <w:t> </w:t>
      </w:r>
      <w:r w:rsidRPr="00BC739E">
        <w:rPr>
          <w:rFonts w:cs="Times New Roman"/>
          <w:color w:val="000000" w:themeColor="text1"/>
          <w:szCs w:val="24"/>
        </w:rPr>
        <w:t xml:space="preserve">odniesieniu do banków komercyjnych. </w:t>
      </w:r>
      <w:r w:rsidR="00985E21">
        <w:rPr>
          <w:rFonts w:cs="Times New Roman"/>
          <w:color w:val="000000" w:themeColor="text1"/>
          <w:szCs w:val="24"/>
        </w:rPr>
        <w:t>W</w:t>
      </w:r>
      <w:r w:rsidRPr="00BC739E">
        <w:rPr>
          <w:rFonts w:cs="Times New Roman"/>
          <w:color w:val="000000" w:themeColor="text1"/>
          <w:szCs w:val="24"/>
        </w:rPr>
        <w:t>skazane wysokie udziały portfela walut</w:t>
      </w:r>
      <w:r w:rsidR="001A2738">
        <w:rPr>
          <w:rFonts w:cs="Times New Roman"/>
          <w:color w:val="000000" w:themeColor="text1"/>
          <w:szCs w:val="24"/>
        </w:rPr>
        <w:t>owych kredytów mieszkaniowych w </w:t>
      </w:r>
      <w:r w:rsidRPr="00BC739E">
        <w:rPr>
          <w:rFonts w:cs="Times New Roman"/>
          <w:color w:val="000000" w:themeColor="text1"/>
          <w:szCs w:val="24"/>
        </w:rPr>
        <w:t>całości wartości kredytów mieszkaniowych oraz wysoki udział banków, w których aktywach znajdują się mieszkaniowe kredyty walutowe</w:t>
      </w:r>
      <w:r w:rsidR="001C248E">
        <w:rPr>
          <w:rFonts w:cs="Times New Roman"/>
          <w:color w:val="000000" w:themeColor="text1"/>
          <w:szCs w:val="24"/>
        </w:rPr>
        <w:t>,</w:t>
      </w:r>
      <w:r w:rsidRPr="00BC739E">
        <w:rPr>
          <w:rFonts w:cs="Times New Roman"/>
          <w:color w:val="000000" w:themeColor="text1"/>
          <w:szCs w:val="24"/>
        </w:rPr>
        <w:t xml:space="preserve"> w</w:t>
      </w:r>
      <w:r w:rsidR="00266256">
        <w:rPr>
          <w:rFonts w:cs="Times New Roman"/>
          <w:color w:val="000000" w:themeColor="text1"/>
          <w:szCs w:val="24"/>
        </w:rPr>
        <w:t> </w:t>
      </w:r>
      <w:r w:rsidRPr="00BC739E">
        <w:rPr>
          <w:rFonts w:cs="Times New Roman"/>
          <w:color w:val="000000" w:themeColor="text1"/>
          <w:szCs w:val="24"/>
        </w:rPr>
        <w:t xml:space="preserve">sumie środków gwarantowanych przez </w:t>
      </w:r>
      <w:r w:rsidR="00DD58E2">
        <w:rPr>
          <w:rFonts w:cs="Times New Roman"/>
          <w:color w:val="000000" w:themeColor="text1"/>
          <w:szCs w:val="24"/>
        </w:rPr>
        <w:t>Bankowy Fundusz Gwarancyjny</w:t>
      </w:r>
      <w:r w:rsidR="00DD58E2" w:rsidRPr="00BC739E">
        <w:rPr>
          <w:rFonts w:cs="Times New Roman"/>
          <w:color w:val="000000" w:themeColor="text1"/>
          <w:szCs w:val="24"/>
        </w:rPr>
        <w:t xml:space="preserve"> </w:t>
      </w:r>
      <w:r w:rsidRPr="00BC739E">
        <w:rPr>
          <w:rFonts w:cs="Times New Roman"/>
          <w:color w:val="000000" w:themeColor="text1"/>
          <w:szCs w:val="24"/>
        </w:rPr>
        <w:t>wskazuje jednoznacznie na bardzo istotną rolę rozwiązania kwestii walutowych kredytów mieszkaniowych dla całego rynku finansowego w</w:t>
      </w:r>
      <w:r w:rsidR="005116EB">
        <w:rPr>
          <w:rFonts w:cs="Times New Roman"/>
          <w:color w:val="000000" w:themeColor="text1"/>
          <w:szCs w:val="24"/>
        </w:rPr>
        <w:t> </w:t>
      </w:r>
      <w:r w:rsidRPr="00BC739E">
        <w:rPr>
          <w:rFonts w:cs="Times New Roman"/>
          <w:color w:val="000000" w:themeColor="text1"/>
          <w:szCs w:val="24"/>
        </w:rPr>
        <w:t>Polsce.  Zaangażowanie się banków w postępowania przed sądem polubownym stanowi tym samym ważny czynnik ograniczający narastanie zjawiska wskazywanego przez Komitet Stabilności Finansowej jako źródło ryzyka systemowego, zagrażające stabilności całego sektora finansowego.</w:t>
      </w:r>
    </w:p>
    <w:p w14:paraId="0A3FEF90" w14:textId="77777777" w:rsidR="00BC739E" w:rsidRPr="00BC739E" w:rsidRDefault="00BC739E" w:rsidP="00BC739E">
      <w:pPr>
        <w:spacing w:after="120"/>
        <w:rPr>
          <w:rFonts w:cs="Times New Roman"/>
          <w:color w:val="000000" w:themeColor="text1"/>
          <w:szCs w:val="24"/>
        </w:rPr>
      </w:pPr>
      <w:r w:rsidRPr="00BC739E">
        <w:rPr>
          <w:rFonts w:cs="Times New Roman"/>
          <w:color w:val="000000" w:themeColor="text1"/>
          <w:szCs w:val="24"/>
        </w:rPr>
        <w:t>Jednocześnie należy zwrócić uwagę, że przez zobowiązanie się do uczestnictwa w</w:t>
      </w:r>
      <w:r w:rsidR="005116EB">
        <w:rPr>
          <w:rFonts w:cs="Times New Roman"/>
          <w:color w:val="000000" w:themeColor="text1"/>
          <w:szCs w:val="24"/>
        </w:rPr>
        <w:t> </w:t>
      </w:r>
      <w:r w:rsidRPr="00BC739E">
        <w:rPr>
          <w:rFonts w:cs="Times New Roman"/>
          <w:color w:val="000000" w:themeColor="text1"/>
          <w:szCs w:val="24"/>
        </w:rPr>
        <w:t xml:space="preserve">postępowaniach przed sądem polubownym banki w świetle obowiązujących dotąd przepisów są dwukrotnie </w:t>
      </w:r>
      <w:r w:rsidR="00DD58E2" w:rsidRPr="00BC739E">
        <w:rPr>
          <w:rFonts w:cs="Times New Roman"/>
          <w:color w:val="000000" w:themeColor="text1"/>
          <w:szCs w:val="24"/>
        </w:rPr>
        <w:t>obciąż</w:t>
      </w:r>
      <w:r w:rsidR="00DD58E2">
        <w:rPr>
          <w:rFonts w:cs="Times New Roman"/>
          <w:color w:val="000000" w:themeColor="text1"/>
          <w:szCs w:val="24"/>
        </w:rPr>
        <w:t>o</w:t>
      </w:r>
      <w:r w:rsidR="00DD58E2" w:rsidRPr="00BC739E">
        <w:rPr>
          <w:rFonts w:cs="Times New Roman"/>
          <w:color w:val="000000" w:themeColor="text1"/>
          <w:szCs w:val="24"/>
        </w:rPr>
        <w:t xml:space="preserve">ne </w:t>
      </w:r>
      <w:r w:rsidRPr="00BC739E">
        <w:rPr>
          <w:rFonts w:cs="Times New Roman"/>
          <w:color w:val="000000" w:themeColor="text1"/>
          <w:szCs w:val="24"/>
        </w:rPr>
        <w:t xml:space="preserve">kapitałowo, co z kolei </w:t>
      </w:r>
      <w:r w:rsidR="00B12D0D">
        <w:rPr>
          <w:rFonts w:cs="Times New Roman"/>
          <w:color w:val="000000" w:themeColor="text1"/>
          <w:szCs w:val="24"/>
        </w:rPr>
        <w:t xml:space="preserve">może </w:t>
      </w:r>
      <w:r w:rsidRPr="00BC739E">
        <w:rPr>
          <w:rFonts w:cs="Times New Roman"/>
          <w:color w:val="000000" w:themeColor="text1"/>
          <w:szCs w:val="24"/>
        </w:rPr>
        <w:t>przyczynia</w:t>
      </w:r>
      <w:r w:rsidR="00B12D0D">
        <w:rPr>
          <w:rFonts w:cs="Times New Roman"/>
          <w:color w:val="000000" w:themeColor="text1"/>
          <w:szCs w:val="24"/>
        </w:rPr>
        <w:t>ć</w:t>
      </w:r>
      <w:r w:rsidRPr="00BC739E">
        <w:rPr>
          <w:rFonts w:cs="Times New Roman"/>
          <w:color w:val="000000" w:themeColor="text1"/>
          <w:szCs w:val="24"/>
        </w:rPr>
        <w:t xml:space="preserve"> się do mniejszego zainteresowania </w:t>
      </w:r>
      <w:r w:rsidR="00DD58E2">
        <w:rPr>
          <w:rFonts w:cs="Times New Roman"/>
          <w:color w:val="000000" w:themeColor="text1"/>
          <w:szCs w:val="24"/>
        </w:rPr>
        <w:t>ugodami</w:t>
      </w:r>
      <w:r w:rsidRPr="00BC739E">
        <w:rPr>
          <w:rFonts w:cs="Times New Roman"/>
          <w:color w:val="000000" w:themeColor="text1"/>
          <w:szCs w:val="24"/>
        </w:rPr>
        <w:t xml:space="preserve"> i osłabia</w:t>
      </w:r>
      <w:r w:rsidR="00D0143A">
        <w:rPr>
          <w:rFonts w:cs="Times New Roman"/>
          <w:color w:val="000000" w:themeColor="text1"/>
          <w:szCs w:val="24"/>
        </w:rPr>
        <w:t>ć</w:t>
      </w:r>
      <w:r w:rsidRPr="00BC739E">
        <w:rPr>
          <w:rFonts w:cs="Times New Roman"/>
          <w:color w:val="000000" w:themeColor="text1"/>
          <w:szCs w:val="24"/>
        </w:rPr>
        <w:t xml:space="preserve"> oczekiwany efekt w postaci ograniczania ryzyka systemowego. Po</w:t>
      </w:r>
      <w:r w:rsidR="005116EB">
        <w:rPr>
          <w:rFonts w:cs="Times New Roman"/>
          <w:color w:val="000000" w:themeColor="text1"/>
          <w:szCs w:val="24"/>
        </w:rPr>
        <w:t> </w:t>
      </w:r>
      <w:r w:rsidRPr="00BC739E">
        <w:rPr>
          <w:rFonts w:cs="Times New Roman"/>
          <w:color w:val="000000" w:themeColor="text1"/>
          <w:szCs w:val="24"/>
        </w:rPr>
        <w:t>pierwsze, rezerwa na koszty konwersji walutowego kredytu mieszkaniowego na kredyt nominowany w złotym obciąża kapitały banku bezpośrednio po rozpoznaniu prawdopodobnej utraty wartości bilansowej kredytu. Z drugiej zaś strony, niezależnie od zawiązania rezerwy uwzględniającej eliminację ryzyka kursowego, stosowana jest podwyższona waga ryzyka odpowiadająca walutowemu kredytowi mieszkaniowemu, która przekłada się na odpowiednio wyższe wymogi kapitałowe. Według obecnie obowiązującego stanu prawnego zmniejszenie wagi ryzyka nastąpi dopiero w momencie podpisania przez klienta ugody, co może być odroczone w czasie. W rezultacie bank, od momentu zobowiązania się do uczestnictwa w</w:t>
      </w:r>
      <w:r w:rsidR="005116EB">
        <w:rPr>
          <w:rFonts w:cs="Times New Roman"/>
          <w:color w:val="000000" w:themeColor="text1"/>
          <w:szCs w:val="24"/>
        </w:rPr>
        <w:t> </w:t>
      </w:r>
      <w:r w:rsidRPr="00BC739E">
        <w:rPr>
          <w:rFonts w:cs="Times New Roman"/>
          <w:color w:val="000000" w:themeColor="text1"/>
          <w:szCs w:val="24"/>
        </w:rPr>
        <w:t>postępowaniach przed sądem polubownym do momentu podpisania ugody z kredytobiorcą, jest obciążony zarówno kapitałowym ekwiwalentem rezerwy, jak również podwyższoną wagą ryzyka.</w:t>
      </w:r>
    </w:p>
    <w:p w14:paraId="51D623DB" w14:textId="5EAD11B8" w:rsidR="00BC739E" w:rsidRDefault="00BC739E" w:rsidP="00BC739E">
      <w:pPr>
        <w:spacing w:after="120"/>
        <w:rPr>
          <w:rFonts w:cs="Times New Roman"/>
          <w:color w:val="000000" w:themeColor="text1"/>
          <w:szCs w:val="24"/>
        </w:rPr>
      </w:pPr>
      <w:r w:rsidRPr="00BC739E">
        <w:rPr>
          <w:rFonts w:cs="Times New Roman"/>
          <w:color w:val="000000" w:themeColor="text1"/>
          <w:szCs w:val="24"/>
        </w:rPr>
        <w:t>Biorąc pod uwagę wskazane powyżej uwarunkowania oraz kierując się rekomendacją Komitetu Stabilności Finansowej</w:t>
      </w:r>
      <w:r w:rsidR="00D0143A">
        <w:rPr>
          <w:rFonts w:cs="Times New Roman"/>
          <w:color w:val="000000" w:themeColor="text1"/>
          <w:szCs w:val="24"/>
        </w:rPr>
        <w:t>,</w:t>
      </w:r>
      <w:r w:rsidRPr="00BC739E">
        <w:rPr>
          <w:rFonts w:cs="Times New Roman"/>
          <w:color w:val="000000" w:themeColor="text1"/>
          <w:szCs w:val="24"/>
        </w:rPr>
        <w:t xml:space="preserve"> proponuje się zastosowanie trzech poziomów wag ryzyka dla </w:t>
      </w:r>
      <w:r w:rsidRPr="00BC739E">
        <w:rPr>
          <w:rFonts w:cs="Times New Roman"/>
          <w:color w:val="000000" w:themeColor="text1"/>
          <w:szCs w:val="24"/>
        </w:rPr>
        <w:lastRenderedPageBreak/>
        <w:t>walutowych kredytów mieszka</w:t>
      </w:r>
      <w:r w:rsidR="00C92F1C">
        <w:rPr>
          <w:rFonts w:cs="Times New Roman"/>
          <w:color w:val="000000" w:themeColor="text1"/>
          <w:szCs w:val="24"/>
        </w:rPr>
        <w:t>niowych</w:t>
      </w:r>
      <w:r w:rsidR="00B12D0D">
        <w:rPr>
          <w:rFonts w:cs="Times New Roman"/>
          <w:color w:val="000000" w:themeColor="text1"/>
          <w:szCs w:val="24"/>
        </w:rPr>
        <w:t xml:space="preserve"> – 50%, 75% i 100%</w:t>
      </w:r>
      <w:r w:rsidR="00DD58E2">
        <w:rPr>
          <w:rFonts w:cs="Times New Roman"/>
          <w:color w:val="000000" w:themeColor="text1"/>
          <w:szCs w:val="24"/>
        </w:rPr>
        <w:t>.</w:t>
      </w:r>
      <w:r w:rsidR="00C92F1C">
        <w:rPr>
          <w:rFonts w:cs="Times New Roman"/>
          <w:color w:val="000000" w:themeColor="text1"/>
          <w:szCs w:val="24"/>
        </w:rPr>
        <w:t xml:space="preserve"> </w:t>
      </w:r>
      <w:r w:rsidRPr="00BC739E">
        <w:rPr>
          <w:rFonts w:cs="Times New Roman"/>
          <w:color w:val="000000" w:themeColor="text1"/>
          <w:szCs w:val="24"/>
        </w:rPr>
        <w:t xml:space="preserve">Każdorazowo waga ryzyka jest zależna od poziomu zawiązanych rezerw związanych z </w:t>
      </w:r>
      <w:r w:rsidR="00DD58E2">
        <w:rPr>
          <w:rFonts w:cs="Times New Roman"/>
          <w:color w:val="000000" w:themeColor="text1"/>
          <w:szCs w:val="24"/>
        </w:rPr>
        <w:t>deklaracją</w:t>
      </w:r>
      <w:r w:rsidRPr="00BC739E">
        <w:rPr>
          <w:rFonts w:cs="Times New Roman"/>
          <w:color w:val="000000" w:themeColor="text1"/>
          <w:szCs w:val="24"/>
        </w:rPr>
        <w:t xml:space="preserve"> uczestnictwa w ww. postępowaniach przed sądem polubownym. Proponowane wagi ryzyka są niższe niż obecny poziom wynikający z przepisu §</w:t>
      </w:r>
      <w:r w:rsidR="00D0143A">
        <w:rPr>
          <w:rFonts w:cs="Times New Roman"/>
          <w:color w:val="000000" w:themeColor="text1"/>
          <w:szCs w:val="24"/>
        </w:rPr>
        <w:t xml:space="preserve"> </w:t>
      </w:r>
      <w:r w:rsidRPr="00BC739E">
        <w:rPr>
          <w:rFonts w:cs="Times New Roman"/>
          <w:color w:val="000000" w:themeColor="text1"/>
          <w:szCs w:val="24"/>
        </w:rPr>
        <w:t xml:space="preserve">2 pkt 1 </w:t>
      </w:r>
      <w:r w:rsidR="00C92F1C">
        <w:rPr>
          <w:rFonts w:cs="Times New Roman"/>
          <w:color w:val="000000" w:themeColor="text1"/>
          <w:szCs w:val="24"/>
        </w:rPr>
        <w:t>r</w:t>
      </w:r>
      <w:r w:rsidRPr="00BC739E">
        <w:rPr>
          <w:rFonts w:cs="Times New Roman"/>
          <w:color w:val="000000" w:themeColor="text1"/>
          <w:szCs w:val="24"/>
        </w:rPr>
        <w:t>ozporządzenia, a równocześnie wyższe niż waga ws</w:t>
      </w:r>
      <w:r w:rsidR="00C92F1C">
        <w:rPr>
          <w:rFonts w:cs="Times New Roman"/>
          <w:color w:val="000000" w:themeColor="text1"/>
          <w:szCs w:val="24"/>
        </w:rPr>
        <w:t>kazana w art. 125 ust. 1 lit. a</w:t>
      </w:r>
      <w:r w:rsidRPr="00BC739E">
        <w:rPr>
          <w:rFonts w:cs="Times New Roman"/>
          <w:color w:val="000000" w:themeColor="text1"/>
          <w:szCs w:val="24"/>
        </w:rPr>
        <w:t xml:space="preserve"> </w:t>
      </w:r>
      <w:r w:rsidR="006548BF">
        <w:rPr>
          <w:rFonts w:cs="Times New Roman"/>
          <w:color w:val="000000" w:themeColor="text1"/>
          <w:szCs w:val="24"/>
        </w:rPr>
        <w:t>r</w:t>
      </w:r>
      <w:r w:rsidRPr="00BC739E">
        <w:rPr>
          <w:rFonts w:cs="Times New Roman"/>
          <w:color w:val="000000" w:themeColor="text1"/>
          <w:szCs w:val="24"/>
        </w:rPr>
        <w:t xml:space="preserve">ozporządzenia Parlamentu Europejskiego i Rady (UE) nr 575/2013 z dnia 26 czerwca 2013 r. </w:t>
      </w:r>
      <w:r w:rsidRPr="00BD096D">
        <w:rPr>
          <w:rFonts w:cs="Times New Roman"/>
          <w:color w:val="000000" w:themeColor="text1"/>
          <w:szCs w:val="24"/>
        </w:rPr>
        <w:t>w sprawie wymogów ostrożnościowych dla instytucji kredytowych oraz zmieniającego rozporządzenie</w:t>
      </w:r>
      <w:r w:rsidRPr="00BC739E">
        <w:rPr>
          <w:rFonts w:cs="Times New Roman"/>
          <w:color w:val="000000" w:themeColor="text1"/>
          <w:szCs w:val="24"/>
        </w:rPr>
        <w:t xml:space="preserve"> (UE) nr 648/2012 (Dz. Urz. UE L 176 z 27.06.2013 r. </w:t>
      </w:r>
      <w:r w:rsidR="00DD58E2" w:rsidRPr="00BC739E">
        <w:rPr>
          <w:rFonts w:cs="Times New Roman"/>
          <w:color w:val="000000" w:themeColor="text1"/>
          <w:szCs w:val="24"/>
        </w:rPr>
        <w:t>z</w:t>
      </w:r>
      <w:r w:rsidR="00DD58E2">
        <w:rPr>
          <w:rFonts w:cs="Times New Roman"/>
          <w:color w:val="000000" w:themeColor="text1"/>
          <w:szCs w:val="24"/>
        </w:rPr>
        <w:t xml:space="preserve"> późn.</w:t>
      </w:r>
      <w:r w:rsidR="00DD58E2" w:rsidRPr="00BC739E">
        <w:rPr>
          <w:rFonts w:cs="Times New Roman"/>
          <w:color w:val="000000" w:themeColor="text1"/>
          <w:szCs w:val="24"/>
        </w:rPr>
        <w:t xml:space="preserve"> </w:t>
      </w:r>
      <w:r w:rsidRPr="00BC739E">
        <w:rPr>
          <w:rFonts w:cs="Times New Roman"/>
          <w:color w:val="000000" w:themeColor="text1"/>
          <w:szCs w:val="24"/>
        </w:rPr>
        <w:t>zm.</w:t>
      </w:r>
      <w:r w:rsidR="00C92F1C">
        <w:rPr>
          <w:rFonts w:cs="Times New Roman"/>
          <w:color w:val="000000" w:themeColor="text1"/>
          <w:szCs w:val="24"/>
        </w:rPr>
        <w:t>)</w:t>
      </w:r>
      <w:r w:rsidR="00B12D0D">
        <w:rPr>
          <w:rFonts w:cs="Times New Roman"/>
          <w:color w:val="000000" w:themeColor="text1"/>
          <w:szCs w:val="24"/>
        </w:rPr>
        <w:t>,</w:t>
      </w:r>
      <w:r w:rsidRPr="00BC739E">
        <w:rPr>
          <w:rFonts w:cs="Times New Roman"/>
          <w:color w:val="000000" w:themeColor="text1"/>
          <w:szCs w:val="24"/>
        </w:rPr>
        <w:t xml:space="preserve"> zwanego dalej „CRR”. </w:t>
      </w:r>
    </w:p>
    <w:p w14:paraId="1F2A5969" w14:textId="4CBFDCFD" w:rsidR="00BC739E" w:rsidRPr="00BC739E" w:rsidRDefault="00DE50E5" w:rsidP="00BC739E">
      <w:pPr>
        <w:spacing w:after="120"/>
        <w:rPr>
          <w:rFonts w:cs="Times New Roman"/>
          <w:color w:val="000000" w:themeColor="text1"/>
          <w:szCs w:val="24"/>
        </w:rPr>
      </w:pPr>
      <w:r>
        <w:rPr>
          <w:rFonts w:cs="Times New Roman"/>
          <w:color w:val="000000" w:themeColor="text1"/>
          <w:szCs w:val="24"/>
        </w:rPr>
        <w:t xml:space="preserve">Zgodnie z informacją przekazaną przez </w:t>
      </w:r>
      <w:r w:rsidRPr="00BC739E">
        <w:rPr>
          <w:rFonts w:cs="Times New Roman"/>
          <w:color w:val="000000" w:themeColor="text1"/>
          <w:szCs w:val="24"/>
        </w:rPr>
        <w:t>Urząd Komisji Nadzoru Finansowego</w:t>
      </w:r>
      <w:r>
        <w:rPr>
          <w:rFonts w:cs="Times New Roman"/>
          <w:color w:val="000000" w:themeColor="text1"/>
          <w:szCs w:val="24"/>
        </w:rPr>
        <w:t xml:space="preserve"> symulacja </w:t>
      </w:r>
      <w:r w:rsidRPr="00BC739E">
        <w:rPr>
          <w:rFonts w:cs="Times New Roman"/>
          <w:color w:val="000000" w:themeColor="text1"/>
          <w:szCs w:val="24"/>
        </w:rPr>
        <w:t xml:space="preserve"> </w:t>
      </w:r>
      <w:r w:rsidR="00BC739E" w:rsidRPr="00BC739E">
        <w:rPr>
          <w:rFonts w:cs="Times New Roman"/>
          <w:color w:val="000000" w:themeColor="text1"/>
          <w:szCs w:val="24"/>
        </w:rPr>
        <w:t>dotycząc</w:t>
      </w:r>
      <w:r>
        <w:rPr>
          <w:rFonts w:cs="Times New Roman"/>
          <w:color w:val="000000" w:themeColor="text1"/>
          <w:szCs w:val="24"/>
        </w:rPr>
        <w:t>a</w:t>
      </w:r>
      <w:r w:rsidR="00BC739E" w:rsidRPr="00BC739E">
        <w:rPr>
          <w:rFonts w:cs="Times New Roman"/>
          <w:color w:val="000000" w:themeColor="text1"/>
          <w:szCs w:val="24"/>
        </w:rPr>
        <w:t xml:space="preserve"> wpływu ugód na wartość portfela kredytó</w:t>
      </w:r>
      <w:r w:rsidR="001A2738">
        <w:rPr>
          <w:rFonts w:cs="Times New Roman"/>
          <w:color w:val="000000" w:themeColor="text1"/>
          <w:szCs w:val="24"/>
        </w:rPr>
        <w:t>w mieszkaniowych wykazała, że w </w:t>
      </w:r>
      <w:r w:rsidR="00BC739E" w:rsidRPr="00BC739E">
        <w:rPr>
          <w:rFonts w:cs="Times New Roman"/>
          <w:color w:val="000000" w:themeColor="text1"/>
          <w:szCs w:val="24"/>
        </w:rPr>
        <w:t>przypadku konwersji wszystkich mieszkaniowych kredytów walutowych na kredyty nominowane w</w:t>
      </w:r>
      <w:r w:rsidR="005116EB">
        <w:rPr>
          <w:rFonts w:cs="Times New Roman"/>
          <w:color w:val="000000" w:themeColor="text1"/>
          <w:szCs w:val="24"/>
        </w:rPr>
        <w:t> </w:t>
      </w:r>
      <w:r w:rsidR="00BC739E" w:rsidRPr="00BC739E">
        <w:rPr>
          <w:rFonts w:cs="Times New Roman"/>
          <w:color w:val="000000" w:themeColor="text1"/>
          <w:szCs w:val="24"/>
        </w:rPr>
        <w:t>złotym, o ile jest to ekonomicznie korzystne dla kredytobiorców, nastąpi zmniejszenie wartości tej części aktywów o średnio 35%. Podstawowym założeniem symulacji było ekonomiczne zrównanie sytuacji kredytobiorców, którzy w przeszłości zaciągnęli kredyt powiązany ze mianami kursu złotego względem CHF z obciążeniami kredytobiorców, którzy w tym samym czasie zaciągnęli kredyty hipoteczne nominowane i spłacane w złotym. Zatem zawiązanie rezerw odpowiadających 35% wartości brutto portfela walutowych kredytów mieszkaniowych – przed wszelkimi odpisami – pozwala przyjąć, że po stronie banku i</w:t>
      </w:r>
      <w:r w:rsidR="005116EB">
        <w:rPr>
          <w:rFonts w:cs="Times New Roman"/>
          <w:color w:val="000000" w:themeColor="text1"/>
          <w:szCs w:val="24"/>
        </w:rPr>
        <w:t> </w:t>
      </w:r>
      <w:r w:rsidR="00BC739E" w:rsidRPr="00BC739E">
        <w:rPr>
          <w:rFonts w:cs="Times New Roman"/>
          <w:color w:val="000000" w:themeColor="text1"/>
          <w:szCs w:val="24"/>
        </w:rPr>
        <w:t>kredytobiorcy zostaje ekonomicznie wyeliminowane ryzyko walutowe. Tym samym zasadne jest powiązanie takiego portfela kredytowego z wagą ryzyka nieznacznie wyższą niż typowy poziom wskazany w art. 125 ust. 1 lit. a CRR. Standardowa waga ryzyka dla ekspozycji w pełni i całkowicie zabezpieczonej hipoteką na nieruchomości mieszkaniowej wynosi 35%, a</w:t>
      </w:r>
      <w:r w:rsidR="005116EB">
        <w:rPr>
          <w:rFonts w:cs="Times New Roman"/>
          <w:color w:val="000000" w:themeColor="text1"/>
          <w:szCs w:val="24"/>
        </w:rPr>
        <w:t> </w:t>
      </w:r>
      <w:r w:rsidR="00BC739E" w:rsidRPr="00BC739E">
        <w:rPr>
          <w:rFonts w:cs="Times New Roman"/>
          <w:color w:val="000000" w:themeColor="text1"/>
          <w:szCs w:val="24"/>
        </w:rPr>
        <w:t xml:space="preserve">proponowane zmiany w </w:t>
      </w:r>
      <w:r w:rsidR="000B752A">
        <w:rPr>
          <w:rFonts w:cs="Times New Roman"/>
          <w:color w:val="000000" w:themeColor="text1"/>
          <w:szCs w:val="24"/>
        </w:rPr>
        <w:t>projekcie r</w:t>
      </w:r>
      <w:r w:rsidR="000B752A" w:rsidRPr="00BC739E">
        <w:rPr>
          <w:rFonts w:cs="Times New Roman"/>
          <w:color w:val="000000" w:themeColor="text1"/>
          <w:szCs w:val="24"/>
        </w:rPr>
        <w:t>ozporządzeni</w:t>
      </w:r>
      <w:r w:rsidR="000B752A">
        <w:rPr>
          <w:rFonts w:cs="Times New Roman"/>
          <w:color w:val="000000" w:themeColor="text1"/>
          <w:szCs w:val="24"/>
        </w:rPr>
        <w:t>a</w:t>
      </w:r>
      <w:r w:rsidR="000B752A" w:rsidRPr="00BC739E">
        <w:rPr>
          <w:rFonts w:cs="Times New Roman"/>
          <w:color w:val="000000" w:themeColor="text1"/>
          <w:szCs w:val="24"/>
        </w:rPr>
        <w:t xml:space="preserve"> </w:t>
      </w:r>
      <w:r w:rsidR="00BC739E" w:rsidRPr="00BC739E">
        <w:rPr>
          <w:rFonts w:cs="Times New Roman"/>
          <w:color w:val="000000" w:themeColor="text1"/>
          <w:szCs w:val="24"/>
        </w:rPr>
        <w:t>wskazują, że dla ekspozycji powiązanych z</w:t>
      </w:r>
      <w:r w:rsidR="005116EB">
        <w:rPr>
          <w:rFonts w:cs="Times New Roman"/>
          <w:color w:val="000000" w:themeColor="text1"/>
          <w:szCs w:val="24"/>
        </w:rPr>
        <w:t> </w:t>
      </w:r>
      <w:r w:rsidR="00BC739E" w:rsidRPr="00BC739E">
        <w:rPr>
          <w:rFonts w:cs="Times New Roman"/>
          <w:color w:val="000000" w:themeColor="text1"/>
          <w:szCs w:val="24"/>
        </w:rPr>
        <w:t>odpowiednio wysokimi rezerwami waga ryzyka wynosiłaby 50%. Tym samym nadal będzie mieć zastosowanie regulacyjny bodziec kapitałowy do konwersji (na mocy ugody) walutowego kredytu mieszkaniowego na odpowiedni kredyt nominowany w złotym.</w:t>
      </w:r>
    </w:p>
    <w:p w14:paraId="36B4C43F" w14:textId="77777777" w:rsidR="00BC739E" w:rsidRPr="00BC739E" w:rsidRDefault="00BC739E" w:rsidP="00BC739E">
      <w:pPr>
        <w:spacing w:after="120"/>
        <w:rPr>
          <w:rFonts w:cs="Times New Roman"/>
          <w:color w:val="000000" w:themeColor="text1"/>
          <w:szCs w:val="24"/>
        </w:rPr>
      </w:pPr>
      <w:r w:rsidRPr="00BC739E">
        <w:rPr>
          <w:rFonts w:cs="Times New Roman"/>
          <w:color w:val="000000" w:themeColor="text1"/>
          <w:szCs w:val="24"/>
        </w:rPr>
        <w:t>W przypadku zawiązania przez bank rezerwy w wysokości od 28% do 35% wartości brutto portfela walutowych kredytów mieszkaniowych – przed wszelkimi odpisami – waga ryzyka dla eskpozycji związanych z walutowymi kredytami mieszkaniowymi winna wynieść 75%. Ustalenie wskazanego przedziału poziomu rezerw wraz z zaproponowaną wagą ryzyka ma na celu zapewnienie, iż wartość aktywów ważonych ryzykiem w okresie przejściowym (do czasu konwersji na kredyt nominowany w złotym) nie będzie niższa niż po zawarciu ugód z</w:t>
      </w:r>
      <w:r w:rsidR="005116EB">
        <w:rPr>
          <w:rFonts w:cs="Times New Roman"/>
          <w:color w:val="000000" w:themeColor="text1"/>
          <w:szCs w:val="24"/>
        </w:rPr>
        <w:t> </w:t>
      </w:r>
      <w:r w:rsidRPr="00BC739E">
        <w:rPr>
          <w:rFonts w:cs="Times New Roman"/>
          <w:color w:val="000000" w:themeColor="text1"/>
          <w:szCs w:val="24"/>
        </w:rPr>
        <w:t xml:space="preserve">kredytobiorcami. W związku z tym powinno być to zachętą dla banków do zawierania ugód </w:t>
      </w:r>
      <w:r w:rsidRPr="00BC739E">
        <w:rPr>
          <w:rFonts w:cs="Times New Roman"/>
          <w:color w:val="000000" w:themeColor="text1"/>
          <w:szCs w:val="24"/>
        </w:rPr>
        <w:lastRenderedPageBreak/>
        <w:t>przed sądem polubownym. Jeśli ugoda zostanie podpisana, to waga ryzyka obniży się do 35% (o ile ekspozycja jest w pełni i całkowicie zabezpieczona hipoteką na nieruchomości mieszkalnej). W przeciwnym razie, po zakończeniu okresu przejściowego, waga ryzyka ponownie wyniesie 150%.</w:t>
      </w:r>
    </w:p>
    <w:p w14:paraId="4FD97A14" w14:textId="77777777" w:rsidR="00BC739E" w:rsidRPr="00BC739E" w:rsidRDefault="00BC739E" w:rsidP="00BC739E">
      <w:pPr>
        <w:spacing w:after="120"/>
        <w:rPr>
          <w:rFonts w:cs="Times New Roman"/>
          <w:color w:val="000000" w:themeColor="text1"/>
          <w:szCs w:val="24"/>
        </w:rPr>
      </w:pPr>
      <w:r w:rsidRPr="00BC739E">
        <w:rPr>
          <w:rFonts w:cs="Times New Roman"/>
          <w:color w:val="000000" w:themeColor="text1"/>
          <w:szCs w:val="24"/>
        </w:rPr>
        <w:t>W przypadku zawiązania przez bank rezerwy w wysokości od 20% do 28% wartości brutto portfela walutowych kredytów mieszkaniowych – przed wszelkimi odpisami – waga ryzyka dla eskpozycji związanych z walutowymi kredytami mieszkaniowymi winna wynieść 100%. Minimalny zaproponowany próg zawiązywanej rezerwy ma zapewnić, że zobowiązanie banków do uczestnictwa w postępowaniach przed sądem polubownym będzie dotyczyć szerokiego grona kredytobiorców.</w:t>
      </w:r>
    </w:p>
    <w:p w14:paraId="652D3F42" w14:textId="77777777" w:rsidR="008A022D" w:rsidRPr="007D3F15" w:rsidRDefault="00BC739E" w:rsidP="00BC739E">
      <w:pPr>
        <w:spacing w:after="120"/>
        <w:rPr>
          <w:rFonts w:cs="Times New Roman"/>
          <w:color w:val="000000" w:themeColor="text1"/>
          <w:szCs w:val="24"/>
        </w:rPr>
      </w:pPr>
      <w:r w:rsidRPr="00BC739E">
        <w:rPr>
          <w:rFonts w:cs="Times New Roman"/>
          <w:color w:val="000000" w:themeColor="text1"/>
          <w:szCs w:val="24"/>
        </w:rPr>
        <w:t>Projektowane wagi ryzyka (50%, 75%, 100%) są wartościami, do których odwołują się przepisy CRR w związku z ekspozycjami zabezpieczonymi hipotekami na nieruchomościach lub ekspozy</w:t>
      </w:r>
      <w:r w:rsidR="009549B2">
        <w:rPr>
          <w:rFonts w:cs="Times New Roman"/>
          <w:color w:val="000000" w:themeColor="text1"/>
          <w:szCs w:val="24"/>
        </w:rPr>
        <w:t>cjami detalicznymi (</w:t>
      </w:r>
      <w:r w:rsidRPr="00BC739E">
        <w:rPr>
          <w:rFonts w:cs="Times New Roman"/>
          <w:color w:val="000000" w:themeColor="text1"/>
          <w:szCs w:val="24"/>
        </w:rPr>
        <w:t>art. 123</w:t>
      </w:r>
      <w:r w:rsidR="009549B2">
        <w:rPr>
          <w:rFonts w:cs="Times New Roman"/>
          <w:color w:val="000000" w:themeColor="text1"/>
          <w:szCs w:val="24"/>
        </w:rPr>
        <w:t xml:space="preserve">, </w:t>
      </w:r>
      <w:r w:rsidRPr="00BC739E">
        <w:rPr>
          <w:rFonts w:cs="Times New Roman"/>
          <w:color w:val="000000" w:themeColor="text1"/>
          <w:szCs w:val="24"/>
        </w:rPr>
        <w:t>124 ust. 1 i ust. 2 CRR</w:t>
      </w:r>
      <w:r w:rsidR="009549B2">
        <w:rPr>
          <w:rFonts w:cs="Times New Roman"/>
          <w:color w:val="000000" w:themeColor="text1"/>
          <w:szCs w:val="24"/>
        </w:rPr>
        <w:t>)</w:t>
      </w:r>
      <w:r w:rsidRPr="00BC739E">
        <w:rPr>
          <w:rFonts w:cs="Times New Roman"/>
          <w:color w:val="000000" w:themeColor="text1"/>
          <w:szCs w:val="24"/>
        </w:rPr>
        <w:t>. Ponadto czasowe obniżenie wag ryzyka dla ekspozycji związanych z walutowymi kredytami mieszkaniowymi, poprzez zmniejszeni</w:t>
      </w:r>
      <w:r w:rsidR="0029042A">
        <w:rPr>
          <w:rFonts w:cs="Times New Roman"/>
          <w:color w:val="000000" w:themeColor="text1"/>
          <w:szCs w:val="24"/>
        </w:rPr>
        <w:t>e</w:t>
      </w:r>
      <w:r w:rsidRPr="00BC739E">
        <w:rPr>
          <w:rFonts w:cs="Times New Roman"/>
          <w:color w:val="000000" w:themeColor="text1"/>
          <w:szCs w:val="24"/>
        </w:rPr>
        <w:t xml:space="preserve"> obciążenia kapitałowego banków zobowiązujących się do uczestnictwa w</w:t>
      </w:r>
      <w:r w:rsidR="005116EB">
        <w:rPr>
          <w:rFonts w:cs="Times New Roman"/>
          <w:color w:val="000000" w:themeColor="text1"/>
          <w:szCs w:val="24"/>
        </w:rPr>
        <w:t> p</w:t>
      </w:r>
      <w:r w:rsidRPr="00BC739E">
        <w:rPr>
          <w:rFonts w:cs="Times New Roman"/>
          <w:color w:val="000000" w:themeColor="text1"/>
          <w:szCs w:val="24"/>
        </w:rPr>
        <w:t>ostępowaniu przed sądem polubownym, których celem jest zawarcie ugód, powinno zachęcać banki do aktywności, tj. nie tylko oferowania ugód kredytobiorcom, ale i</w:t>
      </w:r>
      <w:r w:rsidR="005116EB">
        <w:rPr>
          <w:rFonts w:cs="Times New Roman"/>
          <w:color w:val="000000" w:themeColor="text1"/>
          <w:szCs w:val="24"/>
        </w:rPr>
        <w:t> </w:t>
      </w:r>
      <w:r w:rsidRPr="00BC739E">
        <w:rPr>
          <w:rFonts w:cs="Times New Roman"/>
          <w:color w:val="000000" w:themeColor="text1"/>
          <w:szCs w:val="24"/>
        </w:rPr>
        <w:t>dokonywania konwersji na kredyty nominowane w złotym.</w:t>
      </w:r>
    </w:p>
    <w:p w14:paraId="13E0B9B2" w14:textId="7E9A5271" w:rsidR="007A6523" w:rsidRPr="00BC739E" w:rsidRDefault="007A6523" w:rsidP="007A6523">
      <w:pPr>
        <w:spacing w:after="120"/>
        <w:rPr>
          <w:rFonts w:cs="Times New Roman"/>
          <w:color w:val="000000" w:themeColor="text1"/>
          <w:szCs w:val="24"/>
        </w:rPr>
      </w:pPr>
      <w:r>
        <w:rPr>
          <w:rFonts w:cs="Times New Roman"/>
          <w:color w:val="000000" w:themeColor="text1"/>
          <w:szCs w:val="24"/>
        </w:rPr>
        <w:t xml:space="preserve">Obniżenie wagi ryzyka będzie miało charakter czasowy, aby </w:t>
      </w:r>
      <w:r w:rsidRPr="00B12D0D">
        <w:rPr>
          <w:rFonts w:cs="Times New Roman"/>
          <w:color w:val="000000" w:themeColor="text1"/>
          <w:szCs w:val="24"/>
        </w:rPr>
        <w:t>zmniejszyć obciążeni</w:t>
      </w:r>
      <w:r>
        <w:rPr>
          <w:rFonts w:cs="Times New Roman"/>
          <w:color w:val="000000" w:themeColor="text1"/>
          <w:szCs w:val="24"/>
        </w:rPr>
        <w:t>a</w:t>
      </w:r>
      <w:r w:rsidRPr="00B12D0D">
        <w:rPr>
          <w:rFonts w:cs="Times New Roman"/>
          <w:color w:val="000000" w:themeColor="text1"/>
          <w:szCs w:val="24"/>
        </w:rPr>
        <w:t xml:space="preserve"> kapitałowe banków zaangażow</w:t>
      </w:r>
      <w:r>
        <w:rPr>
          <w:rFonts w:cs="Times New Roman"/>
          <w:color w:val="000000" w:themeColor="text1"/>
          <w:szCs w:val="24"/>
        </w:rPr>
        <w:t xml:space="preserve">anych w program ugód. Niższe wagi ryzyka będą obowiązywały </w:t>
      </w:r>
      <w:r w:rsidR="00837801">
        <w:rPr>
          <w:rFonts w:cs="Times New Roman"/>
          <w:color w:val="000000" w:themeColor="text1"/>
          <w:szCs w:val="24"/>
        </w:rPr>
        <w:t xml:space="preserve">do dnia 30 września 2023 r., natomiast po tej dacie </w:t>
      </w:r>
      <w:r w:rsidRPr="007A6523">
        <w:rPr>
          <w:rFonts w:cs="Times New Roman"/>
          <w:color w:val="000000" w:themeColor="text1"/>
          <w:szCs w:val="24"/>
        </w:rPr>
        <w:t xml:space="preserve">waga ryzyka dla </w:t>
      </w:r>
      <w:r>
        <w:rPr>
          <w:rFonts w:cs="Times New Roman"/>
          <w:color w:val="000000" w:themeColor="text1"/>
          <w:szCs w:val="24"/>
        </w:rPr>
        <w:t>walutowy</w:t>
      </w:r>
      <w:r w:rsidRPr="007A6523">
        <w:rPr>
          <w:rFonts w:cs="Times New Roman"/>
          <w:color w:val="000000" w:themeColor="text1"/>
          <w:szCs w:val="24"/>
        </w:rPr>
        <w:t xml:space="preserve">ch kredytów mieszkaniowych </w:t>
      </w:r>
      <w:r>
        <w:rPr>
          <w:rFonts w:cs="Times New Roman"/>
          <w:color w:val="000000" w:themeColor="text1"/>
          <w:szCs w:val="24"/>
        </w:rPr>
        <w:t xml:space="preserve">powróci do obecnie obowiązującego </w:t>
      </w:r>
      <w:r w:rsidRPr="007A6523">
        <w:rPr>
          <w:rFonts w:cs="Times New Roman"/>
          <w:color w:val="000000" w:themeColor="text1"/>
          <w:szCs w:val="24"/>
        </w:rPr>
        <w:t>poziomu 150%.</w:t>
      </w:r>
    </w:p>
    <w:p w14:paraId="2F4098AA" w14:textId="0DF766C4" w:rsidR="00BE03B8" w:rsidRPr="00CC04F8" w:rsidRDefault="00CC04F8" w:rsidP="007D3F15">
      <w:pPr>
        <w:spacing w:before="120" w:after="120"/>
        <w:rPr>
          <w:rStyle w:val="Pogrubienie"/>
          <w:rFonts w:cs="Times New Roman"/>
          <w:szCs w:val="24"/>
        </w:rPr>
      </w:pPr>
      <w:r w:rsidRPr="00CC04F8">
        <w:rPr>
          <w:rStyle w:val="Pogrubienie"/>
          <w:rFonts w:cs="Times New Roman"/>
          <w:b w:val="0"/>
          <w:szCs w:val="24"/>
        </w:rPr>
        <w:t xml:space="preserve">Zgodnie </w:t>
      </w:r>
      <w:r w:rsidR="00BE03B8" w:rsidRPr="00CC04F8">
        <w:rPr>
          <w:rStyle w:val="Pogrubienie"/>
          <w:rFonts w:cs="Times New Roman"/>
          <w:b w:val="0"/>
          <w:szCs w:val="24"/>
        </w:rPr>
        <w:t>§</w:t>
      </w:r>
      <w:r w:rsidR="00453A7A" w:rsidRPr="00CC04F8">
        <w:rPr>
          <w:rStyle w:val="Pogrubienie"/>
          <w:rFonts w:cs="Times New Roman"/>
          <w:b w:val="0"/>
          <w:szCs w:val="24"/>
        </w:rPr>
        <w:t xml:space="preserve"> </w:t>
      </w:r>
      <w:r w:rsidR="00E93F45">
        <w:rPr>
          <w:rStyle w:val="Pogrubienie"/>
          <w:rFonts w:cs="Times New Roman"/>
          <w:b w:val="0"/>
          <w:szCs w:val="24"/>
        </w:rPr>
        <w:t>2</w:t>
      </w:r>
      <w:r w:rsidR="00FA2890" w:rsidRPr="00CC04F8">
        <w:rPr>
          <w:rStyle w:val="Pogrubienie"/>
          <w:rFonts w:cs="Times New Roman"/>
          <w:b w:val="0"/>
          <w:szCs w:val="24"/>
        </w:rPr>
        <w:t xml:space="preserve"> </w:t>
      </w:r>
      <w:r w:rsidRPr="00CC04F8">
        <w:rPr>
          <w:rFonts w:cs="Times New Roman"/>
          <w:szCs w:val="24"/>
        </w:rPr>
        <w:t xml:space="preserve">rozporządzenie </w:t>
      </w:r>
      <w:r w:rsidRPr="00CC04F8">
        <w:t xml:space="preserve">wchodzi w życie </w:t>
      </w:r>
      <w:r w:rsidRPr="00CC04F8">
        <w:rPr>
          <w:szCs w:val="24"/>
        </w:rPr>
        <w:t>z dniem następującym po dniu ogłoszenia</w:t>
      </w:r>
      <w:r w:rsidR="00453A7A" w:rsidRPr="00CC04F8">
        <w:rPr>
          <w:rFonts w:cs="Times New Roman"/>
          <w:szCs w:val="24"/>
        </w:rPr>
        <w:t>.</w:t>
      </w:r>
    </w:p>
    <w:p w14:paraId="566EAB00" w14:textId="77777777" w:rsidR="003E2469" w:rsidRPr="00CC04F8" w:rsidRDefault="003E2469" w:rsidP="007D3F15">
      <w:pPr>
        <w:pStyle w:val="ARTartustawynprozporzdzenia"/>
        <w:ind w:firstLine="0"/>
        <w:rPr>
          <w:rFonts w:ascii="Times New Roman" w:hAnsi="Times New Roman" w:cs="Times New Roman"/>
          <w:szCs w:val="24"/>
        </w:rPr>
      </w:pPr>
      <w:r w:rsidRPr="00CC04F8">
        <w:rPr>
          <w:rFonts w:ascii="Times New Roman" w:hAnsi="Times New Roman" w:cs="Times New Roman"/>
          <w:szCs w:val="24"/>
        </w:rPr>
        <w:t>Zawarte w projekcie regulacje nie stanowią przepisów technicznych w rozumieniu rozporządzenia Rady Ministrów z dnia 23 grudnia 2002 r. w sprawie sposobu funkcjonowania krajowego systemu notyfikacji norm i aktów prawnych (Dz. U. poz. 2039</w:t>
      </w:r>
      <w:r w:rsidR="008D777F" w:rsidRPr="00CC04F8">
        <w:rPr>
          <w:rFonts w:ascii="Times New Roman" w:hAnsi="Times New Roman" w:cs="Times New Roman"/>
          <w:szCs w:val="24"/>
        </w:rPr>
        <w:t>, z późn. zm.</w:t>
      </w:r>
      <w:r w:rsidRPr="00CC04F8">
        <w:rPr>
          <w:rFonts w:ascii="Times New Roman" w:hAnsi="Times New Roman" w:cs="Times New Roman"/>
          <w:szCs w:val="24"/>
        </w:rPr>
        <w:t>), dlatego też projekt rozporządzenia nie podlega procedurze notyfikacji.</w:t>
      </w:r>
    </w:p>
    <w:p w14:paraId="6EA2FED5" w14:textId="214799E7" w:rsidR="003E2469" w:rsidRPr="00CC04F8" w:rsidRDefault="003E2469" w:rsidP="007D3F15">
      <w:pPr>
        <w:pStyle w:val="ARTartustawynprozporzdzenia"/>
        <w:ind w:firstLine="0"/>
        <w:rPr>
          <w:rFonts w:ascii="Times New Roman" w:hAnsi="Times New Roman" w:cs="Times New Roman"/>
          <w:szCs w:val="24"/>
        </w:rPr>
      </w:pPr>
      <w:r w:rsidRPr="00CC04F8">
        <w:rPr>
          <w:rFonts w:ascii="Times New Roman" w:hAnsi="Times New Roman" w:cs="Times New Roman"/>
          <w:szCs w:val="24"/>
        </w:rPr>
        <w:t>Zgodnie z art. 2 ust. 1 decyzji Rady 98/415/WE z dnia 29 czerwca 1998 r. w sprawie konsultacji Europejskiego Banku Centralnego udzielanych władzom krajowym w sprawie projektó</w:t>
      </w:r>
      <w:r w:rsidR="001A2738">
        <w:rPr>
          <w:rFonts w:ascii="Times New Roman" w:hAnsi="Times New Roman" w:cs="Times New Roman"/>
          <w:szCs w:val="24"/>
        </w:rPr>
        <w:t>w przepisów prawnych (Dz. Urz. U</w:t>
      </w:r>
      <w:r w:rsidRPr="00CC04F8">
        <w:rPr>
          <w:rFonts w:ascii="Times New Roman" w:hAnsi="Times New Roman" w:cs="Times New Roman"/>
          <w:szCs w:val="24"/>
        </w:rPr>
        <w:t>E L 189 z 03.07.1998, str. 42), projekt rozporządzenia nie wymaga konsultacji z Europejskim Bankiem Centralnym.</w:t>
      </w:r>
    </w:p>
    <w:p w14:paraId="7E17176E" w14:textId="2C1CE1F9" w:rsidR="003E2469" w:rsidRPr="00CC04F8" w:rsidRDefault="003E2469" w:rsidP="007D3F15">
      <w:pPr>
        <w:pStyle w:val="ARTartustawynprozporzdzenia"/>
        <w:ind w:firstLine="0"/>
        <w:rPr>
          <w:rFonts w:ascii="Times New Roman" w:hAnsi="Times New Roman" w:cs="Times New Roman"/>
          <w:szCs w:val="24"/>
        </w:rPr>
      </w:pPr>
      <w:r w:rsidRPr="00CC04F8">
        <w:rPr>
          <w:rFonts w:ascii="Times New Roman" w:hAnsi="Times New Roman" w:cs="Times New Roman"/>
          <w:szCs w:val="24"/>
        </w:rPr>
        <w:lastRenderedPageBreak/>
        <w:t xml:space="preserve">Stosownie do art. 4 ustawy z dnia 7 lipca 2005 r. o działalności lobbingowej w procesie stanowienia prawa (Dz. U. z 2017 r. poz. 248) projekt </w:t>
      </w:r>
      <w:r w:rsidR="00590D79" w:rsidRPr="00CC04F8">
        <w:rPr>
          <w:rFonts w:ascii="Times New Roman" w:hAnsi="Times New Roman" w:cs="Times New Roman"/>
          <w:szCs w:val="24"/>
        </w:rPr>
        <w:t>zosta</w:t>
      </w:r>
      <w:r w:rsidR="001A2738">
        <w:rPr>
          <w:rFonts w:ascii="Times New Roman" w:hAnsi="Times New Roman" w:cs="Times New Roman"/>
          <w:szCs w:val="24"/>
        </w:rPr>
        <w:t>ł</w:t>
      </w:r>
      <w:r w:rsidR="00590D79" w:rsidRPr="00CC04F8">
        <w:rPr>
          <w:rFonts w:ascii="Times New Roman" w:hAnsi="Times New Roman" w:cs="Times New Roman"/>
          <w:szCs w:val="24"/>
        </w:rPr>
        <w:t xml:space="preserve"> </w:t>
      </w:r>
      <w:r w:rsidRPr="00CC04F8">
        <w:rPr>
          <w:rFonts w:ascii="Times New Roman" w:hAnsi="Times New Roman" w:cs="Times New Roman"/>
          <w:szCs w:val="24"/>
        </w:rPr>
        <w:t xml:space="preserve">zamieszczony w wykazie prac legislacyjnych Ministra Finansów. Natomiast, zgodnie z art. 5 </w:t>
      </w:r>
      <w:r w:rsidR="00BC5303" w:rsidRPr="00CC04F8">
        <w:rPr>
          <w:rFonts w:ascii="Times New Roman" w:hAnsi="Times New Roman" w:cs="Times New Roman"/>
          <w:szCs w:val="24"/>
        </w:rPr>
        <w:t xml:space="preserve">tej </w:t>
      </w:r>
      <w:r w:rsidRPr="00CC04F8">
        <w:rPr>
          <w:rFonts w:ascii="Times New Roman" w:hAnsi="Times New Roman" w:cs="Times New Roman"/>
          <w:szCs w:val="24"/>
        </w:rPr>
        <w:t xml:space="preserve">ustawy oraz § 52 uchwały </w:t>
      </w:r>
      <w:r w:rsidR="002F6E1D" w:rsidRPr="00CC04F8">
        <w:rPr>
          <w:rFonts w:ascii="Times New Roman" w:hAnsi="Times New Roman" w:cs="Times New Roman"/>
          <w:szCs w:val="24"/>
        </w:rPr>
        <w:t>n</w:t>
      </w:r>
      <w:r w:rsidRPr="00CC04F8">
        <w:rPr>
          <w:rFonts w:ascii="Times New Roman" w:hAnsi="Times New Roman" w:cs="Times New Roman"/>
          <w:szCs w:val="24"/>
        </w:rPr>
        <w:t xml:space="preserve">r 190 Rady Ministrów z dnia 29 października 2013 r. </w:t>
      </w:r>
      <w:r w:rsidR="00117AE9" w:rsidRPr="00BC739E">
        <w:rPr>
          <w:rFonts w:cs="Times New Roman"/>
          <w:color w:val="000000" w:themeColor="text1"/>
          <w:szCs w:val="24"/>
        </w:rPr>
        <w:t>–</w:t>
      </w:r>
      <w:r w:rsidR="002F6E1D" w:rsidRPr="00CC04F8">
        <w:rPr>
          <w:rFonts w:ascii="Times New Roman" w:hAnsi="Times New Roman" w:cs="Times New Roman"/>
          <w:szCs w:val="24"/>
        </w:rPr>
        <w:t xml:space="preserve"> </w:t>
      </w:r>
      <w:r w:rsidRPr="00CC04F8">
        <w:rPr>
          <w:rFonts w:ascii="Times New Roman" w:hAnsi="Times New Roman" w:cs="Times New Roman"/>
          <w:szCs w:val="24"/>
        </w:rPr>
        <w:t>Regulamin pracy Rady Ministrów (M.P. z 2016 r. poz. 1006</w:t>
      </w:r>
      <w:r w:rsidR="008D777F" w:rsidRPr="00CC04F8">
        <w:rPr>
          <w:rFonts w:ascii="Times New Roman" w:hAnsi="Times New Roman" w:cs="Times New Roman"/>
          <w:szCs w:val="24"/>
        </w:rPr>
        <w:t>, z późn. zm.</w:t>
      </w:r>
      <w:r w:rsidRPr="00CC04F8">
        <w:rPr>
          <w:rFonts w:ascii="Times New Roman" w:hAnsi="Times New Roman" w:cs="Times New Roman"/>
          <w:szCs w:val="24"/>
        </w:rPr>
        <w:t xml:space="preserve">), projekt rozporządzenia </w:t>
      </w:r>
      <w:r w:rsidR="00590D79" w:rsidRPr="00CC04F8">
        <w:rPr>
          <w:rFonts w:ascii="Times New Roman" w:hAnsi="Times New Roman" w:cs="Times New Roman"/>
          <w:szCs w:val="24"/>
        </w:rPr>
        <w:t xml:space="preserve">zostanie </w:t>
      </w:r>
      <w:r w:rsidRPr="00CC04F8">
        <w:rPr>
          <w:rFonts w:ascii="Times New Roman" w:hAnsi="Times New Roman" w:cs="Times New Roman"/>
          <w:szCs w:val="24"/>
        </w:rPr>
        <w:t>udostępniony w</w:t>
      </w:r>
      <w:r w:rsidR="005116EB">
        <w:rPr>
          <w:rFonts w:ascii="Times New Roman" w:hAnsi="Times New Roman" w:cs="Times New Roman"/>
          <w:szCs w:val="24"/>
        </w:rPr>
        <w:t> </w:t>
      </w:r>
      <w:r w:rsidRPr="00CC04F8">
        <w:rPr>
          <w:rFonts w:ascii="Times New Roman" w:hAnsi="Times New Roman" w:cs="Times New Roman"/>
          <w:szCs w:val="24"/>
        </w:rPr>
        <w:t xml:space="preserve">Biuletynie Informacji Publicznej na stronie podmiotowej </w:t>
      </w:r>
      <w:r w:rsidR="00B2234D" w:rsidRPr="00CC04F8">
        <w:rPr>
          <w:rFonts w:ascii="Times New Roman" w:hAnsi="Times New Roman" w:cs="Times New Roman"/>
          <w:szCs w:val="24"/>
        </w:rPr>
        <w:t>Rządowego Centrum Legislacji, w </w:t>
      </w:r>
      <w:r w:rsidRPr="00CC04F8">
        <w:rPr>
          <w:rFonts w:ascii="Times New Roman" w:hAnsi="Times New Roman" w:cs="Times New Roman"/>
          <w:szCs w:val="24"/>
        </w:rPr>
        <w:t>serwisie Rządowy Proces Legislacyjny.</w:t>
      </w:r>
    </w:p>
    <w:p w14:paraId="56EAC016" w14:textId="77777777" w:rsidR="004D6F61" w:rsidRDefault="00BC5303" w:rsidP="007D3F15">
      <w:pPr>
        <w:spacing w:before="120" w:after="120"/>
        <w:rPr>
          <w:rFonts w:cs="Times New Roman"/>
          <w:szCs w:val="24"/>
        </w:rPr>
      </w:pPr>
      <w:r w:rsidRPr="00CC04F8">
        <w:rPr>
          <w:rFonts w:cs="Times New Roman"/>
          <w:szCs w:val="24"/>
        </w:rPr>
        <w:t>Zawarte w projekcie regulacje nie będą miały wpływu na działalność mikroprzedsiębiorców, małych i średnich przedsiębiorców, o których mowa w ustawie z dnia 6 marca 2018 r. – Prawo przedsiębiorców (Dz. U. z 2021 r. poz. 162).</w:t>
      </w:r>
    </w:p>
    <w:p w14:paraId="06D7DFD7" w14:textId="77777777" w:rsidR="003E2469" w:rsidRPr="007D3F15" w:rsidRDefault="003E2469" w:rsidP="007D3F15">
      <w:pPr>
        <w:spacing w:before="120" w:after="120"/>
        <w:rPr>
          <w:rFonts w:cs="Times New Roman"/>
          <w:szCs w:val="24"/>
        </w:rPr>
      </w:pPr>
      <w:r w:rsidRPr="00CC04F8">
        <w:rPr>
          <w:rFonts w:cs="Times New Roman"/>
          <w:szCs w:val="24"/>
        </w:rPr>
        <w:t>Projekt rozporządzenia jest zgodny z prawem Unii Europejskiej.</w:t>
      </w:r>
    </w:p>
    <w:sectPr w:rsidR="003E2469" w:rsidRPr="007D3F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1DC6C" w14:textId="77777777" w:rsidR="00B3250A" w:rsidRDefault="00B3250A" w:rsidP="00BE4C8A">
      <w:pPr>
        <w:spacing w:line="240" w:lineRule="auto"/>
      </w:pPr>
      <w:r>
        <w:separator/>
      </w:r>
    </w:p>
  </w:endnote>
  <w:endnote w:type="continuationSeparator" w:id="0">
    <w:p w14:paraId="3B6709B9" w14:textId="77777777" w:rsidR="00B3250A" w:rsidRDefault="00B3250A" w:rsidP="00BE4C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7A4CE" w14:textId="77777777" w:rsidR="00B3250A" w:rsidRDefault="00B3250A" w:rsidP="00BE4C8A">
      <w:pPr>
        <w:spacing w:line="240" w:lineRule="auto"/>
      </w:pPr>
      <w:r>
        <w:separator/>
      </w:r>
    </w:p>
  </w:footnote>
  <w:footnote w:type="continuationSeparator" w:id="0">
    <w:p w14:paraId="44E40786" w14:textId="77777777" w:rsidR="00B3250A" w:rsidRDefault="00B3250A" w:rsidP="00BE4C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E23E8"/>
    <w:multiLevelType w:val="hybridMultilevel"/>
    <w:tmpl w:val="8B8873CE"/>
    <w:lvl w:ilvl="0" w:tplc="99AAB7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0C"/>
    <w:rsid w:val="00001BEE"/>
    <w:rsid w:val="000162F3"/>
    <w:rsid w:val="000176B0"/>
    <w:rsid w:val="00024D11"/>
    <w:rsid w:val="00025A2F"/>
    <w:rsid w:val="000278B5"/>
    <w:rsid w:val="00046B5E"/>
    <w:rsid w:val="00052646"/>
    <w:rsid w:val="00054591"/>
    <w:rsid w:val="00054C83"/>
    <w:rsid w:val="00060763"/>
    <w:rsid w:val="0007321F"/>
    <w:rsid w:val="00083273"/>
    <w:rsid w:val="000852C8"/>
    <w:rsid w:val="00092D0A"/>
    <w:rsid w:val="00095366"/>
    <w:rsid w:val="0009620A"/>
    <w:rsid w:val="000B1C2C"/>
    <w:rsid w:val="000B6C3E"/>
    <w:rsid w:val="000B752A"/>
    <w:rsid w:val="000C462E"/>
    <w:rsid w:val="000C5346"/>
    <w:rsid w:val="000D454C"/>
    <w:rsid w:val="000D57F2"/>
    <w:rsid w:val="000E16E9"/>
    <w:rsid w:val="000E376E"/>
    <w:rsid w:val="000E3F52"/>
    <w:rsid w:val="000E5E74"/>
    <w:rsid w:val="000F2C44"/>
    <w:rsid w:val="000F493E"/>
    <w:rsid w:val="000F79FE"/>
    <w:rsid w:val="00101CAE"/>
    <w:rsid w:val="00102EF9"/>
    <w:rsid w:val="0011139B"/>
    <w:rsid w:val="00117AE9"/>
    <w:rsid w:val="00121DD6"/>
    <w:rsid w:val="00124351"/>
    <w:rsid w:val="00137229"/>
    <w:rsid w:val="00154016"/>
    <w:rsid w:val="00156DE5"/>
    <w:rsid w:val="00166C14"/>
    <w:rsid w:val="001770F4"/>
    <w:rsid w:val="001810A4"/>
    <w:rsid w:val="00190EB4"/>
    <w:rsid w:val="001A2738"/>
    <w:rsid w:val="001A415A"/>
    <w:rsid w:val="001A5803"/>
    <w:rsid w:val="001B2124"/>
    <w:rsid w:val="001B3BB3"/>
    <w:rsid w:val="001C248E"/>
    <w:rsid w:val="001D4841"/>
    <w:rsid w:val="001D6F8C"/>
    <w:rsid w:val="001E53C5"/>
    <w:rsid w:val="001E5420"/>
    <w:rsid w:val="001E5F1F"/>
    <w:rsid w:val="001F4E84"/>
    <w:rsid w:val="001F6AF2"/>
    <w:rsid w:val="0021102F"/>
    <w:rsid w:val="00211077"/>
    <w:rsid w:val="00211AD2"/>
    <w:rsid w:val="0022454D"/>
    <w:rsid w:val="00224841"/>
    <w:rsid w:val="0023260D"/>
    <w:rsid w:val="002529F0"/>
    <w:rsid w:val="00262539"/>
    <w:rsid w:val="002626FC"/>
    <w:rsid w:val="00266256"/>
    <w:rsid w:val="002758F8"/>
    <w:rsid w:val="0029042A"/>
    <w:rsid w:val="00296F44"/>
    <w:rsid w:val="002A1630"/>
    <w:rsid w:val="002A2469"/>
    <w:rsid w:val="002A31BC"/>
    <w:rsid w:val="002A7394"/>
    <w:rsid w:val="002B0F39"/>
    <w:rsid w:val="002B44FD"/>
    <w:rsid w:val="002B6FA4"/>
    <w:rsid w:val="002C5D2B"/>
    <w:rsid w:val="002D5D03"/>
    <w:rsid w:val="002D746E"/>
    <w:rsid w:val="002E4563"/>
    <w:rsid w:val="002E4C48"/>
    <w:rsid w:val="002F6E1D"/>
    <w:rsid w:val="003028A3"/>
    <w:rsid w:val="00305413"/>
    <w:rsid w:val="00312059"/>
    <w:rsid w:val="00317FF0"/>
    <w:rsid w:val="003303F6"/>
    <w:rsid w:val="0035799B"/>
    <w:rsid w:val="0036573E"/>
    <w:rsid w:val="00371DC9"/>
    <w:rsid w:val="00372250"/>
    <w:rsid w:val="00393154"/>
    <w:rsid w:val="003946F6"/>
    <w:rsid w:val="00396AA5"/>
    <w:rsid w:val="003A3D06"/>
    <w:rsid w:val="003A5F84"/>
    <w:rsid w:val="003A64A5"/>
    <w:rsid w:val="003C038E"/>
    <w:rsid w:val="003C12BB"/>
    <w:rsid w:val="003D0A45"/>
    <w:rsid w:val="003D76FA"/>
    <w:rsid w:val="003E19E8"/>
    <w:rsid w:val="003E2469"/>
    <w:rsid w:val="003E41E4"/>
    <w:rsid w:val="003E53F6"/>
    <w:rsid w:val="003F4FB4"/>
    <w:rsid w:val="00402793"/>
    <w:rsid w:val="00410CF0"/>
    <w:rsid w:val="004219E2"/>
    <w:rsid w:val="00421FF0"/>
    <w:rsid w:val="00442974"/>
    <w:rsid w:val="00451CA3"/>
    <w:rsid w:val="00453A7A"/>
    <w:rsid w:val="00460F94"/>
    <w:rsid w:val="004769B9"/>
    <w:rsid w:val="00490359"/>
    <w:rsid w:val="00492828"/>
    <w:rsid w:val="00492C55"/>
    <w:rsid w:val="0049699D"/>
    <w:rsid w:val="004A61EC"/>
    <w:rsid w:val="004B0516"/>
    <w:rsid w:val="004B4D69"/>
    <w:rsid w:val="004B67DB"/>
    <w:rsid w:val="004C1919"/>
    <w:rsid w:val="004C1D17"/>
    <w:rsid w:val="004C4225"/>
    <w:rsid w:val="004D6F61"/>
    <w:rsid w:val="004E4DFA"/>
    <w:rsid w:val="004E7AFD"/>
    <w:rsid w:val="004F4230"/>
    <w:rsid w:val="004F5F27"/>
    <w:rsid w:val="004F6536"/>
    <w:rsid w:val="00503B8C"/>
    <w:rsid w:val="005042A6"/>
    <w:rsid w:val="0051148D"/>
    <w:rsid w:val="00511491"/>
    <w:rsid w:val="005116EB"/>
    <w:rsid w:val="00514188"/>
    <w:rsid w:val="00520359"/>
    <w:rsid w:val="0052469C"/>
    <w:rsid w:val="00532D4A"/>
    <w:rsid w:val="00533E1F"/>
    <w:rsid w:val="005370EC"/>
    <w:rsid w:val="00546E97"/>
    <w:rsid w:val="005515FB"/>
    <w:rsid w:val="00562F37"/>
    <w:rsid w:val="00566800"/>
    <w:rsid w:val="005702C9"/>
    <w:rsid w:val="0057437C"/>
    <w:rsid w:val="00575BA7"/>
    <w:rsid w:val="00590D79"/>
    <w:rsid w:val="005A410C"/>
    <w:rsid w:val="005A74D3"/>
    <w:rsid w:val="005B24A6"/>
    <w:rsid w:val="005B4298"/>
    <w:rsid w:val="005B6399"/>
    <w:rsid w:val="005D0149"/>
    <w:rsid w:val="005D5C10"/>
    <w:rsid w:val="005E1A27"/>
    <w:rsid w:val="006069A0"/>
    <w:rsid w:val="00610098"/>
    <w:rsid w:val="006113CA"/>
    <w:rsid w:val="00615BEA"/>
    <w:rsid w:val="00637726"/>
    <w:rsid w:val="006419CE"/>
    <w:rsid w:val="00641D14"/>
    <w:rsid w:val="0064784B"/>
    <w:rsid w:val="006548BF"/>
    <w:rsid w:val="006607D0"/>
    <w:rsid w:val="00665B78"/>
    <w:rsid w:val="0067167C"/>
    <w:rsid w:val="0067220A"/>
    <w:rsid w:val="00673CDB"/>
    <w:rsid w:val="00687D1C"/>
    <w:rsid w:val="0069066E"/>
    <w:rsid w:val="00690CF8"/>
    <w:rsid w:val="0069783E"/>
    <w:rsid w:val="006A5BB4"/>
    <w:rsid w:val="006A7568"/>
    <w:rsid w:val="006B3F1D"/>
    <w:rsid w:val="006C15A6"/>
    <w:rsid w:val="006C24C3"/>
    <w:rsid w:val="006D5B0D"/>
    <w:rsid w:val="006E15B9"/>
    <w:rsid w:val="006E3D44"/>
    <w:rsid w:val="006E5734"/>
    <w:rsid w:val="006E7E7D"/>
    <w:rsid w:val="006F74D3"/>
    <w:rsid w:val="00700E72"/>
    <w:rsid w:val="00710765"/>
    <w:rsid w:val="00714A4A"/>
    <w:rsid w:val="007178D8"/>
    <w:rsid w:val="007329C0"/>
    <w:rsid w:val="0074592B"/>
    <w:rsid w:val="007517C3"/>
    <w:rsid w:val="00755D3E"/>
    <w:rsid w:val="0075767C"/>
    <w:rsid w:val="00761D31"/>
    <w:rsid w:val="00765BEB"/>
    <w:rsid w:val="00765F48"/>
    <w:rsid w:val="00772EE8"/>
    <w:rsid w:val="00776247"/>
    <w:rsid w:val="007773F2"/>
    <w:rsid w:val="0079152C"/>
    <w:rsid w:val="00791625"/>
    <w:rsid w:val="00795F8F"/>
    <w:rsid w:val="007A596B"/>
    <w:rsid w:val="007A5DEC"/>
    <w:rsid w:val="007A5F3F"/>
    <w:rsid w:val="007A6523"/>
    <w:rsid w:val="007B4C04"/>
    <w:rsid w:val="007B51A2"/>
    <w:rsid w:val="007B54D4"/>
    <w:rsid w:val="007D1C7F"/>
    <w:rsid w:val="007D3F15"/>
    <w:rsid w:val="007F5D86"/>
    <w:rsid w:val="00804AB8"/>
    <w:rsid w:val="00814BAC"/>
    <w:rsid w:val="00815386"/>
    <w:rsid w:val="00822528"/>
    <w:rsid w:val="00824F9F"/>
    <w:rsid w:val="008261B6"/>
    <w:rsid w:val="00836DAC"/>
    <w:rsid w:val="008374D0"/>
    <w:rsid w:val="00837801"/>
    <w:rsid w:val="00851EAD"/>
    <w:rsid w:val="008569A2"/>
    <w:rsid w:val="008579C5"/>
    <w:rsid w:val="00870616"/>
    <w:rsid w:val="0087274A"/>
    <w:rsid w:val="008926B8"/>
    <w:rsid w:val="008A022D"/>
    <w:rsid w:val="008B41C8"/>
    <w:rsid w:val="008B6E9A"/>
    <w:rsid w:val="008C5E23"/>
    <w:rsid w:val="008D2A76"/>
    <w:rsid w:val="008D777F"/>
    <w:rsid w:val="008E3802"/>
    <w:rsid w:val="00901825"/>
    <w:rsid w:val="009142FC"/>
    <w:rsid w:val="00923579"/>
    <w:rsid w:val="009305B8"/>
    <w:rsid w:val="0093168F"/>
    <w:rsid w:val="0095119A"/>
    <w:rsid w:val="009549B2"/>
    <w:rsid w:val="00963F79"/>
    <w:rsid w:val="00970C66"/>
    <w:rsid w:val="0098247E"/>
    <w:rsid w:val="00985E21"/>
    <w:rsid w:val="00987030"/>
    <w:rsid w:val="00991361"/>
    <w:rsid w:val="00994E28"/>
    <w:rsid w:val="009A2A7E"/>
    <w:rsid w:val="009A7F76"/>
    <w:rsid w:val="009B1318"/>
    <w:rsid w:val="009B464B"/>
    <w:rsid w:val="009B7918"/>
    <w:rsid w:val="009C1342"/>
    <w:rsid w:val="009C46CE"/>
    <w:rsid w:val="009C6260"/>
    <w:rsid w:val="009D4C09"/>
    <w:rsid w:val="009E4B07"/>
    <w:rsid w:val="009F26C1"/>
    <w:rsid w:val="00A01B05"/>
    <w:rsid w:val="00A0578F"/>
    <w:rsid w:val="00A11880"/>
    <w:rsid w:val="00A12469"/>
    <w:rsid w:val="00A16996"/>
    <w:rsid w:val="00A17C9C"/>
    <w:rsid w:val="00A20524"/>
    <w:rsid w:val="00A22B9A"/>
    <w:rsid w:val="00A36B45"/>
    <w:rsid w:val="00A37501"/>
    <w:rsid w:val="00A40427"/>
    <w:rsid w:val="00A432B2"/>
    <w:rsid w:val="00A43BB4"/>
    <w:rsid w:val="00A46AAB"/>
    <w:rsid w:val="00A55B19"/>
    <w:rsid w:val="00A55FC1"/>
    <w:rsid w:val="00A561CC"/>
    <w:rsid w:val="00A72630"/>
    <w:rsid w:val="00A73DE9"/>
    <w:rsid w:val="00A743D1"/>
    <w:rsid w:val="00A767D2"/>
    <w:rsid w:val="00A81317"/>
    <w:rsid w:val="00A86D01"/>
    <w:rsid w:val="00A97C95"/>
    <w:rsid w:val="00AA1333"/>
    <w:rsid w:val="00AA5AA4"/>
    <w:rsid w:val="00AB2C49"/>
    <w:rsid w:val="00AB2FEA"/>
    <w:rsid w:val="00AC61C8"/>
    <w:rsid w:val="00AF1BCB"/>
    <w:rsid w:val="00AF6FEC"/>
    <w:rsid w:val="00B12D0D"/>
    <w:rsid w:val="00B16D9F"/>
    <w:rsid w:val="00B2234D"/>
    <w:rsid w:val="00B3250A"/>
    <w:rsid w:val="00B43044"/>
    <w:rsid w:val="00B45CBF"/>
    <w:rsid w:val="00B5312C"/>
    <w:rsid w:val="00B53883"/>
    <w:rsid w:val="00B57407"/>
    <w:rsid w:val="00B66791"/>
    <w:rsid w:val="00B7387E"/>
    <w:rsid w:val="00B77ED1"/>
    <w:rsid w:val="00B87B6E"/>
    <w:rsid w:val="00B87FFA"/>
    <w:rsid w:val="00BB28D8"/>
    <w:rsid w:val="00BB6F43"/>
    <w:rsid w:val="00BC5303"/>
    <w:rsid w:val="00BC5861"/>
    <w:rsid w:val="00BC739E"/>
    <w:rsid w:val="00BD01D7"/>
    <w:rsid w:val="00BD096D"/>
    <w:rsid w:val="00BD6132"/>
    <w:rsid w:val="00BD6BDC"/>
    <w:rsid w:val="00BE03B8"/>
    <w:rsid w:val="00BE132B"/>
    <w:rsid w:val="00BE4C8A"/>
    <w:rsid w:val="00BE7C1F"/>
    <w:rsid w:val="00BF2FAB"/>
    <w:rsid w:val="00BF5738"/>
    <w:rsid w:val="00C057EE"/>
    <w:rsid w:val="00C20B3F"/>
    <w:rsid w:val="00C30E25"/>
    <w:rsid w:val="00C31C9F"/>
    <w:rsid w:val="00C34854"/>
    <w:rsid w:val="00C353AC"/>
    <w:rsid w:val="00C44519"/>
    <w:rsid w:val="00C61206"/>
    <w:rsid w:val="00C66A9F"/>
    <w:rsid w:val="00C7565B"/>
    <w:rsid w:val="00C8351A"/>
    <w:rsid w:val="00C84EA5"/>
    <w:rsid w:val="00C87383"/>
    <w:rsid w:val="00C877C9"/>
    <w:rsid w:val="00C92F1C"/>
    <w:rsid w:val="00C93C15"/>
    <w:rsid w:val="00CB0F1E"/>
    <w:rsid w:val="00CB7BDC"/>
    <w:rsid w:val="00CC04F8"/>
    <w:rsid w:val="00CC35F5"/>
    <w:rsid w:val="00CC6B75"/>
    <w:rsid w:val="00CC7C02"/>
    <w:rsid w:val="00CD2D90"/>
    <w:rsid w:val="00CD49EB"/>
    <w:rsid w:val="00CD7FF3"/>
    <w:rsid w:val="00CE17C1"/>
    <w:rsid w:val="00CF53B7"/>
    <w:rsid w:val="00D00658"/>
    <w:rsid w:val="00D0143A"/>
    <w:rsid w:val="00D22273"/>
    <w:rsid w:val="00D34D28"/>
    <w:rsid w:val="00D431A2"/>
    <w:rsid w:val="00D44043"/>
    <w:rsid w:val="00D44482"/>
    <w:rsid w:val="00D71AC7"/>
    <w:rsid w:val="00D72038"/>
    <w:rsid w:val="00D732D8"/>
    <w:rsid w:val="00D73C77"/>
    <w:rsid w:val="00D93A7B"/>
    <w:rsid w:val="00D947A2"/>
    <w:rsid w:val="00D97D7F"/>
    <w:rsid w:val="00DA65A8"/>
    <w:rsid w:val="00DC5319"/>
    <w:rsid w:val="00DD1A79"/>
    <w:rsid w:val="00DD4313"/>
    <w:rsid w:val="00DD58E2"/>
    <w:rsid w:val="00DE115E"/>
    <w:rsid w:val="00DE50E5"/>
    <w:rsid w:val="00DF58AF"/>
    <w:rsid w:val="00DF64E6"/>
    <w:rsid w:val="00E02CF2"/>
    <w:rsid w:val="00E10A72"/>
    <w:rsid w:val="00E10E38"/>
    <w:rsid w:val="00E130C5"/>
    <w:rsid w:val="00E16B75"/>
    <w:rsid w:val="00E258A7"/>
    <w:rsid w:val="00E42060"/>
    <w:rsid w:val="00E43461"/>
    <w:rsid w:val="00E4790C"/>
    <w:rsid w:val="00E479C0"/>
    <w:rsid w:val="00E75C80"/>
    <w:rsid w:val="00E86325"/>
    <w:rsid w:val="00E90A2B"/>
    <w:rsid w:val="00E93F45"/>
    <w:rsid w:val="00EA0981"/>
    <w:rsid w:val="00EA1C76"/>
    <w:rsid w:val="00EA3E7A"/>
    <w:rsid w:val="00EC56FB"/>
    <w:rsid w:val="00ED0812"/>
    <w:rsid w:val="00EE31E7"/>
    <w:rsid w:val="00EF1A46"/>
    <w:rsid w:val="00EF564D"/>
    <w:rsid w:val="00F0281C"/>
    <w:rsid w:val="00F14036"/>
    <w:rsid w:val="00F14108"/>
    <w:rsid w:val="00F14B66"/>
    <w:rsid w:val="00F15D2D"/>
    <w:rsid w:val="00F26D39"/>
    <w:rsid w:val="00F403C7"/>
    <w:rsid w:val="00F40A9B"/>
    <w:rsid w:val="00F43C5D"/>
    <w:rsid w:val="00F51B18"/>
    <w:rsid w:val="00F66EFD"/>
    <w:rsid w:val="00F806FA"/>
    <w:rsid w:val="00F834B0"/>
    <w:rsid w:val="00F902C8"/>
    <w:rsid w:val="00F9725F"/>
    <w:rsid w:val="00FA2890"/>
    <w:rsid w:val="00FA4D47"/>
    <w:rsid w:val="00FA5283"/>
    <w:rsid w:val="00FB2DBC"/>
    <w:rsid w:val="00FB35C3"/>
    <w:rsid w:val="00FB5A70"/>
    <w:rsid w:val="00FB6F37"/>
    <w:rsid w:val="00FC33F0"/>
    <w:rsid w:val="00FC37FC"/>
    <w:rsid w:val="00FD3D4F"/>
    <w:rsid w:val="00FE3871"/>
    <w:rsid w:val="00FE47E1"/>
    <w:rsid w:val="00FE6645"/>
    <w:rsid w:val="00FF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5A4F4"/>
  <w15:docId w15:val="{E5C91319-CD17-4C54-A126-39BB7275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90C"/>
    <w:pPr>
      <w:widowControl w:val="0"/>
      <w:autoSpaceDE w:val="0"/>
      <w:autoSpaceDN w:val="0"/>
      <w:adjustRightInd w:val="0"/>
      <w:spacing w:after="0" w:line="360" w:lineRule="auto"/>
      <w:jc w:val="both"/>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ZNRODZAKTUtznustawalubrozporzdzenieiorganwydajcyZnak">
    <w:name w:val="OZN_RODZ_AKTU – tzn. ustawa lub rozporządzenie i organ wydający Znak"/>
    <w:link w:val="OZNRODZAKTUtznustawalubrozporzdzenieiorganwydajcy"/>
    <w:uiPriority w:val="1"/>
    <w:locked/>
    <w:rsid w:val="00E4790C"/>
    <w:rPr>
      <w:rFonts w:ascii="Times" w:eastAsia="Times New Roman" w:hAnsi="Times" w:cs="Times New Roman"/>
      <w:b/>
      <w:bCs/>
      <w:caps/>
      <w:spacing w:val="54"/>
      <w:kern w:val="24"/>
      <w:sz w:val="24"/>
      <w:szCs w:val="24"/>
      <w:lang w:eastAsia="pl-PL"/>
    </w:rPr>
  </w:style>
  <w:style w:type="paragraph" w:customStyle="1" w:styleId="OZNRODZAKTUtznustawalubrozporzdzenieiorganwydajcy">
    <w:name w:val="OZN_RODZ_AKTU – tzn. ustawa lub rozporządzenie i organ wydający"/>
    <w:next w:val="Normalny"/>
    <w:link w:val="OZNRODZAKTUtznustawalubrozporzdzenieiorganwydajcyZnak"/>
    <w:uiPriority w:val="1"/>
    <w:qFormat/>
    <w:rsid w:val="00E4790C"/>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styleId="Tekstprzypisukocowego">
    <w:name w:val="endnote text"/>
    <w:basedOn w:val="Normalny"/>
    <w:link w:val="TekstprzypisukocowegoZnak"/>
    <w:uiPriority w:val="99"/>
    <w:semiHidden/>
    <w:unhideWhenUsed/>
    <w:rsid w:val="00BE4C8A"/>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BE4C8A"/>
    <w:rPr>
      <w:rFonts w:ascii="Times New Roman" w:eastAsia="Times New Roman" w:hAnsi="Times New Roman" w:cs="Arial"/>
      <w:sz w:val="20"/>
      <w:szCs w:val="20"/>
      <w:lang w:eastAsia="pl-PL"/>
    </w:rPr>
  </w:style>
  <w:style w:type="character" w:styleId="Odwoanieprzypisukocowego">
    <w:name w:val="endnote reference"/>
    <w:basedOn w:val="Domylnaczcionkaakapitu"/>
    <w:uiPriority w:val="99"/>
    <w:semiHidden/>
    <w:unhideWhenUsed/>
    <w:rsid w:val="00BE4C8A"/>
    <w:rPr>
      <w:vertAlign w:val="superscript"/>
    </w:rPr>
  </w:style>
  <w:style w:type="paragraph" w:styleId="Tekstdymka">
    <w:name w:val="Balloon Text"/>
    <w:basedOn w:val="Normalny"/>
    <w:link w:val="TekstdymkaZnak"/>
    <w:uiPriority w:val="99"/>
    <w:semiHidden/>
    <w:unhideWhenUsed/>
    <w:rsid w:val="003A64A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64A5"/>
    <w:rPr>
      <w:rFonts w:ascii="Tahoma" w:eastAsia="Times New Roman" w:hAnsi="Tahoma" w:cs="Tahoma"/>
      <w:sz w:val="16"/>
      <w:szCs w:val="16"/>
      <w:lang w:eastAsia="pl-PL"/>
    </w:rPr>
  </w:style>
  <w:style w:type="paragraph" w:customStyle="1" w:styleId="PKTpunkt">
    <w:name w:val="PKT – punkt"/>
    <w:uiPriority w:val="13"/>
    <w:qFormat/>
    <w:rsid w:val="002D5D03"/>
    <w:pPr>
      <w:spacing w:after="0" w:line="360" w:lineRule="auto"/>
      <w:ind w:left="510" w:hanging="510"/>
      <w:jc w:val="both"/>
    </w:pPr>
    <w:rPr>
      <w:rFonts w:ascii="Times" w:eastAsiaTheme="minorEastAsia" w:hAnsi="Times" w:cs="Arial"/>
      <w:bCs/>
      <w:sz w:val="24"/>
      <w:szCs w:val="20"/>
      <w:lang w:eastAsia="pl-PL"/>
    </w:rPr>
  </w:style>
  <w:style w:type="character" w:styleId="Pogrubienie">
    <w:name w:val="Strong"/>
    <w:basedOn w:val="Domylnaczcionkaakapitu"/>
    <w:qFormat/>
    <w:rsid w:val="002D5D03"/>
    <w:rPr>
      <w:b/>
      <w:bCs/>
    </w:rPr>
  </w:style>
  <w:style w:type="character" w:customStyle="1" w:styleId="Ppogrubienie">
    <w:name w:val="_P_ – pogrubienie"/>
    <w:basedOn w:val="Domylnaczcionkaakapitu"/>
    <w:uiPriority w:val="1"/>
    <w:qFormat/>
    <w:rsid w:val="00BE7C1F"/>
    <w:rPr>
      <w:b/>
    </w:rPr>
  </w:style>
  <w:style w:type="paragraph" w:customStyle="1" w:styleId="ARTartustawynprozporzdzenia">
    <w:name w:val="ART(§) – art. ustawy (§ np. rozporządzenia)"/>
    <w:uiPriority w:val="11"/>
    <w:qFormat/>
    <w:rsid w:val="003E2469"/>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styleId="Odwoaniedokomentarza">
    <w:name w:val="annotation reference"/>
    <w:basedOn w:val="Domylnaczcionkaakapitu"/>
    <w:uiPriority w:val="99"/>
    <w:semiHidden/>
    <w:unhideWhenUsed/>
    <w:rsid w:val="0035799B"/>
    <w:rPr>
      <w:sz w:val="16"/>
      <w:szCs w:val="16"/>
    </w:rPr>
  </w:style>
  <w:style w:type="paragraph" w:styleId="Tekstkomentarza">
    <w:name w:val="annotation text"/>
    <w:basedOn w:val="Normalny"/>
    <w:link w:val="TekstkomentarzaZnak"/>
    <w:uiPriority w:val="99"/>
    <w:unhideWhenUsed/>
    <w:rsid w:val="0035799B"/>
    <w:pPr>
      <w:spacing w:line="240" w:lineRule="auto"/>
    </w:pPr>
    <w:rPr>
      <w:sz w:val="20"/>
    </w:rPr>
  </w:style>
  <w:style w:type="character" w:customStyle="1" w:styleId="TekstkomentarzaZnak">
    <w:name w:val="Tekst komentarza Znak"/>
    <w:basedOn w:val="Domylnaczcionkaakapitu"/>
    <w:link w:val="Tekstkomentarza"/>
    <w:uiPriority w:val="99"/>
    <w:semiHidden/>
    <w:rsid w:val="0035799B"/>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35799B"/>
    <w:rPr>
      <w:b/>
      <w:bCs/>
    </w:rPr>
  </w:style>
  <w:style w:type="character" w:customStyle="1" w:styleId="TematkomentarzaZnak">
    <w:name w:val="Temat komentarza Znak"/>
    <w:basedOn w:val="TekstkomentarzaZnak"/>
    <w:link w:val="Tematkomentarza"/>
    <w:uiPriority w:val="99"/>
    <w:semiHidden/>
    <w:rsid w:val="0035799B"/>
    <w:rPr>
      <w:rFonts w:ascii="Times New Roman" w:eastAsia="Times New Roman" w:hAnsi="Times New Roman" w:cs="Arial"/>
      <w:b/>
      <w:bCs/>
      <w:sz w:val="20"/>
      <w:szCs w:val="20"/>
      <w:lang w:eastAsia="pl-PL"/>
    </w:rPr>
  </w:style>
  <w:style w:type="character" w:styleId="Odwoanieprzypisudolnego">
    <w:name w:val="footnote reference"/>
    <w:aliases w:val="OZNAKA OPOMBE,FZ,number,SUPERS,Footnote Reference Superscript,BVI fnr,Footnote symbol,Footnote,(Footnote Reference),Footnote reference number,note TESI,EN Footnote Reference,Voetnootverwijzing,Times 10 Point,Exposant 3 Point"/>
    <w:uiPriority w:val="99"/>
    <w:semiHidden/>
    <w:rsid w:val="00714A4A"/>
    <w:rPr>
      <w:rFonts w:cs="Times New Roman"/>
      <w:vertAlign w:val="superscript"/>
    </w:rPr>
  </w:style>
  <w:style w:type="paragraph" w:customStyle="1" w:styleId="ODNONIKtreodnonika">
    <w:name w:val="ODNOŚNIK – treść odnośnika"/>
    <w:uiPriority w:val="19"/>
    <w:qFormat/>
    <w:rsid w:val="00714A4A"/>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IIGindeksgrnyindeksugrnego">
    <w:name w:val="_IIG_ – indeks górny indeksu górnego"/>
    <w:basedOn w:val="Domylnaczcionkaakapitu"/>
    <w:uiPriority w:val="3"/>
    <w:qFormat/>
    <w:rsid w:val="00714A4A"/>
    <w:rPr>
      <w:b w:val="0"/>
      <w:i w:val="0"/>
      <w:vanish w:val="0"/>
      <w:spacing w:val="0"/>
      <w:position w:val="6"/>
      <w:vertAlign w:val="superscript"/>
    </w:rPr>
  </w:style>
  <w:style w:type="paragraph" w:styleId="Akapitzlist">
    <w:name w:val="List Paragraph"/>
    <w:basedOn w:val="Normalny"/>
    <w:uiPriority w:val="34"/>
    <w:qFormat/>
    <w:rsid w:val="00460F94"/>
    <w:pPr>
      <w:ind w:left="720"/>
      <w:contextualSpacing/>
    </w:pPr>
  </w:style>
  <w:style w:type="paragraph" w:customStyle="1" w:styleId="Default">
    <w:name w:val="Default"/>
    <w:rsid w:val="00F806FA"/>
    <w:pPr>
      <w:autoSpaceDE w:val="0"/>
      <w:autoSpaceDN w:val="0"/>
      <w:adjustRightInd w:val="0"/>
      <w:spacing w:after="0" w:line="240" w:lineRule="auto"/>
    </w:pPr>
    <w:rPr>
      <w:rFonts w:ascii="Times New Roman" w:hAnsi="Times New Roman" w:cs="Times New Roman"/>
      <w:color w:val="000000"/>
      <w:sz w:val="24"/>
      <w:szCs w:val="24"/>
    </w:rPr>
  </w:style>
  <w:style w:type="character" w:styleId="Tekstzastpczy">
    <w:name w:val="Placeholder Text"/>
    <w:basedOn w:val="Domylnaczcionkaakapitu"/>
    <w:uiPriority w:val="99"/>
    <w:semiHidden/>
    <w:rsid w:val="00562F37"/>
    <w:rPr>
      <w:color w:val="808080"/>
    </w:rPr>
  </w:style>
  <w:style w:type="character" w:customStyle="1" w:styleId="IDindeksdolny">
    <w:name w:val="_ID_ – indeks dolny"/>
    <w:basedOn w:val="Domylnaczcionkaakapitu"/>
    <w:uiPriority w:val="3"/>
    <w:qFormat/>
    <w:rsid w:val="00396AA5"/>
    <w:rPr>
      <w:b w:val="0"/>
      <w:i w:val="0"/>
      <w:vanish w:val="0"/>
      <w:spacing w:val="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35206-A9BF-42B5-AFD7-52DAFDD6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9730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Buchajski Paweł</dc:creator>
  <cp:keywords/>
  <dc:description/>
  <cp:lastModifiedBy>KGHM</cp:lastModifiedBy>
  <cp:revision>2</cp:revision>
  <cp:lastPrinted>2016-11-02T12:10:00Z</cp:lastPrinted>
  <dcterms:created xsi:type="dcterms:W3CDTF">2022-01-10T15:39:00Z</dcterms:created>
  <dcterms:modified xsi:type="dcterms:W3CDTF">2022-01-10T15:39:00Z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InformacjePrzeznaczoneWylacznieDoUzytkuWewnetrznego</vt:lpwstr>
  </property>
  <property fmtid="{D5CDD505-2E9C-101B-9397-08002B2CF9AE}" pid="3" name="MFClassifiedBy">
    <vt:lpwstr>MF\AMOT;Piskorz Małgorzata</vt:lpwstr>
  </property>
  <property fmtid="{D5CDD505-2E9C-101B-9397-08002B2CF9AE}" pid="4" name="MFClassificationDate">
    <vt:lpwstr>2021-12-28T15:01:24.7792805+01:00</vt:lpwstr>
  </property>
  <property fmtid="{D5CDD505-2E9C-101B-9397-08002B2CF9AE}" pid="5" name="MFClassifiedBySID">
    <vt:lpwstr>MF\S-1-5-21-1525952054-1005573771-2909822258-27804</vt:lpwstr>
  </property>
  <property fmtid="{D5CDD505-2E9C-101B-9397-08002B2CF9AE}" pid="6" name="MFGRNItemId">
    <vt:lpwstr>GRN-6bf57e8d-d3db-48bd-91e1-cd8701bbe246</vt:lpwstr>
  </property>
  <property fmtid="{D5CDD505-2E9C-101B-9397-08002B2CF9AE}" pid="7" name="MFHash">
    <vt:lpwstr>gvnw1u0jlz89D4am46LWCAdbP4Bx7d/TPTKHxhhRrpU=</vt:lpwstr>
  </property>
  <property fmtid="{D5CDD505-2E9C-101B-9397-08002B2CF9AE}" pid="8" name="DLPManualFileClassification">
    <vt:lpwstr>{5fdfc941-3fcf-4a5b-87be-4848800d39d0}</vt:lpwstr>
  </property>
  <property fmtid="{D5CDD505-2E9C-101B-9397-08002B2CF9AE}" pid="9" name="MFRefresh">
    <vt:lpwstr>False</vt:lpwstr>
  </property>
</Properties>
</file>