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1930"/>
        <w:gridCol w:w="53"/>
        <w:gridCol w:w="4265"/>
        <w:gridCol w:w="9"/>
      </w:tblGrid>
      <w:tr w:rsidR="00DB26FF" w:rsidRPr="00DB26FF" w:rsidTr="00857880">
        <w:trPr>
          <w:gridAfter w:val="1"/>
          <w:wAfter w:w="9" w:type="dxa"/>
          <w:trHeight w:val="1611"/>
        </w:trPr>
        <w:tc>
          <w:tcPr>
            <w:tcW w:w="6750" w:type="dxa"/>
            <w:gridSpan w:val="3"/>
          </w:tcPr>
          <w:p w:rsidR="00DB26FF" w:rsidRPr="00DB26FF" w:rsidRDefault="00DB26FF" w:rsidP="00DB26FF">
            <w:pPr>
              <w:spacing w:after="0" w:line="240" w:lineRule="auto"/>
              <w:rPr>
                <w:rFonts w:ascii="Times New Roman" w:eastAsia="Calibri" w:hAnsi="Times New Roman" w:cs="Times New Roman"/>
                <w:color w:val="000000"/>
              </w:rPr>
            </w:pPr>
            <w:bookmarkStart w:id="0" w:name="t1"/>
            <w:r w:rsidRPr="00DB26FF">
              <w:rPr>
                <w:rFonts w:ascii="Times New Roman" w:eastAsia="Calibri" w:hAnsi="Times New Roman" w:cs="Times New Roman"/>
                <w:b/>
                <w:color w:val="000000"/>
              </w:rPr>
              <w:t>Nazwa projektu</w:t>
            </w:r>
          </w:p>
          <w:p w:rsidR="007110CF" w:rsidRPr="007110CF" w:rsidRDefault="007110CF" w:rsidP="00DB26F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Rozporządzenie Ministra </w:t>
            </w:r>
            <w:r w:rsidRPr="007110CF">
              <w:rPr>
                <w:rFonts w:ascii="Times New Roman" w:eastAsia="Calibri" w:hAnsi="Times New Roman" w:cs="Times New Roman"/>
                <w:color w:val="000000"/>
              </w:rPr>
              <w:t>Rodziny i Polityki Społecznej</w:t>
            </w:r>
            <w:r>
              <w:rPr>
                <w:rFonts w:ascii="Times New Roman" w:eastAsia="Calibri" w:hAnsi="Times New Roman" w:cs="Times New Roman"/>
                <w:color w:val="000000"/>
              </w:rPr>
              <w:t xml:space="preserve"> </w:t>
            </w:r>
            <w:r w:rsidRPr="007110CF">
              <w:rPr>
                <w:rFonts w:ascii="Times New Roman" w:eastAsia="Calibri" w:hAnsi="Times New Roman" w:cs="Times New Roman"/>
                <w:color w:val="000000"/>
              </w:rPr>
              <w:t xml:space="preserve">zmieniające rozporządzenie w sprawie szczegółowych zasad ustalania podstawy wymiaru składek na ubezpieczenia emerytalne i rentowe </w:t>
            </w:r>
          </w:p>
          <w:p w:rsidR="007110CF" w:rsidRDefault="007110CF" w:rsidP="00DB26FF">
            <w:pPr>
              <w:spacing w:after="0" w:line="240" w:lineRule="auto"/>
              <w:rPr>
                <w:rFonts w:ascii="Times New Roman" w:eastAsia="Calibri" w:hAnsi="Times New Roman" w:cs="Times New Roman"/>
                <w:b/>
                <w:color w:val="000000"/>
              </w:rPr>
            </w:pPr>
          </w:p>
          <w:p w:rsidR="00DB26FF" w:rsidRPr="00DB26FF" w:rsidRDefault="00DB26FF" w:rsidP="00DB26FF">
            <w:pPr>
              <w:spacing w:after="0" w:line="240" w:lineRule="auto"/>
              <w:rPr>
                <w:rFonts w:ascii="Times New Roman" w:eastAsia="Calibri" w:hAnsi="Times New Roman" w:cs="Times New Roman"/>
                <w:b/>
                <w:color w:val="000000"/>
              </w:rPr>
            </w:pPr>
            <w:r w:rsidRPr="00DB26FF">
              <w:rPr>
                <w:rFonts w:ascii="Times New Roman" w:eastAsia="Calibri" w:hAnsi="Times New Roman" w:cs="Times New Roman"/>
                <w:b/>
                <w:color w:val="000000"/>
              </w:rPr>
              <w:t>Ministerstwo wiodące i ministerstwa współpracujące:</w:t>
            </w:r>
          </w:p>
          <w:bookmarkEnd w:id="0"/>
          <w:p w:rsidR="00DB26FF" w:rsidRPr="00DB26FF" w:rsidRDefault="00DB26FF" w:rsidP="00DB26F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t>Ministerstwo Rodziny i Polityki Społecznej</w:t>
            </w:r>
          </w:p>
          <w:p w:rsidR="00DB26FF" w:rsidRPr="00DB26FF" w:rsidRDefault="00DB26FF" w:rsidP="00DB26FF">
            <w:pPr>
              <w:spacing w:after="0" w:line="240" w:lineRule="auto"/>
              <w:rPr>
                <w:rFonts w:ascii="Times New Roman" w:eastAsia="Calibri" w:hAnsi="Times New Roman" w:cs="Times New Roman"/>
                <w:color w:val="000000"/>
              </w:rPr>
            </w:pPr>
          </w:p>
          <w:p w:rsidR="00DB26FF" w:rsidRPr="00DB26FF" w:rsidRDefault="00DB26FF" w:rsidP="00DB26FF">
            <w:pPr>
              <w:spacing w:after="0" w:line="240" w:lineRule="auto"/>
              <w:rPr>
                <w:rFonts w:ascii="Times New Roman" w:eastAsia="Calibri" w:hAnsi="Times New Roman" w:cs="Times New Roman"/>
                <w:b/>
              </w:rPr>
            </w:pPr>
            <w:r w:rsidRPr="00DB26FF">
              <w:rPr>
                <w:rFonts w:ascii="Times New Roman" w:eastAsia="Calibri" w:hAnsi="Times New Roman" w:cs="Times New Roman"/>
                <w:b/>
              </w:rPr>
              <w:t xml:space="preserve">Osoba odpowiedzialna za projekt w randze Ministra, </w:t>
            </w:r>
          </w:p>
          <w:p w:rsidR="00DB26FF" w:rsidRPr="00DB26FF" w:rsidRDefault="00DB26FF" w:rsidP="00DB26FF">
            <w:pPr>
              <w:spacing w:after="0" w:line="240" w:lineRule="auto"/>
              <w:rPr>
                <w:rFonts w:ascii="Times New Roman" w:eastAsia="Calibri" w:hAnsi="Times New Roman" w:cs="Times New Roman"/>
                <w:b/>
              </w:rPr>
            </w:pPr>
            <w:r w:rsidRPr="00DB26FF">
              <w:rPr>
                <w:rFonts w:ascii="Times New Roman" w:eastAsia="Calibri" w:hAnsi="Times New Roman" w:cs="Times New Roman"/>
                <w:b/>
              </w:rPr>
              <w:t xml:space="preserve">Sekretarza Stanu lub Podsekretarza Stanu: </w:t>
            </w:r>
          </w:p>
          <w:p w:rsidR="00DB26FF" w:rsidRPr="00DB26FF" w:rsidRDefault="00DB26FF" w:rsidP="00DB26F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t>Sekretarz Stanu –  Stanisław Szwed</w:t>
            </w:r>
          </w:p>
          <w:p w:rsidR="00DB26FF" w:rsidRPr="00DB26FF" w:rsidRDefault="00DB26FF" w:rsidP="00DB26FF">
            <w:pPr>
              <w:spacing w:after="0" w:line="240" w:lineRule="auto"/>
              <w:rPr>
                <w:rFonts w:ascii="Times New Roman" w:eastAsia="Calibri" w:hAnsi="Times New Roman" w:cs="Times New Roman"/>
                <w:color w:val="000000"/>
              </w:rPr>
            </w:pPr>
          </w:p>
          <w:p w:rsidR="00DB26FF" w:rsidRPr="00DB26FF" w:rsidRDefault="00DB26FF" w:rsidP="00DB26FF">
            <w:pPr>
              <w:spacing w:after="0" w:line="240" w:lineRule="auto"/>
              <w:rPr>
                <w:rFonts w:ascii="Times New Roman" w:eastAsia="Calibri" w:hAnsi="Times New Roman" w:cs="Times New Roman"/>
                <w:b/>
                <w:color w:val="000000"/>
              </w:rPr>
            </w:pPr>
            <w:r w:rsidRPr="00DB26FF">
              <w:rPr>
                <w:rFonts w:ascii="Times New Roman" w:eastAsia="Calibri" w:hAnsi="Times New Roman" w:cs="Times New Roman"/>
                <w:b/>
                <w:color w:val="000000"/>
              </w:rPr>
              <w:t>Kontakt do opiekuna merytorycznego projektu:</w:t>
            </w:r>
          </w:p>
          <w:p w:rsidR="00DB26FF" w:rsidRPr="00DB26FF" w:rsidRDefault="00DB26FF" w:rsidP="00DB26FF">
            <w:pPr>
              <w:spacing w:after="0" w:line="240" w:lineRule="auto"/>
              <w:rPr>
                <w:rFonts w:ascii="Times New Roman" w:eastAsia="Calibri" w:hAnsi="Times New Roman" w:cs="Times New Roman"/>
                <w:b/>
                <w:color w:val="000000"/>
              </w:rPr>
            </w:pPr>
            <w:r w:rsidRPr="00DB26FF">
              <w:rPr>
                <w:rFonts w:ascii="Times New Roman" w:eastAsia="Calibri" w:hAnsi="Times New Roman" w:cs="Times New Roman"/>
                <w:color w:val="000000"/>
              </w:rPr>
              <w:t xml:space="preserve">Departament Ubezpieczeń Społecznych – tel. 22 661 17 38 </w:t>
            </w:r>
          </w:p>
          <w:p w:rsidR="00DB26FF" w:rsidRPr="00DB26FF" w:rsidRDefault="00DB26FF" w:rsidP="00DB26FF">
            <w:pPr>
              <w:spacing w:after="0" w:line="240" w:lineRule="auto"/>
              <w:rPr>
                <w:rFonts w:ascii="Times New Roman" w:eastAsia="Calibri" w:hAnsi="Times New Roman" w:cs="Times New Roman"/>
                <w:b/>
                <w:color w:val="000000"/>
              </w:rPr>
            </w:pPr>
          </w:p>
        </w:tc>
        <w:tc>
          <w:tcPr>
            <w:tcW w:w="4318" w:type="dxa"/>
            <w:gridSpan w:val="2"/>
            <w:shd w:val="clear" w:color="auto" w:fill="FFFFFF"/>
          </w:tcPr>
          <w:p w:rsidR="00DB26FF" w:rsidRPr="00DB26FF" w:rsidRDefault="00634B34" w:rsidP="00DB26FF">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 xml:space="preserve">Data sporządzenia: </w:t>
            </w:r>
            <w:r w:rsidR="00451BDF">
              <w:rPr>
                <w:rFonts w:ascii="Times New Roman" w:eastAsia="Calibri" w:hAnsi="Times New Roman" w:cs="Times New Roman"/>
                <w:b/>
                <w:sz w:val="21"/>
                <w:szCs w:val="21"/>
              </w:rPr>
              <w:t>2</w:t>
            </w:r>
            <w:r w:rsidR="00CF6C43">
              <w:rPr>
                <w:rFonts w:ascii="Times New Roman" w:eastAsia="Calibri" w:hAnsi="Times New Roman" w:cs="Times New Roman"/>
                <w:b/>
                <w:sz w:val="21"/>
                <w:szCs w:val="21"/>
              </w:rPr>
              <w:t>7</w:t>
            </w:r>
            <w:r w:rsidR="00453162">
              <w:rPr>
                <w:rFonts w:ascii="Times New Roman" w:eastAsia="Calibri" w:hAnsi="Times New Roman" w:cs="Times New Roman"/>
                <w:b/>
                <w:sz w:val="21"/>
                <w:szCs w:val="21"/>
              </w:rPr>
              <w:t>.01.2022</w:t>
            </w:r>
            <w:r w:rsidR="00DB26FF" w:rsidRPr="00DB26FF">
              <w:rPr>
                <w:rFonts w:ascii="Times New Roman" w:eastAsia="Calibri" w:hAnsi="Times New Roman" w:cs="Times New Roman"/>
                <w:b/>
                <w:sz w:val="21"/>
                <w:szCs w:val="21"/>
              </w:rPr>
              <w:t>r.</w:t>
            </w:r>
            <w:r w:rsidR="00DB26FF" w:rsidRPr="00DB26FF">
              <w:rPr>
                <w:rFonts w:ascii="Times New Roman" w:eastAsia="Calibri" w:hAnsi="Times New Roman" w:cs="Times New Roman"/>
                <w:b/>
                <w:sz w:val="21"/>
                <w:szCs w:val="21"/>
              </w:rPr>
              <w:br/>
            </w:r>
          </w:p>
          <w:p w:rsidR="00DB26FF" w:rsidRPr="00DB26FF" w:rsidRDefault="00DB26FF" w:rsidP="00DB26FF">
            <w:pPr>
              <w:spacing w:after="0" w:line="240" w:lineRule="auto"/>
              <w:rPr>
                <w:rFonts w:ascii="Times New Roman" w:eastAsia="Calibri" w:hAnsi="Times New Roman" w:cs="Times New Roman"/>
                <w:b/>
              </w:rPr>
            </w:pPr>
          </w:p>
          <w:p w:rsidR="00DB26FF" w:rsidRPr="00DB26FF" w:rsidRDefault="00DB26FF" w:rsidP="00DB26FF">
            <w:pPr>
              <w:spacing w:after="0" w:line="240" w:lineRule="auto"/>
              <w:rPr>
                <w:rFonts w:ascii="Times New Roman" w:eastAsia="Calibri" w:hAnsi="Times New Roman" w:cs="Times New Roman"/>
                <w:b/>
              </w:rPr>
            </w:pPr>
            <w:bookmarkStart w:id="1" w:name="Lista1"/>
            <w:r w:rsidRPr="00DB26FF">
              <w:rPr>
                <w:rFonts w:ascii="Times New Roman" w:eastAsia="Calibri" w:hAnsi="Times New Roman" w:cs="Times New Roman"/>
                <w:b/>
              </w:rPr>
              <w:t xml:space="preserve">Źródło: </w:t>
            </w:r>
            <w:r w:rsidRPr="00DB26FF">
              <w:rPr>
                <w:rFonts w:ascii="Times New Roman" w:eastAsia="Calibri" w:hAnsi="Times New Roman" w:cs="Times New Roman"/>
              </w:rPr>
              <w:t xml:space="preserve">art. </w:t>
            </w:r>
            <w:r w:rsidR="007110CF">
              <w:rPr>
                <w:rFonts w:ascii="Times New Roman" w:eastAsia="Calibri" w:hAnsi="Times New Roman" w:cs="Times New Roman"/>
              </w:rPr>
              <w:t>21</w:t>
            </w:r>
            <w:r w:rsidRPr="00DB26FF">
              <w:rPr>
                <w:rFonts w:ascii="Times New Roman" w:eastAsia="Calibri" w:hAnsi="Times New Roman" w:cs="Times New Roman"/>
              </w:rPr>
              <w:t xml:space="preserve"> ustawy z dnia </w:t>
            </w:r>
            <w:r w:rsidRPr="00DB26FF">
              <w:rPr>
                <w:rFonts w:ascii="Times New Roman" w:eastAsia="Calibri" w:hAnsi="Times New Roman" w:cs="Times New Roman"/>
              </w:rPr>
              <w:br/>
              <w:t>13 października 1998 r. o systemie ubezpieczeń społecznych (Dz. U. z 2021 r. poz. 423, z późn. zm.)</w:t>
            </w:r>
          </w:p>
          <w:bookmarkEnd w:id="1"/>
          <w:p w:rsidR="00DB26FF" w:rsidRPr="00DB26FF" w:rsidRDefault="00DB26FF" w:rsidP="00DB26FF">
            <w:pPr>
              <w:spacing w:before="120" w:after="0" w:line="240" w:lineRule="auto"/>
              <w:rPr>
                <w:rFonts w:ascii="Times New Roman" w:eastAsia="Calibri" w:hAnsi="Times New Roman" w:cs="Times New Roman"/>
                <w:b/>
                <w:color w:val="000000"/>
              </w:rPr>
            </w:pPr>
            <w:r w:rsidRPr="00DB26FF">
              <w:rPr>
                <w:rFonts w:ascii="Times New Roman" w:eastAsia="Calibri" w:hAnsi="Times New Roman" w:cs="Times New Roman"/>
                <w:b/>
                <w:color w:val="000000"/>
              </w:rPr>
              <w:t xml:space="preserve">Nr w wykazie prac legislacyjnych: </w:t>
            </w:r>
            <w:r w:rsidR="00451BDF">
              <w:rPr>
                <w:rFonts w:ascii="Times New Roman" w:eastAsia="Calibri" w:hAnsi="Times New Roman" w:cs="Times New Roman"/>
                <w:b/>
                <w:color w:val="000000"/>
              </w:rPr>
              <w:t>63</w:t>
            </w:r>
          </w:p>
          <w:p w:rsidR="00DB26FF" w:rsidRPr="00DB26FF" w:rsidRDefault="00DB26FF" w:rsidP="00DB26FF">
            <w:pPr>
              <w:spacing w:before="120" w:after="0" w:line="240" w:lineRule="auto"/>
              <w:rPr>
                <w:rFonts w:ascii="Times New Roman" w:eastAsia="Calibri" w:hAnsi="Times New Roman" w:cs="Times New Roman"/>
                <w:b/>
                <w:color w:val="000000"/>
              </w:rPr>
            </w:pPr>
          </w:p>
        </w:tc>
      </w:tr>
      <w:tr w:rsidR="00DB26FF" w:rsidRPr="00DB26FF" w:rsidTr="00857880">
        <w:trPr>
          <w:gridAfter w:val="1"/>
          <w:wAfter w:w="9" w:type="dxa"/>
          <w:trHeight w:val="142"/>
        </w:trPr>
        <w:tc>
          <w:tcPr>
            <w:tcW w:w="11068" w:type="dxa"/>
            <w:gridSpan w:val="5"/>
            <w:shd w:val="clear" w:color="auto" w:fill="99CCFF"/>
          </w:tcPr>
          <w:p w:rsidR="00DB26FF" w:rsidRPr="00DB26FF" w:rsidRDefault="00DB26FF" w:rsidP="00DB26FF">
            <w:pPr>
              <w:spacing w:after="0" w:line="240" w:lineRule="auto"/>
              <w:ind w:left="57"/>
              <w:jc w:val="center"/>
              <w:rPr>
                <w:rFonts w:ascii="Times New Roman" w:eastAsia="Calibri" w:hAnsi="Times New Roman" w:cs="Times New Roman"/>
                <w:b/>
                <w:color w:val="FFFFFF"/>
                <w:sz w:val="32"/>
                <w:szCs w:val="32"/>
              </w:rPr>
            </w:pPr>
            <w:r w:rsidRPr="00DB26FF">
              <w:rPr>
                <w:rFonts w:ascii="Times New Roman" w:eastAsia="Calibri" w:hAnsi="Times New Roman" w:cs="Times New Roman"/>
                <w:b/>
                <w:color w:val="FFFFFF"/>
                <w:sz w:val="32"/>
                <w:szCs w:val="32"/>
              </w:rPr>
              <w:t>OCENA SKUTKÓW REGULACJI</w:t>
            </w:r>
          </w:p>
        </w:tc>
      </w:tr>
      <w:tr w:rsidR="00DB26FF" w:rsidRPr="00DB26FF" w:rsidTr="00857880">
        <w:trPr>
          <w:gridAfter w:val="1"/>
          <w:wAfter w:w="9" w:type="dxa"/>
          <w:trHeight w:val="333"/>
        </w:trPr>
        <w:tc>
          <w:tcPr>
            <w:tcW w:w="11068" w:type="dxa"/>
            <w:gridSpan w:val="5"/>
            <w:shd w:val="clear" w:color="auto" w:fill="99CCFF"/>
            <w:vAlign w:val="center"/>
          </w:tcPr>
          <w:p w:rsidR="00DB26FF" w:rsidRPr="00DB26FF" w:rsidRDefault="00DB26FF" w:rsidP="00DB26FF">
            <w:pPr>
              <w:numPr>
                <w:ilvl w:val="0"/>
                <w:numId w:val="1"/>
              </w:numPr>
              <w:spacing w:before="60" w:after="60" w:line="240" w:lineRule="auto"/>
              <w:ind w:left="318" w:hanging="284"/>
              <w:jc w:val="both"/>
              <w:rPr>
                <w:rFonts w:ascii="Times New Roman" w:eastAsia="Calibri" w:hAnsi="Times New Roman" w:cs="Times New Roman"/>
                <w:b/>
                <w:color w:val="000000"/>
              </w:rPr>
            </w:pPr>
            <w:r w:rsidRPr="00DB26FF">
              <w:rPr>
                <w:rFonts w:ascii="Times New Roman" w:eastAsia="Calibri" w:hAnsi="Times New Roman" w:cs="Times New Roman"/>
                <w:b/>
              </w:rPr>
              <w:t>Jaki problem jest rozwiązywany?</w:t>
            </w:r>
            <w:bookmarkStart w:id="2" w:name="Wybór1"/>
            <w:bookmarkEnd w:id="2"/>
          </w:p>
        </w:tc>
      </w:tr>
      <w:tr w:rsidR="00DB26FF" w:rsidRPr="00DB26FF" w:rsidTr="00857880">
        <w:trPr>
          <w:gridAfter w:val="1"/>
          <w:wAfter w:w="9" w:type="dxa"/>
          <w:trHeight w:val="142"/>
        </w:trPr>
        <w:tc>
          <w:tcPr>
            <w:tcW w:w="11068" w:type="dxa"/>
            <w:gridSpan w:val="5"/>
            <w:shd w:val="clear" w:color="auto" w:fill="FFFFFF"/>
          </w:tcPr>
          <w:p w:rsidR="0024104A" w:rsidRDefault="007110CF" w:rsidP="00B223BE">
            <w:pPr>
              <w:pStyle w:val="Akapitzlist"/>
              <w:numPr>
                <w:ilvl w:val="0"/>
                <w:numId w:val="3"/>
              </w:numPr>
              <w:spacing w:after="120" w:line="240" w:lineRule="auto"/>
              <w:ind w:left="205" w:hanging="205"/>
              <w:jc w:val="both"/>
              <w:rPr>
                <w:rFonts w:ascii="Times New Roman" w:eastAsia="Batang" w:hAnsi="Times New Roman" w:cs="Times New Roman"/>
                <w:lang w:eastAsia="pl-PL"/>
              </w:rPr>
            </w:pPr>
            <w:r w:rsidRPr="00B223BE">
              <w:rPr>
                <w:rFonts w:ascii="Times New Roman" w:eastAsia="Batang" w:hAnsi="Times New Roman" w:cs="Times New Roman"/>
                <w:lang w:eastAsia="pl-PL"/>
              </w:rPr>
              <w:t>W obowiązującym obecnie stanie prawnym wartość finansowanych przez pracodawcę posiłków udostępnianych pracownikom do spożycia bez prawa do ekwiwalentu z tego tytułu jest wyłączona z podstawy wymiaru składek do wysokości nieprzekraczającej miesięcznie kwoty 190 zł. Za posiłek w rozumieniu przepisu § 2 ust. 1 pkt 11 rozporządzenia</w:t>
            </w:r>
            <w:r w:rsidR="004E34D7" w:rsidRPr="00B223BE">
              <w:rPr>
                <w:rFonts w:ascii="Times New Roman" w:eastAsia="Batang" w:hAnsi="Times New Roman" w:cs="Times New Roman"/>
                <w:lang w:eastAsia="pl-PL"/>
              </w:rPr>
              <w:t xml:space="preserve"> </w:t>
            </w:r>
            <w:r w:rsidR="004E34D7" w:rsidRPr="00B223BE">
              <w:rPr>
                <w:rFonts w:ascii="Times New Roman" w:eastAsia="Times New Roman" w:hAnsi="Times New Roman"/>
              </w:rPr>
              <w:t>Ministra Pracy i Polityki Socjalnej z dnia 18 grudnia 1998 r. w sprawie szczegółowych zasad ustalania podstawy wymiaru składek na ubezpieczenia emerytalne i rentowe (Dz. U. z 2017 r. poz. 1949)</w:t>
            </w:r>
            <w:r w:rsidRPr="00B223BE">
              <w:rPr>
                <w:rFonts w:ascii="Times New Roman" w:eastAsia="Batang" w:hAnsi="Times New Roman" w:cs="Times New Roman"/>
                <w:lang w:eastAsia="pl-PL"/>
              </w:rPr>
              <w:t xml:space="preserve"> należy rozumieć zarówno gotowe posiłki jak i przetworzone produkty żywnościowe nadające się do bezpośredniego spożycia. Projektowana zmiana rozporządzenia ma na celu urealnienie kwoty wyłączenia z podstawy wymiaru składek na ubezpieczenia emerytalne i rentowe określonej w § 2 ust. 1 pkt 11 </w:t>
            </w:r>
            <w:r w:rsidR="004E34D7" w:rsidRPr="00B223BE">
              <w:rPr>
                <w:rFonts w:ascii="Times New Roman" w:eastAsia="Batang" w:hAnsi="Times New Roman" w:cs="Times New Roman"/>
                <w:lang w:eastAsia="pl-PL"/>
              </w:rPr>
              <w:t xml:space="preserve">ww. </w:t>
            </w:r>
            <w:r w:rsidRPr="00B223BE">
              <w:rPr>
                <w:rFonts w:ascii="Times New Roman" w:eastAsia="Batang" w:hAnsi="Times New Roman" w:cs="Times New Roman"/>
                <w:lang w:eastAsia="pl-PL"/>
              </w:rPr>
              <w:t>rozporządzenia.</w:t>
            </w:r>
          </w:p>
          <w:p w:rsidR="00505F85" w:rsidRPr="00B223BE" w:rsidRDefault="00505F85" w:rsidP="00505F85">
            <w:pPr>
              <w:pStyle w:val="Akapitzlist"/>
              <w:spacing w:after="120" w:line="240" w:lineRule="auto"/>
              <w:ind w:left="205"/>
              <w:jc w:val="both"/>
              <w:rPr>
                <w:rFonts w:ascii="Times New Roman" w:eastAsia="Batang" w:hAnsi="Times New Roman" w:cs="Times New Roman"/>
                <w:lang w:eastAsia="pl-PL"/>
              </w:rPr>
            </w:pPr>
          </w:p>
          <w:p w:rsidR="0024104A" w:rsidRPr="00B223BE" w:rsidRDefault="0024104A" w:rsidP="00B223BE">
            <w:pPr>
              <w:pStyle w:val="Akapitzlist"/>
              <w:numPr>
                <w:ilvl w:val="0"/>
                <w:numId w:val="3"/>
              </w:numPr>
              <w:spacing w:after="0" w:line="240" w:lineRule="auto"/>
              <w:ind w:left="205" w:hanging="205"/>
              <w:jc w:val="both"/>
              <w:rPr>
                <w:rFonts w:ascii="Times New Roman" w:hAnsi="Times New Roman" w:cs="Times New Roman"/>
              </w:rPr>
            </w:pPr>
            <w:r w:rsidRPr="00B223BE">
              <w:rPr>
                <w:rFonts w:ascii="Times New Roman" w:hAnsi="Times New Roman" w:cs="Times New Roman"/>
                <w:color w:val="000000"/>
              </w:rPr>
              <w:t xml:space="preserve">Ustawa z dnia 2 grudnia 2021 r. o szczególnych zasadach wynagradzania osób realizujących zadania z zakresu </w:t>
            </w:r>
            <w:proofErr w:type="spellStart"/>
            <w:r w:rsidRPr="00B223BE">
              <w:rPr>
                <w:rFonts w:ascii="Times New Roman" w:hAnsi="Times New Roman" w:cs="Times New Roman"/>
                <w:color w:val="000000"/>
              </w:rPr>
              <w:t>cyberbezpieczeństwa</w:t>
            </w:r>
            <w:proofErr w:type="spellEnd"/>
            <w:r w:rsidRPr="00B223BE">
              <w:rPr>
                <w:rFonts w:ascii="Times New Roman" w:hAnsi="Times New Roman" w:cs="Times New Roman"/>
                <w:color w:val="000000"/>
              </w:rPr>
              <w:t xml:space="preserve"> </w:t>
            </w:r>
            <w:r w:rsidRPr="00B223BE">
              <w:rPr>
                <w:rFonts w:ascii="Times New Roman" w:hAnsi="Times New Roman"/>
                <w:color w:val="000000"/>
              </w:rPr>
              <w:t xml:space="preserve">(Dz. U. poz. 2333) </w:t>
            </w:r>
            <w:r w:rsidRPr="00B223BE">
              <w:rPr>
                <w:rFonts w:ascii="Times New Roman" w:hAnsi="Times New Roman" w:cs="Times New Roman"/>
                <w:color w:val="000000"/>
              </w:rPr>
              <w:t>przewiduje wprowadzenie  „ś</w:t>
            </w:r>
            <w:r w:rsidRPr="00B223BE">
              <w:rPr>
                <w:rFonts w:ascii="Times New Roman" w:hAnsi="Times New Roman" w:cs="Times New Roman"/>
              </w:rPr>
              <w:t xml:space="preserve">wiadczenia teleinformatycznego”, które wypłacane będzie, począwszy od 1 marca 2022 r. osobom realizującym zadania min. w Zespole Reagowania na Incydenty Bezpieczeństwa Komputerowego CSIRT GOV poziomu krajowego, w organach właściwych do spraw </w:t>
            </w:r>
            <w:proofErr w:type="spellStart"/>
            <w:r w:rsidRPr="00B223BE">
              <w:rPr>
                <w:rFonts w:ascii="Times New Roman" w:hAnsi="Times New Roman" w:cs="Times New Roman"/>
              </w:rPr>
              <w:t>cyberbezpieczeństwa</w:t>
            </w:r>
            <w:proofErr w:type="spellEnd"/>
            <w:r w:rsidRPr="00B223BE">
              <w:rPr>
                <w:rFonts w:ascii="Times New Roman" w:hAnsi="Times New Roman" w:cs="Times New Roman"/>
              </w:rPr>
              <w:t xml:space="preserve"> czy obsługującym Pełnomocnika do spraw </w:t>
            </w:r>
            <w:proofErr w:type="spellStart"/>
            <w:r w:rsidRPr="00B223BE">
              <w:rPr>
                <w:rFonts w:ascii="Times New Roman" w:hAnsi="Times New Roman" w:cs="Times New Roman"/>
              </w:rPr>
              <w:t>cyberbezpieczeństwa</w:t>
            </w:r>
            <w:proofErr w:type="spellEnd"/>
            <w:r w:rsidRPr="00B223BE">
              <w:rPr>
                <w:rFonts w:ascii="Times New Roman" w:hAnsi="Times New Roman" w:cs="Times New Roman"/>
              </w:rPr>
              <w:t>.</w:t>
            </w:r>
          </w:p>
          <w:p w:rsidR="0024104A" w:rsidRPr="0024104A" w:rsidRDefault="0024104A" w:rsidP="007110CF">
            <w:pPr>
              <w:spacing w:after="120" w:line="240" w:lineRule="auto"/>
              <w:jc w:val="both"/>
              <w:rPr>
                <w:rFonts w:ascii="Times New Roman" w:eastAsia="Times New Roman" w:hAnsi="Times New Roman"/>
                <w:sz w:val="24"/>
                <w:szCs w:val="24"/>
              </w:rPr>
            </w:pPr>
          </w:p>
        </w:tc>
      </w:tr>
      <w:tr w:rsidR="00DB26FF" w:rsidRPr="00DB26FF" w:rsidTr="00857880">
        <w:trPr>
          <w:gridAfter w:val="1"/>
          <w:wAfter w:w="9" w:type="dxa"/>
          <w:trHeight w:val="142"/>
        </w:trPr>
        <w:tc>
          <w:tcPr>
            <w:tcW w:w="11068" w:type="dxa"/>
            <w:gridSpan w:val="5"/>
            <w:shd w:val="clear" w:color="auto" w:fill="99CCFF"/>
            <w:vAlign w:val="center"/>
          </w:tcPr>
          <w:p w:rsidR="00DB26FF" w:rsidRPr="00DB26FF" w:rsidRDefault="00DB26FF" w:rsidP="00DB26FF">
            <w:pPr>
              <w:numPr>
                <w:ilvl w:val="0"/>
                <w:numId w:val="1"/>
              </w:numPr>
              <w:spacing w:before="60" w:after="60" w:line="240" w:lineRule="auto"/>
              <w:ind w:left="318" w:hanging="284"/>
              <w:jc w:val="both"/>
              <w:rPr>
                <w:rFonts w:ascii="Times New Roman" w:eastAsia="Calibri" w:hAnsi="Times New Roman" w:cs="Times New Roman"/>
                <w:b/>
              </w:rPr>
            </w:pPr>
            <w:r w:rsidRPr="00DB26FF">
              <w:rPr>
                <w:rFonts w:ascii="Times New Roman" w:eastAsia="Calibri" w:hAnsi="Times New Roman" w:cs="Times New Roman"/>
                <w:b/>
                <w:spacing w:val="-2"/>
              </w:rPr>
              <w:t>Rekomendowane rozwiązanie, w tym planowane narzędzia interwencji, i oczekiwany efekt</w:t>
            </w:r>
          </w:p>
        </w:tc>
      </w:tr>
      <w:tr w:rsidR="00DB26FF" w:rsidRPr="00DB26FF" w:rsidTr="00857880">
        <w:trPr>
          <w:gridAfter w:val="1"/>
          <w:wAfter w:w="9" w:type="dxa"/>
          <w:trHeight w:val="142"/>
        </w:trPr>
        <w:tc>
          <w:tcPr>
            <w:tcW w:w="11068" w:type="dxa"/>
            <w:gridSpan w:val="5"/>
            <w:shd w:val="clear" w:color="auto" w:fill="auto"/>
          </w:tcPr>
          <w:p w:rsidR="007110CF" w:rsidRPr="00B223BE" w:rsidRDefault="00DB26FF" w:rsidP="00B223BE">
            <w:pPr>
              <w:pStyle w:val="Akapitzlist"/>
              <w:numPr>
                <w:ilvl w:val="0"/>
                <w:numId w:val="4"/>
              </w:numPr>
              <w:spacing w:after="0" w:line="240" w:lineRule="auto"/>
              <w:ind w:left="205" w:hanging="205"/>
              <w:jc w:val="both"/>
              <w:rPr>
                <w:rFonts w:ascii="Times New Roman" w:hAnsi="Times New Roman" w:cs="Times New Roman"/>
              </w:rPr>
            </w:pPr>
            <w:r w:rsidRPr="00B223BE">
              <w:rPr>
                <w:rFonts w:ascii="Times New Roman" w:eastAsia="Calibri" w:hAnsi="Times New Roman" w:cs="Times New Roman"/>
              </w:rPr>
              <w:t xml:space="preserve">Projekt rozporządzenia wprowadza zmiany polegające na </w:t>
            </w:r>
            <w:r w:rsidR="007110CF" w:rsidRPr="00B223BE">
              <w:rPr>
                <w:rFonts w:ascii="Times New Roman" w:eastAsia="Calibri" w:hAnsi="Times New Roman" w:cs="Times New Roman"/>
              </w:rPr>
              <w:t xml:space="preserve">podniesieniu powyższej kwoty wartości finansowanych przez pracodawcę posiłków udostępnianych pracownikom do spożycia </w:t>
            </w:r>
            <w:r w:rsidR="00857880" w:rsidRPr="00B223BE">
              <w:rPr>
                <w:rFonts w:ascii="Times New Roman" w:eastAsia="Calibri" w:hAnsi="Times New Roman" w:cs="Times New Roman"/>
              </w:rPr>
              <w:t>do</w:t>
            </w:r>
            <w:r w:rsidR="007110CF" w:rsidRPr="00B223BE">
              <w:rPr>
                <w:rFonts w:ascii="Times New Roman" w:eastAsia="Calibri" w:hAnsi="Times New Roman" w:cs="Times New Roman"/>
              </w:rPr>
              <w:t xml:space="preserve"> </w:t>
            </w:r>
            <w:r w:rsidR="00453162" w:rsidRPr="00B223BE">
              <w:rPr>
                <w:rFonts w:ascii="Times New Roman" w:eastAsia="Calibri" w:hAnsi="Times New Roman" w:cs="Times New Roman"/>
              </w:rPr>
              <w:t xml:space="preserve">wysokości 10% </w:t>
            </w:r>
            <w:r w:rsidR="00327A83" w:rsidRPr="00B223BE">
              <w:rPr>
                <w:rFonts w:ascii="Times New Roman" w:eastAsia="Times New Roman" w:hAnsi="Times New Roman" w:cs="Times New Roman"/>
                <w:color w:val="000000"/>
                <w:sz w:val="24"/>
                <w:szCs w:val="24"/>
                <w:lang w:eastAsia="pl-PL"/>
              </w:rPr>
              <w:t>minimalnego wynagrodzenia za pracę</w:t>
            </w:r>
            <w:r w:rsidR="00327A83" w:rsidRPr="00B223BE" w:rsidDel="00327A83">
              <w:rPr>
                <w:rFonts w:ascii="Times New Roman" w:eastAsia="Calibri" w:hAnsi="Times New Roman" w:cs="Times New Roman"/>
              </w:rPr>
              <w:t xml:space="preserve"> </w:t>
            </w:r>
            <w:r w:rsidR="00453162" w:rsidRPr="00B223BE">
              <w:rPr>
                <w:rFonts w:ascii="Times New Roman" w:eastAsia="Calibri" w:hAnsi="Times New Roman" w:cs="Times New Roman"/>
              </w:rPr>
              <w:t xml:space="preserve">(obecnie </w:t>
            </w:r>
            <w:r w:rsidR="00857880" w:rsidRPr="00B223BE">
              <w:rPr>
                <w:rFonts w:ascii="Times New Roman" w:eastAsia="Calibri" w:hAnsi="Times New Roman" w:cs="Times New Roman"/>
              </w:rPr>
              <w:t>30</w:t>
            </w:r>
            <w:r w:rsidR="00453162" w:rsidRPr="00B223BE">
              <w:rPr>
                <w:rFonts w:ascii="Times New Roman" w:eastAsia="Calibri" w:hAnsi="Times New Roman" w:cs="Times New Roman"/>
              </w:rPr>
              <w:t>1</w:t>
            </w:r>
            <w:r w:rsidR="00857880" w:rsidRPr="00B223BE">
              <w:rPr>
                <w:rFonts w:ascii="Times New Roman" w:eastAsia="Calibri" w:hAnsi="Times New Roman" w:cs="Times New Roman"/>
              </w:rPr>
              <w:t xml:space="preserve"> zł</w:t>
            </w:r>
            <w:r w:rsidR="007110CF" w:rsidRPr="00B223BE">
              <w:rPr>
                <w:rFonts w:ascii="Times New Roman" w:eastAsia="Calibri" w:hAnsi="Times New Roman" w:cs="Times New Roman"/>
              </w:rPr>
              <w:t>.</w:t>
            </w:r>
            <w:r w:rsidR="00453162" w:rsidRPr="00B223BE">
              <w:rPr>
                <w:rFonts w:ascii="Times New Roman" w:hAnsi="Times New Roman" w:cs="Times New Roman"/>
              </w:rPr>
              <w:t xml:space="preserve">). W związku z ogłaszanym corocznie w nowej wysokości minimalnym wynagrodzeniem za pracę, kwota wyłączenia będzie wzrastała wraz ze wzrostem  </w:t>
            </w:r>
            <w:r w:rsidR="004E34D7" w:rsidRPr="00B223BE">
              <w:rPr>
                <w:rFonts w:ascii="Times New Roman" w:hAnsi="Times New Roman" w:cs="Times New Roman"/>
              </w:rPr>
              <w:t>wysokości minimalnego</w:t>
            </w:r>
            <w:r w:rsidR="00453162" w:rsidRPr="00B223BE">
              <w:rPr>
                <w:rFonts w:ascii="Times New Roman" w:hAnsi="Times New Roman" w:cs="Times New Roman"/>
              </w:rPr>
              <w:t xml:space="preserve"> wynagrodzenia</w:t>
            </w:r>
            <w:r w:rsidR="004E34D7" w:rsidRPr="00B223BE">
              <w:rPr>
                <w:rFonts w:ascii="Times New Roman" w:hAnsi="Times New Roman" w:cs="Times New Roman"/>
              </w:rPr>
              <w:t xml:space="preserve"> za pracę</w:t>
            </w:r>
            <w:r w:rsidR="00453162" w:rsidRPr="00B223BE">
              <w:rPr>
                <w:rFonts w:ascii="Times New Roman" w:hAnsi="Times New Roman" w:cs="Times New Roman"/>
              </w:rPr>
              <w:t>.</w:t>
            </w:r>
          </w:p>
          <w:p w:rsidR="0024104A" w:rsidRDefault="0024104A" w:rsidP="00B223BE">
            <w:pPr>
              <w:spacing w:after="0" w:line="240" w:lineRule="auto"/>
              <w:ind w:left="205" w:hanging="205"/>
              <w:contextualSpacing/>
              <w:jc w:val="both"/>
              <w:rPr>
                <w:rFonts w:ascii="Times New Roman" w:hAnsi="Times New Roman" w:cs="Times New Roman"/>
              </w:rPr>
            </w:pPr>
          </w:p>
          <w:p w:rsidR="0024104A" w:rsidRPr="00B223BE" w:rsidRDefault="0024104A" w:rsidP="00B223BE">
            <w:pPr>
              <w:pStyle w:val="Akapitzlist"/>
              <w:numPr>
                <w:ilvl w:val="0"/>
                <w:numId w:val="4"/>
              </w:numPr>
              <w:spacing w:after="0" w:line="240" w:lineRule="auto"/>
              <w:ind w:left="205" w:hanging="205"/>
              <w:jc w:val="both"/>
              <w:rPr>
                <w:rFonts w:ascii="Times New Roman" w:hAnsi="Times New Roman" w:cs="Times New Roman"/>
              </w:rPr>
            </w:pPr>
            <w:r w:rsidRPr="00B223BE">
              <w:rPr>
                <w:rFonts w:ascii="Times New Roman" w:eastAsia="Times New Roman" w:hAnsi="Times New Roman"/>
              </w:rPr>
              <w:t xml:space="preserve">Projekt rozporządzenia przewiduje również wyłączenie z podstawy wymiaru składek </w:t>
            </w:r>
            <w:r w:rsidRPr="00B223BE">
              <w:rPr>
                <w:rFonts w:ascii="Times New Roman" w:eastAsia="Times New Roman" w:hAnsi="Times New Roman"/>
                <w:bCs/>
              </w:rPr>
              <w:t>na ubezpieczenia emerytalne i rentowe kwoty świadczenia teleinformatycznego, wprowadzonego u</w:t>
            </w:r>
            <w:r w:rsidRPr="00B223BE">
              <w:rPr>
                <w:rFonts w:ascii="Times New Roman" w:hAnsi="Times New Roman"/>
                <w:color w:val="000000"/>
              </w:rPr>
              <w:t xml:space="preserve">stawą z dnia z dnia 2 grudnia 2021 r. o szczególnych zasadach wynagradzania osób realizujących zadania z zakresu </w:t>
            </w:r>
            <w:proofErr w:type="spellStart"/>
            <w:r w:rsidRPr="00B223BE">
              <w:rPr>
                <w:rFonts w:ascii="Times New Roman" w:hAnsi="Times New Roman"/>
                <w:color w:val="000000"/>
              </w:rPr>
              <w:t>cyberbezpieczeństwa</w:t>
            </w:r>
            <w:proofErr w:type="spellEnd"/>
            <w:r w:rsidRPr="00B223BE">
              <w:rPr>
                <w:rFonts w:ascii="Times New Roman" w:hAnsi="Times New Roman"/>
                <w:color w:val="000000"/>
              </w:rPr>
              <w:t xml:space="preserve">. </w:t>
            </w:r>
          </w:p>
          <w:p w:rsidR="0024104A" w:rsidRPr="00453162" w:rsidRDefault="0024104A" w:rsidP="00DB26FF">
            <w:pPr>
              <w:spacing w:after="0" w:line="240" w:lineRule="auto"/>
              <w:contextualSpacing/>
              <w:jc w:val="both"/>
              <w:rPr>
                <w:rFonts w:ascii="Times New Roman" w:eastAsia="Batang" w:hAnsi="Times New Roman" w:cs="Times New Roman"/>
                <w:bCs/>
                <w:lang w:eastAsia="ar-SA"/>
              </w:rPr>
            </w:pPr>
          </w:p>
          <w:p w:rsidR="00DB26FF" w:rsidRPr="00DB26FF" w:rsidRDefault="00DB26FF" w:rsidP="00DB26FF">
            <w:pPr>
              <w:autoSpaceDE w:val="0"/>
              <w:autoSpaceDN w:val="0"/>
              <w:adjustRightInd w:val="0"/>
              <w:spacing w:after="0" w:line="240" w:lineRule="auto"/>
              <w:jc w:val="both"/>
              <w:rPr>
                <w:rFonts w:ascii="Times New Roman" w:eastAsia="Calibri" w:hAnsi="Times New Roman" w:cs="Times New Roman"/>
              </w:rPr>
            </w:pPr>
            <w:r w:rsidRPr="00DB26FF">
              <w:rPr>
                <w:rFonts w:ascii="Times New Roman" w:eastAsia="Calibri" w:hAnsi="Times New Roman" w:cs="Times New Roman"/>
              </w:rPr>
              <w:t xml:space="preserve">Nie ma możliwości </w:t>
            </w:r>
            <w:proofErr w:type="spellStart"/>
            <w:r w:rsidRPr="00DB26FF">
              <w:rPr>
                <w:rFonts w:ascii="Times New Roman" w:eastAsia="Calibri" w:hAnsi="Times New Roman" w:cs="Times New Roman"/>
              </w:rPr>
              <w:t>pozalegislacyjnego</w:t>
            </w:r>
            <w:proofErr w:type="spellEnd"/>
            <w:r w:rsidRPr="00DB26FF">
              <w:rPr>
                <w:rFonts w:ascii="Times New Roman" w:eastAsia="Calibri" w:hAnsi="Times New Roman" w:cs="Times New Roman"/>
              </w:rPr>
              <w:t xml:space="preserve"> rozwiązania proponowanych zmian.</w:t>
            </w:r>
          </w:p>
          <w:p w:rsidR="00DB26FF" w:rsidRPr="00DB26FF" w:rsidRDefault="00DB26FF" w:rsidP="00DB26FF">
            <w:pPr>
              <w:autoSpaceDE w:val="0"/>
              <w:autoSpaceDN w:val="0"/>
              <w:adjustRightInd w:val="0"/>
              <w:spacing w:after="0" w:line="240" w:lineRule="auto"/>
              <w:jc w:val="both"/>
              <w:rPr>
                <w:rFonts w:ascii="Times New Roman" w:eastAsia="Calibri" w:hAnsi="Times New Roman" w:cs="Times New Roman"/>
                <w:iCs/>
                <w:color w:val="000000"/>
                <w:lang w:eastAsia="pl-PL"/>
              </w:rPr>
            </w:pPr>
          </w:p>
        </w:tc>
      </w:tr>
      <w:tr w:rsidR="00DB26FF" w:rsidRPr="00DB26FF" w:rsidTr="00857880">
        <w:trPr>
          <w:gridAfter w:val="1"/>
          <w:wAfter w:w="9" w:type="dxa"/>
          <w:trHeight w:val="307"/>
        </w:trPr>
        <w:tc>
          <w:tcPr>
            <w:tcW w:w="11068" w:type="dxa"/>
            <w:gridSpan w:val="5"/>
            <w:shd w:val="clear" w:color="auto" w:fill="99CCFF"/>
            <w:vAlign w:val="center"/>
          </w:tcPr>
          <w:p w:rsidR="00DB26FF" w:rsidRPr="00DB26FF" w:rsidRDefault="00DB26FF" w:rsidP="00DB26FF">
            <w:pPr>
              <w:numPr>
                <w:ilvl w:val="0"/>
                <w:numId w:val="1"/>
              </w:numPr>
              <w:spacing w:before="60" w:after="60" w:line="240" w:lineRule="auto"/>
              <w:ind w:left="318" w:hanging="284"/>
              <w:jc w:val="both"/>
              <w:rPr>
                <w:rFonts w:ascii="Times New Roman" w:eastAsia="Calibri" w:hAnsi="Times New Roman" w:cs="Times New Roman"/>
                <w:b/>
                <w:color w:val="000000"/>
              </w:rPr>
            </w:pPr>
            <w:r w:rsidRPr="00DB26FF">
              <w:rPr>
                <w:rFonts w:ascii="Times New Roman" w:eastAsia="Calibri" w:hAnsi="Times New Roman" w:cs="Times New Roman"/>
                <w:b/>
                <w:spacing w:val="-2"/>
              </w:rPr>
              <w:t>Jak problem został rozwiązany w innych krajach, w szczególności krajach członkowskich OECD/UE</w:t>
            </w:r>
            <w:r w:rsidRPr="00DB26FF">
              <w:rPr>
                <w:rFonts w:ascii="Times New Roman" w:eastAsia="Calibri" w:hAnsi="Times New Roman" w:cs="Times New Roman"/>
                <w:b/>
                <w:color w:val="000000"/>
              </w:rPr>
              <w:t>?</w:t>
            </w:r>
            <w:r w:rsidRPr="00DB26FF">
              <w:rPr>
                <w:rFonts w:ascii="Times New Roman" w:eastAsia="Calibri" w:hAnsi="Times New Roman" w:cs="Times New Roman"/>
                <w:i/>
                <w:color w:val="000000"/>
              </w:rPr>
              <w:t xml:space="preserve"> </w:t>
            </w:r>
          </w:p>
        </w:tc>
      </w:tr>
      <w:tr w:rsidR="00DB26FF" w:rsidRPr="00DB26FF" w:rsidTr="00857880">
        <w:trPr>
          <w:gridAfter w:val="1"/>
          <w:wAfter w:w="9" w:type="dxa"/>
          <w:trHeight w:val="142"/>
        </w:trPr>
        <w:tc>
          <w:tcPr>
            <w:tcW w:w="11068" w:type="dxa"/>
            <w:gridSpan w:val="5"/>
            <w:shd w:val="clear" w:color="auto" w:fill="auto"/>
          </w:tcPr>
          <w:p w:rsidR="00DB26FF" w:rsidRPr="00DB26FF" w:rsidRDefault="00DB26FF" w:rsidP="00DB26FF">
            <w:pPr>
              <w:spacing w:after="0" w:line="240" w:lineRule="auto"/>
              <w:jc w:val="both"/>
              <w:rPr>
                <w:rFonts w:ascii="Times New Roman" w:eastAsia="Calibri" w:hAnsi="Times New Roman" w:cs="Times New Roman"/>
                <w:color w:val="000000"/>
                <w:spacing w:val="-2"/>
              </w:rPr>
            </w:pPr>
            <w:r w:rsidRPr="00DB26FF">
              <w:rPr>
                <w:rFonts w:ascii="Times New Roman" w:eastAsia="Calibri" w:hAnsi="Times New Roman" w:cs="Times New Roman"/>
                <w:color w:val="000000"/>
                <w:spacing w:val="-2"/>
              </w:rPr>
              <w:t>Nie dotyczy.</w:t>
            </w:r>
          </w:p>
        </w:tc>
      </w:tr>
      <w:tr w:rsidR="00DB26FF" w:rsidRPr="00DB26FF" w:rsidTr="00857880">
        <w:trPr>
          <w:gridAfter w:val="1"/>
          <w:wAfter w:w="9" w:type="dxa"/>
          <w:trHeight w:val="359"/>
        </w:trPr>
        <w:tc>
          <w:tcPr>
            <w:tcW w:w="11068" w:type="dxa"/>
            <w:gridSpan w:val="5"/>
            <w:shd w:val="clear" w:color="auto" w:fill="99CCFF"/>
            <w:vAlign w:val="center"/>
          </w:tcPr>
          <w:p w:rsidR="00DB26FF" w:rsidRPr="00DB26FF" w:rsidRDefault="00DB26FF" w:rsidP="00DB26FF">
            <w:pPr>
              <w:numPr>
                <w:ilvl w:val="0"/>
                <w:numId w:val="1"/>
              </w:numPr>
              <w:spacing w:before="60" w:after="60" w:line="240" w:lineRule="auto"/>
              <w:ind w:left="318" w:hanging="284"/>
              <w:jc w:val="both"/>
              <w:rPr>
                <w:rFonts w:ascii="Times New Roman" w:eastAsia="Calibri" w:hAnsi="Times New Roman" w:cs="Times New Roman"/>
                <w:b/>
                <w:color w:val="000000"/>
              </w:rPr>
            </w:pPr>
            <w:r w:rsidRPr="00DB26FF">
              <w:rPr>
                <w:rFonts w:ascii="Times New Roman" w:eastAsia="Calibri" w:hAnsi="Times New Roman" w:cs="Times New Roman"/>
                <w:b/>
                <w:color w:val="000000"/>
              </w:rPr>
              <w:t>Podmioty, na które oddziałuje projekt</w:t>
            </w:r>
          </w:p>
        </w:tc>
      </w:tr>
      <w:tr w:rsidR="00DB26FF" w:rsidRPr="00DB26FF" w:rsidTr="00857880">
        <w:trPr>
          <w:trHeight w:val="142"/>
        </w:trPr>
        <w:tc>
          <w:tcPr>
            <w:tcW w:w="3686" w:type="dxa"/>
            <w:shd w:val="clear" w:color="auto" w:fill="auto"/>
          </w:tcPr>
          <w:p w:rsidR="00DB26FF" w:rsidRPr="00DB26FF" w:rsidRDefault="00DB26FF" w:rsidP="00DB26FF">
            <w:pPr>
              <w:spacing w:before="40" w:after="0" w:line="240" w:lineRule="auto"/>
              <w:jc w:val="center"/>
              <w:rPr>
                <w:rFonts w:ascii="Times New Roman" w:eastAsia="Calibri" w:hAnsi="Times New Roman" w:cs="Times New Roman"/>
                <w:color w:val="000000"/>
                <w:spacing w:val="-2"/>
              </w:rPr>
            </w:pPr>
            <w:r w:rsidRPr="00DB26FF">
              <w:rPr>
                <w:rFonts w:ascii="Times New Roman" w:eastAsia="Calibri" w:hAnsi="Times New Roman" w:cs="Times New Roman"/>
                <w:color w:val="000000"/>
                <w:spacing w:val="-2"/>
              </w:rPr>
              <w:t>Grupa</w:t>
            </w:r>
          </w:p>
        </w:tc>
        <w:tc>
          <w:tcPr>
            <w:tcW w:w="1134" w:type="dxa"/>
            <w:shd w:val="clear" w:color="auto" w:fill="auto"/>
          </w:tcPr>
          <w:p w:rsidR="00DB26FF" w:rsidRPr="00DB26FF" w:rsidRDefault="00DB26FF" w:rsidP="00DB26FF">
            <w:pPr>
              <w:spacing w:before="40" w:after="0" w:line="240" w:lineRule="auto"/>
              <w:jc w:val="center"/>
              <w:rPr>
                <w:rFonts w:ascii="Times New Roman" w:eastAsia="Calibri" w:hAnsi="Times New Roman" w:cs="Times New Roman"/>
                <w:color w:val="000000"/>
                <w:spacing w:val="-2"/>
              </w:rPr>
            </w:pPr>
            <w:r w:rsidRPr="00DB26FF">
              <w:rPr>
                <w:rFonts w:ascii="Times New Roman" w:eastAsia="Calibri" w:hAnsi="Times New Roman" w:cs="Times New Roman"/>
                <w:color w:val="000000"/>
                <w:spacing w:val="-2"/>
              </w:rPr>
              <w:t>Wielkość</w:t>
            </w:r>
          </w:p>
        </w:tc>
        <w:tc>
          <w:tcPr>
            <w:tcW w:w="1983" w:type="dxa"/>
            <w:gridSpan w:val="2"/>
            <w:shd w:val="clear" w:color="auto" w:fill="auto"/>
          </w:tcPr>
          <w:p w:rsidR="00DB26FF" w:rsidRPr="00DB26FF" w:rsidRDefault="00DB26FF" w:rsidP="00DB26FF">
            <w:pPr>
              <w:spacing w:before="40" w:after="0" w:line="240" w:lineRule="auto"/>
              <w:jc w:val="center"/>
              <w:rPr>
                <w:rFonts w:ascii="Times New Roman" w:eastAsia="Calibri" w:hAnsi="Times New Roman" w:cs="Times New Roman"/>
                <w:color w:val="000000"/>
                <w:spacing w:val="-2"/>
              </w:rPr>
            </w:pPr>
            <w:r w:rsidRPr="00DB26FF">
              <w:rPr>
                <w:rFonts w:ascii="Times New Roman" w:eastAsia="Calibri" w:hAnsi="Times New Roman" w:cs="Times New Roman"/>
                <w:color w:val="000000"/>
                <w:spacing w:val="-2"/>
              </w:rPr>
              <w:t>Źródło danych</w:t>
            </w:r>
            <w:r w:rsidRPr="00DB26FF" w:rsidDel="00260F33">
              <w:rPr>
                <w:rFonts w:ascii="Times New Roman" w:eastAsia="Calibri" w:hAnsi="Times New Roman" w:cs="Times New Roman"/>
                <w:color w:val="000000"/>
                <w:spacing w:val="-2"/>
              </w:rPr>
              <w:t xml:space="preserve"> </w:t>
            </w:r>
          </w:p>
        </w:tc>
        <w:tc>
          <w:tcPr>
            <w:tcW w:w="4274" w:type="dxa"/>
            <w:gridSpan w:val="2"/>
            <w:shd w:val="clear" w:color="auto" w:fill="auto"/>
          </w:tcPr>
          <w:p w:rsidR="00DB26FF" w:rsidRPr="00DB26FF" w:rsidRDefault="00DB26FF" w:rsidP="00DB26FF">
            <w:pPr>
              <w:spacing w:before="40" w:after="0" w:line="240" w:lineRule="auto"/>
              <w:jc w:val="center"/>
              <w:rPr>
                <w:rFonts w:ascii="Times New Roman" w:eastAsia="Calibri" w:hAnsi="Times New Roman" w:cs="Times New Roman"/>
                <w:color w:val="000000"/>
                <w:spacing w:val="-2"/>
              </w:rPr>
            </w:pPr>
            <w:r w:rsidRPr="00DB26FF">
              <w:rPr>
                <w:rFonts w:ascii="Times New Roman" w:eastAsia="Calibri" w:hAnsi="Times New Roman" w:cs="Times New Roman"/>
                <w:color w:val="000000"/>
                <w:spacing w:val="-2"/>
              </w:rPr>
              <w:t>Oddziaływanie</w:t>
            </w:r>
          </w:p>
        </w:tc>
      </w:tr>
      <w:tr w:rsidR="00DB26FF" w:rsidRPr="00DB26FF" w:rsidTr="00857880">
        <w:trPr>
          <w:trHeight w:val="142"/>
        </w:trPr>
        <w:tc>
          <w:tcPr>
            <w:tcW w:w="3686" w:type="dxa"/>
            <w:shd w:val="clear" w:color="auto" w:fill="auto"/>
          </w:tcPr>
          <w:p w:rsidR="00DB26FF" w:rsidRPr="00DB26FF" w:rsidRDefault="00DB26FF" w:rsidP="00DB26FF">
            <w:pPr>
              <w:spacing w:after="0" w:line="240" w:lineRule="auto"/>
              <w:rPr>
                <w:rFonts w:ascii="Times New Roman" w:eastAsia="Calibri" w:hAnsi="Times New Roman" w:cs="Times New Roman"/>
                <w:spacing w:val="-2"/>
              </w:rPr>
            </w:pPr>
            <w:r w:rsidRPr="00DB26FF">
              <w:rPr>
                <w:rFonts w:ascii="Times New Roman" w:eastAsia="Calibri" w:hAnsi="Times New Roman" w:cs="Times New Roman"/>
                <w:spacing w:val="-2"/>
              </w:rPr>
              <w:t>Zakład Ubezpieczeń Społecznych</w:t>
            </w:r>
          </w:p>
        </w:tc>
        <w:tc>
          <w:tcPr>
            <w:tcW w:w="1134" w:type="dxa"/>
            <w:shd w:val="clear" w:color="auto" w:fill="auto"/>
          </w:tcPr>
          <w:p w:rsidR="00DB26FF" w:rsidRPr="00DB26FF" w:rsidRDefault="00DB26FF" w:rsidP="00DB26FF">
            <w:pPr>
              <w:spacing w:after="0" w:line="240" w:lineRule="auto"/>
              <w:jc w:val="center"/>
              <w:rPr>
                <w:rFonts w:ascii="Times New Roman" w:eastAsia="Calibri" w:hAnsi="Times New Roman" w:cs="Times New Roman"/>
                <w:spacing w:val="-2"/>
              </w:rPr>
            </w:pPr>
            <w:r w:rsidRPr="00DB26FF">
              <w:rPr>
                <w:rFonts w:ascii="Times New Roman" w:eastAsia="Calibri" w:hAnsi="Times New Roman" w:cs="Times New Roman"/>
                <w:spacing w:val="-2"/>
              </w:rPr>
              <w:t>1</w:t>
            </w:r>
          </w:p>
        </w:tc>
        <w:tc>
          <w:tcPr>
            <w:tcW w:w="1983" w:type="dxa"/>
            <w:gridSpan w:val="2"/>
            <w:shd w:val="clear" w:color="auto" w:fill="auto"/>
          </w:tcPr>
          <w:p w:rsidR="00DB26FF" w:rsidRPr="00DB26FF" w:rsidRDefault="00DB26FF" w:rsidP="00DB26FF">
            <w:pPr>
              <w:spacing w:after="0" w:line="240" w:lineRule="auto"/>
              <w:jc w:val="center"/>
              <w:rPr>
                <w:rFonts w:ascii="Times New Roman" w:eastAsia="Calibri" w:hAnsi="Times New Roman" w:cs="Times New Roman"/>
                <w:spacing w:val="-2"/>
              </w:rPr>
            </w:pPr>
            <w:r w:rsidRPr="00DB26FF">
              <w:rPr>
                <w:rFonts w:ascii="Times New Roman" w:eastAsia="Calibri" w:hAnsi="Times New Roman" w:cs="Times New Roman"/>
                <w:spacing w:val="-2"/>
              </w:rPr>
              <w:t>-</w:t>
            </w:r>
          </w:p>
        </w:tc>
        <w:tc>
          <w:tcPr>
            <w:tcW w:w="4274" w:type="dxa"/>
            <w:gridSpan w:val="2"/>
            <w:shd w:val="clear" w:color="auto" w:fill="auto"/>
          </w:tcPr>
          <w:p w:rsidR="007110CF" w:rsidRPr="00DB26FF" w:rsidRDefault="00E54037" w:rsidP="00DB26FF">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Ubytek dochodów z tytułu składek na ubezpieczenie społeczne</w:t>
            </w:r>
          </w:p>
        </w:tc>
      </w:tr>
      <w:tr w:rsidR="00E54037" w:rsidRPr="00DB26FF" w:rsidTr="00857880">
        <w:trPr>
          <w:trHeight w:val="142"/>
        </w:trPr>
        <w:tc>
          <w:tcPr>
            <w:tcW w:w="3686" w:type="dxa"/>
            <w:shd w:val="clear" w:color="auto" w:fill="auto"/>
          </w:tcPr>
          <w:p w:rsidR="00E54037" w:rsidRPr="00DB26FF" w:rsidRDefault="00E54037" w:rsidP="00DB26FF">
            <w:pPr>
              <w:spacing w:after="0" w:line="240" w:lineRule="auto"/>
              <w:rPr>
                <w:rFonts w:ascii="Times New Roman" w:eastAsia="Calibri" w:hAnsi="Times New Roman" w:cs="Times New Roman"/>
                <w:lang w:eastAsia="pl-PL"/>
              </w:rPr>
            </w:pPr>
            <w:r w:rsidRPr="00433F43">
              <w:rPr>
                <w:rFonts w:ascii="Times New Roman" w:eastAsia="Calibri" w:hAnsi="Times New Roman" w:cs="Times New Roman"/>
                <w:color w:val="000000"/>
                <w:lang w:eastAsia="pl-PL"/>
              </w:rPr>
              <w:t>Pracodawcy, którzy decydują się dofinansować posiłki pracownikom</w:t>
            </w:r>
          </w:p>
        </w:tc>
        <w:tc>
          <w:tcPr>
            <w:tcW w:w="1134" w:type="dxa"/>
            <w:shd w:val="clear" w:color="auto" w:fill="auto"/>
          </w:tcPr>
          <w:p w:rsidR="00E54037" w:rsidRPr="00DB26FF" w:rsidRDefault="00E54037" w:rsidP="00DB26FF">
            <w:pPr>
              <w:spacing w:after="0" w:line="240" w:lineRule="auto"/>
              <w:rPr>
                <w:rFonts w:ascii="Times New Roman" w:eastAsia="Calibri" w:hAnsi="Times New Roman" w:cs="Times New Roman"/>
                <w:spacing w:val="-2"/>
              </w:rPr>
            </w:pPr>
          </w:p>
        </w:tc>
        <w:tc>
          <w:tcPr>
            <w:tcW w:w="1983" w:type="dxa"/>
            <w:gridSpan w:val="2"/>
            <w:shd w:val="clear" w:color="auto" w:fill="auto"/>
          </w:tcPr>
          <w:p w:rsidR="00E54037" w:rsidRPr="00DB26FF" w:rsidRDefault="00E54037" w:rsidP="00DB26FF">
            <w:pPr>
              <w:spacing w:after="0" w:line="240" w:lineRule="auto"/>
              <w:jc w:val="center"/>
              <w:rPr>
                <w:rFonts w:ascii="Times New Roman" w:eastAsia="Calibri" w:hAnsi="Times New Roman" w:cs="Times New Roman"/>
                <w:spacing w:val="-2"/>
              </w:rPr>
            </w:pPr>
          </w:p>
        </w:tc>
        <w:tc>
          <w:tcPr>
            <w:tcW w:w="4274" w:type="dxa"/>
            <w:gridSpan w:val="2"/>
            <w:shd w:val="clear" w:color="auto" w:fill="auto"/>
          </w:tcPr>
          <w:p w:rsidR="00E54037" w:rsidRPr="00DB26FF" w:rsidRDefault="00E54037" w:rsidP="00DB26FF">
            <w:pPr>
              <w:spacing w:after="0" w:line="240" w:lineRule="auto"/>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Zmniejszenie kosztów z tytułu opłacanych składek do F</w:t>
            </w:r>
            <w:r w:rsidR="004E34D7">
              <w:rPr>
                <w:rFonts w:ascii="Times New Roman" w:eastAsia="Calibri" w:hAnsi="Times New Roman" w:cs="Times New Roman"/>
                <w:color w:val="000000"/>
                <w:lang w:eastAsia="pl-PL"/>
              </w:rPr>
              <w:t xml:space="preserve">unduszu </w:t>
            </w:r>
            <w:r>
              <w:rPr>
                <w:rFonts w:ascii="Times New Roman" w:eastAsia="Calibri" w:hAnsi="Times New Roman" w:cs="Times New Roman"/>
                <w:color w:val="000000"/>
                <w:lang w:eastAsia="pl-PL"/>
              </w:rPr>
              <w:t>U</w:t>
            </w:r>
            <w:r w:rsidR="004E34D7">
              <w:rPr>
                <w:rFonts w:ascii="Times New Roman" w:eastAsia="Calibri" w:hAnsi="Times New Roman" w:cs="Times New Roman"/>
                <w:color w:val="000000"/>
                <w:lang w:eastAsia="pl-PL"/>
              </w:rPr>
              <w:t xml:space="preserve">bezpieczeń </w:t>
            </w:r>
            <w:r>
              <w:rPr>
                <w:rFonts w:ascii="Times New Roman" w:eastAsia="Calibri" w:hAnsi="Times New Roman" w:cs="Times New Roman"/>
                <w:color w:val="000000"/>
                <w:lang w:eastAsia="pl-PL"/>
              </w:rPr>
              <w:t>S</w:t>
            </w:r>
            <w:r w:rsidR="004E34D7">
              <w:rPr>
                <w:rFonts w:ascii="Times New Roman" w:eastAsia="Calibri" w:hAnsi="Times New Roman" w:cs="Times New Roman"/>
                <w:color w:val="000000"/>
                <w:lang w:eastAsia="pl-PL"/>
              </w:rPr>
              <w:t xml:space="preserve">połecznych </w:t>
            </w:r>
          </w:p>
        </w:tc>
      </w:tr>
      <w:tr w:rsidR="00DB26FF" w:rsidRPr="00DB26FF" w:rsidTr="00857880">
        <w:trPr>
          <w:trHeight w:val="142"/>
        </w:trPr>
        <w:tc>
          <w:tcPr>
            <w:tcW w:w="3686" w:type="dxa"/>
            <w:shd w:val="clear" w:color="auto" w:fill="auto"/>
          </w:tcPr>
          <w:p w:rsidR="00DB26FF" w:rsidRPr="00DB26FF" w:rsidRDefault="00E54037" w:rsidP="00DB26FF">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Pracownicy</w:t>
            </w:r>
          </w:p>
        </w:tc>
        <w:tc>
          <w:tcPr>
            <w:tcW w:w="1134" w:type="dxa"/>
            <w:shd w:val="clear" w:color="auto" w:fill="auto"/>
          </w:tcPr>
          <w:p w:rsidR="00DB26FF" w:rsidRPr="00DB26FF" w:rsidRDefault="00E54037" w:rsidP="00DB26FF">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Szacunkowo obecnie ok</w:t>
            </w:r>
            <w:r w:rsidR="004E34D7">
              <w:rPr>
                <w:rFonts w:ascii="Times New Roman" w:eastAsia="Calibri" w:hAnsi="Times New Roman" w:cs="Times New Roman"/>
                <w:spacing w:val="-2"/>
              </w:rPr>
              <w:t>oło</w:t>
            </w:r>
            <w:r>
              <w:rPr>
                <w:rFonts w:ascii="Times New Roman" w:eastAsia="Calibri" w:hAnsi="Times New Roman" w:cs="Times New Roman"/>
                <w:spacing w:val="-2"/>
              </w:rPr>
              <w:t xml:space="preserve"> 3</w:t>
            </w:r>
            <w:r w:rsidR="00433F43">
              <w:rPr>
                <w:rFonts w:ascii="Times New Roman" w:eastAsia="Calibri" w:hAnsi="Times New Roman" w:cs="Times New Roman"/>
                <w:spacing w:val="-2"/>
              </w:rPr>
              <w:t>8</w:t>
            </w:r>
            <w:r>
              <w:rPr>
                <w:rFonts w:ascii="Times New Roman" w:eastAsia="Calibri" w:hAnsi="Times New Roman" w:cs="Times New Roman"/>
                <w:spacing w:val="-2"/>
              </w:rPr>
              <w:t>0 tys. osób</w:t>
            </w:r>
          </w:p>
        </w:tc>
        <w:tc>
          <w:tcPr>
            <w:tcW w:w="1983" w:type="dxa"/>
            <w:gridSpan w:val="2"/>
            <w:shd w:val="clear" w:color="auto" w:fill="auto"/>
          </w:tcPr>
          <w:p w:rsidR="00DB26FF" w:rsidRPr="00DB26FF" w:rsidRDefault="00DB26FF" w:rsidP="00DB26FF">
            <w:pPr>
              <w:spacing w:after="0" w:line="240" w:lineRule="auto"/>
              <w:jc w:val="center"/>
              <w:rPr>
                <w:rFonts w:ascii="Times New Roman" w:eastAsia="Calibri" w:hAnsi="Times New Roman" w:cs="Times New Roman"/>
                <w:spacing w:val="-2"/>
              </w:rPr>
            </w:pPr>
          </w:p>
        </w:tc>
        <w:tc>
          <w:tcPr>
            <w:tcW w:w="4274" w:type="dxa"/>
            <w:gridSpan w:val="2"/>
            <w:shd w:val="clear" w:color="auto" w:fill="auto"/>
          </w:tcPr>
          <w:p w:rsidR="00DB26FF" w:rsidRPr="00DB26FF" w:rsidRDefault="00E54037" w:rsidP="00DB26FF">
            <w:pPr>
              <w:spacing w:after="0" w:line="240" w:lineRule="auto"/>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Zmniejszenie odprowadzanych składek może </w:t>
            </w:r>
            <w:r w:rsidRPr="00433F43">
              <w:rPr>
                <w:rFonts w:ascii="Times New Roman" w:eastAsia="Calibri" w:hAnsi="Times New Roman" w:cs="Times New Roman"/>
                <w:color w:val="000000"/>
                <w:lang w:eastAsia="pl-PL"/>
              </w:rPr>
              <w:t xml:space="preserve">wpływać nie tylko na wysokość przyszłej emerytury pracowników, lecz również na wysokość świadczeń krótkoterminowych </w:t>
            </w:r>
            <w:r w:rsidRPr="00433F43">
              <w:rPr>
                <w:rFonts w:ascii="Times New Roman" w:eastAsia="Calibri" w:hAnsi="Times New Roman" w:cs="Times New Roman"/>
                <w:color w:val="000000"/>
                <w:lang w:eastAsia="pl-PL"/>
              </w:rPr>
              <w:lastRenderedPageBreak/>
              <w:t>takich jak zasiłki chorobowe czy macierzyńskie</w:t>
            </w:r>
          </w:p>
        </w:tc>
      </w:tr>
      <w:tr w:rsidR="00B223BE" w:rsidRPr="00DB26FF" w:rsidTr="00857880">
        <w:trPr>
          <w:trHeight w:val="142"/>
        </w:trPr>
        <w:tc>
          <w:tcPr>
            <w:tcW w:w="3686" w:type="dxa"/>
            <w:shd w:val="clear" w:color="auto" w:fill="auto"/>
          </w:tcPr>
          <w:p w:rsidR="00B223BE" w:rsidRPr="00B223BE" w:rsidRDefault="00B223BE" w:rsidP="00B223BE">
            <w:pPr>
              <w:pStyle w:val="NIEARTTEKSTtekstnieartykuowanynppodstprawnarozplubpreambua"/>
              <w:spacing w:line="240" w:lineRule="auto"/>
              <w:ind w:firstLine="0"/>
              <w:jc w:val="left"/>
              <w:rPr>
                <w:rFonts w:ascii="Times New Roman" w:hAnsi="Times New Roman" w:cs="Times New Roman"/>
                <w:sz w:val="22"/>
                <w:szCs w:val="22"/>
              </w:rPr>
            </w:pPr>
            <w:r w:rsidRPr="00B223BE">
              <w:rPr>
                <w:rFonts w:ascii="Times New Roman" w:hAnsi="Times New Roman" w:cs="Times New Roman"/>
                <w:sz w:val="22"/>
                <w:szCs w:val="22"/>
              </w:rPr>
              <w:lastRenderedPageBreak/>
              <w:t xml:space="preserve">Osoby cywilne realizujące zadania w </w:t>
            </w:r>
            <w:r w:rsidRPr="00B223BE">
              <w:rPr>
                <w:sz w:val="22"/>
                <w:szCs w:val="22"/>
              </w:rPr>
              <w:t>Zespole Reagowania na Incydenty Bezpieczeństwa Komputerowego CSIRT GOV</w:t>
            </w:r>
            <w:r w:rsidRPr="00B223BE">
              <w:rPr>
                <w:rFonts w:ascii="Times New Roman" w:hAnsi="Times New Roman" w:cs="Times New Roman"/>
                <w:sz w:val="22"/>
                <w:szCs w:val="22"/>
              </w:rPr>
              <w:t xml:space="preserve"> poziomu krajowego, w organach właściwych do spraw </w:t>
            </w:r>
            <w:proofErr w:type="spellStart"/>
            <w:r w:rsidRPr="00B223BE">
              <w:rPr>
                <w:rFonts w:ascii="Times New Roman" w:hAnsi="Times New Roman" w:cs="Times New Roman"/>
                <w:sz w:val="22"/>
                <w:szCs w:val="22"/>
              </w:rPr>
              <w:t>cyberbezpieczeństwa</w:t>
            </w:r>
            <w:proofErr w:type="spellEnd"/>
            <w:r w:rsidRPr="00B223BE">
              <w:rPr>
                <w:rFonts w:ascii="Times New Roman" w:hAnsi="Times New Roman" w:cs="Times New Roman"/>
                <w:sz w:val="22"/>
                <w:szCs w:val="22"/>
              </w:rPr>
              <w:t xml:space="preserve">, obsługującym Pełnomocnika do spraw </w:t>
            </w:r>
            <w:proofErr w:type="spellStart"/>
            <w:r w:rsidRPr="00B223BE">
              <w:rPr>
                <w:rFonts w:ascii="Times New Roman" w:hAnsi="Times New Roman" w:cs="Times New Roman"/>
                <w:sz w:val="22"/>
                <w:szCs w:val="22"/>
              </w:rPr>
              <w:t>cyberbezpieczeństwa</w:t>
            </w:r>
            <w:proofErr w:type="spellEnd"/>
            <w:r w:rsidRPr="00B223BE">
              <w:rPr>
                <w:rFonts w:ascii="Times New Roman" w:hAnsi="Times New Roman" w:cs="Times New Roman"/>
                <w:sz w:val="22"/>
                <w:szCs w:val="22"/>
              </w:rPr>
              <w:t xml:space="preserve">, a także zadania dotyczące zapewnienia </w:t>
            </w:r>
            <w:proofErr w:type="spellStart"/>
            <w:r w:rsidRPr="00B223BE">
              <w:rPr>
                <w:rFonts w:ascii="Times New Roman" w:hAnsi="Times New Roman" w:cs="Times New Roman"/>
                <w:sz w:val="22"/>
                <w:szCs w:val="22"/>
              </w:rPr>
              <w:t>cyberbezpieczeństwa</w:t>
            </w:r>
            <w:proofErr w:type="spellEnd"/>
            <w:r w:rsidRPr="00B223BE">
              <w:rPr>
                <w:rFonts w:ascii="Times New Roman" w:hAnsi="Times New Roman" w:cs="Times New Roman"/>
                <w:sz w:val="22"/>
                <w:szCs w:val="22"/>
              </w:rPr>
              <w:t xml:space="preserve"> w:</w:t>
            </w:r>
          </w:p>
          <w:p w:rsidR="00B223BE" w:rsidRPr="00B223BE" w:rsidRDefault="00B223BE" w:rsidP="00B223BE">
            <w:pPr>
              <w:pStyle w:val="NIEARTTEKSTtekstnieartykuowanynppodstprawnarozplubpreambua"/>
              <w:numPr>
                <w:ilvl w:val="0"/>
                <w:numId w:val="2"/>
              </w:numPr>
              <w:spacing w:before="0" w:line="240" w:lineRule="auto"/>
              <w:ind w:left="425" w:hanging="357"/>
              <w:jc w:val="left"/>
              <w:rPr>
                <w:rFonts w:ascii="Times New Roman" w:hAnsi="Times New Roman" w:cs="Times New Roman"/>
                <w:sz w:val="22"/>
                <w:szCs w:val="22"/>
              </w:rPr>
            </w:pPr>
            <w:r w:rsidRPr="00B223BE">
              <w:rPr>
                <w:rFonts w:ascii="Times New Roman" w:hAnsi="Times New Roman" w:cs="Times New Roman"/>
                <w:sz w:val="22"/>
                <w:szCs w:val="22"/>
              </w:rPr>
              <w:t>Agencji Bezpieczeństwa Wewnętrznego,</w:t>
            </w:r>
          </w:p>
          <w:p w:rsidR="00B223BE" w:rsidRPr="00B223BE" w:rsidRDefault="00B223BE" w:rsidP="00B223BE">
            <w:pPr>
              <w:pStyle w:val="ARTartustawynprozporzdzenia"/>
              <w:numPr>
                <w:ilvl w:val="0"/>
                <w:numId w:val="2"/>
              </w:numPr>
              <w:spacing w:before="0" w:line="240" w:lineRule="auto"/>
              <w:ind w:left="425" w:hanging="357"/>
              <w:jc w:val="left"/>
              <w:rPr>
                <w:sz w:val="22"/>
                <w:szCs w:val="22"/>
              </w:rPr>
            </w:pPr>
            <w:r w:rsidRPr="00B223BE">
              <w:rPr>
                <w:sz w:val="22"/>
                <w:szCs w:val="22"/>
              </w:rPr>
              <w:t>Agencji Wywiadu,</w:t>
            </w:r>
          </w:p>
          <w:p w:rsidR="00B223BE" w:rsidRPr="00B223BE" w:rsidRDefault="00B223BE" w:rsidP="00B223BE">
            <w:pPr>
              <w:pStyle w:val="NIEARTTEKSTtekstnieartykuowanynppodstprawnarozplubpreambua"/>
              <w:numPr>
                <w:ilvl w:val="0"/>
                <w:numId w:val="2"/>
              </w:numPr>
              <w:spacing w:before="0" w:line="240" w:lineRule="auto"/>
              <w:ind w:left="426"/>
              <w:jc w:val="left"/>
              <w:rPr>
                <w:rFonts w:ascii="Times New Roman" w:hAnsi="Times New Roman" w:cs="Times New Roman"/>
                <w:sz w:val="22"/>
                <w:szCs w:val="22"/>
              </w:rPr>
            </w:pPr>
            <w:r w:rsidRPr="00B223BE">
              <w:rPr>
                <w:rFonts w:ascii="Times New Roman" w:hAnsi="Times New Roman" w:cs="Times New Roman"/>
                <w:sz w:val="22"/>
                <w:szCs w:val="22"/>
              </w:rPr>
              <w:t xml:space="preserve">Centralnym Biurze Antykorupcyjnym, </w:t>
            </w:r>
          </w:p>
          <w:p w:rsidR="00B223BE" w:rsidRPr="00B223BE" w:rsidRDefault="00B223BE" w:rsidP="00B223BE">
            <w:pPr>
              <w:pStyle w:val="NIEARTTEKSTtekstnieartykuowanynppodstprawnarozplubpreambua"/>
              <w:numPr>
                <w:ilvl w:val="0"/>
                <w:numId w:val="2"/>
              </w:numPr>
              <w:spacing w:before="0" w:line="240" w:lineRule="auto"/>
              <w:ind w:left="426"/>
              <w:jc w:val="left"/>
              <w:rPr>
                <w:sz w:val="22"/>
                <w:szCs w:val="22"/>
              </w:rPr>
            </w:pPr>
            <w:r w:rsidRPr="00B223BE">
              <w:rPr>
                <w:sz w:val="22"/>
                <w:szCs w:val="22"/>
              </w:rPr>
              <w:t xml:space="preserve">jednostkach </w:t>
            </w:r>
            <w:r w:rsidRPr="00B223BE">
              <w:rPr>
                <w:rFonts w:ascii="Times New Roman" w:hAnsi="Times New Roman" w:cs="Times New Roman"/>
                <w:sz w:val="22"/>
                <w:szCs w:val="22"/>
              </w:rPr>
              <w:t>organizacyjnych</w:t>
            </w:r>
            <w:r w:rsidRPr="00B223BE">
              <w:rPr>
                <w:sz w:val="22"/>
                <w:szCs w:val="22"/>
              </w:rPr>
              <w:t xml:space="preserve"> podległych Prezesowi Rady Ministrów albo ministrom,</w:t>
            </w:r>
          </w:p>
          <w:p w:rsidR="00B223BE" w:rsidRPr="00B223BE" w:rsidRDefault="00B223BE" w:rsidP="00B223BE">
            <w:pPr>
              <w:pStyle w:val="NIEARTTEKSTtekstnieartykuowanynppodstprawnarozplubpreambua"/>
              <w:numPr>
                <w:ilvl w:val="0"/>
                <w:numId w:val="2"/>
              </w:numPr>
              <w:spacing w:before="0" w:line="240" w:lineRule="auto"/>
              <w:ind w:left="426"/>
              <w:jc w:val="left"/>
              <w:rPr>
                <w:rFonts w:ascii="Times New Roman" w:hAnsi="Times New Roman" w:cs="Times New Roman"/>
                <w:sz w:val="22"/>
                <w:szCs w:val="22"/>
              </w:rPr>
            </w:pPr>
            <w:r w:rsidRPr="00B223BE">
              <w:rPr>
                <w:rFonts w:ascii="Times New Roman" w:hAnsi="Times New Roman" w:cs="Times New Roman"/>
                <w:sz w:val="22"/>
                <w:szCs w:val="22"/>
              </w:rPr>
              <w:t xml:space="preserve">Kancelarii Prezesa Rady Ministrów oraz w urzędach obsługujących ministrów, </w:t>
            </w:r>
          </w:p>
          <w:p w:rsidR="00B223BE" w:rsidRPr="00B223BE" w:rsidRDefault="00B223BE" w:rsidP="00B223BE">
            <w:pPr>
              <w:pStyle w:val="NIEARTTEKSTtekstnieartykuowanynppodstprawnarozplubpreambua"/>
              <w:numPr>
                <w:ilvl w:val="0"/>
                <w:numId w:val="2"/>
              </w:numPr>
              <w:spacing w:before="0" w:line="240" w:lineRule="auto"/>
              <w:ind w:left="426"/>
              <w:jc w:val="left"/>
              <w:rPr>
                <w:rFonts w:ascii="Times New Roman" w:hAnsi="Times New Roman" w:cs="Times New Roman"/>
                <w:sz w:val="22"/>
                <w:szCs w:val="22"/>
              </w:rPr>
            </w:pPr>
            <w:r w:rsidRPr="00B223BE">
              <w:rPr>
                <w:rFonts w:ascii="Times New Roman" w:hAnsi="Times New Roman" w:cs="Times New Roman"/>
                <w:sz w:val="22"/>
                <w:szCs w:val="22"/>
              </w:rPr>
              <w:t>Policji,</w:t>
            </w:r>
          </w:p>
          <w:p w:rsidR="00B223BE" w:rsidRPr="00B223BE" w:rsidRDefault="00B223BE" w:rsidP="00B223BE">
            <w:pPr>
              <w:pStyle w:val="NIEARTTEKSTtekstnieartykuowanynppodstprawnarozplubpreambua"/>
              <w:numPr>
                <w:ilvl w:val="0"/>
                <w:numId w:val="2"/>
              </w:numPr>
              <w:spacing w:before="0" w:line="240" w:lineRule="auto"/>
              <w:ind w:left="426"/>
              <w:jc w:val="left"/>
              <w:rPr>
                <w:rFonts w:ascii="Times New Roman" w:hAnsi="Times New Roman" w:cs="Times New Roman"/>
                <w:sz w:val="22"/>
                <w:szCs w:val="22"/>
              </w:rPr>
            </w:pPr>
            <w:r w:rsidRPr="00B223BE">
              <w:rPr>
                <w:rFonts w:ascii="Times New Roman" w:hAnsi="Times New Roman" w:cs="Times New Roman"/>
                <w:sz w:val="22"/>
                <w:szCs w:val="22"/>
              </w:rPr>
              <w:t>Prokuraturze,</w:t>
            </w:r>
          </w:p>
          <w:p w:rsidR="00B223BE" w:rsidRPr="00B223BE" w:rsidRDefault="00B223BE" w:rsidP="00B223BE">
            <w:pPr>
              <w:pStyle w:val="NIEARTTEKSTtekstnieartykuowanynppodstprawnarozplubpreambua"/>
              <w:numPr>
                <w:ilvl w:val="0"/>
                <w:numId w:val="2"/>
              </w:numPr>
              <w:spacing w:before="0" w:line="240" w:lineRule="auto"/>
              <w:ind w:left="426"/>
              <w:jc w:val="left"/>
              <w:rPr>
                <w:rFonts w:ascii="Times New Roman" w:hAnsi="Times New Roman" w:cs="Times New Roman"/>
                <w:sz w:val="22"/>
                <w:szCs w:val="22"/>
              </w:rPr>
            </w:pPr>
            <w:r w:rsidRPr="00B223BE">
              <w:rPr>
                <w:rFonts w:ascii="Times New Roman" w:hAnsi="Times New Roman" w:cs="Times New Roman"/>
                <w:sz w:val="22"/>
                <w:szCs w:val="22"/>
              </w:rPr>
              <w:t>Służbie Kontrwywiadu Wojskowego,</w:t>
            </w:r>
          </w:p>
          <w:p w:rsidR="00B223BE" w:rsidRPr="00B223BE" w:rsidRDefault="00B223BE" w:rsidP="00B223BE">
            <w:pPr>
              <w:pStyle w:val="NIEARTTEKSTtekstnieartykuowanynppodstprawnarozplubpreambua"/>
              <w:numPr>
                <w:ilvl w:val="0"/>
                <w:numId w:val="2"/>
              </w:numPr>
              <w:spacing w:before="0" w:line="240" w:lineRule="auto"/>
              <w:ind w:left="426"/>
              <w:jc w:val="left"/>
              <w:rPr>
                <w:rFonts w:ascii="Times New Roman" w:hAnsi="Times New Roman" w:cs="Times New Roman"/>
                <w:sz w:val="22"/>
                <w:szCs w:val="22"/>
              </w:rPr>
            </w:pPr>
            <w:r w:rsidRPr="00B223BE">
              <w:rPr>
                <w:rFonts w:ascii="Times New Roman" w:hAnsi="Times New Roman" w:cs="Times New Roman"/>
                <w:sz w:val="22"/>
                <w:szCs w:val="22"/>
              </w:rPr>
              <w:t>Służbie Wywiadu Wojskowego,</w:t>
            </w:r>
          </w:p>
          <w:p w:rsidR="00B223BE" w:rsidRPr="00B223BE" w:rsidRDefault="00B223BE" w:rsidP="00B223BE">
            <w:pPr>
              <w:pStyle w:val="NIEARTTEKSTtekstnieartykuowanynppodstprawnarozplubpreambua"/>
              <w:numPr>
                <w:ilvl w:val="0"/>
                <w:numId w:val="2"/>
              </w:numPr>
              <w:spacing w:before="0" w:line="240" w:lineRule="auto"/>
              <w:ind w:left="426"/>
              <w:jc w:val="left"/>
              <w:rPr>
                <w:rFonts w:ascii="Times New Roman" w:hAnsi="Times New Roman" w:cs="Times New Roman"/>
                <w:sz w:val="22"/>
                <w:szCs w:val="22"/>
              </w:rPr>
            </w:pPr>
            <w:r w:rsidRPr="00B223BE">
              <w:rPr>
                <w:rFonts w:ascii="Times New Roman" w:hAnsi="Times New Roman" w:cs="Times New Roman"/>
                <w:sz w:val="22"/>
                <w:szCs w:val="22"/>
              </w:rPr>
              <w:t>Straży Granicznej,</w:t>
            </w:r>
          </w:p>
          <w:p w:rsidR="00B223BE" w:rsidRPr="00B223BE" w:rsidRDefault="00B223BE" w:rsidP="00B223BE">
            <w:pPr>
              <w:pStyle w:val="NIEARTTEKSTtekstnieartykuowanynppodstprawnarozplubpreambua"/>
              <w:numPr>
                <w:ilvl w:val="0"/>
                <w:numId w:val="2"/>
              </w:numPr>
              <w:spacing w:before="0" w:line="240" w:lineRule="auto"/>
              <w:ind w:left="426"/>
              <w:jc w:val="left"/>
              <w:rPr>
                <w:rFonts w:ascii="Times New Roman" w:hAnsi="Times New Roman" w:cs="Times New Roman"/>
                <w:sz w:val="22"/>
                <w:szCs w:val="22"/>
              </w:rPr>
            </w:pPr>
            <w:r w:rsidRPr="00B223BE">
              <w:rPr>
                <w:rFonts w:ascii="Times New Roman" w:hAnsi="Times New Roman" w:cs="Times New Roman"/>
                <w:sz w:val="22"/>
                <w:szCs w:val="22"/>
              </w:rPr>
              <w:t>Służbie Ochrony Państwa.</w:t>
            </w:r>
          </w:p>
          <w:p w:rsidR="00B223BE" w:rsidRDefault="00B223BE" w:rsidP="00DB26FF">
            <w:pPr>
              <w:spacing w:after="0" w:line="240" w:lineRule="auto"/>
              <w:rPr>
                <w:rFonts w:ascii="Times New Roman" w:eastAsia="Calibri" w:hAnsi="Times New Roman" w:cs="Times New Roman"/>
                <w:lang w:eastAsia="pl-PL"/>
              </w:rPr>
            </w:pPr>
          </w:p>
        </w:tc>
        <w:tc>
          <w:tcPr>
            <w:tcW w:w="1134" w:type="dxa"/>
            <w:shd w:val="clear" w:color="auto" w:fill="auto"/>
          </w:tcPr>
          <w:p w:rsidR="00B223BE" w:rsidRDefault="00975A17" w:rsidP="00975A17">
            <w:pPr>
              <w:spacing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500 osób</w:t>
            </w:r>
          </w:p>
        </w:tc>
        <w:tc>
          <w:tcPr>
            <w:tcW w:w="1983" w:type="dxa"/>
            <w:gridSpan w:val="2"/>
            <w:shd w:val="clear" w:color="auto" w:fill="auto"/>
          </w:tcPr>
          <w:p w:rsidR="00B223BE" w:rsidRPr="00DB26FF" w:rsidRDefault="00896E34" w:rsidP="00DB26FF">
            <w:pPr>
              <w:spacing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w:t>
            </w:r>
          </w:p>
        </w:tc>
        <w:tc>
          <w:tcPr>
            <w:tcW w:w="4274" w:type="dxa"/>
            <w:gridSpan w:val="2"/>
            <w:shd w:val="clear" w:color="auto" w:fill="auto"/>
          </w:tcPr>
          <w:p w:rsidR="00B223BE" w:rsidRDefault="00B223BE" w:rsidP="00DB26FF">
            <w:pPr>
              <w:spacing w:after="0" w:line="240" w:lineRule="auto"/>
              <w:rPr>
                <w:rFonts w:ascii="Times New Roman" w:eastAsia="Calibri" w:hAnsi="Times New Roman" w:cs="Times New Roman"/>
                <w:color w:val="000000"/>
                <w:lang w:eastAsia="pl-PL"/>
              </w:rPr>
            </w:pPr>
            <w:r>
              <w:rPr>
                <w:rFonts w:ascii="Times New Roman" w:eastAsia="Times New Roman" w:hAnsi="Times New Roman"/>
              </w:rPr>
              <w:t>W</w:t>
            </w:r>
            <w:r w:rsidRPr="00B223BE">
              <w:rPr>
                <w:rFonts w:ascii="Times New Roman" w:eastAsia="Times New Roman" w:hAnsi="Times New Roman"/>
              </w:rPr>
              <w:t xml:space="preserve">yłączenie z podstawy wymiaru składek </w:t>
            </w:r>
            <w:r w:rsidRPr="00B223BE">
              <w:rPr>
                <w:rFonts w:ascii="Times New Roman" w:eastAsia="Times New Roman" w:hAnsi="Times New Roman"/>
                <w:bCs/>
              </w:rPr>
              <w:t>na ubezpieczenia emerytalne i rentowe kwoty świadczenia teleinformatycznego</w:t>
            </w:r>
          </w:p>
        </w:tc>
      </w:tr>
      <w:tr w:rsidR="00DB26FF" w:rsidRPr="00DB26FF" w:rsidTr="00857880">
        <w:trPr>
          <w:gridAfter w:val="1"/>
          <w:wAfter w:w="9" w:type="dxa"/>
          <w:trHeight w:val="302"/>
        </w:trPr>
        <w:tc>
          <w:tcPr>
            <w:tcW w:w="11068" w:type="dxa"/>
            <w:gridSpan w:val="5"/>
            <w:shd w:val="clear" w:color="auto" w:fill="99CCFF"/>
            <w:vAlign w:val="center"/>
          </w:tcPr>
          <w:p w:rsidR="00DB26FF" w:rsidRPr="00DB26FF" w:rsidRDefault="00DB26FF" w:rsidP="00DB26FF">
            <w:pPr>
              <w:numPr>
                <w:ilvl w:val="0"/>
                <w:numId w:val="1"/>
              </w:numPr>
              <w:spacing w:before="60" w:after="60" w:line="240" w:lineRule="auto"/>
              <w:ind w:left="318" w:hanging="284"/>
              <w:jc w:val="both"/>
              <w:rPr>
                <w:rFonts w:ascii="Times New Roman" w:eastAsia="Calibri" w:hAnsi="Times New Roman" w:cs="Times New Roman"/>
                <w:b/>
                <w:color w:val="000000"/>
              </w:rPr>
            </w:pPr>
            <w:r w:rsidRPr="00DB26FF">
              <w:rPr>
                <w:rFonts w:ascii="Times New Roman" w:eastAsia="Calibri" w:hAnsi="Times New Roman" w:cs="Times New Roman"/>
                <w:b/>
                <w:color w:val="000000"/>
              </w:rPr>
              <w:t>Informacje na temat zakresu, czasu trwania i podsumowanie wyników konsultacji</w:t>
            </w:r>
          </w:p>
        </w:tc>
      </w:tr>
      <w:tr w:rsidR="00DB26FF" w:rsidRPr="00DB26FF" w:rsidTr="00857880">
        <w:trPr>
          <w:gridAfter w:val="1"/>
          <w:wAfter w:w="9" w:type="dxa"/>
          <w:trHeight w:val="342"/>
        </w:trPr>
        <w:tc>
          <w:tcPr>
            <w:tcW w:w="11068" w:type="dxa"/>
            <w:gridSpan w:val="5"/>
            <w:shd w:val="clear" w:color="auto" w:fill="FFFFFF"/>
          </w:tcPr>
          <w:p w:rsidR="002275F2" w:rsidRPr="002275F2" w:rsidRDefault="002275F2" w:rsidP="002275F2">
            <w:pPr>
              <w:spacing w:after="0" w:line="240" w:lineRule="auto"/>
              <w:jc w:val="both"/>
              <w:rPr>
                <w:rFonts w:ascii="Times New Roman" w:eastAsia="Calibri" w:hAnsi="Times New Roman" w:cs="Times New Roman"/>
                <w:spacing w:val="-2"/>
              </w:rPr>
            </w:pPr>
            <w:r w:rsidRPr="002275F2">
              <w:rPr>
                <w:rFonts w:ascii="Times New Roman" w:eastAsia="Calibri" w:hAnsi="Times New Roman" w:cs="Times New Roman"/>
                <w:spacing w:val="-2"/>
              </w:rPr>
              <w:t>Projekt rozporządzenia zostanie udostępniony w Biuletynie Informacji Publicznej Ministerstwa Rodziny i Polityki Społecznej zgodnie z art. 5 ustawy z dnia 7 lipca 2005 r. o działalności lobbingowej w procesie stanowienia prawa (Dz. U. z 2017 r. poz. 248) oraz w Biuletynie Informacji Publicznej Rządowego Centrum Legislacji, zgodnie z § 52 uchwały nr 190 Rady Ministrów z dnia 29 października 2013 r. – Regulamin pracy Rady Ministrów (M.P. z 2016 r. poz. 1006, z późn. zm.).</w:t>
            </w:r>
          </w:p>
          <w:p w:rsidR="002275F2" w:rsidRPr="002275F2" w:rsidRDefault="002275F2" w:rsidP="002275F2">
            <w:pPr>
              <w:spacing w:after="0" w:line="240" w:lineRule="auto"/>
              <w:jc w:val="both"/>
              <w:rPr>
                <w:rFonts w:ascii="Times New Roman" w:eastAsia="Calibri" w:hAnsi="Times New Roman" w:cs="Times New Roman"/>
                <w:spacing w:val="-2"/>
              </w:rPr>
            </w:pPr>
          </w:p>
          <w:p w:rsidR="002275F2" w:rsidRPr="002275F2" w:rsidRDefault="002275F2" w:rsidP="002275F2">
            <w:pPr>
              <w:spacing w:after="0" w:line="240" w:lineRule="auto"/>
              <w:jc w:val="both"/>
              <w:rPr>
                <w:rFonts w:ascii="Times New Roman" w:eastAsia="Calibri" w:hAnsi="Times New Roman" w:cs="Times New Roman"/>
                <w:spacing w:val="-2"/>
              </w:rPr>
            </w:pPr>
            <w:r w:rsidRPr="002275F2">
              <w:rPr>
                <w:rFonts w:ascii="Times New Roman" w:eastAsia="Calibri" w:hAnsi="Times New Roman" w:cs="Times New Roman"/>
                <w:spacing w:val="-2"/>
              </w:rPr>
              <w:t xml:space="preserve">Projekt zostanie przedstawiony do zaopiniowania: </w:t>
            </w:r>
          </w:p>
          <w:p w:rsidR="002275F2" w:rsidRPr="002275F2" w:rsidRDefault="002275F2" w:rsidP="002275F2">
            <w:pPr>
              <w:spacing w:after="0" w:line="240" w:lineRule="auto"/>
              <w:jc w:val="both"/>
              <w:rPr>
                <w:rFonts w:ascii="Times New Roman" w:eastAsia="Calibri" w:hAnsi="Times New Roman" w:cs="Times New Roman"/>
                <w:spacing w:val="-2"/>
              </w:rPr>
            </w:pPr>
            <w:r w:rsidRPr="002275F2">
              <w:rPr>
                <w:rFonts w:ascii="Times New Roman" w:eastAsia="Calibri" w:hAnsi="Times New Roman" w:cs="Times New Roman"/>
                <w:spacing w:val="-2"/>
              </w:rPr>
              <w:t xml:space="preserve">– w trybie przepisów ustawy z dnia 23 maja 1991 r. o związkach zawodowych (Dz. U. z 2019 r. poz. 263, z późn. zm.): Forum Związków Zawodowych, NSZZ „Solidarność”, Ogólnopolskiemu Porozumieniu Związków Zawodowych, </w:t>
            </w:r>
          </w:p>
          <w:p w:rsidR="002275F2" w:rsidRPr="002275F2" w:rsidRDefault="002275F2" w:rsidP="002275F2">
            <w:pPr>
              <w:spacing w:after="0" w:line="240" w:lineRule="auto"/>
              <w:jc w:val="both"/>
              <w:rPr>
                <w:rFonts w:ascii="Times New Roman" w:eastAsia="Calibri" w:hAnsi="Times New Roman" w:cs="Times New Roman"/>
                <w:spacing w:val="-2"/>
              </w:rPr>
            </w:pPr>
            <w:r w:rsidRPr="002275F2">
              <w:rPr>
                <w:rFonts w:ascii="Times New Roman" w:eastAsia="Calibri" w:hAnsi="Times New Roman" w:cs="Times New Roman"/>
                <w:spacing w:val="-2"/>
              </w:rPr>
              <w:t xml:space="preserve">– w trybie ustawy z dnia 23 maja 1991 r. o organizacjach pracodawców (Dz. U. z 2019 r. poz. 1809, z późn. zm.): Konfederacji Lewiatan, Pracodawcom RP, Związkowi Pracodawców Business Centre Club, Związkowi Rzemiosła Polskiego, Związkowi Przedsiębiorców i Pracodawców, Federacji Przedsiębiorców Polskich. </w:t>
            </w:r>
          </w:p>
          <w:p w:rsidR="002275F2" w:rsidRPr="002275F2" w:rsidRDefault="002275F2" w:rsidP="002275F2">
            <w:pPr>
              <w:spacing w:after="0" w:line="240" w:lineRule="auto"/>
              <w:jc w:val="both"/>
              <w:rPr>
                <w:rFonts w:ascii="Times New Roman" w:eastAsia="Calibri" w:hAnsi="Times New Roman" w:cs="Times New Roman"/>
                <w:spacing w:val="-2"/>
              </w:rPr>
            </w:pPr>
            <w:r w:rsidRPr="002275F2">
              <w:rPr>
                <w:rFonts w:ascii="Times New Roman" w:eastAsia="Calibri" w:hAnsi="Times New Roman" w:cs="Times New Roman"/>
                <w:spacing w:val="-2"/>
              </w:rPr>
              <w:t xml:space="preserve">Projekt zostanie również przedstawiony Radzie Dialogu Społecznego na podstawie przepisów ustawy z dnia 24 lipca 2015 r. o Radzie Dialogu Społecznego i innych instytucjach dialogu społecznego (Dz. U. z 2018 r. poz. 2232, z późn. zm.). </w:t>
            </w:r>
          </w:p>
          <w:p w:rsidR="002275F2" w:rsidRDefault="002275F2" w:rsidP="002275F2">
            <w:pPr>
              <w:spacing w:after="0" w:line="240" w:lineRule="auto"/>
              <w:jc w:val="both"/>
              <w:rPr>
                <w:rFonts w:ascii="Times New Roman" w:eastAsia="Calibri" w:hAnsi="Times New Roman" w:cs="Times New Roman"/>
                <w:spacing w:val="-2"/>
              </w:rPr>
            </w:pPr>
          </w:p>
          <w:p w:rsidR="002275F2" w:rsidRPr="002275F2" w:rsidRDefault="002275F2" w:rsidP="002275F2">
            <w:pPr>
              <w:spacing w:after="0" w:line="240" w:lineRule="auto"/>
              <w:jc w:val="both"/>
              <w:rPr>
                <w:rFonts w:ascii="Times New Roman" w:eastAsia="Calibri" w:hAnsi="Times New Roman" w:cs="Times New Roman"/>
                <w:spacing w:val="-2"/>
              </w:rPr>
            </w:pPr>
            <w:r w:rsidRPr="002275F2">
              <w:rPr>
                <w:rFonts w:ascii="Times New Roman" w:eastAsia="Calibri" w:hAnsi="Times New Roman" w:cs="Times New Roman"/>
                <w:spacing w:val="-2"/>
              </w:rPr>
              <w:t>Projekt zostanie przekazany do zaopiniowania:</w:t>
            </w:r>
          </w:p>
          <w:p w:rsidR="002275F2" w:rsidRPr="002275F2" w:rsidRDefault="002275F2" w:rsidP="002275F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 xml:space="preserve">- </w:t>
            </w:r>
            <w:r w:rsidRPr="002275F2">
              <w:rPr>
                <w:rFonts w:ascii="Times New Roman" w:eastAsia="Calibri" w:hAnsi="Times New Roman" w:cs="Times New Roman"/>
                <w:spacing w:val="-2"/>
              </w:rPr>
              <w:t>Prezesowi Zakładu Ubezpieczeń Społecznych,</w:t>
            </w:r>
          </w:p>
          <w:p w:rsidR="00DB26FF" w:rsidRDefault="002275F2" w:rsidP="002275F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 xml:space="preserve">- </w:t>
            </w:r>
            <w:r w:rsidRPr="002275F2">
              <w:rPr>
                <w:rFonts w:ascii="Times New Roman" w:eastAsia="Calibri" w:hAnsi="Times New Roman" w:cs="Times New Roman"/>
                <w:spacing w:val="-2"/>
              </w:rPr>
              <w:t>Przewodniczącemu Rady Nadzorczej Zakładu Ubezpieczeń Społecznych.</w:t>
            </w:r>
          </w:p>
          <w:p w:rsidR="002275F2" w:rsidRPr="00DB26FF" w:rsidRDefault="002275F2" w:rsidP="002275F2">
            <w:pPr>
              <w:spacing w:after="0" w:line="240" w:lineRule="auto"/>
              <w:jc w:val="both"/>
              <w:rPr>
                <w:rFonts w:ascii="Times New Roman" w:eastAsia="Calibri" w:hAnsi="Times New Roman" w:cs="Times New Roman"/>
                <w:color w:val="00B050"/>
                <w:spacing w:val="-2"/>
              </w:rPr>
            </w:pPr>
          </w:p>
        </w:tc>
      </w:tr>
    </w:tbl>
    <w:p w:rsidR="00DB26FF" w:rsidRPr="00DB26FF" w:rsidRDefault="00DB26FF" w:rsidP="00DB26FF">
      <w:pPr>
        <w:spacing w:after="0" w:line="276" w:lineRule="auto"/>
        <w:rPr>
          <w:rFonts w:ascii="Calibri" w:eastAsia="Calibri" w:hAnsi="Calibri" w:cs="Times New Roman"/>
        </w:rPr>
      </w:pPr>
    </w:p>
    <w:tbl>
      <w:tblPr>
        <w:tblW w:w="11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
        <w:gridCol w:w="761"/>
        <w:gridCol w:w="786"/>
        <w:gridCol w:w="271"/>
        <w:gridCol w:w="515"/>
        <w:gridCol w:w="87"/>
        <w:gridCol w:w="699"/>
        <w:gridCol w:w="258"/>
        <w:gridCol w:w="528"/>
        <w:gridCol w:w="395"/>
        <w:gridCol w:w="391"/>
        <w:gridCol w:w="527"/>
        <w:gridCol w:w="20"/>
        <w:gridCol w:w="239"/>
        <w:gridCol w:w="295"/>
        <w:gridCol w:w="403"/>
        <w:gridCol w:w="88"/>
        <w:gridCol w:w="786"/>
        <w:gridCol w:w="64"/>
        <w:gridCol w:w="722"/>
        <w:gridCol w:w="217"/>
        <w:gridCol w:w="570"/>
        <w:gridCol w:w="861"/>
        <w:gridCol w:w="20"/>
      </w:tblGrid>
      <w:tr w:rsidR="00DB26FF" w:rsidRPr="00DB26FF" w:rsidTr="000356FB">
        <w:trPr>
          <w:gridAfter w:val="1"/>
          <w:wAfter w:w="20" w:type="dxa"/>
          <w:trHeight w:val="363"/>
        </w:trPr>
        <w:tc>
          <w:tcPr>
            <w:tcW w:w="11068" w:type="dxa"/>
            <w:gridSpan w:val="24"/>
            <w:shd w:val="clear" w:color="auto" w:fill="99CCFF"/>
            <w:vAlign w:val="center"/>
          </w:tcPr>
          <w:p w:rsidR="00DB26FF" w:rsidRPr="00DB26FF" w:rsidRDefault="00DB26FF" w:rsidP="00DB26FF">
            <w:pPr>
              <w:numPr>
                <w:ilvl w:val="0"/>
                <w:numId w:val="1"/>
              </w:numPr>
              <w:spacing w:before="60" w:after="60" w:line="240" w:lineRule="auto"/>
              <w:ind w:left="318" w:hanging="284"/>
              <w:jc w:val="both"/>
              <w:rPr>
                <w:rFonts w:ascii="Times New Roman" w:eastAsia="Calibri" w:hAnsi="Times New Roman" w:cs="Times New Roman"/>
                <w:b/>
                <w:color w:val="000000"/>
              </w:rPr>
            </w:pPr>
            <w:r w:rsidRPr="00DB26FF">
              <w:rPr>
                <w:rFonts w:ascii="Times New Roman" w:eastAsia="Calibri" w:hAnsi="Times New Roman" w:cs="Times New Roman"/>
                <w:b/>
                <w:color w:val="000000"/>
              </w:rPr>
              <w:t xml:space="preserve"> Wpływ na sektor finansów publicznych</w:t>
            </w:r>
          </w:p>
        </w:tc>
      </w:tr>
      <w:tr w:rsidR="00DB26FF" w:rsidRPr="00DB26FF" w:rsidTr="000356FB">
        <w:trPr>
          <w:gridAfter w:val="1"/>
          <w:wAfter w:w="20" w:type="dxa"/>
          <w:trHeight w:val="142"/>
        </w:trPr>
        <w:tc>
          <w:tcPr>
            <w:tcW w:w="1560" w:type="dxa"/>
            <w:vMerge w:val="restart"/>
            <w:shd w:val="clear" w:color="auto" w:fill="FFFFFF"/>
          </w:tcPr>
          <w:p w:rsidR="00DB26FF" w:rsidRPr="00DB26FF" w:rsidRDefault="00DB26FF">
            <w:pPr>
              <w:spacing w:before="40" w:after="40" w:line="276" w:lineRule="auto"/>
              <w:rPr>
                <w:rFonts w:ascii="Times New Roman" w:eastAsia="Calibri" w:hAnsi="Times New Roman" w:cs="Times New Roman"/>
                <w:i/>
                <w:color w:val="000000"/>
                <w:sz w:val="21"/>
                <w:szCs w:val="21"/>
              </w:rPr>
            </w:pPr>
            <w:r w:rsidRPr="00DB26FF">
              <w:rPr>
                <w:rFonts w:ascii="Times New Roman" w:eastAsia="Calibri" w:hAnsi="Times New Roman" w:cs="Times New Roman"/>
                <w:color w:val="000000"/>
                <w:sz w:val="21"/>
                <w:szCs w:val="21"/>
              </w:rPr>
              <w:t xml:space="preserve">(ceny </w:t>
            </w:r>
            <w:r w:rsidR="00667187">
              <w:rPr>
                <w:rFonts w:ascii="Times New Roman" w:eastAsia="Calibri" w:hAnsi="Times New Roman" w:cs="Times New Roman"/>
                <w:color w:val="000000"/>
                <w:sz w:val="21"/>
                <w:szCs w:val="21"/>
              </w:rPr>
              <w:t>bież</w:t>
            </w:r>
            <w:r w:rsidR="004E34D7">
              <w:rPr>
                <w:rFonts w:ascii="Times New Roman" w:eastAsia="Calibri" w:hAnsi="Times New Roman" w:cs="Times New Roman"/>
                <w:color w:val="000000"/>
                <w:sz w:val="21"/>
                <w:szCs w:val="21"/>
              </w:rPr>
              <w:t>ą</w:t>
            </w:r>
            <w:r w:rsidR="00667187">
              <w:rPr>
                <w:rFonts w:ascii="Times New Roman" w:eastAsia="Calibri" w:hAnsi="Times New Roman" w:cs="Times New Roman"/>
                <w:color w:val="000000"/>
                <w:sz w:val="21"/>
                <w:szCs w:val="21"/>
              </w:rPr>
              <w:t>ce</w:t>
            </w:r>
            <w:r w:rsidRPr="00DB26FF">
              <w:rPr>
                <w:rFonts w:ascii="Times New Roman" w:eastAsia="Calibri" w:hAnsi="Times New Roman" w:cs="Times New Roman"/>
                <w:color w:val="000000"/>
                <w:sz w:val="21"/>
                <w:szCs w:val="21"/>
              </w:rPr>
              <w:t>)</w:t>
            </w:r>
          </w:p>
        </w:tc>
        <w:tc>
          <w:tcPr>
            <w:tcW w:w="9508" w:type="dxa"/>
            <w:gridSpan w:val="23"/>
            <w:shd w:val="clear" w:color="auto" w:fill="FFFFFF"/>
          </w:tcPr>
          <w:p w:rsidR="00DB26FF" w:rsidRPr="00DB26FF" w:rsidRDefault="00DB26FF" w:rsidP="00DB26FF">
            <w:pPr>
              <w:spacing w:before="40" w:after="40" w:line="240" w:lineRule="auto"/>
              <w:jc w:val="center"/>
              <w:rPr>
                <w:rFonts w:ascii="Times New Roman" w:eastAsia="Calibri" w:hAnsi="Times New Roman" w:cs="Times New Roman"/>
                <w:i/>
                <w:color w:val="000000"/>
                <w:spacing w:val="-2"/>
                <w:sz w:val="21"/>
                <w:szCs w:val="21"/>
              </w:rPr>
            </w:pPr>
            <w:r w:rsidRPr="00DB26FF">
              <w:rPr>
                <w:rFonts w:ascii="Times New Roman" w:eastAsia="Calibri" w:hAnsi="Times New Roman" w:cs="Times New Roman"/>
                <w:color w:val="000000"/>
                <w:sz w:val="21"/>
                <w:szCs w:val="21"/>
              </w:rPr>
              <w:t>Skutki w okresie 10 lat od wejścia w życie zmian [mln zł]</w:t>
            </w:r>
          </w:p>
        </w:tc>
      </w:tr>
      <w:tr w:rsidR="00DB26FF" w:rsidRPr="00DB26FF" w:rsidTr="000356FB">
        <w:trPr>
          <w:trHeight w:val="142"/>
        </w:trPr>
        <w:tc>
          <w:tcPr>
            <w:tcW w:w="1560" w:type="dxa"/>
            <w:vMerge/>
            <w:shd w:val="clear" w:color="auto" w:fill="FFFFFF"/>
          </w:tcPr>
          <w:p w:rsidR="00DB26FF" w:rsidRPr="00DB26FF" w:rsidRDefault="00DB26FF" w:rsidP="00DB26FF">
            <w:pPr>
              <w:spacing w:before="40" w:after="40" w:line="240" w:lineRule="auto"/>
              <w:rPr>
                <w:rFonts w:ascii="Times New Roman" w:eastAsia="Calibri" w:hAnsi="Times New Roman" w:cs="Times New Roman"/>
                <w:i/>
                <w:color w:val="000000"/>
                <w:sz w:val="21"/>
                <w:szCs w:val="21"/>
              </w:rPr>
            </w:pPr>
          </w:p>
        </w:tc>
        <w:tc>
          <w:tcPr>
            <w:tcW w:w="786" w:type="dxa"/>
            <w:gridSpan w:val="2"/>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0</w:t>
            </w:r>
          </w:p>
        </w:tc>
        <w:tc>
          <w:tcPr>
            <w:tcW w:w="786" w:type="dxa"/>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1</w:t>
            </w:r>
          </w:p>
        </w:tc>
        <w:tc>
          <w:tcPr>
            <w:tcW w:w="786" w:type="dxa"/>
            <w:gridSpan w:val="2"/>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2</w:t>
            </w:r>
          </w:p>
        </w:tc>
        <w:tc>
          <w:tcPr>
            <w:tcW w:w="786" w:type="dxa"/>
            <w:gridSpan w:val="2"/>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3</w:t>
            </w:r>
          </w:p>
        </w:tc>
        <w:tc>
          <w:tcPr>
            <w:tcW w:w="786" w:type="dxa"/>
            <w:gridSpan w:val="2"/>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4</w:t>
            </w:r>
          </w:p>
        </w:tc>
        <w:tc>
          <w:tcPr>
            <w:tcW w:w="786" w:type="dxa"/>
            <w:gridSpan w:val="2"/>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5</w:t>
            </w:r>
          </w:p>
        </w:tc>
        <w:tc>
          <w:tcPr>
            <w:tcW w:w="786" w:type="dxa"/>
            <w:gridSpan w:val="3"/>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6</w:t>
            </w:r>
          </w:p>
        </w:tc>
        <w:tc>
          <w:tcPr>
            <w:tcW w:w="786" w:type="dxa"/>
            <w:gridSpan w:val="3"/>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7</w:t>
            </w:r>
          </w:p>
        </w:tc>
        <w:tc>
          <w:tcPr>
            <w:tcW w:w="786" w:type="dxa"/>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8</w:t>
            </w:r>
          </w:p>
        </w:tc>
        <w:tc>
          <w:tcPr>
            <w:tcW w:w="786" w:type="dxa"/>
            <w:gridSpan w:val="2"/>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9</w:t>
            </w:r>
          </w:p>
        </w:tc>
        <w:tc>
          <w:tcPr>
            <w:tcW w:w="787" w:type="dxa"/>
            <w:gridSpan w:val="2"/>
            <w:shd w:val="clear" w:color="auto" w:fill="FFFFFF"/>
            <w:vAlign w:val="center"/>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10</w:t>
            </w:r>
          </w:p>
        </w:tc>
        <w:tc>
          <w:tcPr>
            <w:tcW w:w="881" w:type="dxa"/>
            <w:gridSpan w:val="2"/>
            <w:shd w:val="clear" w:color="auto" w:fill="FFFFFF"/>
            <w:vAlign w:val="center"/>
          </w:tcPr>
          <w:p w:rsidR="00DB26FF" w:rsidRPr="00DB26FF" w:rsidRDefault="00DB26FF" w:rsidP="00DB26FF">
            <w:pPr>
              <w:spacing w:before="40" w:after="40" w:line="240" w:lineRule="auto"/>
              <w:jc w:val="center"/>
              <w:rPr>
                <w:rFonts w:ascii="Times New Roman" w:eastAsia="Calibri" w:hAnsi="Times New Roman" w:cs="Times New Roman"/>
                <w:i/>
                <w:color w:val="000000"/>
                <w:spacing w:val="-2"/>
                <w:sz w:val="20"/>
                <w:szCs w:val="20"/>
              </w:rPr>
            </w:pPr>
            <w:r w:rsidRPr="00DB26FF">
              <w:rPr>
                <w:rFonts w:ascii="Times New Roman" w:eastAsia="Calibri" w:hAnsi="Times New Roman" w:cs="Times New Roman"/>
                <w:i/>
                <w:color w:val="000000"/>
                <w:spacing w:val="-2"/>
                <w:sz w:val="20"/>
                <w:szCs w:val="20"/>
              </w:rPr>
              <w:t>Łącznie (0-10)</w:t>
            </w:r>
          </w:p>
        </w:tc>
      </w:tr>
      <w:tr w:rsidR="00EF6023" w:rsidRPr="00DB26FF" w:rsidTr="00453162">
        <w:trPr>
          <w:trHeight w:val="321"/>
        </w:trPr>
        <w:tc>
          <w:tcPr>
            <w:tcW w:w="1560" w:type="dxa"/>
            <w:shd w:val="clear" w:color="auto" w:fill="FFFFFF"/>
            <w:vAlign w:val="center"/>
          </w:tcPr>
          <w:p w:rsidR="00EF6023" w:rsidRPr="00DB26FF" w:rsidRDefault="00EF6023" w:rsidP="00EF6023">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b/>
                <w:color w:val="000000"/>
                <w:sz w:val="21"/>
                <w:szCs w:val="21"/>
              </w:rPr>
              <w:t>Dochody ogółem (1)(2)</w:t>
            </w:r>
          </w:p>
        </w:tc>
        <w:tc>
          <w:tcPr>
            <w:tcW w:w="786" w:type="dxa"/>
            <w:gridSpan w:val="2"/>
            <w:shd w:val="clear" w:color="auto" w:fill="FFFFFF"/>
            <w:vAlign w:val="center"/>
          </w:tcPr>
          <w:p w:rsidR="00EF6023" w:rsidRPr="00627D7A" w:rsidRDefault="00EF6023" w:rsidP="00EF6023">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0</w:t>
            </w:r>
          </w:p>
        </w:tc>
        <w:tc>
          <w:tcPr>
            <w:tcW w:w="786" w:type="dxa"/>
            <w:shd w:val="clear" w:color="auto" w:fill="FFFFFF"/>
            <w:vAlign w:val="bottom"/>
          </w:tcPr>
          <w:p w:rsidR="00EF6023" w:rsidRPr="00453162" w:rsidRDefault="00EF6023" w:rsidP="00EF6023">
            <w:pPr>
              <w:jc w:val="right"/>
              <w:rPr>
                <w:rFonts w:ascii="Times New Roman" w:hAnsi="Times New Roman" w:cs="Times New Roman"/>
                <w:color w:val="000000"/>
                <w:sz w:val="18"/>
                <w:szCs w:val="18"/>
              </w:rPr>
            </w:pPr>
            <w:r w:rsidRPr="00453162">
              <w:rPr>
                <w:rFonts w:ascii="Times New Roman" w:hAnsi="Times New Roman" w:cs="Times New Roman"/>
                <w:color w:val="000000"/>
                <w:sz w:val="18"/>
                <w:szCs w:val="18"/>
              </w:rPr>
              <w:t>-117</w:t>
            </w:r>
          </w:p>
        </w:tc>
        <w:tc>
          <w:tcPr>
            <w:tcW w:w="786" w:type="dxa"/>
            <w:gridSpan w:val="2"/>
            <w:shd w:val="clear" w:color="auto" w:fill="FFFFFF"/>
            <w:vAlign w:val="bottom"/>
          </w:tcPr>
          <w:p w:rsidR="00EF6023" w:rsidRPr="00453162" w:rsidRDefault="00EF6023" w:rsidP="00EF6023">
            <w:pPr>
              <w:jc w:val="right"/>
              <w:rPr>
                <w:rFonts w:ascii="Times New Roman" w:hAnsi="Times New Roman" w:cs="Times New Roman"/>
                <w:color w:val="000000"/>
                <w:sz w:val="18"/>
                <w:szCs w:val="18"/>
              </w:rPr>
            </w:pPr>
            <w:r w:rsidRPr="00453162">
              <w:rPr>
                <w:rFonts w:ascii="Times New Roman" w:hAnsi="Times New Roman" w:cs="Times New Roman"/>
                <w:color w:val="000000"/>
                <w:sz w:val="18"/>
                <w:szCs w:val="18"/>
              </w:rPr>
              <w:t>-184</w:t>
            </w:r>
          </w:p>
        </w:tc>
        <w:tc>
          <w:tcPr>
            <w:tcW w:w="786" w:type="dxa"/>
            <w:gridSpan w:val="2"/>
            <w:shd w:val="clear" w:color="auto" w:fill="FFFFFF"/>
            <w:vAlign w:val="bottom"/>
          </w:tcPr>
          <w:p w:rsidR="00EF6023" w:rsidRPr="00453162" w:rsidRDefault="00EF6023" w:rsidP="00EF6023">
            <w:pPr>
              <w:jc w:val="right"/>
              <w:rPr>
                <w:rFonts w:ascii="Times New Roman" w:hAnsi="Times New Roman" w:cs="Times New Roman"/>
                <w:color w:val="000000"/>
                <w:sz w:val="18"/>
                <w:szCs w:val="18"/>
              </w:rPr>
            </w:pPr>
            <w:r w:rsidRPr="00453162">
              <w:rPr>
                <w:rFonts w:ascii="Times New Roman" w:hAnsi="Times New Roman" w:cs="Times New Roman"/>
                <w:color w:val="000000"/>
                <w:sz w:val="18"/>
                <w:szCs w:val="18"/>
              </w:rPr>
              <w:t>-213</w:t>
            </w:r>
          </w:p>
        </w:tc>
        <w:tc>
          <w:tcPr>
            <w:tcW w:w="786" w:type="dxa"/>
            <w:gridSpan w:val="2"/>
            <w:shd w:val="clear" w:color="auto" w:fill="FFFFFF"/>
            <w:vAlign w:val="bottom"/>
          </w:tcPr>
          <w:p w:rsidR="00EF6023" w:rsidRPr="00453162" w:rsidRDefault="00EF6023" w:rsidP="00EF6023">
            <w:pPr>
              <w:jc w:val="right"/>
              <w:rPr>
                <w:rFonts w:ascii="Times New Roman" w:hAnsi="Times New Roman" w:cs="Times New Roman"/>
                <w:color w:val="000000"/>
                <w:sz w:val="18"/>
                <w:szCs w:val="18"/>
              </w:rPr>
            </w:pPr>
            <w:r w:rsidRPr="00453162">
              <w:rPr>
                <w:rFonts w:ascii="Times New Roman" w:hAnsi="Times New Roman" w:cs="Times New Roman"/>
                <w:color w:val="000000"/>
                <w:sz w:val="18"/>
                <w:szCs w:val="18"/>
              </w:rPr>
              <w:t>-244</w:t>
            </w:r>
          </w:p>
        </w:tc>
        <w:tc>
          <w:tcPr>
            <w:tcW w:w="786" w:type="dxa"/>
            <w:gridSpan w:val="2"/>
            <w:shd w:val="clear" w:color="auto" w:fill="FFFFFF"/>
            <w:vAlign w:val="bottom"/>
          </w:tcPr>
          <w:p w:rsidR="00EF6023" w:rsidRPr="00453162" w:rsidRDefault="00EF6023" w:rsidP="00EF6023">
            <w:pPr>
              <w:jc w:val="right"/>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-275</w:t>
            </w:r>
          </w:p>
        </w:tc>
        <w:tc>
          <w:tcPr>
            <w:tcW w:w="786" w:type="dxa"/>
            <w:gridSpan w:val="3"/>
            <w:shd w:val="clear" w:color="auto" w:fill="FFFFFF"/>
            <w:vAlign w:val="bottom"/>
          </w:tcPr>
          <w:p w:rsidR="00EF6023" w:rsidRPr="00453162" w:rsidRDefault="00EF6023" w:rsidP="00EF6023">
            <w:pPr>
              <w:jc w:val="right"/>
              <w:rPr>
                <w:rFonts w:ascii="Times New Roman" w:hAnsi="Times New Roman" w:cs="Times New Roman"/>
                <w:color w:val="000000"/>
                <w:sz w:val="18"/>
                <w:szCs w:val="18"/>
              </w:rPr>
            </w:pPr>
            <w:r w:rsidRPr="00453162">
              <w:rPr>
                <w:rFonts w:ascii="Times New Roman" w:hAnsi="Times New Roman" w:cs="Times New Roman"/>
                <w:color w:val="000000"/>
                <w:sz w:val="18"/>
                <w:szCs w:val="18"/>
              </w:rPr>
              <w:t>-306</w:t>
            </w:r>
          </w:p>
        </w:tc>
        <w:tc>
          <w:tcPr>
            <w:tcW w:w="786" w:type="dxa"/>
            <w:gridSpan w:val="3"/>
            <w:shd w:val="clear" w:color="auto" w:fill="FFFFFF"/>
            <w:vAlign w:val="bottom"/>
          </w:tcPr>
          <w:p w:rsidR="00EF6023" w:rsidRPr="00453162" w:rsidRDefault="00EF6023" w:rsidP="00EF6023">
            <w:pPr>
              <w:jc w:val="right"/>
              <w:rPr>
                <w:rFonts w:ascii="Times New Roman" w:hAnsi="Times New Roman" w:cs="Times New Roman"/>
                <w:color w:val="000000"/>
                <w:sz w:val="18"/>
                <w:szCs w:val="18"/>
              </w:rPr>
            </w:pPr>
            <w:r w:rsidRPr="00453162">
              <w:rPr>
                <w:rFonts w:ascii="Times New Roman" w:hAnsi="Times New Roman" w:cs="Times New Roman"/>
                <w:color w:val="000000"/>
                <w:sz w:val="18"/>
                <w:szCs w:val="18"/>
              </w:rPr>
              <w:t>-339</w:t>
            </w:r>
          </w:p>
        </w:tc>
        <w:tc>
          <w:tcPr>
            <w:tcW w:w="786" w:type="dxa"/>
            <w:shd w:val="clear" w:color="auto" w:fill="FFFFFF"/>
            <w:vAlign w:val="bottom"/>
          </w:tcPr>
          <w:p w:rsidR="00EF6023" w:rsidRPr="00453162" w:rsidRDefault="00EF6023" w:rsidP="00EF6023">
            <w:pPr>
              <w:jc w:val="right"/>
              <w:rPr>
                <w:rFonts w:ascii="Times New Roman" w:hAnsi="Times New Roman" w:cs="Times New Roman"/>
                <w:color w:val="000000"/>
                <w:sz w:val="18"/>
                <w:szCs w:val="18"/>
              </w:rPr>
            </w:pPr>
            <w:r w:rsidRPr="00453162">
              <w:rPr>
                <w:rFonts w:ascii="Times New Roman" w:hAnsi="Times New Roman" w:cs="Times New Roman"/>
                <w:color w:val="000000"/>
                <w:sz w:val="18"/>
                <w:szCs w:val="18"/>
              </w:rPr>
              <w:t>-373</w:t>
            </w:r>
          </w:p>
        </w:tc>
        <w:tc>
          <w:tcPr>
            <w:tcW w:w="786" w:type="dxa"/>
            <w:gridSpan w:val="2"/>
            <w:shd w:val="clear" w:color="auto" w:fill="FFFFFF"/>
            <w:vAlign w:val="bottom"/>
          </w:tcPr>
          <w:p w:rsidR="00EF6023" w:rsidRPr="00453162" w:rsidRDefault="00EF6023" w:rsidP="00EF6023">
            <w:pPr>
              <w:jc w:val="right"/>
              <w:rPr>
                <w:rFonts w:ascii="Times New Roman" w:hAnsi="Times New Roman" w:cs="Times New Roman"/>
                <w:color w:val="000000"/>
                <w:sz w:val="18"/>
                <w:szCs w:val="18"/>
              </w:rPr>
            </w:pPr>
            <w:r w:rsidRPr="00453162">
              <w:rPr>
                <w:rFonts w:ascii="Times New Roman" w:hAnsi="Times New Roman" w:cs="Times New Roman"/>
                <w:color w:val="000000"/>
                <w:sz w:val="18"/>
                <w:szCs w:val="18"/>
              </w:rPr>
              <w:t>-409</w:t>
            </w:r>
          </w:p>
        </w:tc>
        <w:tc>
          <w:tcPr>
            <w:tcW w:w="787" w:type="dxa"/>
            <w:gridSpan w:val="2"/>
            <w:shd w:val="clear" w:color="auto" w:fill="FFFFFF"/>
            <w:vAlign w:val="bottom"/>
          </w:tcPr>
          <w:p w:rsidR="00EF6023" w:rsidRPr="00453162" w:rsidRDefault="00EF6023" w:rsidP="00EF6023">
            <w:pPr>
              <w:jc w:val="right"/>
              <w:rPr>
                <w:rFonts w:ascii="Times New Roman" w:hAnsi="Times New Roman" w:cs="Times New Roman"/>
                <w:color w:val="000000"/>
                <w:sz w:val="18"/>
                <w:szCs w:val="18"/>
              </w:rPr>
            </w:pPr>
            <w:r w:rsidRPr="00453162">
              <w:rPr>
                <w:rFonts w:ascii="Times New Roman" w:hAnsi="Times New Roman" w:cs="Times New Roman"/>
                <w:color w:val="000000"/>
                <w:sz w:val="18"/>
                <w:szCs w:val="18"/>
              </w:rPr>
              <w:t>-445</w:t>
            </w:r>
          </w:p>
        </w:tc>
        <w:tc>
          <w:tcPr>
            <w:tcW w:w="881"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-2905</w:t>
            </w:r>
          </w:p>
        </w:tc>
      </w:tr>
      <w:tr w:rsidR="00627D7A" w:rsidRPr="00DB26FF" w:rsidTr="000356FB">
        <w:trPr>
          <w:trHeight w:val="321"/>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budżet państwa</w:t>
            </w: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0</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0</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r>
      <w:tr w:rsidR="00627D7A" w:rsidRPr="00DB26FF" w:rsidTr="000356FB">
        <w:trPr>
          <w:trHeight w:val="344"/>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lastRenderedPageBreak/>
              <w:t>JST</w:t>
            </w: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0</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0</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r>
      <w:tr w:rsidR="00EF6023" w:rsidRPr="00DB26FF" w:rsidTr="00453162">
        <w:trPr>
          <w:trHeight w:val="344"/>
        </w:trPr>
        <w:tc>
          <w:tcPr>
            <w:tcW w:w="1560" w:type="dxa"/>
            <w:shd w:val="clear" w:color="auto" w:fill="FFFFFF"/>
            <w:vAlign w:val="center"/>
          </w:tcPr>
          <w:p w:rsidR="00EF6023" w:rsidRPr="00DB26FF" w:rsidRDefault="00EF6023" w:rsidP="00EF6023">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pozostałe jednostki:</w:t>
            </w:r>
          </w:p>
        </w:tc>
        <w:tc>
          <w:tcPr>
            <w:tcW w:w="786" w:type="dxa"/>
            <w:gridSpan w:val="2"/>
            <w:shd w:val="clear" w:color="auto" w:fill="FFFFFF"/>
            <w:vAlign w:val="center"/>
          </w:tcPr>
          <w:p w:rsidR="00EF6023" w:rsidRPr="00627D7A" w:rsidRDefault="00EF6023" w:rsidP="00EF6023">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0</w:t>
            </w:r>
          </w:p>
        </w:tc>
        <w:tc>
          <w:tcPr>
            <w:tcW w:w="786" w:type="dxa"/>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-117</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-184</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-213</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-244</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-275</w:t>
            </w:r>
          </w:p>
        </w:tc>
        <w:tc>
          <w:tcPr>
            <w:tcW w:w="786" w:type="dxa"/>
            <w:gridSpan w:val="3"/>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-306</w:t>
            </w:r>
          </w:p>
        </w:tc>
        <w:tc>
          <w:tcPr>
            <w:tcW w:w="786" w:type="dxa"/>
            <w:gridSpan w:val="3"/>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-339</w:t>
            </w:r>
          </w:p>
        </w:tc>
        <w:tc>
          <w:tcPr>
            <w:tcW w:w="786" w:type="dxa"/>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-373</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-409</w:t>
            </w:r>
          </w:p>
        </w:tc>
        <w:tc>
          <w:tcPr>
            <w:tcW w:w="787"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-445</w:t>
            </w:r>
          </w:p>
        </w:tc>
        <w:tc>
          <w:tcPr>
            <w:tcW w:w="881"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-2905</w:t>
            </w:r>
          </w:p>
        </w:tc>
      </w:tr>
      <w:tr w:rsidR="00EF6023" w:rsidRPr="00DB26FF" w:rsidTr="00453162">
        <w:trPr>
          <w:trHeight w:val="344"/>
        </w:trPr>
        <w:tc>
          <w:tcPr>
            <w:tcW w:w="1560" w:type="dxa"/>
            <w:shd w:val="clear" w:color="auto" w:fill="FFFFFF"/>
            <w:vAlign w:val="center"/>
          </w:tcPr>
          <w:p w:rsidR="00EF6023" w:rsidRPr="00DB26FF" w:rsidRDefault="00EF6023" w:rsidP="00EF6023">
            <w:pPr>
              <w:spacing w:after="0" w:line="240" w:lineRule="auto"/>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 Fundusz Ubezpieczeń Społecznych</w:t>
            </w:r>
          </w:p>
        </w:tc>
        <w:tc>
          <w:tcPr>
            <w:tcW w:w="786" w:type="dxa"/>
            <w:gridSpan w:val="2"/>
            <w:shd w:val="clear" w:color="auto" w:fill="FFFFFF"/>
            <w:vAlign w:val="center"/>
          </w:tcPr>
          <w:p w:rsidR="00EF6023" w:rsidRPr="00627D7A" w:rsidRDefault="00EF6023" w:rsidP="00EF6023">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 </w:t>
            </w:r>
          </w:p>
        </w:tc>
        <w:tc>
          <w:tcPr>
            <w:tcW w:w="786" w:type="dxa"/>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-117</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-184</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-213</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-244</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-275</w:t>
            </w:r>
          </w:p>
        </w:tc>
        <w:tc>
          <w:tcPr>
            <w:tcW w:w="786" w:type="dxa"/>
            <w:gridSpan w:val="3"/>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-306</w:t>
            </w:r>
          </w:p>
        </w:tc>
        <w:tc>
          <w:tcPr>
            <w:tcW w:w="786" w:type="dxa"/>
            <w:gridSpan w:val="3"/>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-339</w:t>
            </w:r>
          </w:p>
        </w:tc>
        <w:tc>
          <w:tcPr>
            <w:tcW w:w="786" w:type="dxa"/>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-373</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-409</w:t>
            </w:r>
          </w:p>
        </w:tc>
        <w:tc>
          <w:tcPr>
            <w:tcW w:w="787"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-445</w:t>
            </w:r>
          </w:p>
        </w:tc>
        <w:tc>
          <w:tcPr>
            <w:tcW w:w="881"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-2905</w:t>
            </w:r>
          </w:p>
        </w:tc>
      </w:tr>
      <w:tr w:rsidR="00627D7A" w:rsidRPr="00DB26FF" w:rsidTr="000356FB">
        <w:trPr>
          <w:trHeight w:val="344"/>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color w:val="000000"/>
                <w:sz w:val="21"/>
                <w:szCs w:val="21"/>
              </w:rPr>
            </w:pP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r>
      <w:tr w:rsidR="00627D7A" w:rsidRPr="00DB26FF" w:rsidTr="000356FB">
        <w:trPr>
          <w:trHeight w:val="330"/>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b/>
                <w:color w:val="000000"/>
                <w:sz w:val="21"/>
                <w:szCs w:val="21"/>
              </w:rPr>
              <w:t>Wydatki ogółem (3)(4)</w:t>
            </w: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0</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0</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r>
      <w:tr w:rsidR="00627D7A" w:rsidRPr="00DB26FF" w:rsidTr="000356FB">
        <w:trPr>
          <w:trHeight w:val="330"/>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budżet państwa</w:t>
            </w: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r>
      <w:tr w:rsidR="00627D7A" w:rsidRPr="00DB26FF" w:rsidTr="000356FB">
        <w:trPr>
          <w:trHeight w:val="351"/>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JST</w:t>
            </w: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r>
      <w:tr w:rsidR="00627D7A" w:rsidRPr="00DB26FF" w:rsidTr="000356FB">
        <w:trPr>
          <w:trHeight w:val="351"/>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pozostałe jednostki:</w:t>
            </w: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r>
      <w:tr w:rsidR="00627D7A" w:rsidRPr="00DB26FF" w:rsidTr="000356FB">
        <w:trPr>
          <w:trHeight w:val="351"/>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 Fundusz Ubezpieczeń Społecznych</w:t>
            </w: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r>
      <w:tr w:rsidR="00627D7A" w:rsidRPr="00DB26FF" w:rsidTr="000356FB">
        <w:trPr>
          <w:trHeight w:val="351"/>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color w:val="000000"/>
                <w:sz w:val="21"/>
                <w:szCs w:val="21"/>
              </w:rPr>
            </w:pP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 </w:t>
            </w:r>
          </w:p>
        </w:tc>
      </w:tr>
      <w:tr w:rsidR="00EF6023" w:rsidRPr="00DB26FF" w:rsidTr="00453162">
        <w:trPr>
          <w:trHeight w:val="360"/>
        </w:trPr>
        <w:tc>
          <w:tcPr>
            <w:tcW w:w="1560" w:type="dxa"/>
            <w:shd w:val="clear" w:color="auto" w:fill="FFFFFF"/>
            <w:vAlign w:val="center"/>
          </w:tcPr>
          <w:p w:rsidR="00EF6023" w:rsidRPr="00DB26FF" w:rsidRDefault="00EF6023" w:rsidP="00EF6023">
            <w:pPr>
              <w:spacing w:after="0" w:line="240" w:lineRule="auto"/>
              <w:rPr>
                <w:rFonts w:ascii="Times New Roman" w:eastAsia="Calibri" w:hAnsi="Times New Roman" w:cs="Times New Roman"/>
                <w:sz w:val="21"/>
                <w:szCs w:val="21"/>
              </w:rPr>
            </w:pPr>
            <w:r w:rsidRPr="00DB26FF">
              <w:rPr>
                <w:rFonts w:ascii="Times New Roman" w:eastAsia="Calibri" w:hAnsi="Times New Roman" w:cs="Times New Roman"/>
                <w:b/>
                <w:sz w:val="21"/>
                <w:szCs w:val="21"/>
              </w:rPr>
              <w:t>Saldo ogółem</w:t>
            </w:r>
          </w:p>
        </w:tc>
        <w:tc>
          <w:tcPr>
            <w:tcW w:w="786" w:type="dxa"/>
            <w:gridSpan w:val="2"/>
            <w:shd w:val="clear" w:color="auto" w:fill="FFFFFF"/>
            <w:vAlign w:val="center"/>
          </w:tcPr>
          <w:p w:rsidR="00EF6023" w:rsidRPr="00627D7A" w:rsidRDefault="00EF6023" w:rsidP="00EF6023">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0</w:t>
            </w:r>
          </w:p>
        </w:tc>
        <w:tc>
          <w:tcPr>
            <w:tcW w:w="786" w:type="dxa"/>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-117</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-184</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-213</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-244</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-275</w:t>
            </w:r>
          </w:p>
        </w:tc>
        <w:tc>
          <w:tcPr>
            <w:tcW w:w="786" w:type="dxa"/>
            <w:gridSpan w:val="3"/>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-306</w:t>
            </w:r>
          </w:p>
        </w:tc>
        <w:tc>
          <w:tcPr>
            <w:tcW w:w="786" w:type="dxa"/>
            <w:gridSpan w:val="3"/>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-339</w:t>
            </w:r>
          </w:p>
        </w:tc>
        <w:tc>
          <w:tcPr>
            <w:tcW w:w="786" w:type="dxa"/>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-373</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-409</w:t>
            </w:r>
          </w:p>
        </w:tc>
        <w:tc>
          <w:tcPr>
            <w:tcW w:w="787"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-445</w:t>
            </w:r>
          </w:p>
        </w:tc>
        <w:tc>
          <w:tcPr>
            <w:tcW w:w="881"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-2905</w:t>
            </w:r>
          </w:p>
        </w:tc>
      </w:tr>
      <w:tr w:rsidR="00627D7A" w:rsidRPr="00DB26FF" w:rsidTr="000356FB">
        <w:trPr>
          <w:trHeight w:val="360"/>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sz w:val="21"/>
                <w:szCs w:val="21"/>
              </w:rPr>
            </w:pPr>
            <w:r w:rsidRPr="00DB26FF">
              <w:rPr>
                <w:rFonts w:ascii="Times New Roman" w:eastAsia="Calibri" w:hAnsi="Times New Roman" w:cs="Times New Roman"/>
                <w:sz w:val="21"/>
                <w:szCs w:val="21"/>
              </w:rPr>
              <w:t>budżet państwa</w:t>
            </w: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0</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0</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eastAsia="Calibri" w:hAnsi="Times New Roman" w:cs="Times New Roman"/>
                <w:color w:val="000000"/>
                <w:sz w:val="18"/>
                <w:szCs w:val="18"/>
              </w:rPr>
              <w:t>0</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eastAsia="Calibri" w:hAnsi="Times New Roman" w:cs="Times New Roman"/>
                <w:color w:val="000000"/>
                <w:sz w:val="18"/>
                <w:szCs w:val="18"/>
              </w:rPr>
              <w:t>0</w:t>
            </w:r>
          </w:p>
        </w:tc>
      </w:tr>
      <w:tr w:rsidR="00627D7A" w:rsidRPr="00DB26FF" w:rsidTr="000356FB">
        <w:trPr>
          <w:trHeight w:val="357"/>
        </w:trPr>
        <w:tc>
          <w:tcPr>
            <w:tcW w:w="1560" w:type="dxa"/>
            <w:shd w:val="clear" w:color="auto" w:fill="FFFFFF"/>
            <w:vAlign w:val="center"/>
          </w:tcPr>
          <w:p w:rsidR="00627D7A" w:rsidRPr="00DB26FF" w:rsidRDefault="00627D7A" w:rsidP="00627D7A">
            <w:pPr>
              <w:spacing w:after="0" w:line="240" w:lineRule="auto"/>
              <w:rPr>
                <w:rFonts w:ascii="Times New Roman" w:eastAsia="Calibri" w:hAnsi="Times New Roman" w:cs="Times New Roman"/>
                <w:sz w:val="21"/>
                <w:szCs w:val="21"/>
              </w:rPr>
            </w:pPr>
            <w:r w:rsidRPr="00DB26FF">
              <w:rPr>
                <w:rFonts w:ascii="Times New Roman" w:eastAsia="Calibri" w:hAnsi="Times New Roman" w:cs="Times New Roman"/>
                <w:sz w:val="21"/>
                <w:szCs w:val="21"/>
              </w:rPr>
              <w:t>JST</w:t>
            </w:r>
          </w:p>
        </w:tc>
        <w:tc>
          <w:tcPr>
            <w:tcW w:w="786" w:type="dxa"/>
            <w:gridSpan w:val="2"/>
            <w:shd w:val="clear" w:color="auto" w:fill="FFFFFF"/>
            <w:vAlign w:val="center"/>
          </w:tcPr>
          <w:p w:rsidR="00627D7A" w:rsidRPr="00627D7A" w:rsidRDefault="00627D7A" w:rsidP="00627D7A">
            <w:pPr>
              <w:jc w:val="center"/>
              <w:rPr>
                <w:rFonts w:ascii="Times New Roman" w:hAnsi="Times New Roman" w:cs="Times New Roman"/>
                <w:color w:val="000000"/>
                <w:sz w:val="16"/>
                <w:szCs w:val="16"/>
              </w:rPr>
            </w:pPr>
            <w:r w:rsidRPr="00627D7A">
              <w:rPr>
                <w:rFonts w:ascii="Times New Roman" w:eastAsia="Calibri" w:hAnsi="Times New Roman" w:cs="Times New Roman"/>
                <w:color w:val="000000"/>
                <w:sz w:val="16"/>
                <w:szCs w:val="16"/>
              </w:rPr>
              <w:t>0</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4137CB" w:rsidP="00627D7A">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0</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3"/>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6"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787"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c>
          <w:tcPr>
            <w:tcW w:w="881" w:type="dxa"/>
            <w:gridSpan w:val="2"/>
            <w:shd w:val="clear" w:color="auto" w:fill="FFFFFF"/>
            <w:vAlign w:val="center"/>
          </w:tcPr>
          <w:p w:rsidR="00627D7A" w:rsidRPr="00453162" w:rsidRDefault="00627D7A" w:rsidP="00627D7A">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0</w:t>
            </w:r>
          </w:p>
        </w:tc>
      </w:tr>
      <w:tr w:rsidR="00EF6023" w:rsidRPr="00DB26FF" w:rsidTr="00453162">
        <w:trPr>
          <w:trHeight w:val="357"/>
        </w:trPr>
        <w:tc>
          <w:tcPr>
            <w:tcW w:w="1560" w:type="dxa"/>
            <w:shd w:val="clear" w:color="auto" w:fill="FFFFFF"/>
            <w:vAlign w:val="center"/>
          </w:tcPr>
          <w:p w:rsidR="00EF6023" w:rsidRPr="00DB26FF" w:rsidRDefault="00EF6023" w:rsidP="00EF6023">
            <w:pPr>
              <w:spacing w:after="0" w:line="240" w:lineRule="auto"/>
              <w:rPr>
                <w:rFonts w:ascii="Times New Roman" w:eastAsia="Calibri" w:hAnsi="Times New Roman" w:cs="Times New Roman"/>
                <w:sz w:val="21"/>
                <w:szCs w:val="21"/>
              </w:rPr>
            </w:pPr>
            <w:r w:rsidRPr="00DB26FF">
              <w:rPr>
                <w:rFonts w:ascii="Times New Roman" w:eastAsia="Calibri" w:hAnsi="Times New Roman" w:cs="Times New Roman"/>
                <w:sz w:val="21"/>
                <w:szCs w:val="21"/>
              </w:rPr>
              <w:t>pozostałe jednostki:</w:t>
            </w:r>
          </w:p>
        </w:tc>
        <w:tc>
          <w:tcPr>
            <w:tcW w:w="786" w:type="dxa"/>
            <w:gridSpan w:val="2"/>
            <w:shd w:val="clear" w:color="auto" w:fill="FFFFFF"/>
            <w:vAlign w:val="center"/>
          </w:tcPr>
          <w:p w:rsidR="00EF6023" w:rsidRPr="00627D7A" w:rsidRDefault="00EF6023" w:rsidP="00EF6023">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0</w:t>
            </w:r>
          </w:p>
        </w:tc>
        <w:tc>
          <w:tcPr>
            <w:tcW w:w="786" w:type="dxa"/>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-117</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-184</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-213</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-244</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-275</w:t>
            </w:r>
          </w:p>
        </w:tc>
        <w:tc>
          <w:tcPr>
            <w:tcW w:w="786" w:type="dxa"/>
            <w:gridSpan w:val="3"/>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-306</w:t>
            </w:r>
          </w:p>
        </w:tc>
        <w:tc>
          <w:tcPr>
            <w:tcW w:w="786" w:type="dxa"/>
            <w:gridSpan w:val="3"/>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-339</w:t>
            </w:r>
          </w:p>
        </w:tc>
        <w:tc>
          <w:tcPr>
            <w:tcW w:w="786" w:type="dxa"/>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-373</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-409</w:t>
            </w:r>
          </w:p>
        </w:tc>
        <w:tc>
          <w:tcPr>
            <w:tcW w:w="787"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-445</w:t>
            </w:r>
          </w:p>
        </w:tc>
        <w:tc>
          <w:tcPr>
            <w:tcW w:w="881"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-2905</w:t>
            </w:r>
          </w:p>
        </w:tc>
      </w:tr>
      <w:tr w:rsidR="00EF6023" w:rsidRPr="00DB26FF" w:rsidTr="00453162">
        <w:trPr>
          <w:trHeight w:val="357"/>
        </w:trPr>
        <w:tc>
          <w:tcPr>
            <w:tcW w:w="1560" w:type="dxa"/>
            <w:shd w:val="clear" w:color="auto" w:fill="FFFFFF"/>
            <w:vAlign w:val="center"/>
          </w:tcPr>
          <w:p w:rsidR="00EF6023" w:rsidRPr="00DB26FF" w:rsidRDefault="00EF6023" w:rsidP="00EF6023">
            <w:pPr>
              <w:spacing w:after="0" w:line="240" w:lineRule="auto"/>
              <w:rPr>
                <w:rFonts w:ascii="Times New Roman" w:eastAsia="Calibri" w:hAnsi="Times New Roman" w:cs="Times New Roman"/>
                <w:sz w:val="21"/>
                <w:szCs w:val="21"/>
              </w:rPr>
            </w:pPr>
            <w:r>
              <w:rPr>
                <w:rFonts w:ascii="Times New Roman" w:eastAsia="Calibri" w:hAnsi="Times New Roman" w:cs="Times New Roman"/>
                <w:color w:val="000000"/>
                <w:sz w:val="21"/>
                <w:szCs w:val="21"/>
              </w:rPr>
              <w:t>- Fundusz Ubezpieczeń Społecznych</w:t>
            </w:r>
          </w:p>
        </w:tc>
        <w:tc>
          <w:tcPr>
            <w:tcW w:w="786" w:type="dxa"/>
            <w:gridSpan w:val="2"/>
            <w:shd w:val="clear" w:color="auto" w:fill="FFFFFF"/>
            <w:vAlign w:val="center"/>
          </w:tcPr>
          <w:p w:rsidR="00EF6023" w:rsidRPr="00627D7A" w:rsidRDefault="00EF6023" w:rsidP="00EF6023">
            <w:pPr>
              <w:jc w:val="center"/>
              <w:rPr>
                <w:rFonts w:ascii="Times New Roman" w:hAnsi="Times New Roman" w:cs="Times New Roman"/>
                <w:color w:val="000000"/>
                <w:sz w:val="16"/>
                <w:szCs w:val="16"/>
              </w:rPr>
            </w:pPr>
            <w:r w:rsidRPr="00627D7A">
              <w:rPr>
                <w:rFonts w:ascii="Times New Roman" w:hAnsi="Times New Roman" w:cs="Times New Roman"/>
                <w:color w:val="000000"/>
                <w:sz w:val="16"/>
                <w:szCs w:val="16"/>
              </w:rPr>
              <w:t> </w:t>
            </w:r>
          </w:p>
        </w:tc>
        <w:tc>
          <w:tcPr>
            <w:tcW w:w="786" w:type="dxa"/>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-117</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-184</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-213</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-244</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highlight w:val="yellow"/>
              </w:rPr>
            </w:pPr>
            <w:r w:rsidRPr="00453162">
              <w:rPr>
                <w:rFonts w:ascii="Times New Roman" w:hAnsi="Times New Roman" w:cs="Times New Roman"/>
                <w:color w:val="000000"/>
                <w:sz w:val="18"/>
                <w:szCs w:val="18"/>
              </w:rPr>
              <w:t>-275</w:t>
            </w:r>
          </w:p>
        </w:tc>
        <w:tc>
          <w:tcPr>
            <w:tcW w:w="786" w:type="dxa"/>
            <w:gridSpan w:val="3"/>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-306</w:t>
            </w:r>
          </w:p>
        </w:tc>
        <w:tc>
          <w:tcPr>
            <w:tcW w:w="786" w:type="dxa"/>
            <w:gridSpan w:val="3"/>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-339</w:t>
            </w:r>
          </w:p>
        </w:tc>
        <w:tc>
          <w:tcPr>
            <w:tcW w:w="786" w:type="dxa"/>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-373</w:t>
            </w:r>
          </w:p>
        </w:tc>
        <w:tc>
          <w:tcPr>
            <w:tcW w:w="786"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-409</w:t>
            </w:r>
          </w:p>
        </w:tc>
        <w:tc>
          <w:tcPr>
            <w:tcW w:w="787"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-445</w:t>
            </w:r>
          </w:p>
        </w:tc>
        <w:tc>
          <w:tcPr>
            <w:tcW w:w="881" w:type="dxa"/>
            <w:gridSpan w:val="2"/>
            <w:shd w:val="clear" w:color="auto" w:fill="FFFFFF"/>
            <w:vAlign w:val="bottom"/>
          </w:tcPr>
          <w:p w:rsidR="00EF6023" w:rsidRPr="00453162" w:rsidRDefault="00EF6023" w:rsidP="00EF6023">
            <w:pPr>
              <w:jc w:val="center"/>
              <w:rPr>
                <w:rFonts w:ascii="Times New Roman" w:hAnsi="Times New Roman" w:cs="Times New Roman"/>
                <w:color w:val="000000"/>
                <w:sz w:val="18"/>
                <w:szCs w:val="18"/>
              </w:rPr>
            </w:pPr>
            <w:r w:rsidRPr="00453162">
              <w:rPr>
                <w:rFonts w:ascii="Times New Roman" w:hAnsi="Times New Roman" w:cs="Times New Roman"/>
                <w:color w:val="000000"/>
                <w:sz w:val="18"/>
                <w:szCs w:val="18"/>
              </w:rPr>
              <w:t>-2905</w:t>
            </w:r>
          </w:p>
        </w:tc>
      </w:tr>
      <w:tr w:rsidR="00667187" w:rsidRPr="00DB26FF" w:rsidTr="000356FB">
        <w:trPr>
          <w:trHeight w:val="357"/>
        </w:trPr>
        <w:tc>
          <w:tcPr>
            <w:tcW w:w="1560" w:type="dxa"/>
            <w:shd w:val="clear" w:color="auto" w:fill="FFFFFF"/>
            <w:vAlign w:val="center"/>
          </w:tcPr>
          <w:p w:rsidR="00667187" w:rsidRPr="00DB26FF" w:rsidRDefault="00667187" w:rsidP="00667187">
            <w:pPr>
              <w:spacing w:after="0" w:line="240" w:lineRule="auto"/>
              <w:rPr>
                <w:rFonts w:ascii="Times New Roman" w:eastAsia="Calibri" w:hAnsi="Times New Roman" w:cs="Times New Roman"/>
                <w:sz w:val="21"/>
                <w:szCs w:val="21"/>
              </w:rPr>
            </w:pPr>
          </w:p>
        </w:tc>
        <w:tc>
          <w:tcPr>
            <w:tcW w:w="786" w:type="dxa"/>
            <w:gridSpan w:val="2"/>
            <w:shd w:val="clear" w:color="auto" w:fill="FFFFFF"/>
            <w:vAlign w:val="bottom"/>
          </w:tcPr>
          <w:p w:rsidR="00667187" w:rsidRPr="00DB26FF" w:rsidRDefault="00667187" w:rsidP="00667187">
            <w:pPr>
              <w:spacing w:after="0" w:line="276" w:lineRule="auto"/>
              <w:jc w:val="center"/>
              <w:rPr>
                <w:rFonts w:ascii="Times New Roman" w:eastAsia="Calibri" w:hAnsi="Times New Roman" w:cs="Times New Roman"/>
                <w:sz w:val="16"/>
                <w:szCs w:val="16"/>
              </w:rPr>
            </w:pPr>
          </w:p>
        </w:tc>
        <w:tc>
          <w:tcPr>
            <w:tcW w:w="786" w:type="dxa"/>
            <w:shd w:val="clear" w:color="auto" w:fill="FFFFFF"/>
            <w:vAlign w:val="bottom"/>
          </w:tcPr>
          <w:p w:rsidR="00667187" w:rsidRPr="00DB26FF" w:rsidRDefault="00667187" w:rsidP="00667187">
            <w:pPr>
              <w:spacing w:after="0" w:line="276" w:lineRule="auto"/>
              <w:jc w:val="center"/>
              <w:rPr>
                <w:rFonts w:ascii="Times New Roman" w:eastAsia="Calibri" w:hAnsi="Times New Roman" w:cs="Times New Roman"/>
                <w:sz w:val="16"/>
                <w:szCs w:val="16"/>
              </w:rPr>
            </w:pPr>
          </w:p>
        </w:tc>
        <w:tc>
          <w:tcPr>
            <w:tcW w:w="786" w:type="dxa"/>
            <w:gridSpan w:val="2"/>
            <w:shd w:val="clear" w:color="auto" w:fill="FFFFFF"/>
            <w:vAlign w:val="bottom"/>
          </w:tcPr>
          <w:p w:rsidR="00667187" w:rsidRPr="00DB26FF" w:rsidRDefault="00667187" w:rsidP="00667187">
            <w:pPr>
              <w:spacing w:after="0" w:line="276" w:lineRule="auto"/>
              <w:jc w:val="center"/>
              <w:rPr>
                <w:rFonts w:ascii="Times New Roman" w:eastAsia="Calibri" w:hAnsi="Times New Roman" w:cs="Times New Roman"/>
                <w:sz w:val="16"/>
                <w:szCs w:val="16"/>
              </w:rPr>
            </w:pPr>
          </w:p>
        </w:tc>
        <w:tc>
          <w:tcPr>
            <w:tcW w:w="786" w:type="dxa"/>
            <w:gridSpan w:val="2"/>
            <w:shd w:val="clear" w:color="auto" w:fill="FFFFFF"/>
            <w:vAlign w:val="bottom"/>
          </w:tcPr>
          <w:p w:rsidR="00667187" w:rsidRPr="00DB26FF" w:rsidRDefault="00667187" w:rsidP="00667187">
            <w:pPr>
              <w:spacing w:after="0" w:line="276" w:lineRule="auto"/>
              <w:jc w:val="center"/>
              <w:rPr>
                <w:rFonts w:ascii="Times New Roman" w:eastAsia="Calibri" w:hAnsi="Times New Roman" w:cs="Times New Roman"/>
                <w:sz w:val="16"/>
                <w:szCs w:val="16"/>
              </w:rPr>
            </w:pPr>
          </w:p>
        </w:tc>
        <w:tc>
          <w:tcPr>
            <w:tcW w:w="786" w:type="dxa"/>
            <w:gridSpan w:val="2"/>
            <w:shd w:val="clear" w:color="auto" w:fill="FFFFFF"/>
            <w:vAlign w:val="bottom"/>
          </w:tcPr>
          <w:p w:rsidR="00667187" w:rsidRPr="00DB26FF" w:rsidRDefault="00667187" w:rsidP="00667187">
            <w:pPr>
              <w:spacing w:after="0" w:line="276" w:lineRule="auto"/>
              <w:jc w:val="center"/>
              <w:rPr>
                <w:rFonts w:ascii="Times New Roman" w:eastAsia="Calibri" w:hAnsi="Times New Roman" w:cs="Times New Roman"/>
                <w:sz w:val="16"/>
                <w:szCs w:val="16"/>
              </w:rPr>
            </w:pPr>
          </w:p>
        </w:tc>
        <w:tc>
          <w:tcPr>
            <w:tcW w:w="786" w:type="dxa"/>
            <w:gridSpan w:val="2"/>
            <w:shd w:val="clear" w:color="auto" w:fill="FFFFFF"/>
            <w:vAlign w:val="bottom"/>
          </w:tcPr>
          <w:p w:rsidR="00667187" w:rsidRPr="00DB26FF" w:rsidRDefault="00667187" w:rsidP="00667187">
            <w:pPr>
              <w:spacing w:after="0" w:line="276" w:lineRule="auto"/>
              <w:jc w:val="center"/>
              <w:rPr>
                <w:rFonts w:ascii="Times New Roman" w:eastAsia="Calibri" w:hAnsi="Times New Roman" w:cs="Times New Roman"/>
                <w:sz w:val="16"/>
                <w:szCs w:val="16"/>
              </w:rPr>
            </w:pPr>
          </w:p>
        </w:tc>
        <w:tc>
          <w:tcPr>
            <w:tcW w:w="786" w:type="dxa"/>
            <w:gridSpan w:val="3"/>
            <w:shd w:val="clear" w:color="auto" w:fill="FFFFFF"/>
            <w:vAlign w:val="bottom"/>
          </w:tcPr>
          <w:p w:rsidR="00667187" w:rsidRPr="00DB26FF" w:rsidRDefault="00667187" w:rsidP="00667187">
            <w:pPr>
              <w:spacing w:after="0" w:line="276" w:lineRule="auto"/>
              <w:jc w:val="center"/>
              <w:rPr>
                <w:rFonts w:ascii="Times New Roman" w:eastAsia="Calibri" w:hAnsi="Times New Roman" w:cs="Times New Roman"/>
                <w:sz w:val="16"/>
                <w:szCs w:val="16"/>
              </w:rPr>
            </w:pPr>
          </w:p>
        </w:tc>
        <w:tc>
          <w:tcPr>
            <w:tcW w:w="786" w:type="dxa"/>
            <w:gridSpan w:val="3"/>
            <w:shd w:val="clear" w:color="auto" w:fill="FFFFFF"/>
            <w:vAlign w:val="bottom"/>
          </w:tcPr>
          <w:p w:rsidR="00667187" w:rsidRPr="00DB26FF" w:rsidRDefault="00667187" w:rsidP="00667187">
            <w:pPr>
              <w:spacing w:after="0" w:line="276" w:lineRule="auto"/>
              <w:jc w:val="center"/>
              <w:rPr>
                <w:rFonts w:ascii="Times New Roman" w:eastAsia="Calibri" w:hAnsi="Times New Roman" w:cs="Times New Roman"/>
                <w:sz w:val="16"/>
                <w:szCs w:val="16"/>
              </w:rPr>
            </w:pPr>
          </w:p>
        </w:tc>
        <w:tc>
          <w:tcPr>
            <w:tcW w:w="786" w:type="dxa"/>
            <w:shd w:val="clear" w:color="auto" w:fill="FFFFFF"/>
            <w:vAlign w:val="bottom"/>
          </w:tcPr>
          <w:p w:rsidR="00667187" w:rsidRPr="00DB26FF" w:rsidRDefault="00667187" w:rsidP="00667187">
            <w:pPr>
              <w:spacing w:after="0" w:line="276" w:lineRule="auto"/>
              <w:jc w:val="center"/>
              <w:rPr>
                <w:rFonts w:ascii="Times New Roman" w:eastAsia="Calibri" w:hAnsi="Times New Roman" w:cs="Times New Roman"/>
                <w:sz w:val="16"/>
                <w:szCs w:val="16"/>
              </w:rPr>
            </w:pPr>
          </w:p>
        </w:tc>
        <w:tc>
          <w:tcPr>
            <w:tcW w:w="786" w:type="dxa"/>
            <w:gridSpan w:val="2"/>
            <w:shd w:val="clear" w:color="auto" w:fill="FFFFFF"/>
            <w:vAlign w:val="bottom"/>
          </w:tcPr>
          <w:p w:rsidR="00667187" w:rsidRPr="00DB26FF" w:rsidRDefault="00667187" w:rsidP="00667187">
            <w:pPr>
              <w:spacing w:after="0" w:line="276" w:lineRule="auto"/>
              <w:jc w:val="center"/>
              <w:rPr>
                <w:rFonts w:ascii="Times New Roman" w:eastAsia="Calibri" w:hAnsi="Times New Roman" w:cs="Times New Roman"/>
                <w:sz w:val="16"/>
                <w:szCs w:val="16"/>
              </w:rPr>
            </w:pPr>
          </w:p>
        </w:tc>
        <w:tc>
          <w:tcPr>
            <w:tcW w:w="787" w:type="dxa"/>
            <w:gridSpan w:val="2"/>
            <w:shd w:val="clear" w:color="auto" w:fill="FFFFFF"/>
            <w:vAlign w:val="bottom"/>
          </w:tcPr>
          <w:p w:rsidR="00667187" w:rsidRPr="00DB26FF" w:rsidRDefault="00667187" w:rsidP="00667187">
            <w:pPr>
              <w:spacing w:after="0" w:line="240" w:lineRule="auto"/>
              <w:jc w:val="center"/>
              <w:rPr>
                <w:rFonts w:ascii="Times New Roman" w:eastAsia="Calibri" w:hAnsi="Times New Roman" w:cs="Times New Roman"/>
                <w:color w:val="000000"/>
                <w:sz w:val="16"/>
                <w:szCs w:val="16"/>
              </w:rPr>
            </w:pPr>
          </w:p>
        </w:tc>
        <w:tc>
          <w:tcPr>
            <w:tcW w:w="881" w:type="dxa"/>
            <w:gridSpan w:val="2"/>
            <w:shd w:val="clear" w:color="auto" w:fill="FFFFFF"/>
            <w:vAlign w:val="bottom"/>
          </w:tcPr>
          <w:p w:rsidR="00667187" w:rsidRPr="00DB26FF" w:rsidRDefault="00667187" w:rsidP="00667187">
            <w:pPr>
              <w:spacing w:after="0" w:line="240" w:lineRule="auto"/>
              <w:jc w:val="center"/>
              <w:rPr>
                <w:rFonts w:ascii="Times New Roman" w:eastAsia="Calibri" w:hAnsi="Times New Roman" w:cs="Times New Roman"/>
                <w:color w:val="000000"/>
                <w:sz w:val="16"/>
                <w:szCs w:val="16"/>
              </w:rPr>
            </w:pPr>
          </w:p>
        </w:tc>
      </w:tr>
      <w:tr w:rsidR="00667187" w:rsidRPr="00DB26FF" w:rsidTr="000356FB">
        <w:trPr>
          <w:gridAfter w:val="1"/>
          <w:wAfter w:w="20" w:type="dxa"/>
          <w:trHeight w:val="348"/>
        </w:trPr>
        <w:tc>
          <w:tcPr>
            <w:tcW w:w="1560" w:type="dxa"/>
            <w:shd w:val="clear" w:color="auto" w:fill="FFFFFF"/>
            <w:vAlign w:val="center"/>
          </w:tcPr>
          <w:p w:rsidR="00667187" w:rsidRPr="00DB26FF" w:rsidRDefault="00667187" w:rsidP="00667187">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 xml:space="preserve">Źródła finansowania </w:t>
            </w:r>
          </w:p>
        </w:tc>
        <w:tc>
          <w:tcPr>
            <w:tcW w:w="9508" w:type="dxa"/>
            <w:gridSpan w:val="23"/>
            <w:shd w:val="clear" w:color="auto" w:fill="FFFFFF"/>
            <w:vAlign w:val="center"/>
          </w:tcPr>
          <w:p w:rsidR="00667187" w:rsidRPr="00DB26FF" w:rsidRDefault="00667187" w:rsidP="00667187">
            <w:pPr>
              <w:spacing w:after="0" w:line="276" w:lineRule="auto"/>
              <w:rPr>
                <w:rFonts w:ascii="Times New Roman" w:eastAsia="Calibri" w:hAnsi="Times New Roman" w:cs="Times New Roman"/>
              </w:rPr>
            </w:pPr>
          </w:p>
        </w:tc>
      </w:tr>
      <w:tr w:rsidR="00667187" w:rsidRPr="00DB26FF" w:rsidTr="000356FB">
        <w:trPr>
          <w:gridAfter w:val="1"/>
          <w:wAfter w:w="20" w:type="dxa"/>
          <w:trHeight w:val="1517"/>
        </w:trPr>
        <w:tc>
          <w:tcPr>
            <w:tcW w:w="1560" w:type="dxa"/>
            <w:shd w:val="clear" w:color="auto" w:fill="FFFFFF"/>
          </w:tcPr>
          <w:p w:rsidR="00667187" w:rsidRPr="00DB26FF" w:rsidRDefault="00667187" w:rsidP="00667187">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Dodatkowe informacje, w tym wskazanie źródeł danych i przyjętych do obliczeń założeń</w:t>
            </w:r>
          </w:p>
        </w:tc>
        <w:tc>
          <w:tcPr>
            <w:tcW w:w="9508" w:type="dxa"/>
            <w:gridSpan w:val="23"/>
            <w:shd w:val="clear" w:color="auto" w:fill="FFFFFF"/>
          </w:tcPr>
          <w:p w:rsidR="00667187" w:rsidRPr="00DC4BBD" w:rsidRDefault="00667187" w:rsidP="00433F43">
            <w:pPr>
              <w:spacing w:after="0" w:line="276" w:lineRule="auto"/>
              <w:rPr>
                <w:rFonts w:ascii="Times New Roman" w:eastAsia="Calibri" w:hAnsi="Times New Roman" w:cs="Times New Roman"/>
              </w:rPr>
            </w:pPr>
            <w:r w:rsidRPr="00DC4BBD">
              <w:rPr>
                <w:rFonts w:ascii="Times New Roman" w:eastAsia="Calibri" w:hAnsi="Times New Roman" w:cs="Times New Roman"/>
              </w:rPr>
              <w:t xml:space="preserve">Podniesienie progu do </w:t>
            </w:r>
            <w:r w:rsidR="00453162" w:rsidRPr="00DC4BBD">
              <w:rPr>
                <w:rFonts w:ascii="Times New Roman" w:eastAsia="Calibri" w:hAnsi="Times New Roman" w:cs="Times New Roman"/>
              </w:rPr>
              <w:t xml:space="preserve">wysokości 10% </w:t>
            </w:r>
            <w:r w:rsidR="00327A83" w:rsidRPr="00DC4BBD">
              <w:rPr>
                <w:rFonts w:ascii="Times New Roman" w:eastAsia="Times New Roman" w:hAnsi="Times New Roman" w:cs="Times New Roman"/>
                <w:color w:val="000000"/>
                <w:lang w:eastAsia="pl-PL"/>
              </w:rPr>
              <w:t>minimalnego wynagrodzenia za pracę</w:t>
            </w:r>
            <w:r w:rsidR="00327A83" w:rsidRPr="00DC4BBD" w:rsidDel="00327A83">
              <w:rPr>
                <w:rFonts w:ascii="Times New Roman" w:eastAsia="Calibri" w:hAnsi="Times New Roman" w:cs="Times New Roman"/>
              </w:rPr>
              <w:t xml:space="preserve"> </w:t>
            </w:r>
            <w:r w:rsidR="00453162" w:rsidRPr="00DC4BBD">
              <w:rPr>
                <w:rFonts w:ascii="Times New Roman" w:eastAsia="Calibri" w:hAnsi="Times New Roman" w:cs="Times New Roman"/>
              </w:rPr>
              <w:t>(obecnie 301 zł.</w:t>
            </w:r>
            <w:r w:rsidR="00453162" w:rsidRPr="00DC4BBD">
              <w:rPr>
                <w:rFonts w:ascii="Times New Roman" w:hAnsi="Times New Roman" w:cs="Times New Roman"/>
              </w:rPr>
              <w:t xml:space="preserve">) </w:t>
            </w:r>
            <w:r w:rsidRPr="00DC4BBD">
              <w:rPr>
                <w:rFonts w:ascii="Times New Roman" w:eastAsia="Calibri" w:hAnsi="Times New Roman" w:cs="Times New Roman"/>
              </w:rPr>
              <w:t>skutkuje rozszerzeniem zwolnienia ze składek na ubezpieczenia społeczne, a różnica (wzrost kwoty zwolnienia ze składek) wyniesie ok</w:t>
            </w:r>
            <w:r w:rsidR="004E34D7" w:rsidRPr="00DC4BBD">
              <w:rPr>
                <w:rFonts w:ascii="Times New Roman" w:eastAsia="Calibri" w:hAnsi="Times New Roman" w:cs="Times New Roman"/>
              </w:rPr>
              <w:t>oło</w:t>
            </w:r>
            <w:r w:rsidRPr="00DC4BBD">
              <w:rPr>
                <w:rFonts w:ascii="Times New Roman" w:eastAsia="Calibri" w:hAnsi="Times New Roman" w:cs="Times New Roman"/>
              </w:rPr>
              <w:t xml:space="preserve"> </w:t>
            </w:r>
            <w:r w:rsidR="00857880" w:rsidRPr="00DC4BBD">
              <w:rPr>
                <w:rFonts w:ascii="Times New Roman" w:eastAsia="Calibri" w:hAnsi="Times New Roman" w:cs="Times New Roman"/>
              </w:rPr>
              <w:t>34,2</w:t>
            </w:r>
            <w:r w:rsidRPr="00DC4BBD">
              <w:rPr>
                <w:rFonts w:ascii="Times New Roman" w:eastAsia="Calibri" w:hAnsi="Times New Roman" w:cs="Times New Roman"/>
              </w:rPr>
              <w:t xml:space="preserve"> zł.</w:t>
            </w:r>
          </w:p>
          <w:p w:rsidR="00667187" w:rsidRPr="00DC4BBD" w:rsidRDefault="00667187" w:rsidP="00AA1EF5">
            <w:pPr>
              <w:spacing w:after="0" w:line="276" w:lineRule="auto"/>
              <w:jc w:val="both"/>
              <w:rPr>
                <w:rFonts w:ascii="Times New Roman" w:eastAsia="Calibri" w:hAnsi="Times New Roman" w:cs="Times New Roman"/>
              </w:rPr>
            </w:pPr>
            <w:r w:rsidRPr="00DC4BBD">
              <w:rPr>
                <w:rFonts w:ascii="Times New Roman" w:eastAsia="Calibri" w:hAnsi="Times New Roman" w:cs="Times New Roman"/>
              </w:rPr>
              <w:t>Na koniec września br. w ubezpieczeni</w:t>
            </w:r>
            <w:bookmarkStart w:id="3" w:name="_GoBack"/>
            <w:bookmarkEnd w:id="3"/>
            <w:r w:rsidRPr="00DC4BBD">
              <w:rPr>
                <w:rFonts w:ascii="Times New Roman" w:eastAsia="Calibri" w:hAnsi="Times New Roman" w:cs="Times New Roman"/>
              </w:rPr>
              <w:t>u emerytalno-rentowym było ok</w:t>
            </w:r>
            <w:r w:rsidR="004E34D7" w:rsidRPr="00DC4BBD">
              <w:rPr>
                <w:rFonts w:ascii="Times New Roman" w:eastAsia="Calibri" w:hAnsi="Times New Roman" w:cs="Times New Roman"/>
              </w:rPr>
              <w:t>oło</w:t>
            </w:r>
            <w:r w:rsidRPr="00DC4BBD">
              <w:rPr>
                <w:rFonts w:ascii="Times New Roman" w:eastAsia="Calibri" w:hAnsi="Times New Roman" w:cs="Times New Roman"/>
              </w:rPr>
              <w:t xml:space="preserve"> 15,9 mln osób, w tym ok</w:t>
            </w:r>
            <w:r w:rsidR="004E34D7" w:rsidRPr="00DC4BBD">
              <w:rPr>
                <w:rFonts w:ascii="Times New Roman" w:eastAsia="Calibri" w:hAnsi="Times New Roman" w:cs="Times New Roman"/>
              </w:rPr>
              <w:t>oło</w:t>
            </w:r>
            <w:r w:rsidRPr="00DC4BBD">
              <w:rPr>
                <w:rFonts w:ascii="Times New Roman" w:eastAsia="Calibri" w:hAnsi="Times New Roman" w:cs="Times New Roman"/>
              </w:rPr>
              <w:t xml:space="preserve"> </w:t>
            </w:r>
            <w:r w:rsidR="00AA4912" w:rsidRPr="00DC4BBD">
              <w:rPr>
                <w:rFonts w:ascii="Times New Roman" w:eastAsia="Calibri" w:hAnsi="Times New Roman" w:cs="Times New Roman"/>
              </w:rPr>
              <w:t>12,7</w:t>
            </w:r>
            <w:r w:rsidRPr="00DC4BBD">
              <w:rPr>
                <w:rFonts w:ascii="Times New Roman" w:eastAsia="Calibri" w:hAnsi="Times New Roman" w:cs="Times New Roman"/>
              </w:rPr>
              <w:t xml:space="preserve"> mln pracowników</w:t>
            </w:r>
            <w:r w:rsidR="00AA4912" w:rsidRPr="00DC4BBD">
              <w:rPr>
                <w:rFonts w:ascii="Times New Roman" w:eastAsia="Calibri" w:hAnsi="Times New Roman" w:cs="Times New Roman"/>
              </w:rPr>
              <w:t>, os</w:t>
            </w:r>
            <w:r w:rsidR="00433F43" w:rsidRPr="00DC4BBD">
              <w:rPr>
                <w:rFonts w:ascii="Times New Roman" w:eastAsia="Calibri" w:hAnsi="Times New Roman" w:cs="Times New Roman"/>
              </w:rPr>
              <w:t>ó</w:t>
            </w:r>
            <w:r w:rsidR="00AA4912" w:rsidRPr="00DC4BBD">
              <w:rPr>
                <w:rFonts w:ascii="Times New Roman" w:eastAsia="Calibri" w:hAnsi="Times New Roman" w:cs="Times New Roman"/>
              </w:rPr>
              <w:t>b pracujących na umowy zlecenia i członków rolniczych spółdzielni</w:t>
            </w:r>
            <w:r w:rsidR="00627D7A" w:rsidRPr="00DC4BBD">
              <w:rPr>
                <w:rFonts w:ascii="Times New Roman" w:eastAsia="Calibri" w:hAnsi="Times New Roman" w:cs="Times New Roman"/>
              </w:rPr>
              <w:t>, którzy mogą korzystać z powyższego rozwiązania.</w:t>
            </w:r>
            <w:r w:rsidR="00AA4912" w:rsidRPr="00DC4BBD">
              <w:rPr>
                <w:rFonts w:ascii="Times New Roman" w:eastAsia="Calibri" w:hAnsi="Times New Roman" w:cs="Times New Roman"/>
              </w:rPr>
              <w:t xml:space="preserve"> </w:t>
            </w:r>
            <w:r w:rsidRPr="00DC4BBD">
              <w:rPr>
                <w:rFonts w:ascii="Times New Roman" w:eastAsia="Calibri" w:hAnsi="Times New Roman" w:cs="Times New Roman"/>
              </w:rPr>
              <w:t>Przyjmując, że 3% zatrudnionych pracowników objętych jest dofinansowaniem (szacunki FPP), daje to ok</w:t>
            </w:r>
            <w:r w:rsidR="004E34D7" w:rsidRPr="00DC4BBD">
              <w:rPr>
                <w:rFonts w:ascii="Times New Roman" w:eastAsia="Calibri" w:hAnsi="Times New Roman" w:cs="Times New Roman"/>
              </w:rPr>
              <w:t>oło</w:t>
            </w:r>
            <w:r w:rsidRPr="00DC4BBD">
              <w:rPr>
                <w:rFonts w:ascii="Times New Roman" w:eastAsia="Calibri" w:hAnsi="Times New Roman" w:cs="Times New Roman"/>
              </w:rPr>
              <w:t xml:space="preserve"> </w:t>
            </w:r>
            <w:r w:rsidR="00AA4912" w:rsidRPr="00DC4BBD">
              <w:rPr>
                <w:rFonts w:ascii="Times New Roman" w:eastAsia="Calibri" w:hAnsi="Times New Roman" w:cs="Times New Roman"/>
              </w:rPr>
              <w:t>380</w:t>
            </w:r>
            <w:r w:rsidRPr="00DC4BBD">
              <w:rPr>
                <w:rFonts w:ascii="Times New Roman" w:eastAsia="Calibri" w:hAnsi="Times New Roman" w:cs="Times New Roman"/>
              </w:rPr>
              <w:t xml:space="preserve"> tys. osób. Podniesienie dla tej grupy kwoty zwolnienia do </w:t>
            </w:r>
            <w:r w:rsidR="00857880" w:rsidRPr="00DC4BBD">
              <w:rPr>
                <w:rFonts w:ascii="Times New Roman" w:eastAsia="Calibri" w:hAnsi="Times New Roman" w:cs="Times New Roman"/>
              </w:rPr>
              <w:t>30</w:t>
            </w:r>
            <w:r w:rsidR="00C71479" w:rsidRPr="00DC4BBD">
              <w:rPr>
                <w:rFonts w:ascii="Times New Roman" w:eastAsia="Calibri" w:hAnsi="Times New Roman" w:cs="Times New Roman"/>
              </w:rPr>
              <w:t>1</w:t>
            </w:r>
            <w:r w:rsidRPr="00DC4BBD">
              <w:rPr>
                <w:rFonts w:ascii="Times New Roman" w:eastAsia="Calibri" w:hAnsi="Times New Roman" w:cs="Times New Roman"/>
              </w:rPr>
              <w:t xml:space="preserve"> zł skutkowałoby ubytkiem składek do F</w:t>
            </w:r>
            <w:r w:rsidR="004E34D7" w:rsidRPr="00DC4BBD">
              <w:rPr>
                <w:rFonts w:ascii="Times New Roman" w:eastAsia="Calibri" w:hAnsi="Times New Roman" w:cs="Times New Roman"/>
              </w:rPr>
              <w:t xml:space="preserve">unduszu </w:t>
            </w:r>
            <w:r w:rsidRPr="00DC4BBD">
              <w:rPr>
                <w:rFonts w:ascii="Times New Roman" w:eastAsia="Calibri" w:hAnsi="Times New Roman" w:cs="Times New Roman"/>
              </w:rPr>
              <w:t>U</w:t>
            </w:r>
            <w:r w:rsidR="004E34D7" w:rsidRPr="00DC4BBD">
              <w:rPr>
                <w:rFonts w:ascii="Times New Roman" w:eastAsia="Calibri" w:hAnsi="Times New Roman" w:cs="Times New Roman"/>
              </w:rPr>
              <w:t xml:space="preserve">bezpieczeń </w:t>
            </w:r>
            <w:r w:rsidRPr="00DC4BBD">
              <w:rPr>
                <w:rFonts w:ascii="Times New Roman" w:eastAsia="Calibri" w:hAnsi="Times New Roman" w:cs="Times New Roman"/>
              </w:rPr>
              <w:t>S</w:t>
            </w:r>
            <w:r w:rsidR="004E34D7" w:rsidRPr="00DC4BBD">
              <w:rPr>
                <w:rFonts w:ascii="Times New Roman" w:eastAsia="Calibri" w:hAnsi="Times New Roman" w:cs="Times New Roman"/>
              </w:rPr>
              <w:t>połecznych</w:t>
            </w:r>
            <w:r w:rsidRPr="00DC4BBD">
              <w:rPr>
                <w:rFonts w:ascii="Times New Roman" w:eastAsia="Calibri" w:hAnsi="Times New Roman" w:cs="Times New Roman"/>
              </w:rPr>
              <w:t xml:space="preserve"> rzędu </w:t>
            </w:r>
            <w:r w:rsidR="00C60F7E" w:rsidRPr="00DC4BBD">
              <w:rPr>
                <w:rFonts w:ascii="Times New Roman" w:eastAsia="Calibri" w:hAnsi="Times New Roman" w:cs="Times New Roman"/>
              </w:rPr>
              <w:t>13</w:t>
            </w:r>
            <w:r w:rsidRPr="00DC4BBD">
              <w:rPr>
                <w:rFonts w:ascii="Times New Roman" w:eastAsia="Calibri" w:hAnsi="Times New Roman" w:cs="Times New Roman"/>
              </w:rPr>
              <w:t xml:space="preserve"> mln zł miesięcznie, czyli ok</w:t>
            </w:r>
            <w:r w:rsidR="004E34D7" w:rsidRPr="00DC4BBD">
              <w:rPr>
                <w:rFonts w:ascii="Times New Roman" w:eastAsia="Calibri" w:hAnsi="Times New Roman" w:cs="Times New Roman"/>
              </w:rPr>
              <w:t>oło</w:t>
            </w:r>
            <w:r w:rsidRPr="00DC4BBD">
              <w:rPr>
                <w:rFonts w:ascii="Times New Roman" w:eastAsia="Calibri" w:hAnsi="Times New Roman" w:cs="Times New Roman"/>
              </w:rPr>
              <w:t xml:space="preserve"> </w:t>
            </w:r>
            <w:r w:rsidR="00C60F7E" w:rsidRPr="00DC4BBD">
              <w:rPr>
                <w:rFonts w:ascii="Times New Roman" w:eastAsia="Calibri" w:hAnsi="Times New Roman" w:cs="Times New Roman"/>
              </w:rPr>
              <w:t xml:space="preserve">156 </w:t>
            </w:r>
            <w:r w:rsidRPr="00DC4BBD">
              <w:rPr>
                <w:rFonts w:ascii="Times New Roman" w:eastAsia="Calibri" w:hAnsi="Times New Roman" w:cs="Times New Roman"/>
              </w:rPr>
              <w:t xml:space="preserve"> mln zł rocznie.</w:t>
            </w:r>
            <w:r w:rsidR="00AA1EF5" w:rsidRPr="00DC4BBD">
              <w:rPr>
                <w:rFonts w:ascii="Times New Roman" w:eastAsia="Calibri" w:hAnsi="Times New Roman" w:cs="Times New Roman"/>
              </w:rPr>
              <w:t xml:space="preserve"> W 2022 r. będzie to koszt ok</w:t>
            </w:r>
            <w:r w:rsidR="004E34D7" w:rsidRPr="00DC4BBD">
              <w:rPr>
                <w:rFonts w:ascii="Times New Roman" w:eastAsia="Calibri" w:hAnsi="Times New Roman" w:cs="Times New Roman"/>
              </w:rPr>
              <w:t>oło</w:t>
            </w:r>
            <w:r w:rsidR="00AA1EF5" w:rsidRPr="00DC4BBD">
              <w:rPr>
                <w:rFonts w:ascii="Times New Roman" w:eastAsia="Calibri" w:hAnsi="Times New Roman" w:cs="Times New Roman"/>
              </w:rPr>
              <w:t xml:space="preserve"> </w:t>
            </w:r>
            <w:r w:rsidR="00C60F7E" w:rsidRPr="00DC4BBD">
              <w:rPr>
                <w:rFonts w:ascii="Times New Roman" w:eastAsia="Calibri" w:hAnsi="Times New Roman" w:cs="Times New Roman"/>
              </w:rPr>
              <w:t>117</w:t>
            </w:r>
            <w:r w:rsidR="00AA1EF5" w:rsidRPr="00DC4BBD">
              <w:rPr>
                <w:rFonts w:ascii="Times New Roman" w:eastAsia="Calibri" w:hAnsi="Times New Roman" w:cs="Times New Roman"/>
              </w:rPr>
              <w:t xml:space="preserve"> mln zł, gdyż proponuje się, że p</w:t>
            </w:r>
            <w:r w:rsidR="00AA1EF5" w:rsidRPr="00DC4BBD">
              <w:rPr>
                <w:rFonts w:ascii="Times New Roman" w:hAnsi="Times New Roman" w:cs="Times New Roman"/>
              </w:rPr>
              <w:t xml:space="preserve">rzepisy </w:t>
            </w:r>
            <w:r w:rsidR="00AA1EF5" w:rsidRPr="00DC4BBD">
              <w:rPr>
                <w:rFonts w:ascii="Times New Roman" w:hAnsi="Times New Roman" w:cs="Times New Roman"/>
                <w:color w:val="000000"/>
              </w:rPr>
              <w:t xml:space="preserve">miałyby </w:t>
            </w:r>
            <w:r w:rsidR="00AA1EF5" w:rsidRPr="00DC4BBD">
              <w:rPr>
                <w:rFonts w:ascii="Times New Roman" w:hAnsi="Times New Roman" w:cs="Times New Roman"/>
              </w:rPr>
              <w:t>obowiązywać  od 1 marca 2022 r., co oznacza, że ubytek składek będzie dotyczył tylko 9 miesięcy, gdyż płatnicy składek rozliczają je w miesiącu następującym po okresie, którego dotyczą.</w:t>
            </w:r>
          </w:p>
          <w:p w:rsidR="00667187" w:rsidRPr="00DC4BBD" w:rsidRDefault="00667187" w:rsidP="000356FB">
            <w:pPr>
              <w:spacing w:after="0" w:line="276" w:lineRule="auto"/>
              <w:jc w:val="both"/>
              <w:rPr>
                <w:rFonts w:ascii="Times New Roman" w:eastAsia="Calibri" w:hAnsi="Times New Roman" w:cs="Times New Roman"/>
              </w:rPr>
            </w:pPr>
            <w:r w:rsidRPr="00DC4BBD">
              <w:rPr>
                <w:rFonts w:ascii="Times New Roman" w:eastAsia="Calibri" w:hAnsi="Times New Roman" w:cs="Times New Roman"/>
              </w:rPr>
              <w:t xml:space="preserve">Ze względu na brak możliwości oceny zachowań pracodawców nie jest możliwy do oszacowania wpływ tego rozwiązania na dochody podatkowe państwa. Podobnie nie ma możliwości oszacowania wpływu na dochody pracowników z tytułu zmniejszenia wysokości pobieranych świadczeń krótkookresowych, jednakże wydaje się, że wpływ ten </w:t>
            </w:r>
            <w:r w:rsidR="00F64AD6" w:rsidRPr="00DC4BBD">
              <w:rPr>
                <w:rFonts w:ascii="Times New Roman" w:eastAsia="Calibri" w:hAnsi="Times New Roman" w:cs="Times New Roman"/>
              </w:rPr>
              <w:t>nie będzie znaczny</w:t>
            </w:r>
            <w:r w:rsidRPr="00DC4BBD">
              <w:rPr>
                <w:rFonts w:ascii="Times New Roman" w:eastAsia="Calibri" w:hAnsi="Times New Roman" w:cs="Times New Roman"/>
              </w:rPr>
              <w:t>.</w:t>
            </w:r>
          </w:p>
          <w:p w:rsidR="00667187" w:rsidRPr="00DC4BBD" w:rsidRDefault="00667187" w:rsidP="000356FB">
            <w:pPr>
              <w:spacing w:after="0" w:line="276" w:lineRule="auto"/>
              <w:jc w:val="both"/>
              <w:rPr>
                <w:rFonts w:ascii="Times New Roman" w:eastAsia="Calibri" w:hAnsi="Times New Roman" w:cs="Times New Roman"/>
              </w:rPr>
            </w:pPr>
            <w:r w:rsidRPr="00DC4BBD">
              <w:rPr>
                <w:rFonts w:ascii="Times New Roman" w:eastAsia="Calibri" w:hAnsi="Times New Roman" w:cs="Times New Roman"/>
              </w:rPr>
              <w:t>Dla oszacowania skutków finansowych dla F</w:t>
            </w:r>
            <w:r w:rsidR="004E34D7" w:rsidRPr="00DC4BBD">
              <w:rPr>
                <w:rFonts w:ascii="Times New Roman" w:eastAsia="Calibri" w:hAnsi="Times New Roman" w:cs="Times New Roman"/>
              </w:rPr>
              <w:t xml:space="preserve">unduszu </w:t>
            </w:r>
            <w:r w:rsidRPr="00DC4BBD">
              <w:rPr>
                <w:rFonts w:ascii="Times New Roman" w:eastAsia="Calibri" w:hAnsi="Times New Roman" w:cs="Times New Roman"/>
              </w:rPr>
              <w:t>U</w:t>
            </w:r>
            <w:r w:rsidR="004E34D7" w:rsidRPr="00DC4BBD">
              <w:rPr>
                <w:rFonts w:ascii="Times New Roman" w:eastAsia="Calibri" w:hAnsi="Times New Roman" w:cs="Times New Roman"/>
              </w:rPr>
              <w:t xml:space="preserve">bezpieczeń </w:t>
            </w:r>
            <w:r w:rsidRPr="00DC4BBD">
              <w:rPr>
                <w:rFonts w:ascii="Times New Roman" w:eastAsia="Calibri" w:hAnsi="Times New Roman" w:cs="Times New Roman"/>
              </w:rPr>
              <w:t>S</w:t>
            </w:r>
            <w:r w:rsidR="004E34D7" w:rsidRPr="00DC4BBD">
              <w:rPr>
                <w:rFonts w:ascii="Times New Roman" w:eastAsia="Calibri" w:hAnsi="Times New Roman" w:cs="Times New Roman"/>
              </w:rPr>
              <w:t>połecznych</w:t>
            </w:r>
            <w:r w:rsidRPr="00DC4BBD">
              <w:rPr>
                <w:rFonts w:ascii="Times New Roman" w:eastAsia="Calibri" w:hAnsi="Times New Roman" w:cs="Times New Roman"/>
              </w:rPr>
              <w:t xml:space="preserve"> przyjęto, że liczba objętych tym rozwiązaniem pracowników nie będzie ulegać zmianie, natomiast wzrost minimalnego wynagrodzenia od 2023 r. oszacowano na podstawie „Wytycznych dotyczących stosowania jednolitych wskaźników makroekonomicznych będących podstawą oszacowania skutków finansowych projektowanych ustaw Aktualizacja – sierpień 2021 r.”. Jednakże aktualne wskaźniki i prognozy wskazują na znacznie szybszy wzrost inflacji niż założony w Wytycznych i należy mieć na uwadze, że przedstawione skutki finansowe mają charakter hipotetyczny.</w:t>
            </w:r>
          </w:p>
          <w:p w:rsidR="00587B0E" w:rsidRPr="00DC4BBD" w:rsidRDefault="00587B0E" w:rsidP="005D5A40">
            <w:pPr>
              <w:pStyle w:val="ZUSTzmustartykuempunktem"/>
              <w:shd w:val="clear" w:color="auto" w:fill="FFFFFF" w:themeFill="background1"/>
              <w:spacing w:before="120" w:line="276" w:lineRule="auto"/>
              <w:ind w:left="0" w:firstLine="0"/>
              <w:rPr>
                <w:rFonts w:ascii="Times New Roman" w:eastAsia="Times New Roman" w:hAnsi="Times New Roman" w:cs="Times New Roman"/>
                <w:bCs/>
                <w:sz w:val="22"/>
                <w:szCs w:val="22"/>
              </w:rPr>
            </w:pPr>
            <w:r w:rsidRPr="00DC4BBD">
              <w:rPr>
                <w:rFonts w:ascii="Times New Roman" w:eastAsia="Times New Roman" w:hAnsi="Times New Roman"/>
                <w:sz w:val="22"/>
                <w:szCs w:val="22"/>
              </w:rPr>
              <w:t xml:space="preserve">Wyłączenie z podstawy wymiaru składek na ubezpieczenia emerytalne i rentowe kwoty świadczenia </w:t>
            </w:r>
            <w:r w:rsidRPr="00DC4BBD">
              <w:rPr>
                <w:rFonts w:ascii="Times New Roman" w:hAnsi="Times New Roman" w:cs="Times New Roman"/>
                <w:sz w:val="22"/>
                <w:szCs w:val="22"/>
              </w:rPr>
              <w:t>teleinformatyczne</w:t>
            </w:r>
            <w:r w:rsidRPr="00DC4BBD">
              <w:rPr>
                <w:rFonts w:ascii="Times New Roman" w:hAnsi="Times New Roman"/>
                <w:sz w:val="22"/>
                <w:szCs w:val="22"/>
              </w:rPr>
              <w:t>go</w:t>
            </w:r>
            <w:r w:rsidRPr="00DC4BBD">
              <w:rPr>
                <w:rFonts w:ascii="Times New Roman" w:eastAsia="Times New Roman" w:hAnsi="Times New Roman"/>
                <w:sz w:val="22"/>
                <w:szCs w:val="22"/>
              </w:rPr>
              <w:t>, wprowadzonego u</w:t>
            </w:r>
            <w:r w:rsidRPr="00DC4BBD">
              <w:rPr>
                <w:rFonts w:ascii="Times New Roman" w:eastAsiaTheme="minorHAnsi" w:hAnsi="Times New Roman"/>
                <w:sz w:val="22"/>
                <w:szCs w:val="22"/>
                <w:lang w:eastAsia="en-US"/>
              </w:rPr>
              <w:t xml:space="preserve">stawą z dnia z dnia 2 grudnia 2021 r. o szczególnych zasadach wynagradzania osób realizujących zadania z zakresu </w:t>
            </w:r>
            <w:proofErr w:type="spellStart"/>
            <w:r w:rsidRPr="00DC4BBD">
              <w:rPr>
                <w:rFonts w:ascii="Times New Roman" w:eastAsiaTheme="minorHAnsi" w:hAnsi="Times New Roman"/>
                <w:sz w:val="22"/>
                <w:szCs w:val="22"/>
                <w:lang w:eastAsia="en-US"/>
              </w:rPr>
              <w:t>cyberbezpieczeństwa</w:t>
            </w:r>
            <w:proofErr w:type="spellEnd"/>
            <w:r w:rsidRPr="00DC4BBD">
              <w:rPr>
                <w:rFonts w:ascii="Times New Roman" w:hAnsi="Times New Roman"/>
                <w:sz w:val="22"/>
                <w:szCs w:val="22"/>
              </w:rPr>
              <w:t xml:space="preserve"> nie rodzi dodatkowych </w:t>
            </w:r>
            <w:r w:rsidRPr="00DC4BBD">
              <w:rPr>
                <w:rFonts w:ascii="Times New Roman" w:hAnsi="Times New Roman"/>
                <w:sz w:val="22"/>
                <w:szCs w:val="22"/>
              </w:rPr>
              <w:lastRenderedPageBreak/>
              <w:t>skutków finansowych</w:t>
            </w:r>
            <w:r w:rsidR="00AB5618" w:rsidRPr="00DC4BBD">
              <w:rPr>
                <w:rFonts w:ascii="Times New Roman" w:hAnsi="Times New Roman"/>
                <w:sz w:val="22"/>
                <w:szCs w:val="22"/>
              </w:rPr>
              <w:t>. Propozycja ta</w:t>
            </w:r>
            <w:r w:rsidR="005D5A40" w:rsidRPr="00DC4BBD">
              <w:rPr>
                <w:rFonts w:ascii="Times New Roman" w:hAnsi="Times New Roman"/>
                <w:sz w:val="22"/>
                <w:szCs w:val="22"/>
              </w:rPr>
              <w:t xml:space="preserve"> </w:t>
            </w:r>
            <w:r w:rsidR="005D5A40" w:rsidRPr="00DC4BBD">
              <w:rPr>
                <w:rFonts w:ascii="Times New Roman" w:hAnsi="Times New Roman" w:cs="Times New Roman"/>
                <w:sz w:val="22"/>
                <w:szCs w:val="22"/>
              </w:rPr>
              <w:t>wynika</w:t>
            </w:r>
            <w:r w:rsidRPr="00DC4BBD">
              <w:rPr>
                <w:rFonts w:ascii="Times New Roman" w:hAnsi="Times New Roman" w:cs="Times New Roman"/>
                <w:sz w:val="22"/>
                <w:szCs w:val="22"/>
              </w:rPr>
              <w:t xml:space="preserve"> z intencj</w:t>
            </w:r>
            <w:r w:rsidR="005D5A40" w:rsidRPr="00DC4BBD">
              <w:rPr>
                <w:rFonts w:ascii="Times New Roman" w:hAnsi="Times New Roman" w:cs="Times New Roman"/>
                <w:sz w:val="22"/>
                <w:szCs w:val="22"/>
              </w:rPr>
              <w:t>i</w:t>
            </w:r>
            <w:r w:rsidRPr="00DC4BBD">
              <w:rPr>
                <w:rFonts w:ascii="Times New Roman" w:hAnsi="Times New Roman" w:cs="Times New Roman"/>
                <w:sz w:val="22"/>
                <w:szCs w:val="22"/>
              </w:rPr>
              <w:t xml:space="preserve"> ustawodawcy, który założył, że </w:t>
            </w:r>
            <w:r w:rsidRPr="00DC4BBD">
              <w:rPr>
                <w:rFonts w:ascii="Times New Roman" w:hAnsi="Times New Roman" w:cs="Times New Roman"/>
                <w:sz w:val="22"/>
                <w:szCs w:val="22"/>
                <w:lang w:eastAsia="en-US"/>
              </w:rPr>
              <w:t xml:space="preserve">świadczenie teleinformatyczne oraz koszty z nim związane w całości finansowane jest z Funduszu </w:t>
            </w:r>
            <w:proofErr w:type="spellStart"/>
            <w:r w:rsidRPr="00DC4BBD">
              <w:rPr>
                <w:rFonts w:ascii="Times New Roman" w:hAnsi="Times New Roman" w:cs="Times New Roman"/>
                <w:sz w:val="22"/>
                <w:szCs w:val="22"/>
                <w:lang w:eastAsia="en-US"/>
              </w:rPr>
              <w:t>Cyberbezpieczeństwa</w:t>
            </w:r>
            <w:proofErr w:type="spellEnd"/>
            <w:r w:rsidR="005D5A40" w:rsidRPr="00DC4BBD">
              <w:rPr>
                <w:rFonts w:ascii="Times New Roman" w:hAnsi="Times New Roman" w:cs="Times New Roman"/>
                <w:sz w:val="22"/>
                <w:szCs w:val="22"/>
                <w:lang w:eastAsia="en-US"/>
              </w:rPr>
              <w:t>. Świadczenie teleinformatyczne</w:t>
            </w:r>
            <w:r w:rsidRPr="00DC4BBD">
              <w:rPr>
                <w:rFonts w:ascii="Times New Roman" w:hAnsi="Times New Roman" w:cs="Times New Roman"/>
                <w:sz w:val="22"/>
                <w:szCs w:val="22"/>
                <w:lang w:eastAsia="en-US"/>
              </w:rPr>
              <w:t xml:space="preserve"> nie m</w:t>
            </w:r>
            <w:r w:rsidR="005D5A40" w:rsidRPr="00DC4BBD">
              <w:rPr>
                <w:rFonts w:ascii="Times New Roman" w:hAnsi="Times New Roman" w:cs="Times New Roman"/>
                <w:sz w:val="22"/>
                <w:szCs w:val="22"/>
                <w:lang w:eastAsia="en-US"/>
              </w:rPr>
              <w:t>iało</w:t>
            </w:r>
            <w:r w:rsidRPr="00DC4BBD">
              <w:rPr>
                <w:rFonts w:ascii="Times New Roman" w:hAnsi="Times New Roman" w:cs="Times New Roman"/>
                <w:sz w:val="22"/>
                <w:szCs w:val="22"/>
                <w:lang w:eastAsia="en-US"/>
              </w:rPr>
              <w:t xml:space="preserve"> generować jakichkolwiek obciążeń budżetów własnych jednostek, których pracownikom przyznano świadczenie teleinformatyczne, </w:t>
            </w:r>
            <w:r w:rsidR="005D5A40" w:rsidRPr="00DC4BBD">
              <w:rPr>
                <w:rFonts w:ascii="Times New Roman" w:hAnsi="Times New Roman" w:cs="Times New Roman"/>
                <w:sz w:val="22"/>
                <w:szCs w:val="22"/>
                <w:lang w:eastAsia="en-US"/>
              </w:rPr>
              <w:t>co oznacza, że założono od początku, że świadczenie to zostanie</w:t>
            </w:r>
            <w:r w:rsidRPr="00DC4BBD">
              <w:rPr>
                <w:rFonts w:ascii="Times New Roman" w:hAnsi="Times New Roman" w:cs="Times New Roman"/>
                <w:sz w:val="22"/>
                <w:szCs w:val="22"/>
                <w:lang w:eastAsia="en-US"/>
              </w:rPr>
              <w:t xml:space="preserve"> wyłączone z </w:t>
            </w:r>
            <w:r w:rsidRPr="00DC4BBD">
              <w:rPr>
                <w:rFonts w:ascii="Times New Roman" w:eastAsia="Times New Roman" w:hAnsi="Times New Roman" w:cs="Times New Roman"/>
                <w:sz w:val="22"/>
                <w:szCs w:val="22"/>
              </w:rPr>
              <w:t xml:space="preserve">podstawy wymiaru składek </w:t>
            </w:r>
            <w:r w:rsidRPr="00DC4BBD">
              <w:rPr>
                <w:rFonts w:ascii="Times New Roman" w:eastAsia="Times New Roman" w:hAnsi="Times New Roman" w:cs="Times New Roman"/>
                <w:bCs/>
                <w:sz w:val="22"/>
                <w:szCs w:val="22"/>
              </w:rPr>
              <w:t>na ubezpieczenia emerytalne i rentowe.</w:t>
            </w:r>
          </w:p>
          <w:p w:rsidR="00BD3BDB" w:rsidRPr="00DC4BBD" w:rsidRDefault="005D5A40" w:rsidP="00BD3BDB">
            <w:pPr>
              <w:pStyle w:val="ZUSTzmustartykuempunktem"/>
              <w:shd w:val="clear" w:color="auto" w:fill="FFFFFF" w:themeFill="background1"/>
              <w:spacing w:before="120" w:line="276" w:lineRule="auto"/>
              <w:ind w:left="0" w:firstLine="0"/>
              <w:rPr>
                <w:rFonts w:ascii="Times New Roman" w:hAnsi="Times New Roman" w:cs="Times New Roman"/>
                <w:sz w:val="22"/>
                <w:szCs w:val="22"/>
              </w:rPr>
            </w:pPr>
            <w:r w:rsidRPr="00DC4BBD">
              <w:rPr>
                <w:rFonts w:ascii="Times New Roman" w:hAnsi="Times New Roman" w:cs="Times New Roman"/>
                <w:sz w:val="22"/>
                <w:szCs w:val="22"/>
              </w:rPr>
              <w:t>Należy również wskazać, że ś</w:t>
            </w:r>
            <w:r w:rsidRPr="00DC4BBD">
              <w:rPr>
                <w:sz w:val="22"/>
                <w:szCs w:val="22"/>
              </w:rPr>
              <w:t xml:space="preserve">wiadczenie </w:t>
            </w:r>
            <w:r w:rsidRPr="00DC4BBD">
              <w:rPr>
                <w:rFonts w:ascii="Times New Roman" w:hAnsi="Times New Roman" w:cs="Times New Roman"/>
                <w:sz w:val="22"/>
                <w:szCs w:val="22"/>
              </w:rPr>
              <w:t>teleinformatyczne</w:t>
            </w:r>
            <w:r w:rsidRPr="00DC4BBD">
              <w:rPr>
                <w:sz w:val="22"/>
                <w:szCs w:val="22"/>
              </w:rPr>
              <w:t xml:space="preserve"> nie będzie wliczane do podstawy wymiaru emerytury lub renty inwalidzkiej, uregulowanych ustawą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(Dz. U. z 2020 r. poz. 723 i 2320) oraz ustawą z dnia 10 grudnia 1993 r. o zaopatrzeniu emerytalnym żołnierzy zawodowych oraz ich rodzin. Brak wyłączenia ze składki na ubezpieczenia emerytalne i rentowe świadczenia teleinformatycznego, do którego wypłaty uprawnione byłyby osoby, wykonujące pracę, </w:t>
            </w:r>
            <w:r w:rsidR="00BD3BDB" w:rsidRPr="00DC4BBD">
              <w:rPr>
                <w:sz w:val="22"/>
                <w:szCs w:val="22"/>
              </w:rPr>
              <w:t xml:space="preserve">objętą obowiązkiem ubezpieczeń społecznych, oznaczałoby niejednolite traktowanie dwóch grup, podlegających zaopatrzeniu emerytalnemu tzw. służb mundurowych i objętych obowiązkiem ubezpieczeń społecznych. Proponowane wyłączenie </w:t>
            </w:r>
            <w:r w:rsidR="00BD3BDB" w:rsidRPr="00DC4BBD">
              <w:rPr>
                <w:rFonts w:ascii="Times New Roman" w:eastAsia="Times New Roman" w:hAnsi="Times New Roman"/>
                <w:sz w:val="22"/>
                <w:szCs w:val="22"/>
              </w:rPr>
              <w:t xml:space="preserve">z podstawy wymiaru składek </w:t>
            </w:r>
            <w:r w:rsidR="00BD3BDB" w:rsidRPr="00DC4BBD">
              <w:rPr>
                <w:rFonts w:ascii="Times New Roman" w:eastAsia="Times New Roman" w:hAnsi="Times New Roman"/>
                <w:bCs/>
                <w:sz w:val="22"/>
                <w:szCs w:val="22"/>
              </w:rPr>
              <w:t xml:space="preserve">na ubezpieczenia emerytalne i rentowe kwoty świadczenia </w:t>
            </w:r>
            <w:r w:rsidR="00BD3BDB" w:rsidRPr="00DC4BBD">
              <w:rPr>
                <w:rFonts w:ascii="Times New Roman" w:hAnsi="Times New Roman" w:cs="Times New Roman"/>
                <w:sz w:val="22"/>
                <w:szCs w:val="22"/>
              </w:rPr>
              <w:t>teleinformatyczne</w:t>
            </w:r>
            <w:r w:rsidR="00BD3BDB" w:rsidRPr="00DC4BBD">
              <w:rPr>
                <w:rFonts w:ascii="Times New Roman" w:hAnsi="Times New Roman"/>
                <w:sz w:val="22"/>
                <w:szCs w:val="22"/>
              </w:rPr>
              <w:t>go</w:t>
            </w:r>
            <w:r w:rsidR="00BD3BDB" w:rsidRPr="00DC4BBD">
              <w:rPr>
                <w:rFonts w:ascii="Times New Roman" w:eastAsia="Times New Roman" w:hAnsi="Times New Roman"/>
                <w:bCs/>
                <w:sz w:val="22"/>
                <w:szCs w:val="22"/>
              </w:rPr>
              <w:t xml:space="preserve"> zachowuje </w:t>
            </w:r>
            <w:r w:rsidR="00BD3BDB" w:rsidRPr="00DC4BBD">
              <w:rPr>
                <w:sz w:val="22"/>
                <w:szCs w:val="22"/>
              </w:rPr>
              <w:t xml:space="preserve">jednolitość rozwiązań w </w:t>
            </w:r>
            <w:r w:rsidR="0009008A" w:rsidRPr="00DC4BBD">
              <w:rPr>
                <w:sz w:val="22"/>
                <w:szCs w:val="22"/>
              </w:rPr>
              <w:t xml:space="preserve">zakresie </w:t>
            </w:r>
            <w:r w:rsidR="00BD3BDB" w:rsidRPr="00DC4BBD">
              <w:rPr>
                <w:sz w:val="22"/>
                <w:szCs w:val="22"/>
              </w:rPr>
              <w:t>ustalani</w:t>
            </w:r>
            <w:r w:rsidR="0009008A" w:rsidRPr="00DC4BBD">
              <w:rPr>
                <w:sz w:val="22"/>
                <w:szCs w:val="22"/>
              </w:rPr>
              <w:t>a</w:t>
            </w:r>
            <w:r w:rsidR="00BD3BDB" w:rsidRPr="00DC4BBD">
              <w:rPr>
                <w:sz w:val="22"/>
                <w:szCs w:val="22"/>
              </w:rPr>
              <w:t xml:space="preserve"> wysokości emerytury lub renty, zarówno funkcjonariuszy, będących w zaopatrzeniowym systemie służb mundurowych oraz osób podlegających ubezpieczeniom społecznym,</w:t>
            </w:r>
            <w:r w:rsidR="0009008A" w:rsidRPr="00DC4BBD">
              <w:rPr>
                <w:sz w:val="22"/>
                <w:szCs w:val="22"/>
              </w:rPr>
              <w:t xml:space="preserve"> uprawnionych do świadczenia teleinformatycznego.</w:t>
            </w:r>
          </w:p>
          <w:p w:rsidR="00587B0E" w:rsidRPr="00DC4BBD" w:rsidRDefault="00BD3BDB" w:rsidP="00DA2BC7">
            <w:pPr>
              <w:pStyle w:val="ZUSTzmustartykuempunktem"/>
              <w:shd w:val="clear" w:color="auto" w:fill="FFFFFF" w:themeFill="background1"/>
              <w:spacing w:before="120" w:line="276" w:lineRule="auto"/>
              <w:ind w:left="0" w:firstLine="0"/>
              <w:rPr>
                <w:rFonts w:ascii="Times New Roman" w:hAnsi="Times New Roman" w:cs="Times New Roman"/>
                <w:sz w:val="22"/>
                <w:szCs w:val="22"/>
              </w:rPr>
            </w:pPr>
            <w:r w:rsidRPr="00DC4BBD">
              <w:rPr>
                <w:sz w:val="22"/>
                <w:szCs w:val="22"/>
              </w:rPr>
              <w:t>Szacuje się, że zwolnienie świadczenia teleinformatycznego ze składki na ubezpieczenie emerytalne i rentowe dotyczyć będzie 500 osób</w:t>
            </w:r>
            <w:r w:rsidR="005D5A40" w:rsidRPr="00DC4BBD">
              <w:rPr>
                <w:sz w:val="22"/>
                <w:szCs w:val="22"/>
              </w:rPr>
              <w:t xml:space="preserve"> </w:t>
            </w:r>
            <w:r w:rsidRPr="00DC4BBD">
              <w:rPr>
                <w:sz w:val="22"/>
                <w:szCs w:val="22"/>
              </w:rPr>
              <w:t>(połowy z szacow</w:t>
            </w:r>
            <w:r w:rsidR="00B0518F" w:rsidRPr="00DC4BBD">
              <w:rPr>
                <w:sz w:val="22"/>
                <w:szCs w:val="22"/>
              </w:rPr>
              <w:t>a</w:t>
            </w:r>
            <w:r w:rsidRPr="00DC4BBD">
              <w:rPr>
                <w:sz w:val="22"/>
                <w:szCs w:val="22"/>
              </w:rPr>
              <w:t>nej liczby 1000 osób, które będą uprawnione</w:t>
            </w:r>
            <w:r w:rsidR="00DA2BC7" w:rsidRPr="00DC4BBD">
              <w:rPr>
                <w:sz w:val="22"/>
                <w:szCs w:val="22"/>
              </w:rPr>
              <w:t xml:space="preserve"> do wypłaty świadczenia teleinformatycznego</w:t>
            </w:r>
            <w:r w:rsidRPr="00DC4BBD">
              <w:rPr>
                <w:sz w:val="22"/>
                <w:szCs w:val="22"/>
              </w:rPr>
              <w:t xml:space="preserve">). </w:t>
            </w:r>
            <w:r w:rsidR="00DA2BC7" w:rsidRPr="00DC4BBD">
              <w:rPr>
                <w:sz w:val="22"/>
                <w:szCs w:val="22"/>
              </w:rPr>
              <w:t>W przypadku skutków finansowych m</w:t>
            </w:r>
            <w:r w:rsidRPr="00DC4BBD">
              <w:rPr>
                <w:sz w:val="22"/>
                <w:szCs w:val="22"/>
              </w:rPr>
              <w:t>ożemy mówić jedynie o braku wpływu dodatkowych składek z powyższego zwolnienia. Szacowany brak</w:t>
            </w:r>
            <w:r w:rsidR="00DA2BC7" w:rsidRPr="00DC4BBD">
              <w:rPr>
                <w:sz w:val="22"/>
                <w:szCs w:val="22"/>
              </w:rPr>
              <w:t xml:space="preserve"> wpływu składek</w:t>
            </w:r>
            <w:r w:rsidRPr="00DC4BBD">
              <w:rPr>
                <w:sz w:val="22"/>
                <w:szCs w:val="22"/>
              </w:rPr>
              <w:t xml:space="preserve">, wynikający już z ustawy z dnia </w:t>
            </w:r>
            <w:r w:rsidRPr="00DC4BBD">
              <w:rPr>
                <w:rFonts w:ascii="Times New Roman" w:hAnsi="Times New Roman" w:cs="Times New Roman"/>
                <w:color w:val="000000"/>
                <w:sz w:val="22"/>
                <w:szCs w:val="22"/>
              </w:rPr>
              <w:t xml:space="preserve">z dnia 2 grudnia 2021 r. o szczególnych zasadach wynagradzania osób realizujących zadania z zakresu </w:t>
            </w:r>
            <w:proofErr w:type="spellStart"/>
            <w:r w:rsidRPr="00DC4BBD">
              <w:rPr>
                <w:rFonts w:ascii="Times New Roman" w:hAnsi="Times New Roman" w:cs="Times New Roman"/>
                <w:color w:val="000000"/>
                <w:sz w:val="22"/>
                <w:szCs w:val="22"/>
              </w:rPr>
              <w:t>cyberbezpieczeństwa</w:t>
            </w:r>
            <w:proofErr w:type="spellEnd"/>
            <w:r w:rsidRPr="00DC4BBD">
              <w:rPr>
                <w:rFonts w:ascii="Times New Roman" w:hAnsi="Times New Roman" w:cs="Times New Roman"/>
                <w:color w:val="000000"/>
                <w:sz w:val="22"/>
                <w:szCs w:val="22"/>
              </w:rPr>
              <w:t xml:space="preserve"> wynosi: </w:t>
            </w:r>
            <w:r w:rsidR="00DA2BC7" w:rsidRPr="00DC4BBD">
              <w:rPr>
                <w:rFonts w:ascii="Times New Roman" w:hAnsi="Times New Roman" w:cs="Times New Roman"/>
                <w:color w:val="000000"/>
                <w:sz w:val="22"/>
                <w:szCs w:val="22"/>
              </w:rPr>
              <w:t xml:space="preserve">19,4 mln zł w pierwszym roku oraz </w:t>
            </w:r>
            <w:r w:rsidR="00505F85" w:rsidRPr="00DC4BBD">
              <w:rPr>
                <w:rFonts w:ascii="Times New Roman" w:hAnsi="Times New Roman" w:cs="Times New Roman"/>
                <w:color w:val="000000"/>
                <w:sz w:val="22"/>
                <w:szCs w:val="22"/>
              </w:rPr>
              <w:br/>
            </w:r>
            <w:r w:rsidR="00DA2BC7" w:rsidRPr="00DC4BBD">
              <w:rPr>
                <w:rFonts w:ascii="Times New Roman" w:hAnsi="Times New Roman" w:cs="Times New Roman"/>
                <w:color w:val="000000"/>
                <w:sz w:val="22"/>
                <w:szCs w:val="22"/>
              </w:rPr>
              <w:t xml:space="preserve">15,5 mln zł w latach następnych. Skutek ten został przewidziany już w rozwiązaniach ustawy z dnia 2 grudnia 2021 r. o szczególnych zasadach wynagradzania osób realizujących zadania z zakresu </w:t>
            </w:r>
            <w:proofErr w:type="spellStart"/>
            <w:r w:rsidR="00DA2BC7" w:rsidRPr="00DC4BBD">
              <w:rPr>
                <w:rFonts w:ascii="Times New Roman" w:hAnsi="Times New Roman" w:cs="Times New Roman"/>
                <w:color w:val="000000"/>
                <w:sz w:val="22"/>
                <w:szCs w:val="22"/>
              </w:rPr>
              <w:t>cyberbezpieczeństwa</w:t>
            </w:r>
            <w:proofErr w:type="spellEnd"/>
            <w:r w:rsidR="00DA2BC7" w:rsidRPr="00DC4BBD">
              <w:rPr>
                <w:rFonts w:ascii="Times New Roman" w:hAnsi="Times New Roman" w:cs="Times New Roman"/>
                <w:color w:val="000000"/>
                <w:sz w:val="22"/>
                <w:szCs w:val="22"/>
              </w:rPr>
              <w:t>.</w:t>
            </w:r>
          </w:p>
        </w:tc>
      </w:tr>
      <w:tr w:rsidR="00DB26FF" w:rsidRPr="00DB26FF" w:rsidTr="000356FB">
        <w:trPr>
          <w:gridAfter w:val="1"/>
          <w:wAfter w:w="20" w:type="dxa"/>
          <w:trHeight w:val="345"/>
        </w:trPr>
        <w:tc>
          <w:tcPr>
            <w:tcW w:w="11068" w:type="dxa"/>
            <w:gridSpan w:val="24"/>
            <w:shd w:val="clear" w:color="auto" w:fill="99CCFF"/>
          </w:tcPr>
          <w:p w:rsidR="00DB26FF" w:rsidRPr="00DB26FF" w:rsidRDefault="00DB26FF" w:rsidP="00DB26FF">
            <w:pPr>
              <w:numPr>
                <w:ilvl w:val="0"/>
                <w:numId w:val="1"/>
              </w:numPr>
              <w:spacing w:before="120" w:after="120" w:line="240" w:lineRule="auto"/>
              <w:jc w:val="both"/>
              <w:rPr>
                <w:rFonts w:ascii="Times New Roman" w:eastAsia="Calibri" w:hAnsi="Times New Roman" w:cs="Times New Roman"/>
                <w:b/>
                <w:color w:val="000000"/>
                <w:spacing w:val="-2"/>
              </w:rPr>
            </w:pPr>
            <w:r w:rsidRPr="00DB26FF">
              <w:rPr>
                <w:rFonts w:ascii="Times New Roman" w:eastAsia="Calibri" w:hAnsi="Times New Roman" w:cs="Times New Roman"/>
                <w:b/>
                <w:color w:val="000000"/>
                <w:spacing w:val="-2"/>
              </w:rPr>
              <w:lastRenderedPageBreak/>
              <w:t xml:space="preserve">Wpływ na </w:t>
            </w:r>
            <w:r w:rsidRPr="00DB26FF">
              <w:rPr>
                <w:rFonts w:ascii="Times New Roman" w:eastAsia="Calibri" w:hAnsi="Times New Roman" w:cs="Times New Roman"/>
                <w:b/>
                <w:color w:val="000000"/>
              </w:rPr>
              <w:t xml:space="preserve">konkurencyjność gospodarki i przedsiębiorczość, w tym funkcjonowanie przedsiębiorców oraz na rodzinę, obywateli i gospodarstwa domowe, </w:t>
            </w:r>
            <w:r w:rsidRPr="00DB26FF">
              <w:rPr>
                <w:rFonts w:ascii="Times New Roman" w:eastAsia="Calibri" w:hAnsi="Times New Roman" w:cs="Times New Roman"/>
                <w:b/>
              </w:rPr>
              <w:t>a także na sytuację ekonomiczną osób niepełnosprawnych oraz osób starszych</w:t>
            </w:r>
          </w:p>
        </w:tc>
      </w:tr>
      <w:tr w:rsidR="00DB26FF" w:rsidRPr="00DB26FF" w:rsidTr="000356FB">
        <w:trPr>
          <w:gridAfter w:val="1"/>
          <w:wAfter w:w="20" w:type="dxa"/>
          <w:trHeight w:val="142"/>
        </w:trPr>
        <w:tc>
          <w:tcPr>
            <w:tcW w:w="11068" w:type="dxa"/>
            <w:gridSpan w:val="24"/>
            <w:shd w:val="clear" w:color="auto" w:fill="FFFFFF"/>
          </w:tcPr>
          <w:p w:rsidR="00DB26FF" w:rsidRPr="00DB26FF" w:rsidRDefault="00DB26FF" w:rsidP="00DB26FF">
            <w:pPr>
              <w:spacing w:after="0" w:line="240" w:lineRule="auto"/>
              <w:jc w:val="center"/>
              <w:rPr>
                <w:rFonts w:ascii="Times New Roman" w:eastAsia="Calibri" w:hAnsi="Times New Roman" w:cs="Times New Roman"/>
                <w:color w:val="000000"/>
                <w:spacing w:val="-2"/>
                <w:sz w:val="21"/>
                <w:szCs w:val="21"/>
              </w:rPr>
            </w:pPr>
            <w:r w:rsidRPr="00DB26FF">
              <w:rPr>
                <w:rFonts w:ascii="Times New Roman" w:eastAsia="Calibri" w:hAnsi="Times New Roman" w:cs="Times New Roman"/>
                <w:color w:val="000000"/>
                <w:spacing w:val="-2"/>
                <w:sz w:val="21"/>
                <w:szCs w:val="21"/>
              </w:rPr>
              <w:t>Skutki</w:t>
            </w:r>
          </w:p>
        </w:tc>
      </w:tr>
      <w:tr w:rsidR="00DB26FF" w:rsidRPr="00DB26FF" w:rsidTr="000356FB">
        <w:trPr>
          <w:gridAfter w:val="1"/>
          <w:wAfter w:w="20" w:type="dxa"/>
          <w:trHeight w:val="142"/>
        </w:trPr>
        <w:tc>
          <w:tcPr>
            <w:tcW w:w="4005" w:type="dxa"/>
            <w:gridSpan w:val="7"/>
            <w:shd w:val="clear" w:color="auto" w:fill="FFFFFF"/>
          </w:tcPr>
          <w:p w:rsidR="00DB26FF" w:rsidRPr="00DB26FF" w:rsidRDefault="00DB26FF" w:rsidP="00DB26FF">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Czas w latach od wejścia w życie zmian</w:t>
            </w:r>
          </w:p>
        </w:tc>
        <w:tc>
          <w:tcPr>
            <w:tcW w:w="957" w:type="dxa"/>
            <w:gridSpan w:val="2"/>
            <w:shd w:val="clear" w:color="auto" w:fill="FFFFFF"/>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0</w:t>
            </w:r>
          </w:p>
        </w:tc>
        <w:tc>
          <w:tcPr>
            <w:tcW w:w="923" w:type="dxa"/>
            <w:gridSpan w:val="2"/>
            <w:shd w:val="clear" w:color="auto" w:fill="FFFFFF"/>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1</w:t>
            </w:r>
          </w:p>
        </w:tc>
        <w:tc>
          <w:tcPr>
            <w:tcW w:w="938" w:type="dxa"/>
            <w:gridSpan w:val="3"/>
            <w:shd w:val="clear" w:color="auto" w:fill="FFFFFF"/>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2</w:t>
            </w:r>
          </w:p>
        </w:tc>
        <w:tc>
          <w:tcPr>
            <w:tcW w:w="937" w:type="dxa"/>
            <w:gridSpan w:val="3"/>
            <w:shd w:val="clear" w:color="auto" w:fill="FFFFFF"/>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3</w:t>
            </w:r>
          </w:p>
        </w:tc>
        <w:tc>
          <w:tcPr>
            <w:tcW w:w="938" w:type="dxa"/>
            <w:gridSpan w:val="3"/>
            <w:shd w:val="clear" w:color="auto" w:fill="FFFFFF"/>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5</w:t>
            </w:r>
          </w:p>
        </w:tc>
        <w:tc>
          <w:tcPr>
            <w:tcW w:w="939" w:type="dxa"/>
            <w:gridSpan w:val="2"/>
            <w:shd w:val="clear" w:color="auto" w:fill="FFFFFF"/>
          </w:tcPr>
          <w:p w:rsidR="00DB26FF" w:rsidRPr="00DB26FF" w:rsidRDefault="00DB26FF" w:rsidP="00DB26FF">
            <w:pPr>
              <w:spacing w:after="0" w:line="240" w:lineRule="auto"/>
              <w:jc w:val="center"/>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10</w:t>
            </w:r>
          </w:p>
        </w:tc>
        <w:tc>
          <w:tcPr>
            <w:tcW w:w="1431" w:type="dxa"/>
            <w:gridSpan w:val="2"/>
            <w:shd w:val="clear" w:color="auto" w:fill="FFFFFF"/>
          </w:tcPr>
          <w:p w:rsidR="00DB26FF" w:rsidRPr="00DB26FF" w:rsidRDefault="00DB26FF" w:rsidP="00DB26FF">
            <w:pPr>
              <w:spacing w:after="0" w:line="240" w:lineRule="auto"/>
              <w:jc w:val="center"/>
              <w:rPr>
                <w:rFonts w:ascii="Times New Roman" w:eastAsia="Calibri" w:hAnsi="Times New Roman" w:cs="Times New Roman"/>
                <w:i/>
                <w:color w:val="000000"/>
                <w:spacing w:val="-2"/>
                <w:sz w:val="21"/>
                <w:szCs w:val="21"/>
              </w:rPr>
            </w:pPr>
            <w:r w:rsidRPr="00DB26FF">
              <w:rPr>
                <w:rFonts w:ascii="Times New Roman" w:eastAsia="Calibri" w:hAnsi="Times New Roman" w:cs="Times New Roman"/>
                <w:i/>
                <w:color w:val="000000"/>
                <w:spacing w:val="-2"/>
                <w:sz w:val="21"/>
                <w:szCs w:val="21"/>
              </w:rPr>
              <w:t>Łącznie</w:t>
            </w:r>
            <w:r w:rsidRPr="00DB26FF" w:rsidDel="0073273A">
              <w:rPr>
                <w:rFonts w:ascii="Times New Roman" w:eastAsia="Calibri" w:hAnsi="Times New Roman" w:cs="Times New Roman"/>
                <w:i/>
                <w:color w:val="000000"/>
                <w:spacing w:val="-2"/>
                <w:sz w:val="21"/>
                <w:szCs w:val="21"/>
              </w:rPr>
              <w:t xml:space="preserve"> </w:t>
            </w:r>
            <w:r w:rsidRPr="00DB26FF">
              <w:rPr>
                <w:rFonts w:ascii="Times New Roman" w:eastAsia="Calibri" w:hAnsi="Times New Roman" w:cs="Times New Roman"/>
                <w:i/>
                <w:color w:val="000000"/>
                <w:spacing w:val="-2"/>
                <w:sz w:val="21"/>
                <w:szCs w:val="21"/>
              </w:rPr>
              <w:t>(0-10)</w:t>
            </w:r>
          </w:p>
        </w:tc>
      </w:tr>
      <w:tr w:rsidR="00DB26FF" w:rsidRPr="00DB26FF" w:rsidTr="000356FB">
        <w:trPr>
          <w:gridAfter w:val="1"/>
          <w:wAfter w:w="20" w:type="dxa"/>
          <w:trHeight w:val="142"/>
        </w:trPr>
        <w:tc>
          <w:tcPr>
            <w:tcW w:w="1585" w:type="dxa"/>
            <w:gridSpan w:val="2"/>
            <w:vMerge w:val="restart"/>
            <w:shd w:val="clear" w:color="auto" w:fill="FFFFFF"/>
          </w:tcPr>
          <w:p w:rsidR="00DB26FF" w:rsidRPr="00DB26FF" w:rsidRDefault="00DB26FF" w:rsidP="00DB26FF">
            <w:pPr>
              <w:spacing w:after="0" w:line="276"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W ujęciu pieniężnym</w:t>
            </w:r>
          </w:p>
          <w:p w:rsidR="00DB26FF" w:rsidRPr="00DB26FF" w:rsidRDefault="00DB26FF" w:rsidP="00DB26FF">
            <w:pPr>
              <w:spacing w:after="0" w:line="276" w:lineRule="auto"/>
              <w:rPr>
                <w:rFonts w:ascii="Times New Roman" w:eastAsia="Calibri" w:hAnsi="Times New Roman" w:cs="Times New Roman"/>
                <w:spacing w:val="-2"/>
                <w:sz w:val="21"/>
                <w:szCs w:val="21"/>
              </w:rPr>
            </w:pPr>
            <w:r w:rsidRPr="00DB26FF">
              <w:rPr>
                <w:rFonts w:ascii="Times New Roman" w:eastAsia="Calibri" w:hAnsi="Times New Roman" w:cs="Times New Roman"/>
                <w:spacing w:val="-2"/>
                <w:sz w:val="21"/>
                <w:szCs w:val="21"/>
              </w:rPr>
              <w:t xml:space="preserve">(w mln zł, </w:t>
            </w:r>
          </w:p>
          <w:p w:rsidR="00DB26FF" w:rsidRPr="00DB26FF" w:rsidRDefault="00DB26FF">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spacing w:val="-2"/>
                <w:sz w:val="21"/>
                <w:szCs w:val="21"/>
              </w:rPr>
              <w:t xml:space="preserve">ceny </w:t>
            </w:r>
            <w:r w:rsidR="00667187">
              <w:rPr>
                <w:rFonts w:ascii="Times New Roman" w:eastAsia="Calibri" w:hAnsi="Times New Roman" w:cs="Times New Roman"/>
                <w:spacing w:val="-2"/>
                <w:sz w:val="21"/>
                <w:szCs w:val="21"/>
              </w:rPr>
              <w:t>bieżące</w:t>
            </w:r>
            <w:r w:rsidRPr="00DB26FF">
              <w:rPr>
                <w:rFonts w:ascii="Times New Roman" w:eastAsia="Calibri" w:hAnsi="Times New Roman" w:cs="Times New Roman"/>
                <w:spacing w:val="-2"/>
                <w:sz w:val="21"/>
                <w:szCs w:val="21"/>
              </w:rPr>
              <w:t>)</w:t>
            </w:r>
          </w:p>
        </w:tc>
        <w:tc>
          <w:tcPr>
            <w:tcW w:w="2420" w:type="dxa"/>
            <w:gridSpan w:val="5"/>
            <w:shd w:val="clear" w:color="auto" w:fill="FFFFFF"/>
          </w:tcPr>
          <w:p w:rsidR="00DB26FF" w:rsidRPr="00DB26FF" w:rsidRDefault="00DB26FF" w:rsidP="00DB26FF">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duże przedsiębiorstwa (banki)</w:t>
            </w:r>
          </w:p>
        </w:tc>
        <w:tc>
          <w:tcPr>
            <w:tcW w:w="957" w:type="dxa"/>
            <w:gridSpan w:val="2"/>
            <w:shd w:val="clear" w:color="auto" w:fill="FFFFFF"/>
          </w:tcPr>
          <w:p w:rsidR="00DB26FF" w:rsidRPr="00DB26FF" w:rsidRDefault="00DB26FF" w:rsidP="00DB26FF">
            <w:pPr>
              <w:spacing w:after="0" w:line="276" w:lineRule="auto"/>
              <w:jc w:val="center"/>
              <w:rPr>
                <w:rFonts w:ascii="Calibri" w:eastAsia="Calibri" w:hAnsi="Calibri" w:cs="Times New Roman"/>
              </w:rPr>
            </w:pPr>
            <w:r w:rsidRPr="00DB26FF">
              <w:rPr>
                <w:rFonts w:ascii="Times New Roman" w:eastAsia="Calibri" w:hAnsi="Times New Roman" w:cs="Times New Roman"/>
                <w:color w:val="000000"/>
                <w:sz w:val="16"/>
                <w:szCs w:val="16"/>
              </w:rPr>
              <w:t>0</w:t>
            </w:r>
          </w:p>
        </w:tc>
        <w:tc>
          <w:tcPr>
            <w:tcW w:w="923" w:type="dxa"/>
            <w:gridSpan w:val="2"/>
            <w:shd w:val="clear" w:color="auto" w:fill="FFFFFF"/>
          </w:tcPr>
          <w:p w:rsidR="00DB26FF" w:rsidRPr="00DB26FF" w:rsidRDefault="00DB26FF" w:rsidP="00DB26FF">
            <w:pPr>
              <w:spacing w:after="0" w:line="276" w:lineRule="auto"/>
              <w:jc w:val="center"/>
              <w:rPr>
                <w:rFonts w:ascii="Calibri" w:eastAsia="Calibri" w:hAnsi="Calibri" w:cs="Times New Roman"/>
              </w:rPr>
            </w:pPr>
            <w:r w:rsidRPr="00DB26FF">
              <w:rPr>
                <w:rFonts w:ascii="Times New Roman" w:eastAsia="Calibri" w:hAnsi="Times New Roman" w:cs="Times New Roman"/>
                <w:color w:val="000000"/>
                <w:sz w:val="16"/>
                <w:szCs w:val="16"/>
              </w:rPr>
              <w:t>0</w:t>
            </w:r>
          </w:p>
        </w:tc>
        <w:tc>
          <w:tcPr>
            <w:tcW w:w="938" w:type="dxa"/>
            <w:gridSpan w:val="3"/>
            <w:shd w:val="clear" w:color="auto" w:fill="FFFFFF"/>
          </w:tcPr>
          <w:p w:rsidR="00DB26FF" w:rsidRPr="00DB26FF" w:rsidRDefault="00DB26FF" w:rsidP="00DB26FF">
            <w:pPr>
              <w:spacing w:after="0" w:line="276" w:lineRule="auto"/>
              <w:jc w:val="center"/>
              <w:rPr>
                <w:rFonts w:ascii="Calibri" w:eastAsia="Calibri" w:hAnsi="Calibri" w:cs="Times New Roman"/>
              </w:rPr>
            </w:pPr>
            <w:r w:rsidRPr="00DB26FF">
              <w:rPr>
                <w:rFonts w:ascii="Times New Roman" w:eastAsia="Calibri" w:hAnsi="Times New Roman" w:cs="Times New Roman"/>
                <w:color w:val="000000"/>
                <w:sz w:val="16"/>
                <w:szCs w:val="16"/>
              </w:rPr>
              <w:t>0</w:t>
            </w:r>
          </w:p>
        </w:tc>
        <w:tc>
          <w:tcPr>
            <w:tcW w:w="937" w:type="dxa"/>
            <w:gridSpan w:val="3"/>
            <w:shd w:val="clear" w:color="auto" w:fill="FFFFFF"/>
          </w:tcPr>
          <w:p w:rsidR="00DB26FF" w:rsidRPr="00DB26FF" w:rsidRDefault="00DB26FF" w:rsidP="00DB26FF">
            <w:pPr>
              <w:spacing w:after="0" w:line="276" w:lineRule="auto"/>
              <w:jc w:val="center"/>
              <w:rPr>
                <w:rFonts w:ascii="Calibri" w:eastAsia="Calibri" w:hAnsi="Calibri" w:cs="Times New Roman"/>
              </w:rPr>
            </w:pPr>
            <w:r w:rsidRPr="00DB26FF">
              <w:rPr>
                <w:rFonts w:ascii="Times New Roman" w:eastAsia="Calibri" w:hAnsi="Times New Roman" w:cs="Times New Roman"/>
                <w:color w:val="000000"/>
                <w:sz w:val="16"/>
                <w:szCs w:val="16"/>
              </w:rPr>
              <w:t>0</w:t>
            </w:r>
          </w:p>
        </w:tc>
        <w:tc>
          <w:tcPr>
            <w:tcW w:w="938" w:type="dxa"/>
            <w:gridSpan w:val="3"/>
            <w:shd w:val="clear" w:color="auto" w:fill="FFFFFF"/>
          </w:tcPr>
          <w:p w:rsidR="00DB26FF" w:rsidRPr="00DB26FF" w:rsidRDefault="00DB26FF" w:rsidP="00DB26FF">
            <w:pPr>
              <w:spacing w:after="0" w:line="276" w:lineRule="auto"/>
              <w:jc w:val="center"/>
              <w:rPr>
                <w:rFonts w:ascii="Calibri" w:eastAsia="Calibri" w:hAnsi="Calibri" w:cs="Times New Roman"/>
              </w:rPr>
            </w:pPr>
            <w:r w:rsidRPr="00DB26FF">
              <w:rPr>
                <w:rFonts w:ascii="Times New Roman" w:eastAsia="Calibri" w:hAnsi="Times New Roman" w:cs="Times New Roman"/>
                <w:color w:val="000000"/>
                <w:sz w:val="16"/>
                <w:szCs w:val="16"/>
              </w:rPr>
              <w:t>0</w:t>
            </w:r>
          </w:p>
        </w:tc>
        <w:tc>
          <w:tcPr>
            <w:tcW w:w="939" w:type="dxa"/>
            <w:gridSpan w:val="2"/>
            <w:shd w:val="clear" w:color="auto" w:fill="FFFFFF"/>
          </w:tcPr>
          <w:p w:rsidR="00DB26FF" w:rsidRPr="00DB26FF" w:rsidRDefault="00DB26FF" w:rsidP="00DB26FF">
            <w:pPr>
              <w:spacing w:after="0" w:line="276" w:lineRule="auto"/>
              <w:jc w:val="center"/>
              <w:rPr>
                <w:rFonts w:ascii="Calibri" w:eastAsia="Calibri" w:hAnsi="Calibri" w:cs="Times New Roman"/>
              </w:rPr>
            </w:pPr>
            <w:r w:rsidRPr="00DB26FF">
              <w:rPr>
                <w:rFonts w:ascii="Times New Roman" w:eastAsia="Calibri" w:hAnsi="Times New Roman" w:cs="Times New Roman"/>
                <w:color w:val="000000"/>
                <w:sz w:val="16"/>
                <w:szCs w:val="16"/>
              </w:rPr>
              <w:t>0</w:t>
            </w:r>
          </w:p>
        </w:tc>
        <w:tc>
          <w:tcPr>
            <w:tcW w:w="1431" w:type="dxa"/>
            <w:gridSpan w:val="2"/>
            <w:shd w:val="clear" w:color="auto" w:fill="FFFFFF"/>
          </w:tcPr>
          <w:p w:rsidR="00DB26FF" w:rsidRPr="00DB26FF" w:rsidRDefault="00DB26FF" w:rsidP="00DB26FF">
            <w:pPr>
              <w:spacing w:after="0" w:line="276" w:lineRule="auto"/>
              <w:jc w:val="center"/>
              <w:rPr>
                <w:rFonts w:ascii="Calibri" w:eastAsia="Calibri" w:hAnsi="Calibri" w:cs="Times New Roman"/>
              </w:rPr>
            </w:pPr>
            <w:r w:rsidRPr="00DB26FF">
              <w:rPr>
                <w:rFonts w:ascii="Times New Roman" w:eastAsia="Calibri" w:hAnsi="Times New Roman" w:cs="Times New Roman"/>
                <w:color w:val="000000"/>
                <w:sz w:val="16"/>
                <w:szCs w:val="16"/>
              </w:rPr>
              <w:t>0</w:t>
            </w:r>
          </w:p>
        </w:tc>
      </w:tr>
      <w:tr w:rsidR="00EF6023" w:rsidRPr="00DB26FF" w:rsidTr="00453162">
        <w:trPr>
          <w:gridAfter w:val="1"/>
          <w:wAfter w:w="20" w:type="dxa"/>
          <w:trHeight w:val="142"/>
        </w:trPr>
        <w:tc>
          <w:tcPr>
            <w:tcW w:w="1585" w:type="dxa"/>
            <w:gridSpan w:val="2"/>
            <w:vMerge/>
            <w:shd w:val="clear" w:color="auto" w:fill="FFFFFF"/>
          </w:tcPr>
          <w:p w:rsidR="00EF6023" w:rsidRPr="00DB26FF" w:rsidRDefault="00EF6023" w:rsidP="00EF6023">
            <w:pPr>
              <w:spacing w:after="0" w:line="240" w:lineRule="auto"/>
              <w:rPr>
                <w:rFonts w:ascii="Times New Roman" w:eastAsia="Calibri" w:hAnsi="Times New Roman" w:cs="Times New Roman"/>
                <w:color w:val="000000"/>
                <w:sz w:val="21"/>
                <w:szCs w:val="21"/>
              </w:rPr>
            </w:pPr>
          </w:p>
        </w:tc>
        <w:tc>
          <w:tcPr>
            <w:tcW w:w="2420" w:type="dxa"/>
            <w:gridSpan w:val="5"/>
            <w:shd w:val="clear" w:color="auto" w:fill="FFFFFF"/>
          </w:tcPr>
          <w:p w:rsidR="00EF6023" w:rsidRPr="00DB26FF" w:rsidRDefault="00EF6023" w:rsidP="00EF6023">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sektor mikro-, małych i średnich przedsiębiorstw</w:t>
            </w:r>
          </w:p>
        </w:tc>
        <w:tc>
          <w:tcPr>
            <w:tcW w:w="957" w:type="dxa"/>
            <w:gridSpan w:val="2"/>
            <w:shd w:val="clear" w:color="auto" w:fill="FFFFFF"/>
          </w:tcPr>
          <w:p w:rsidR="00EF6023" w:rsidRPr="00DB26FF" w:rsidRDefault="00EF6023" w:rsidP="00453162">
            <w:pPr>
              <w:spacing w:after="0" w:line="276" w:lineRule="auto"/>
              <w:jc w:val="center"/>
              <w:rPr>
                <w:rFonts w:ascii="Times New Roman" w:eastAsia="Calibri" w:hAnsi="Times New Roman" w:cs="Times New Roman"/>
                <w:color w:val="000000"/>
                <w:sz w:val="16"/>
                <w:szCs w:val="16"/>
              </w:rPr>
            </w:pPr>
          </w:p>
        </w:tc>
        <w:tc>
          <w:tcPr>
            <w:tcW w:w="923" w:type="dxa"/>
            <w:gridSpan w:val="2"/>
            <w:shd w:val="clear" w:color="auto" w:fill="FFFFFF"/>
          </w:tcPr>
          <w:p w:rsidR="00EF6023" w:rsidRPr="00DB26FF" w:rsidRDefault="00EF6023" w:rsidP="00453162">
            <w:pPr>
              <w:spacing w:after="0" w:line="276" w:lineRule="auto"/>
              <w:jc w:val="center"/>
              <w:rPr>
                <w:rFonts w:ascii="Times New Roman" w:eastAsia="Calibri" w:hAnsi="Times New Roman" w:cs="Times New Roman"/>
                <w:color w:val="000000"/>
                <w:sz w:val="16"/>
                <w:szCs w:val="16"/>
              </w:rPr>
            </w:pPr>
            <w:r w:rsidRPr="00453162">
              <w:rPr>
                <w:rFonts w:ascii="Times New Roman" w:eastAsia="Calibri" w:hAnsi="Times New Roman" w:cs="Times New Roman"/>
                <w:color w:val="000000"/>
                <w:sz w:val="16"/>
                <w:szCs w:val="16"/>
              </w:rPr>
              <w:t>-117</w:t>
            </w:r>
          </w:p>
        </w:tc>
        <w:tc>
          <w:tcPr>
            <w:tcW w:w="938" w:type="dxa"/>
            <w:gridSpan w:val="3"/>
            <w:shd w:val="clear" w:color="auto" w:fill="FFFFFF"/>
          </w:tcPr>
          <w:p w:rsidR="00EF6023" w:rsidRPr="00DB26FF" w:rsidRDefault="00EF6023" w:rsidP="00453162">
            <w:pPr>
              <w:spacing w:after="0" w:line="276" w:lineRule="auto"/>
              <w:jc w:val="center"/>
              <w:rPr>
                <w:rFonts w:ascii="Times New Roman" w:eastAsia="Calibri" w:hAnsi="Times New Roman" w:cs="Times New Roman"/>
                <w:color w:val="000000"/>
                <w:sz w:val="16"/>
                <w:szCs w:val="16"/>
              </w:rPr>
            </w:pPr>
            <w:r w:rsidRPr="00453162">
              <w:rPr>
                <w:rFonts w:ascii="Times New Roman" w:eastAsia="Calibri" w:hAnsi="Times New Roman" w:cs="Times New Roman"/>
                <w:color w:val="000000"/>
                <w:sz w:val="16"/>
                <w:szCs w:val="16"/>
              </w:rPr>
              <w:t>-184</w:t>
            </w:r>
          </w:p>
        </w:tc>
        <w:tc>
          <w:tcPr>
            <w:tcW w:w="937" w:type="dxa"/>
            <w:gridSpan w:val="3"/>
            <w:shd w:val="clear" w:color="auto" w:fill="FFFFFF"/>
          </w:tcPr>
          <w:p w:rsidR="00EF6023" w:rsidRPr="00453162" w:rsidRDefault="00EF6023" w:rsidP="00453162">
            <w:pPr>
              <w:spacing w:after="0" w:line="276" w:lineRule="auto"/>
              <w:jc w:val="center"/>
              <w:rPr>
                <w:rFonts w:ascii="Times New Roman" w:eastAsia="Calibri" w:hAnsi="Times New Roman" w:cs="Times New Roman"/>
                <w:color w:val="000000"/>
                <w:sz w:val="16"/>
                <w:szCs w:val="16"/>
              </w:rPr>
            </w:pPr>
            <w:r w:rsidRPr="00453162">
              <w:rPr>
                <w:rFonts w:ascii="Times New Roman" w:eastAsia="Calibri" w:hAnsi="Times New Roman" w:cs="Times New Roman"/>
                <w:color w:val="000000"/>
                <w:sz w:val="16"/>
                <w:szCs w:val="16"/>
              </w:rPr>
              <w:t>-213</w:t>
            </w:r>
          </w:p>
        </w:tc>
        <w:tc>
          <w:tcPr>
            <w:tcW w:w="938" w:type="dxa"/>
            <w:gridSpan w:val="3"/>
            <w:shd w:val="clear" w:color="auto" w:fill="FFFFFF"/>
          </w:tcPr>
          <w:p w:rsidR="00EF6023" w:rsidRPr="00DB26FF" w:rsidRDefault="00EF6023" w:rsidP="00453162">
            <w:pPr>
              <w:spacing w:line="276" w:lineRule="auto"/>
              <w:jc w:val="center"/>
              <w:rPr>
                <w:rFonts w:ascii="Times New Roman" w:eastAsia="Calibri" w:hAnsi="Times New Roman" w:cs="Times New Roman"/>
                <w:color w:val="000000"/>
                <w:sz w:val="16"/>
                <w:szCs w:val="16"/>
              </w:rPr>
            </w:pPr>
            <w:r w:rsidRPr="00453162">
              <w:rPr>
                <w:rFonts w:ascii="Times New Roman" w:eastAsia="Calibri" w:hAnsi="Times New Roman" w:cs="Times New Roman"/>
                <w:color w:val="000000"/>
                <w:sz w:val="16"/>
                <w:szCs w:val="16"/>
              </w:rPr>
              <w:t>-275</w:t>
            </w:r>
          </w:p>
        </w:tc>
        <w:tc>
          <w:tcPr>
            <w:tcW w:w="939" w:type="dxa"/>
            <w:gridSpan w:val="2"/>
            <w:shd w:val="clear" w:color="auto" w:fill="FFFFFF"/>
          </w:tcPr>
          <w:p w:rsidR="00EF6023" w:rsidRPr="00DB26FF" w:rsidRDefault="00EF6023" w:rsidP="00453162">
            <w:pPr>
              <w:spacing w:after="0" w:line="276" w:lineRule="auto"/>
              <w:jc w:val="center"/>
              <w:rPr>
                <w:rFonts w:ascii="Times New Roman" w:eastAsia="Calibri" w:hAnsi="Times New Roman" w:cs="Times New Roman"/>
                <w:color w:val="000000"/>
                <w:sz w:val="16"/>
                <w:szCs w:val="16"/>
              </w:rPr>
            </w:pPr>
            <w:r w:rsidRPr="00453162">
              <w:rPr>
                <w:rFonts w:ascii="Times New Roman" w:eastAsia="Calibri" w:hAnsi="Times New Roman" w:cs="Times New Roman"/>
                <w:color w:val="000000"/>
                <w:sz w:val="16"/>
                <w:szCs w:val="16"/>
              </w:rPr>
              <w:t>-445</w:t>
            </w:r>
          </w:p>
        </w:tc>
        <w:tc>
          <w:tcPr>
            <w:tcW w:w="1431" w:type="dxa"/>
            <w:gridSpan w:val="2"/>
            <w:shd w:val="clear" w:color="auto" w:fill="FFFFFF"/>
          </w:tcPr>
          <w:p w:rsidR="00EF6023" w:rsidRPr="00453162" w:rsidRDefault="00EF6023" w:rsidP="00453162">
            <w:pPr>
              <w:spacing w:after="0" w:line="276" w:lineRule="auto"/>
              <w:jc w:val="center"/>
              <w:rPr>
                <w:rFonts w:ascii="Times New Roman" w:eastAsia="Calibri" w:hAnsi="Times New Roman" w:cs="Times New Roman"/>
                <w:color w:val="000000"/>
                <w:sz w:val="16"/>
                <w:szCs w:val="16"/>
              </w:rPr>
            </w:pPr>
            <w:r w:rsidRPr="00453162">
              <w:rPr>
                <w:rFonts w:ascii="Times New Roman" w:eastAsia="Calibri" w:hAnsi="Times New Roman" w:cs="Times New Roman"/>
                <w:color w:val="000000"/>
                <w:sz w:val="16"/>
                <w:szCs w:val="16"/>
              </w:rPr>
              <w:t>-2905</w:t>
            </w:r>
          </w:p>
        </w:tc>
      </w:tr>
      <w:tr w:rsidR="005873DF" w:rsidRPr="00DB26FF" w:rsidTr="000356FB">
        <w:trPr>
          <w:gridAfter w:val="1"/>
          <w:wAfter w:w="20" w:type="dxa"/>
          <w:trHeight w:val="142"/>
        </w:trPr>
        <w:tc>
          <w:tcPr>
            <w:tcW w:w="1585" w:type="dxa"/>
            <w:gridSpan w:val="2"/>
            <w:vMerge/>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p>
        </w:tc>
        <w:tc>
          <w:tcPr>
            <w:tcW w:w="2420" w:type="dxa"/>
            <w:gridSpan w:val="5"/>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sz w:val="21"/>
                <w:szCs w:val="21"/>
              </w:rPr>
              <w:t>rodzina, obywatele oraz gospodarstwa domowe,</w:t>
            </w:r>
            <w:r w:rsidRPr="00DB26FF">
              <w:rPr>
                <w:rFonts w:ascii="Times New Roman" w:eastAsia="Calibri" w:hAnsi="Times New Roman" w:cs="Times New Roman"/>
              </w:rPr>
              <w:t xml:space="preserve"> </w:t>
            </w:r>
            <w:r w:rsidRPr="00DB26FF">
              <w:rPr>
                <w:rFonts w:ascii="Times New Roman" w:eastAsia="Calibri" w:hAnsi="Times New Roman" w:cs="Times New Roman"/>
                <w:sz w:val="21"/>
                <w:szCs w:val="21"/>
              </w:rPr>
              <w:t>osoby niepełnosprawne oraz starsze</w:t>
            </w:r>
          </w:p>
        </w:tc>
        <w:tc>
          <w:tcPr>
            <w:tcW w:w="957" w:type="dxa"/>
            <w:gridSpan w:val="2"/>
            <w:shd w:val="clear" w:color="auto" w:fill="FFFFFF"/>
            <w:vAlign w:val="center"/>
          </w:tcPr>
          <w:p w:rsidR="005873DF" w:rsidRPr="00DB26FF" w:rsidRDefault="005873DF" w:rsidP="005873DF">
            <w:pPr>
              <w:spacing w:after="0" w:line="240" w:lineRule="auto"/>
              <w:jc w:val="center"/>
              <w:rPr>
                <w:rFonts w:ascii="Times New Roman" w:eastAsia="Calibri" w:hAnsi="Times New Roman" w:cs="Times New Roman"/>
                <w:color w:val="000000"/>
                <w:sz w:val="16"/>
                <w:szCs w:val="16"/>
              </w:rPr>
            </w:pPr>
            <w:r w:rsidRPr="00DB26FF">
              <w:rPr>
                <w:rFonts w:ascii="Times New Roman" w:eastAsia="Calibri" w:hAnsi="Times New Roman" w:cs="Times New Roman"/>
                <w:color w:val="000000"/>
                <w:sz w:val="16"/>
                <w:szCs w:val="16"/>
              </w:rPr>
              <w:t>0</w:t>
            </w:r>
          </w:p>
        </w:tc>
        <w:tc>
          <w:tcPr>
            <w:tcW w:w="923" w:type="dxa"/>
            <w:gridSpan w:val="2"/>
            <w:shd w:val="clear" w:color="auto" w:fill="FFFFFF"/>
            <w:vAlign w:val="center"/>
          </w:tcPr>
          <w:p w:rsidR="005873DF" w:rsidRPr="00DB26FF" w:rsidRDefault="005873DF" w:rsidP="005873DF">
            <w:pPr>
              <w:spacing w:after="0" w:line="240" w:lineRule="auto"/>
              <w:jc w:val="center"/>
              <w:rPr>
                <w:rFonts w:ascii="Times New Roman" w:eastAsia="Calibri" w:hAnsi="Times New Roman" w:cs="Times New Roman"/>
                <w:color w:val="000000"/>
                <w:sz w:val="16"/>
                <w:szCs w:val="16"/>
              </w:rPr>
            </w:pPr>
            <w:r w:rsidRPr="00DB26FF">
              <w:rPr>
                <w:rFonts w:ascii="Times New Roman" w:eastAsia="Calibri" w:hAnsi="Times New Roman" w:cs="Times New Roman"/>
                <w:color w:val="000000"/>
                <w:sz w:val="16"/>
                <w:szCs w:val="16"/>
              </w:rPr>
              <w:t>0</w:t>
            </w:r>
          </w:p>
        </w:tc>
        <w:tc>
          <w:tcPr>
            <w:tcW w:w="938" w:type="dxa"/>
            <w:gridSpan w:val="3"/>
            <w:shd w:val="clear" w:color="auto" w:fill="FFFFFF"/>
            <w:vAlign w:val="center"/>
          </w:tcPr>
          <w:p w:rsidR="005873DF" w:rsidRPr="00DB26FF" w:rsidRDefault="005873DF" w:rsidP="005873DF">
            <w:pPr>
              <w:spacing w:after="0" w:line="240" w:lineRule="auto"/>
              <w:jc w:val="center"/>
              <w:rPr>
                <w:rFonts w:ascii="Times New Roman" w:eastAsia="Calibri" w:hAnsi="Times New Roman" w:cs="Times New Roman"/>
                <w:color w:val="000000"/>
                <w:sz w:val="16"/>
                <w:szCs w:val="16"/>
              </w:rPr>
            </w:pPr>
            <w:r w:rsidRPr="00DB26FF">
              <w:rPr>
                <w:rFonts w:ascii="Times New Roman" w:eastAsia="Calibri" w:hAnsi="Times New Roman" w:cs="Times New Roman"/>
                <w:color w:val="000000"/>
                <w:sz w:val="16"/>
                <w:szCs w:val="16"/>
              </w:rPr>
              <w:t>0</w:t>
            </w:r>
          </w:p>
        </w:tc>
        <w:tc>
          <w:tcPr>
            <w:tcW w:w="937" w:type="dxa"/>
            <w:gridSpan w:val="3"/>
            <w:shd w:val="clear" w:color="auto" w:fill="FFFFFF"/>
            <w:vAlign w:val="center"/>
          </w:tcPr>
          <w:p w:rsidR="005873DF" w:rsidRPr="00DB26FF" w:rsidRDefault="005873DF" w:rsidP="005873DF">
            <w:pPr>
              <w:spacing w:after="0" w:line="240" w:lineRule="auto"/>
              <w:jc w:val="center"/>
              <w:rPr>
                <w:rFonts w:ascii="Times New Roman" w:eastAsia="Calibri" w:hAnsi="Times New Roman" w:cs="Times New Roman"/>
                <w:color w:val="000000"/>
                <w:sz w:val="16"/>
                <w:szCs w:val="16"/>
              </w:rPr>
            </w:pPr>
            <w:r w:rsidRPr="00DB26FF">
              <w:rPr>
                <w:rFonts w:ascii="Times New Roman" w:eastAsia="Calibri" w:hAnsi="Times New Roman" w:cs="Times New Roman"/>
                <w:color w:val="000000"/>
                <w:sz w:val="16"/>
                <w:szCs w:val="16"/>
              </w:rPr>
              <w:t>0</w:t>
            </w:r>
          </w:p>
        </w:tc>
        <w:tc>
          <w:tcPr>
            <w:tcW w:w="938" w:type="dxa"/>
            <w:gridSpan w:val="3"/>
            <w:shd w:val="clear" w:color="auto" w:fill="FFFFFF"/>
            <w:vAlign w:val="center"/>
          </w:tcPr>
          <w:p w:rsidR="005873DF" w:rsidRPr="00DB26FF" w:rsidRDefault="005873DF" w:rsidP="005873DF">
            <w:pPr>
              <w:spacing w:after="0" w:line="240" w:lineRule="auto"/>
              <w:jc w:val="center"/>
              <w:rPr>
                <w:rFonts w:ascii="Times New Roman" w:eastAsia="Calibri" w:hAnsi="Times New Roman" w:cs="Times New Roman"/>
                <w:color w:val="000000"/>
                <w:sz w:val="16"/>
                <w:szCs w:val="16"/>
              </w:rPr>
            </w:pPr>
            <w:r w:rsidRPr="00DB26FF">
              <w:rPr>
                <w:rFonts w:ascii="Times New Roman" w:eastAsia="Calibri" w:hAnsi="Times New Roman" w:cs="Times New Roman"/>
                <w:color w:val="000000"/>
                <w:sz w:val="16"/>
                <w:szCs w:val="16"/>
              </w:rPr>
              <w:t>0</w:t>
            </w:r>
          </w:p>
        </w:tc>
        <w:tc>
          <w:tcPr>
            <w:tcW w:w="939" w:type="dxa"/>
            <w:gridSpan w:val="2"/>
            <w:shd w:val="clear" w:color="auto" w:fill="FFFFFF"/>
            <w:vAlign w:val="center"/>
          </w:tcPr>
          <w:p w:rsidR="005873DF" w:rsidRPr="00DB26FF" w:rsidRDefault="005873DF" w:rsidP="005873DF">
            <w:pPr>
              <w:spacing w:after="0" w:line="240" w:lineRule="auto"/>
              <w:jc w:val="center"/>
              <w:rPr>
                <w:rFonts w:ascii="Times New Roman" w:eastAsia="Calibri" w:hAnsi="Times New Roman" w:cs="Times New Roman"/>
                <w:color w:val="000000"/>
                <w:sz w:val="16"/>
                <w:szCs w:val="16"/>
              </w:rPr>
            </w:pPr>
            <w:r w:rsidRPr="00DB26FF">
              <w:rPr>
                <w:rFonts w:ascii="Times New Roman" w:eastAsia="Calibri" w:hAnsi="Times New Roman" w:cs="Times New Roman"/>
                <w:color w:val="000000"/>
                <w:sz w:val="16"/>
                <w:szCs w:val="16"/>
              </w:rPr>
              <w:t>0</w:t>
            </w:r>
          </w:p>
        </w:tc>
        <w:tc>
          <w:tcPr>
            <w:tcW w:w="1431" w:type="dxa"/>
            <w:gridSpan w:val="2"/>
            <w:shd w:val="clear" w:color="auto" w:fill="FFFFFF"/>
            <w:vAlign w:val="center"/>
          </w:tcPr>
          <w:p w:rsidR="005873DF" w:rsidRPr="00DB26FF" w:rsidRDefault="005873DF" w:rsidP="005873DF">
            <w:pPr>
              <w:spacing w:after="0" w:line="240" w:lineRule="auto"/>
              <w:jc w:val="center"/>
              <w:rPr>
                <w:rFonts w:ascii="Times New Roman" w:eastAsia="Calibri" w:hAnsi="Times New Roman" w:cs="Times New Roman"/>
                <w:color w:val="000000"/>
                <w:spacing w:val="-2"/>
                <w:sz w:val="16"/>
                <w:szCs w:val="16"/>
              </w:rPr>
            </w:pPr>
            <w:r w:rsidRPr="00DB26FF">
              <w:rPr>
                <w:rFonts w:ascii="Times New Roman" w:eastAsia="Calibri" w:hAnsi="Times New Roman" w:cs="Times New Roman"/>
                <w:color w:val="000000"/>
                <w:spacing w:val="-2"/>
                <w:sz w:val="16"/>
                <w:szCs w:val="16"/>
              </w:rPr>
              <w:t>0</w:t>
            </w:r>
          </w:p>
        </w:tc>
      </w:tr>
      <w:tr w:rsidR="005873DF" w:rsidRPr="00DB26FF" w:rsidTr="000356FB">
        <w:trPr>
          <w:gridAfter w:val="1"/>
          <w:wAfter w:w="20" w:type="dxa"/>
          <w:trHeight w:val="142"/>
        </w:trPr>
        <w:tc>
          <w:tcPr>
            <w:tcW w:w="1585" w:type="dxa"/>
            <w:gridSpan w:val="2"/>
            <w:vMerge w:val="restart"/>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W ujęciu niepieniężnym</w:t>
            </w:r>
          </w:p>
          <w:p w:rsidR="005873DF" w:rsidRPr="00DB26FF" w:rsidRDefault="005873DF" w:rsidP="005873DF">
            <w:pPr>
              <w:spacing w:after="0" w:line="240" w:lineRule="auto"/>
              <w:rPr>
                <w:rFonts w:ascii="Times New Roman" w:eastAsia="Calibri" w:hAnsi="Times New Roman" w:cs="Times New Roman"/>
                <w:color w:val="000000"/>
                <w:sz w:val="21"/>
                <w:szCs w:val="21"/>
              </w:rPr>
            </w:pPr>
          </w:p>
          <w:p w:rsidR="005873DF" w:rsidRPr="00DB26FF" w:rsidRDefault="005873DF" w:rsidP="005873DF">
            <w:pPr>
              <w:spacing w:after="0" w:line="240" w:lineRule="auto"/>
              <w:rPr>
                <w:rFonts w:ascii="Times New Roman" w:eastAsia="Calibri" w:hAnsi="Times New Roman" w:cs="Times New Roman"/>
                <w:color w:val="000000"/>
                <w:sz w:val="21"/>
                <w:szCs w:val="21"/>
              </w:rPr>
            </w:pPr>
          </w:p>
        </w:tc>
        <w:tc>
          <w:tcPr>
            <w:tcW w:w="2420" w:type="dxa"/>
            <w:gridSpan w:val="5"/>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duże przedsiębiorstwa</w:t>
            </w:r>
          </w:p>
        </w:tc>
        <w:tc>
          <w:tcPr>
            <w:tcW w:w="7063" w:type="dxa"/>
            <w:gridSpan w:val="17"/>
            <w:shd w:val="clear" w:color="auto" w:fill="FFFFFF"/>
          </w:tcPr>
          <w:p w:rsidR="005873DF" w:rsidRPr="00DB26FF" w:rsidRDefault="005873DF" w:rsidP="005873DF">
            <w:pPr>
              <w:spacing w:after="0" w:line="240" w:lineRule="auto"/>
              <w:jc w:val="both"/>
              <w:rPr>
                <w:rFonts w:ascii="Times New Roman" w:eastAsia="Calibri" w:hAnsi="Times New Roman" w:cs="Times New Roman"/>
                <w:color w:val="000000"/>
                <w:spacing w:val="-2"/>
                <w:sz w:val="21"/>
                <w:szCs w:val="21"/>
              </w:rPr>
            </w:pPr>
          </w:p>
        </w:tc>
      </w:tr>
      <w:tr w:rsidR="005873DF" w:rsidRPr="00DB26FF" w:rsidTr="000356FB">
        <w:trPr>
          <w:gridAfter w:val="1"/>
          <w:wAfter w:w="20" w:type="dxa"/>
          <w:trHeight w:val="142"/>
        </w:trPr>
        <w:tc>
          <w:tcPr>
            <w:tcW w:w="1585" w:type="dxa"/>
            <w:gridSpan w:val="2"/>
            <w:vMerge/>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p>
        </w:tc>
        <w:tc>
          <w:tcPr>
            <w:tcW w:w="2420" w:type="dxa"/>
            <w:gridSpan w:val="5"/>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sektor mikro-, małych i średnich przedsiębiorstw</w:t>
            </w:r>
          </w:p>
        </w:tc>
        <w:tc>
          <w:tcPr>
            <w:tcW w:w="7063" w:type="dxa"/>
            <w:gridSpan w:val="17"/>
            <w:shd w:val="clear" w:color="auto" w:fill="FFFFFF"/>
          </w:tcPr>
          <w:p w:rsidR="005873DF" w:rsidRPr="00DB26FF" w:rsidRDefault="005873DF" w:rsidP="005873DF">
            <w:pPr>
              <w:spacing w:after="0" w:line="240" w:lineRule="auto"/>
              <w:rPr>
                <w:rFonts w:ascii="Times New Roman" w:eastAsia="Calibri" w:hAnsi="Times New Roman" w:cs="Times New Roman"/>
                <w:spacing w:val="-2"/>
                <w:sz w:val="21"/>
                <w:szCs w:val="21"/>
              </w:rPr>
            </w:pPr>
          </w:p>
        </w:tc>
      </w:tr>
      <w:tr w:rsidR="005873DF" w:rsidRPr="00DB26FF" w:rsidTr="000356FB">
        <w:trPr>
          <w:gridAfter w:val="1"/>
          <w:wAfter w:w="20" w:type="dxa"/>
          <w:trHeight w:val="596"/>
        </w:trPr>
        <w:tc>
          <w:tcPr>
            <w:tcW w:w="1585" w:type="dxa"/>
            <w:gridSpan w:val="2"/>
            <w:vMerge/>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p>
        </w:tc>
        <w:tc>
          <w:tcPr>
            <w:tcW w:w="2420" w:type="dxa"/>
            <w:gridSpan w:val="5"/>
            <w:shd w:val="clear" w:color="auto" w:fill="FFFFFF"/>
          </w:tcPr>
          <w:p w:rsidR="005873DF" w:rsidRPr="00DB26FF" w:rsidRDefault="005873DF" w:rsidP="005873DF">
            <w:pPr>
              <w:tabs>
                <w:tab w:val="right" w:pos="1936"/>
              </w:tabs>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sz w:val="21"/>
                <w:szCs w:val="21"/>
              </w:rPr>
              <w:t>rodzina, obywatele oraz gospodarstwa domowe</w:t>
            </w:r>
            <w:r w:rsidRPr="00DB26FF">
              <w:rPr>
                <w:rFonts w:ascii="Times New Roman" w:eastAsia="Calibri" w:hAnsi="Times New Roman" w:cs="Times New Roman"/>
                <w:color w:val="000000"/>
                <w:sz w:val="21"/>
                <w:szCs w:val="21"/>
              </w:rPr>
              <w:t xml:space="preserve"> </w:t>
            </w:r>
          </w:p>
        </w:tc>
        <w:tc>
          <w:tcPr>
            <w:tcW w:w="7063" w:type="dxa"/>
            <w:gridSpan w:val="17"/>
            <w:shd w:val="clear" w:color="auto" w:fill="FFFFFF"/>
          </w:tcPr>
          <w:p w:rsidR="005873DF" w:rsidRPr="00505F85" w:rsidRDefault="005873DF" w:rsidP="005873DF">
            <w:pPr>
              <w:suppressAutoHyphens/>
              <w:spacing w:after="0" w:line="240" w:lineRule="auto"/>
              <w:rPr>
                <w:rFonts w:ascii="Times New Roman" w:eastAsia="Calibri" w:hAnsi="Times New Roman" w:cs="Times New Roman"/>
                <w:bCs/>
                <w:lang w:eastAsia="ar-SA"/>
              </w:rPr>
            </w:pPr>
            <w:r w:rsidRPr="00505F85">
              <w:rPr>
                <w:rFonts w:ascii="Times New Roman" w:eastAsia="Calibri" w:hAnsi="Times New Roman" w:cs="Times New Roman"/>
                <w:bCs/>
                <w:lang w:eastAsia="ar-SA"/>
              </w:rPr>
              <w:t>Rozporządzenie nie wpłynie na sytuację ekonomiczną i społeczną rodziny.</w:t>
            </w:r>
          </w:p>
        </w:tc>
      </w:tr>
      <w:tr w:rsidR="005873DF" w:rsidRPr="00DB26FF" w:rsidTr="000356FB">
        <w:trPr>
          <w:gridAfter w:val="1"/>
          <w:wAfter w:w="20" w:type="dxa"/>
          <w:trHeight w:val="596"/>
        </w:trPr>
        <w:tc>
          <w:tcPr>
            <w:tcW w:w="1585" w:type="dxa"/>
            <w:gridSpan w:val="2"/>
            <w:vMerge/>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p>
        </w:tc>
        <w:tc>
          <w:tcPr>
            <w:tcW w:w="2420" w:type="dxa"/>
            <w:gridSpan w:val="5"/>
            <w:shd w:val="clear" w:color="auto" w:fill="FFFFFF"/>
          </w:tcPr>
          <w:p w:rsidR="005873DF" w:rsidRPr="004E50C7" w:rsidRDefault="005873DF" w:rsidP="005873DF">
            <w:pPr>
              <w:tabs>
                <w:tab w:val="right" w:pos="1936"/>
              </w:tabs>
              <w:spacing w:after="0" w:line="240" w:lineRule="auto"/>
              <w:rPr>
                <w:rFonts w:ascii="Times New Roman" w:eastAsia="Calibri" w:hAnsi="Times New Roman" w:cs="Times New Roman"/>
                <w:sz w:val="21"/>
                <w:szCs w:val="21"/>
              </w:rPr>
            </w:pPr>
            <w:r w:rsidRPr="004E50C7">
              <w:rPr>
                <w:rFonts w:ascii="Times New Roman" w:eastAsia="Calibri" w:hAnsi="Times New Roman" w:cs="Times New Roman"/>
                <w:sz w:val="21"/>
                <w:szCs w:val="21"/>
              </w:rPr>
              <w:t>osoby niepełnosprawne oraz starsze</w:t>
            </w:r>
          </w:p>
        </w:tc>
        <w:tc>
          <w:tcPr>
            <w:tcW w:w="7063" w:type="dxa"/>
            <w:gridSpan w:val="17"/>
            <w:shd w:val="clear" w:color="auto" w:fill="FFFFFF"/>
          </w:tcPr>
          <w:p w:rsidR="005873DF" w:rsidRPr="00505F85" w:rsidRDefault="005873DF" w:rsidP="000356FB">
            <w:pPr>
              <w:suppressAutoHyphens/>
              <w:spacing w:after="0" w:line="240" w:lineRule="auto"/>
              <w:jc w:val="both"/>
              <w:rPr>
                <w:rFonts w:ascii="Times New Roman" w:eastAsia="Calibri" w:hAnsi="Times New Roman" w:cs="Times New Roman"/>
                <w:bCs/>
                <w:lang w:eastAsia="ar-SA"/>
              </w:rPr>
            </w:pPr>
            <w:r w:rsidRPr="00505F85">
              <w:rPr>
                <w:rFonts w:ascii="Times New Roman" w:eastAsia="Calibri" w:hAnsi="Times New Roman" w:cs="Times New Roman"/>
                <w:bCs/>
                <w:lang w:eastAsia="ar-SA"/>
              </w:rPr>
              <w:t>Rozporządzenie nie wpłynie na sytuację ekonomiczną i społeczną osób niepełnosprawnych oraz osób starszych.</w:t>
            </w:r>
          </w:p>
        </w:tc>
      </w:tr>
      <w:tr w:rsidR="005873DF" w:rsidRPr="00DB26FF" w:rsidTr="000356FB">
        <w:trPr>
          <w:gridAfter w:val="1"/>
          <w:wAfter w:w="20" w:type="dxa"/>
          <w:trHeight w:val="142"/>
        </w:trPr>
        <w:tc>
          <w:tcPr>
            <w:tcW w:w="1585" w:type="dxa"/>
            <w:gridSpan w:val="2"/>
            <w:vMerge w:val="restart"/>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Niemierzalne</w:t>
            </w:r>
          </w:p>
        </w:tc>
        <w:tc>
          <w:tcPr>
            <w:tcW w:w="2420" w:type="dxa"/>
            <w:gridSpan w:val="5"/>
            <w:shd w:val="clear" w:color="auto" w:fill="FFFFFF"/>
          </w:tcPr>
          <w:p w:rsidR="005873DF" w:rsidRPr="004E50C7" w:rsidRDefault="005873DF" w:rsidP="005873DF">
            <w:pPr>
              <w:spacing w:after="0" w:line="240" w:lineRule="auto"/>
              <w:rPr>
                <w:rFonts w:ascii="Times New Roman" w:eastAsia="Calibri" w:hAnsi="Times New Roman" w:cs="Times New Roman"/>
                <w:color w:val="000000"/>
                <w:sz w:val="21"/>
                <w:szCs w:val="21"/>
              </w:rPr>
            </w:pPr>
            <w:r w:rsidRPr="004E50C7">
              <w:rPr>
                <w:rFonts w:ascii="Times New Roman" w:eastAsia="Calibri" w:hAnsi="Times New Roman" w:cs="Times New Roman"/>
                <w:color w:val="000000"/>
                <w:sz w:val="21"/>
                <w:szCs w:val="21"/>
              </w:rPr>
              <w:t xml:space="preserve">funkcjonowanie  przedsiębiorców </w:t>
            </w:r>
          </w:p>
        </w:tc>
        <w:tc>
          <w:tcPr>
            <w:tcW w:w="7063" w:type="dxa"/>
            <w:gridSpan w:val="17"/>
            <w:shd w:val="clear" w:color="auto" w:fill="FFFFFF"/>
          </w:tcPr>
          <w:p w:rsidR="005873DF" w:rsidRPr="00505F85" w:rsidRDefault="005873DF" w:rsidP="005873DF">
            <w:pPr>
              <w:spacing w:after="0" w:line="240" w:lineRule="auto"/>
              <w:jc w:val="both"/>
              <w:rPr>
                <w:rFonts w:ascii="Times New Roman" w:eastAsia="Calibri" w:hAnsi="Times New Roman" w:cs="Times New Roman"/>
                <w:color w:val="000000"/>
                <w:spacing w:val="-2"/>
              </w:rPr>
            </w:pPr>
            <w:r w:rsidRPr="00505F85">
              <w:rPr>
                <w:rFonts w:ascii="Times New Roman" w:eastAsia="Calibri" w:hAnsi="Times New Roman" w:cs="Times New Roman"/>
                <w:color w:val="000000"/>
                <w:spacing w:val="-2"/>
              </w:rPr>
              <w:t>Rozwiązania te powinny przynieść pozytywny efekt w przypadku placówek gastronomicznych i cateringowych, zwiększając oferowaną przez nie podaż posiłków, finansowanych przez pracodawców i udostępnianych pracownikom.</w:t>
            </w:r>
          </w:p>
        </w:tc>
      </w:tr>
      <w:tr w:rsidR="005873DF" w:rsidRPr="00DB26FF" w:rsidTr="000356FB">
        <w:trPr>
          <w:gridAfter w:val="1"/>
          <w:wAfter w:w="20" w:type="dxa"/>
          <w:trHeight w:val="142"/>
        </w:trPr>
        <w:tc>
          <w:tcPr>
            <w:tcW w:w="1585" w:type="dxa"/>
            <w:gridSpan w:val="2"/>
            <w:vMerge/>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p>
        </w:tc>
        <w:tc>
          <w:tcPr>
            <w:tcW w:w="2420" w:type="dxa"/>
            <w:gridSpan w:val="5"/>
            <w:shd w:val="clear" w:color="auto" w:fill="FFFFFF"/>
          </w:tcPr>
          <w:p w:rsidR="005873DF" w:rsidRPr="004E50C7" w:rsidRDefault="005873DF" w:rsidP="005873DF">
            <w:pPr>
              <w:spacing w:after="0" w:line="240" w:lineRule="auto"/>
              <w:rPr>
                <w:rFonts w:ascii="Times New Roman" w:eastAsia="Calibri" w:hAnsi="Times New Roman" w:cs="Times New Roman"/>
                <w:color w:val="000000"/>
                <w:sz w:val="21"/>
                <w:szCs w:val="21"/>
              </w:rPr>
            </w:pPr>
            <w:r w:rsidRPr="004E50C7">
              <w:rPr>
                <w:rFonts w:ascii="Times New Roman" w:eastAsia="Calibri" w:hAnsi="Times New Roman" w:cs="Times New Roman"/>
                <w:sz w:val="21"/>
                <w:szCs w:val="21"/>
              </w:rPr>
              <w:t>rodzina, obywatele oraz gospodarstwa domowe</w:t>
            </w:r>
          </w:p>
        </w:tc>
        <w:tc>
          <w:tcPr>
            <w:tcW w:w="7063" w:type="dxa"/>
            <w:gridSpan w:val="17"/>
            <w:shd w:val="clear" w:color="auto" w:fill="FFFFFF"/>
          </w:tcPr>
          <w:p w:rsidR="005873DF" w:rsidRPr="00DB26FF" w:rsidRDefault="005873DF" w:rsidP="005873DF">
            <w:pPr>
              <w:spacing w:after="0" w:line="240" w:lineRule="auto"/>
              <w:jc w:val="both"/>
              <w:rPr>
                <w:rFonts w:ascii="Times New Roman" w:eastAsia="Calibri" w:hAnsi="Times New Roman" w:cs="Times New Roman"/>
                <w:color w:val="000000"/>
                <w:spacing w:val="-2"/>
                <w:sz w:val="21"/>
                <w:szCs w:val="21"/>
              </w:rPr>
            </w:pPr>
          </w:p>
        </w:tc>
      </w:tr>
      <w:tr w:rsidR="005873DF" w:rsidRPr="00DB26FF" w:rsidTr="000356FB">
        <w:trPr>
          <w:gridAfter w:val="1"/>
          <w:wAfter w:w="20" w:type="dxa"/>
          <w:trHeight w:val="142"/>
        </w:trPr>
        <w:tc>
          <w:tcPr>
            <w:tcW w:w="1585" w:type="dxa"/>
            <w:gridSpan w:val="2"/>
            <w:vMerge/>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p>
        </w:tc>
        <w:tc>
          <w:tcPr>
            <w:tcW w:w="2420" w:type="dxa"/>
            <w:gridSpan w:val="5"/>
            <w:shd w:val="clear" w:color="auto" w:fill="FFFFFF"/>
          </w:tcPr>
          <w:p w:rsidR="005873DF" w:rsidRPr="004E50C7" w:rsidRDefault="005873DF" w:rsidP="005873DF">
            <w:pPr>
              <w:spacing w:after="0" w:line="240" w:lineRule="auto"/>
              <w:rPr>
                <w:rFonts w:ascii="Times New Roman" w:eastAsia="Calibri" w:hAnsi="Times New Roman" w:cs="Times New Roman"/>
                <w:sz w:val="21"/>
                <w:szCs w:val="21"/>
              </w:rPr>
            </w:pPr>
            <w:r w:rsidRPr="004E50C7">
              <w:rPr>
                <w:rFonts w:ascii="Times New Roman" w:eastAsia="Calibri" w:hAnsi="Times New Roman" w:cs="Times New Roman"/>
                <w:sz w:val="21"/>
                <w:szCs w:val="21"/>
              </w:rPr>
              <w:t>osoby niepełnosprawne oraz starsze</w:t>
            </w:r>
          </w:p>
        </w:tc>
        <w:tc>
          <w:tcPr>
            <w:tcW w:w="7063" w:type="dxa"/>
            <w:gridSpan w:val="17"/>
            <w:shd w:val="clear" w:color="auto" w:fill="FFFFFF"/>
          </w:tcPr>
          <w:p w:rsidR="005873DF" w:rsidRPr="00DB26FF" w:rsidRDefault="005873DF" w:rsidP="005873DF">
            <w:pPr>
              <w:spacing w:after="0" w:line="240" w:lineRule="auto"/>
              <w:jc w:val="both"/>
              <w:rPr>
                <w:rFonts w:ascii="Times New Roman" w:eastAsia="Calibri" w:hAnsi="Times New Roman" w:cs="Times New Roman"/>
                <w:color w:val="000000"/>
                <w:spacing w:val="-2"/>
                <w:sz w:val="21"/>
                <w:szCs w:val="21"/>
              </w:rPr>
            </w:pPr>
          </w:p>
        </w:tc>
      </w:tr>
      <w:tr w:rsidR="005873DF" w:rsidRPr="00DB26FF" w:rsidTr="000356FB">
        <w:trPr>
          <w:gridAfter w:val="1"/>
          <w:wAfter w:w="20" w:type="dxa"/>
          <w:trHeight w:val="1187"/>
        </w:trPr>
        <w:tc>
          <w:tcPr>
            <w:tcW w:w="1560" w:type="dxa"/>
            <w:shd w:val="clear" w:color="auto" w:fill="FFFFFF"/>
          </w:tcPr>
          <w:p w:rsidR="005873DF" w:rsidRPr="00DB26FF" w:rsidRDefault="005873DF" w:rsidP="005873DF">
            <w:pPr>
              <w:spacing w:after="0" w:line="240" w:lineRule="auto"/>
              <w:rPr>
                <w:rFonts w:ascii="Times New Roman" w:eastAsia="Calibri" w:hAnsi="Times New Roman" w:cs="Times New Roman"/>
                <w:color w:val="000000"/>
                <w:sz w:val="21"/>
                <w:szCs w:val="21"/>
              </w:rPr>
            </w:pPr>
            <w:r w:rsidRPr="00DB26FF">
              <w:rPr>
                <w:rFonts w:ascii="Times New Roman" w:eastAsia="Calibri" w:hAnsi="Times New Roman" w:cs="Times New Roman"/>
                <w:color w:val="000000"/>
                <w:sz w:val="21"/>
                <w:szCs w:val="21"/>
              </w:rPr>
              <w:t xml:space="preserve">Dodatkowe informacje, w tym wskazanie źródeł danych i przyjętych do obliczeń założeń </w:t>
            </w:r>
          </w:p>
        </w:tc>
        <w:tc>
          <w:tcPr>
            <w:tcW w:w="9508" w:type="dxa"/>
            <w:gridSpan w:val="23"/>
            <w:shd w:val="clear" w:color="auto" w:fill="FFFFFF"/>
            <w:vAlign w:val="center"/>
          </w:tcPr>
          <w:p w:rsidR="005873DF" w:rsidRPr="00505F85" w:rsidRDefault="005873DF" w:rsidP="000356FB">
            <w:pPr>
              <w:spacing w:after="0" w:line="240" w:lineRule="auto"/>
              <w:jc w:val="both"/>
              <w:rPr>
                <w:rFonts w:ascii="Times New Roman" w:eastAsia="Calibri" w:hAnsi="Times New Roman" w:cs="Times New Roman"/>
                <w:color w:val="000000"/>
                <w:spacing w:val="-2"/>
              </w:rPr>
            </w:pPr>
            <w:r w:rsidRPr="00505F85">
              <w:rPr>
                <w:rFonts w:ascii="Times New Roman" w:eastAsia="Calibri" w:hAnsi="Times New Roman" w:cs="Times New Roman"/>
                <w:color w:val="000000"/>
                <w:spacing w:val="-2"/>
              </w:rPr>
              <w:t xml:space="preserve">Proponowane rozwiązanie </w:t>
            </w:r>
            <w:r w:rsidR="00DA2BC7" w:rsidRPr="00505F85">
              <w:rPr>
                <w:rFonts w:ascii="Times New Roman" w:eastAsia="Calibri" w:hAnsi="Times New Roman" w:cs="Times New Roman"/>
                <w:color w:val="000000"/>
                <w:spacing w:val="-2"/>
              </w:rPr>
              <w:t>p</w:t>
            </w:r>
            <w:r w:rsidR="00DA2BC7" w:rsidRPr="00505F85">
              <w:rPr>
                <w:rFonts w:ascii="Times New Roman" w:eastAsia="Calibri" w:hAnsi="Times New Roman" w:cs="Times New Roman"/>
              </w:rPr>
              <w:t xml:space="preserve">odniesienia progu uprawniającego do wyłączenia z podstawy wymiaru składek kwoty wartości finansowanych przez pracodawcę posiłków udostępnianych pracownikom do spożycia do wysokości 10% </w:t>
            </w:r>
            <w:r w:rsidR="00DA2BC7" w:rsidRPr="00505F85">
              <w:rPr>
                <w:rFonts w:ascii="Times New Roman" w:eastAsia="Times New Roman" w:hAnsi="Times New Roman" w:cs="Times New Roman"/>
                <w:color w:val="000000"/>
                <w:lang w:eastAsia="pl-PL"/>
              </w:rPr>
              <w:t>minimalnego wynagrodzenia za pracę</w:t>
            </w:r>
            <w:r w:rsidR="00DA2BC7" w:rsidRPr="00505F85">
              <w:rPr>
                <w:rFonts w:ascii="Times New Roman" w:eastAsia="Calibri" w:hAnsi="Times New Roman" w:cs="Times New Roman"/>
              </w:rPr>
              <w:t xml:space="preserve"> </w:t>
            </w:r>
            <w:r w:rsidRPr="00505F85">
              <w:rPr>
                <w:rFonts w:ascii="Times New Roman" w:eastAsia="Calibri" w:hAnsi="Times New Roman" w:cs="Times New Roman"/>
                <w:color w:val="000000"/>
                <w:spacing w:val="-2"/>
              </w:rPr>
              <w:t xml:space="preserve">zmniejszy wysokość odprowadzanych składek na ubezpieczenia społeczne z tytułu dofinansowywania posiłków pracownikom. Należy jednak zaznaczyć, że jest to hipotetyczne założenie, gdyż zakłada, że wszyscy pracodawcy zwiększają dofinansowanie do posiłków – w praktyce zapewne pracodawcy skłonni będą podnieść dofinansowanie, ale kosztem np. innych, benefitów pracowniczych, co zmniejszy powyższe skutki. Z drugiej strony w przypadku podniesienia </w:t>
            </w:r>
            <w:r w:rsidR="007C3B98" w:rsidRPr="00505F85">
              <w:rPr>
                <w:rFonts w:ascii="Times New Roman" w:eastAsia="Calibri" w:hAnsi="Times New Roman" w:cs="Times New Roman"/>
                <w:color w:val="000000"/>
                <w:spacing w:val="-2"/>
              </w:rPr>
              <w:t>kwoty do 30</w:t>
            </w:r>
            <w:r w:rsidR="00C71479" w:rsidRPr="00505F85">
              <w:rPr>
                <w:rFonts w:ascii="Times New Roman" w:eastAsia="Calibri" w:hAnsi="Times New Roman" w:cs="Times New Roman"/>
                <w:color w:val="000000"/>
                <w:spacing w:val="-2"/>
              </w:rPr>
              <w:t>1</w:t>
            </w:r>
            <w:r w:rsidRPr="00505F85">
              <w:rPr>
                <w:rFonts w:ascii="Times New Roman" w:eastAsia="Calibri" w:hAnsi="Times New Roman" w:cs="Times New Roman"/>
                <w:color w:val="000000"/>
                <w:spacing w:val="-2"/>
              </w:rPr>
              <w:t xml:space="preserve"> zł należy liczyć się z szerszym wykorzystywaniem przez pracodawców tego instrumentu jako elementu optymalizacji składkowej, co oznacza zwiększenie dofinansowania do posiłków lub wprowadzenie takiego benefitu kosztem podwyżek wynagrodzenia pracowników, co wpłynie na istotny wzrost przedstawionych skutków finansowych.</w:t>
            </w:r>
          </w:p>
          <w:p w:rsidR="000356FB" w:rsidRPr="00433F43" w:rsidRDefault="000356FB" w:rsidP="000356FB">
            <w:pPr>
              <w:spacing w:after="0" w:line="240" w:lineRule="auto"/>
              <w:jc w:val="both"/>
              <w:rPr>
                <w:rFonts w:ascii="Times New Roman" w:eastAsia="Calibri" w:hAnsi="Times New Roman" w:cs="Times New Roman"/>
                <w:color w:val="000000"/>
                <w:spacing w:val="-2"/>
                <w:sz w:val="21"/>
                <w:szCs w:val="21"/>
              </w:rPr>
            </w:pPr>
          </w:p>
        </w:tc>
      </w:tr>
      <w:tr w:rsidR="005873DF" w:rsidRPr="00DB26FF" w:rsidTr="000356FB">
        <w:trPr>
          <w:gridAfter w:val="1"/>
          <w:wAfter w:w="20" w:type="dxa"/>
          <w:trHeight w:val="342"/>
        </w:trPr>
        <w:tc>
          <w:tcPr>
            <w:tcW w:w="11068" w:type="dxa"/>
            <w:gridSpan w:val="24"/>
            <w:shd w:val="clear" w:color="auto" w:fill="99CCFF"/>
            <w:vAlign w:val="center"/>
          </w:tcPr>
          <w:p w:rsidR="005873DF" w:rsidRPr="00DB26FF" w:rsidRDefault="005873DF" w:rsidP="00DA2BC7">
            <w:pPr>
              <w:numPr>
                <w:ilvl w:val="0"/>
                <w:numId w:val="1"/>
              </w:numPr>
              <w:spacing w:before="60" w:after="60" w:line="240" w:lineRule="auto"/>
              <w:ind w:left="318" w:hanging="284"/>
              <w:jc w:val="both"/>
              <w:rPr>
                <w:rFonts w:ascii="Times New Roman" w:eastAsia="Calibri" w:hAnsi="Times New Roman" w:cs="Times New Roman"/>
                <w:b/>
                <w:color w:val="000000"/>
              </w:rPr>
            </w:pPr>
            <w:r w:rsidRPr="00DB26FF">
              <w:rPr>
                <w:rFonts w:ascii="Times New Roman" w:eastAsia="Calibri" w:hAnsi="Times New Roman" w:cs="Times New Roman"/>
                <w:b/>
                <w:color w:val="000000"/>
              </w:rPr>
              <w:t xml:space="preserve"> Zmiana obciążeń regulacyjnych (w tym obowiązków informacyjnych) wynikających z projektu</w:t>
            </w:r>
          </w:p>
        </w:tc>
      </w:tr>
      <w:tr w:rsidR="005873DF" w:rsidRPr="00DB26FF" w:rsidTr="000356FB">
        <w:trPr>
          <w:gridAfter w:val="1"/>
          <w:wAfter w:w="20" w:type="dxa"/>
          <w:trHeight w:val="151"/>
        </w:trPr>
        <w:tc>
          <w:tcPr>
            <w:tcW w:w="11068" w:type="dxa"/>
            <w:gridSpan w:val="24"/>
            <w:shd w:val="clear" w:color="auto" w:fill="FFFFFF"/>
          </w:tcPr>
          <w:p w:rsidR="005873DF" w:rsidRPr="00DB26F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
                  <w:enabled/>
                  <w:calcOnExit w:val="0"/>
                  <w:checkBox>
                    <w:sizeAuto/>
                    <w:default w:val="1"/>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rPr>
              <w:t xml:space="preserve">  </w:t>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rPr>
              <w:t>nie dotyczy</w:t>
            </w:r>
          </w:p>
        </w:tc>
      </w:tr>
      <w:tr w:rsidR="005873DF" w:rsidRPr="00DB26FF" w:rsidTr="000356FB">
        <w:trPr>
          <w:gridAfter w:val="1"/>
          <w:wAfter w:w="20" w:type="dxa"/>
          <w:trHeight w:val="946"/>
        </w:trPr>
        <w:tc>
          <w:tcPr>
            <w:tcW w:w="6803" w:type="dxa"/>
            <w:gridSpan w:val="13"/>
            <w:shd w:val="clear" w:color="auto" w:fill="FFFFFF"/>
          </w:tcPr>
          <w:p w:rsidR="005873DF" w:rsidRPr="00DB26FF" w:rsidRDefault="005873DF" w:rsidP="005873DF">
            <w:pPr>
              <w:spacing w:after="0" w:line="276"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spacing w:val="-2"/>
              </w:rPr>
              <w:t xml:space="preserve">Wprowadzane są obciążenia poza bezwzględnie wymaganymi przez UE </w:t>
            </w:r>
            <w:r w:rsidRPr="00DB26FF">
              <w:rPr>
                <w:rFonts w:ascii="Times New Roman" w:eastAsia="Calibri" w:hAnsi="Times New Roman" w:cs="Times New Roman"/>
                <w:color w:val="000000"/>
              </w:rPr>
              <w:t>(szczegóły w odwróconej tabeli zgodności).</w:t>
            </w:r>
          </w:p>
        </w:tc>
        <w:tc>
          <w:tcPr>
            <w:tcW w:w="4265" w:type="dxa"/>
            <w:gridSpan w:val="11"/>
            <w:shd w:val="clear" w:color="auto" w:fill="FFFFFF"/>
          </w:tcPr>
          <w:p w:rsidR="005873DF" w:rsidRPr="00DB26F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rPr>
              <w:t xml:space="preserve"> tak</w:t>
            </w:r>
          </w:p>
          <w:p w:rsidR="005873DF" w:rsidRPr="00DB26F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rPr>
              <w:t xml:space="preserve"> nie</w:t>
            </w:r>
          </w:p>
          <w:p w:rsidR="005873DF" w:rsidRPr="00DB26FF" w:rsidRDefault="00497C6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
                  <w:enabled/>
                  <w:calcOnExit w:val="0"/>
                  <w:checkBox>
                    <w:sizeAuto/>
                    <w:default w:val="1"/>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rPr>
              <w:t xml:space="preserve">  </w:t>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rPr>
              <w:t>nie dotyczy</w:t>
            </w:r>
          </w:p>
        </w:tc>
      </w:tr>
      <w:tr w:rsidR="005873DF" w:rsidRPr="00DB26FF" w:rsidTr="000356FB">
        <w:trPr>
          <w:gridAfter w:val="1"/>
          <w:wAfter w:w="20" w:type="dxa"/>
          <w:trHeight w:val="1245"/>
        </w:trPr>
        <w:tc>
          <w:tcPr>
            <w:tcW w:w="6803" w:type="dxa"/>
            <w:gridSpan w:val="13"/>
            <w:shd w:val="clear" w:color="auto" w:fill="FFFFFF"/>
          </w:tcPr>
          <w:p w:rsidR="005873DF" w:rsidRPr="00DB26FF" w:rsidRDefault="005873DF" w:rsidP="005873DF">
            <w:pPr>
              <w:spacing w:after="0" w:line="240"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rPr>
              <w:fldChar w:fldCharType="begin">
                <w:ffData>
                  <w:name w:val=""/>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rPr>
              <w:t xml:space="preserve"> </w:t>
            </w:r>
            <w:r w:rsidRPr="00DB26FF">
              <w:rPr>
                <w:rFonts w:ascii="Times New Roman" w:eastAsia="Calibri" w:hAnsi="Times New Roman" w:cs="Times New Roman"/>
                <w:color w:val="000000"/>
                <w:spacing w:val="-2"/>
              </w:rPr>
              <w:t xml:space="preserve">zmniejszenie liczby dokumentów </w:t>
            </w:r>
          </w:p>
          <w:p w:rsidR="005873DF" w:rsidRPr="00DB26FF" w:rsidRDefault="005873DF" w:rsidP="005873DF">
            <w:pPr>
              <w:spacing w:after="0" w:line="240"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rPr>
              <w:fldChar w:fldCharType="begin">
                <w:ffData>
                  <w:name w:val=""/>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pacing w:val="-2"/>
              </w:rPr>
              <w:t xml:space="preserve"> zmniejszenie liczby procedur</w:t>
            </w:r>
          </w:p>
          <w:p w:rsidR="005873DF" w:rsidRPr="00DB26FF" w:rsidRDefault="005873DF" w:rsidP="005873DF">
            <w:pPr>
              <w:spacing w:after="0" w:line="240" w:lineRule="auto"/>
              <w:rPr>
                <w:rFonts w:ascii="Times New Roman" w:eastAsia="Calibri" w:hAnsi="Times New Roman" w:cs="Times New Roman"/>
                <w:color w:val="000000"/>
                <w:spacing w:val="-2"/>
              </w:rPr>
            </w:pPr>
          </w:p>
          <w:p w:rsidR="005873DF" w:rsidRPr="00DB26FF" w:rsidRDefault="005873DF" w:rsidP="005873DF">
            <w:pPr>
              <w:spacing w:after="0" w:line="240" w:lineRule="auto"/>
              <w:rPr>
                <w:rFonts w:ascii="Times New Roman" w:eastAsia="Calibri" w:hAnsi="Times New Roman" w:cs="Times New Roman"/>
                <w:color w:val="000000"/>
                <w:spacing w:val="-2"/>
              </w:rPr>
            </w:pPr>
          </w:p>
          <w:p w:rsidR="005873DF" w:rsidRPr="00DB26FF" w:rsidRDefault="005873DF" w:rsidP="005873DF">
            <w:pPr>
              <w:spacing w:after="0" w:line="240"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rPr>
              <w:fldChar w:fldCharType="begin">
                <w:ffData>
                  <w:name w:val=""/>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rPr>
              <w:t xml:space="preserve"> </w:t>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spacing w:val="-2"/>
              </w:rPr>
              <w:t>skrócenie czasu na załatwienie sprawy</w:t>
            </w:r>
          </w:p>
          <w:p w:rsidR="005873DF" w:rsidRPr="00DB26FF" w:rsidRDefault="005873DF" w:rsidP="005873DF">
            <w:pPr>
              <w:spacing w:after="0" w:line="240" w:lineRule="auto"/>
              <w:rPr>
                <w:rFonts w:ascii="Times New Roman" w:eastAsia="Calibri" w:hAnsi="Times New Roman" w:cs="Times New Roman"/>
                <w:b/>
                <w:color w:val="000000"/>
                <w:spacing w:val="-2"/>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spacing w:val="-2"/>
              </w:rPr>
              <w:t>inne:</w:t>
            </w:r>
            <w:r w:rsidRPr="00DB26FF">
              <w:rPr>
                <w:rFonts w:ascii="Times New Roman" w:eastAsia="Calibri" w:hAnsi="Times New Roman" w:cs="Times New Roman"/>
                <w:color w:val="000000"/>
              </w:rPr>
              <w:t xml:space="preserve"> </w:t>
            </w:r>
            <w:r w:rsidRPr="00DB26FF">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B26FF">
              <w:rPr>
                <w:rFonts w:ascii="Times New Roman" w:eastAsia="Calibri" w:hAnsi="Times New Roman" w:cs="Times New Roman"/>
                <w:color w:val="000000"/>
              </w:rPr>
              <w:instrText xml:space="preserve"> FORMTEXT </w:instrText>
            </w:r>
            <w:r w:rsidRPr="00DB26FF">
              <w:rPr>
                <w:rFonts w:ascii="Times New Roman" w:eastAsia="Calibri" w:hAnsi="Times New Roman" w:cs="Times New Roman"/>
                <w:color w:val="000000"/>
              </w:rPr>
            </w:r>
            <w:r w:rsidRPr="00DB26FF">
              <w:rPr>
                <w:rFonts w:ascii="Times New Roman" w:eastAsia="Calibri" w:hAnsi="Times New Roman" w:cs="Times New Roman"/>
                <w:color w:val="000000"/>
              </w:rPr>
              <w:fldChar w:fldCharType="separate"/>
            </w:r>
            <w:r w:rsidRPr="00DB26FF">
              <w:rPr>
                <w:rFonts w:ascii="Times New Roman" w:eastAsia="Calibri" w:hAnsi="Calibri" w:cs="Times New Roman"/>
                <w:noProof/>
                <w:color w:val="000000"/>
              </w:rPr>
              <w:t> </w:t>
            </w:r>
            <w:r w:rsidRPr="00DB26FF">
              <w:rPr>
                <w:rFonts w:ascii="Times New Roman" w:eastAsia="Calibri" w:hAnsi="Calibri" w:cs="Times New Roman"/>
                <w:noProof/>
                <w:color w:val="000000"/>
              </w:rPr>
              <w:t> </w:t>
            </w:r>
            <w:r w:rsidRPr="00DB26FF">
              <w:rPr>
                <w:rFonts w:ascii="Times New Roman" w:eastAsia="Calibri" w:hAnsi="Calibri" w:cs="Times New Roman"/>
                <w:noProof/>
                <w:color w:val="000000"/>
              </w:rPr>
              <w:t> </w:t>
            </w:r>
            <w:r w:rsidRPr="00DB26FF">
              <w:rPr>
                <w:rFonts w:ascii="Times New Roman" w:eastAsia="Calibri" w:hAnsi="Calibri" w:cs="Times New Roman"/>
                <w:noProof/>
                <w:color w:val="000000"/>
              </w:rPr>
              <w:t> </w:t>
            </w:r>
            <w:r w:rsidRPr="00DB26FF">
              <w:rPr>
                <w:rFonts w:ascii="Times New Roman" w:eastAsia="Calibri" w:hAnsi="Calibri" w:cs="Times New Roman"/>
                <w:noProof/>
                <w:color w:val="000000"/>
              </w:rPr>
              <w:t> </w:t>
            </w:r>
            <w:r w:rsidRPr="00DB26FF">
              <w:rPr>
                <w:rFonts w:ascii="Times New Roman" w:eastAsia="Calibri" w:hAnsi="Times New Roman" w:cs="Times New Roman"/>
                <w:color w:val="000000"/>
              </w:rPr>
              <w:fldChar w:fldCharType="end"/>
            </w:r>
          </w:p>
        </w:tc>
        <w:tc>
          <w:tcPr>
            <w:tcW w:w="4265" w:type="dxa"/>
            <w:gridSpan w:val="11"/>
            <w:shd w:val="clear" w:color="auto" w:fill="FFFFFF"/>
          </w:tcPr>
          <w:p w:rsidR="005873DF" w:rsidRPr="00DB26FF" w:rsidRDefault="005873DF" w:rsidP="005873DF">
            <w:pPr>
              <w:spacing w:after="0" w:line="240"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spacing w:val="-2"/>
              </w:rPr>
              <w:t>zwiększenie liczby dokumentów</w:t>
            </w:r>
          </w:p>
          <w:p w:rsidR="005873DF" w:rsidRPr="00DB26FF" w:rsidRDefault="005873DF" w:rsidP="005873DF">
            <w:pPr>
              <w:spacing w:after="0" w:line="240"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spacing w:val="-2"/>
              </w:rPr>
              <w:t>zwiększenie liczby procedur</w:t>
            </w:r>
          </w:p>
          <w:p w:rsidR="005873DF" w:rsidRPr="00DB26FF" w:rsidRDefault="005873DF" w:rsidP="005873DF">
            <w:pPr>
              <w:spacing w:after="0" w:line="240"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spacing w:val="-2"/>
              </w:rPr>
              <w:t>wydłużenie czasu na załatwienie sprawy</w:t>
            </w:r>
          </w:p>
          <w:p w:rsidR="005873DF" w:rsidRPr="00DB26F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spacing w:val="-2"/>
              </w:rPr>
              <w:t>inne:</w:t>
            </w:r>
            <w:r w:rsidRPr="00DB26FF">
              <w:rPr>
                <w:rFonts w:ascii="Times New Roman" w:eastAsia="Calibri" w:hAnsi="Times New Roman" w:cs="Times New Roman"/>
                <w:color w:val="000000"/>
              </w:rPr>
              <w:t xml:space="preserve"> </w:t>
            </w:r>
            <w:r w:rsidRPr="00DB26FF">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B26FF">
              <w:rPr>
                <w:rFonts w:ascii="Times New Roman" w:eastAsia="Calibri" w:hAnsi="Times New Roman" w:cs="Times New Roman"/>
                <w:color w:val="000000"/>
              </w:rPr>
              <w:instrText xml:space="preserve"> FORMTEXT </w:instrText>
            </w:r>
            <w:r w:rsidRPr="00DB26FF">
              <w:rPr>
                <w:rFonts w:ascii="Times New Roman" w:eastAsia="Calibri" w:hAnsi="Times New Roman" w:cs="Times New Roman"/>
                <w:color w:val="000000"/>
              </w:rPr>
            </w:r>
            <w:r w:rsidRPr="00DB26FF">
              <w:rPr>
                <w:rFonts w:ascii="Times New Roman" w:eastAsia="Calibri" w:hAnsi="Times New Roman" w:cs="Times New Roman"/>
                <w:color w:val="000000"/>
              </w:rPr>
              <w:fldChar w:fldCharType="separate"/>
            </w:r>
            <w:r w:rsidRPr="00DB26FF">
              <w:rPr>
                <w:rFonts w:ascii="Times New Roman" w:eastAsia="Calibri" w:hAnsi="Calibri" w:cs="Times New Roman"/>
                <w:noProof/>
                <w:color w:val="000000"/>
              </w:rPr>
              <w:t> </w:t>
            </w:r>
            <w:r w:rsidRPr="00DB26FF">
              <w:rPr>
                <w:rFonts w:ascii="Times New Roman" w:eastAsia="Calibri" w:hAnsi="Calibri" w:cs="Times New Roman"/>
                <w:noProof/>
                <w:color w:val="000000"/>
              </w:rPr>
              <w:t> </w:t>
            </w:r>
            <w:r w:rsidRPr="00DB26FF">
              <w:rPr>
                <w:rFonts w:ascii="Times New Roman" w:eastAsia="Calibri" w:hAnsi="Calibri" w:cs="Times New Roman"/>
                <w:noProof/>
                <w:color w:val="000000"/>
              </w:rPr>
              <w:t> </w:t>
            </w:r>
            <w:r w:rsidRPr="00DB26FF">
              <w:rPr>
                <w:rFonts w:ascii="Times New Roman" w:eastAsia="Calibri" w:hAnsi="Calibri" w:cs="Times New Roman"/>
                <w:noProof/>
                <w:color w:val="000000"/>
              </w:rPr>
              <w:t> </w:t>
            </w:r>
            <w:r w:rsidRPr="00DB26FF">
              <w:rPr>
                <w:rFonts w:ascii="Times New Roman" w:eastAsia="Calibri" w:hAnsi="Calibri" w:cs="Times New Roman"/>
                <w:noProof/>
                <w:color w:val="000000"/>
              </w:rPr>
              <w:t> </w:t>
            </w:r>
            <w:r w:rsidRPr="00DB26FF">
              <w:rPr>
                <w:rFonts w:ascii="Times New Roman" w:eastAsia="Calibri" w:hAnsi="Times New Roman" w:cs="Times New Roman"/>
                <w:color w:val="000000"/>
              </w:rPr>
              <w:fldChar w:fldCharType="end"/>
            </w:r>
          </w:p>
          <w:p w:rsidR="005873DF" w:rsidRPr="00DB26FF" w:rsidRDefault="005873DF" w:rsidP="005873DF">
            <w:pPr>
              <w:spacing w:after="0" w:line="240" w:lineRule="auto"/>
              <w:rPr>
                <w:rFonts w:ascii="Times New Roman" w:eastAsia="Calibri" w:hAnsi="Times New Roman" w:cs="Times New Roman"/>
                <w:color w:val="000000"/>
              </w:rPr>
            </w:pPr>
          </w:p>
        </w:tc>
      </w:tr>
      <w:tr w:rsidR="005873DF" w:rsidRPr="00DB26FF" w:rsidTr="000356FB">
        <w:trPr>
          <w:gridAfter w:val="1"/>
          <w:wAfter w:w="20" w:type="dxa"/>
          <w:trHeight w:val="722"/>
        </w:trPr>
        <w:tc>
          <w:tcPr>
            <w:tcW w:w="6803" w:type="dxa"/>
            <w:gridSpan w:val="13"/>
            <w:shd w:val="clear" w:color="auto" w:fill="FFFFFF"/>
          </w:tcPr>
          <w:p w:rsidR="005873DF" w:rsidRPr="00DB26FF" w:rsidRDefault="005873DF" w:rsidP="005873DF">
            <w:pPr>
              <w:spacing w:after="0" w:line="240" w:lineRule="auto"/>
              <w:rPr>
                <w:rFonts w:ascii="Times New Roman" w:eastAsia="Calibri" w:hAnsi="Times New Roman" w:cs="Times New Roman"/>
                <w:strike/>
                <w:color w:val="FF0000"/>
              </w:rPr>
            </w:pPr>
            <w:r w:rsidRPr="00DB26FF">
              <w:rPr>
                <w:rFonts w:ascii="Times New Roman" w:eastAsia="Calibri" w:hAnsi="Times New Roman" w:cs="Times New Roman"/>
                <w:color w:val="000000"/>
              </w:rPr>
              <w:t>Wprowadzane obciążenia są przystosowane do ich elektronizacji.</w:t>
            </w:r>
          </w:p>
        </w:tc>
        <w:tc>
          <w:tcPr>
            <w:tcW w:w="4265" w:type="dxa"/>
            <w:gridSpan w:val="11"/>
            <w:shd w:val="clear" w:color="auto" w:fill="FFFFFF"/>
          </w:tcPr>
          <w:p w:rsidR="005873DF" w:rsidRPr="00DB26F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rPr>
              <w:t xml:space="preserve"> tak</w:t>
            </w:r>
          </w:p>
          <w:p w:rsidR="005873DF" w:rsidRPr="00DB26F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rPr>
              <w:t xml:space="preserve"> nie</w:t>
            </w:r>
          </w:p>
          <w:p w:rsidR="000356FB" w:rsidRPr="00DB26FF" w:rsidRDefault="00497C6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
                  <w:enabled/>
                  <w:calcOnExit w:val="0"/>
                  <w:checkBox>
                    <w:sizeAuto/>
                    <w:default w:val="1"/>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rPr>
              <w:t xml:space="preserve">  </w:t>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rPr>
              <w:t>nie dotyczy</w:t>
            </w:r>
            <w:r w:rsidRPr="00DB26FF" w:rsidDel="00497C6F">
              <w:rPr>
                <w:rFonts w:ascii="Times New Roman" w:eastAsia="Calibri" w:hAnsi="Times New Roman" w:cs="Times New Roman"/>
                <w:color w:val="000000"/>
              </w:rPr>
              <w:t xml:space="preserve"> </w:t>
            </w:r>
          </w:p>
        </w:tc>
      </w:tr>
      <w:tr w:rsidR="005873DF" w:rsidRPr="00DB26FF" w:rsidTr="000356FB">
        <w:trPr>
          <w:gridAfter w:val="1"/>
          <w:wAfter w:w="20" w:type="dxa"/>
          <w:trHeight w:val="142"/>
        </w:trPr>
        <w:tc>
          <w:tcPr>
            <w:tcW w:w="11068" w:type="dxa"/>
            <w:gridSpan w:val="24"/>
            <w:shd w:val="clear" w:color="auto" w:fill="99CCFF"/>
          </w:tcPr>
          <w:p w:rsidR="005873DF" w:rsidRPr="00DB26FF" w:rsidRDefault="005873DF" w:rsidP="005873DF">
            <w:pPr>
              <w:numPr>
                <w:ilvl w:val="0"/>
                <w:numId w:val="1"/>
              </w:numPr>
              <w:spacing w:before="60" w:after="60" w:line="240" w:lineRule="auto"/>
              <w:jc w:val="both"/>
              <w:rPr>
                <w:rFonts w:ascii="Times New Roman" w:eastAsia="Calibri" w:hAnsi="Times New Roman" w:cs="Times New Roman"/>
                <w:b/>
                <w:color w:val="000000"/>
              </w:rPr>
            </w:pPr>
            <w:r w:rsidRPr="00DB26FF">
              <w:rPr>
                <w:rFonts w:ascii="Times New Roman" w:eastAsia="Calibri" w:hAnsi="Times New Roman" w:cs="Times New Roman"/>
                <w:b/>
                <w:color w:val="000000"/>
              </w:rPr>
              <w:t xml:space="preserve">Wpływ na rynek pracy </w:t>
            </w:r>
          </w:p>
        </w:tc>
      </w:tr>
      <w:tr w:rsidR="005873DF" w:rsidRPr="00DB26FF" w:rsidTr="000356FB">
        <w:trPr>
          <w:gridAfter w:val="1"/>
          <w:wAfter w:w="20" w:type="dxa"/>
          <w:trHeight w:val="142"/>
        </w:trPr>
        <w:tc>
          <w:tcPr>
            <w:tcW w:w="11068" w:type="dxa"/>
            <w:gridSpan w:val="24"/>
            <w:shd w:val="clear" w:color="auto" w:fill="auto"/>
          </w:tcPr>
          <w:p w:rsidR="005873DF" w:rsidRPr="00DB26F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t>Brak wpływu na rynek pracy.</w:t>
            </w:r>
          </w:p>
          <w:p w:rsidR="005873DF" w:rsidRPr="00DB26FF" w:rsidRDefault="005873DF" w:rsidP="005873DF">
            <w:pPr>
              <w:spacing w:after="0" w:line="240" w:lineRule="auto"/>
              <w:rPr>
                <w:rFonts w:ascii="Times New Roman" w:eastAsia="Calibri" w:hAnsi="Times New Roman" w:cs="Times New Roman"/>
                <w:color w:val="000000"/>
              </w:rPr>
            </w:pPr>
          </w:p>
        </w:tc>
      </w:tr>
      <w:tr w:rsidR="005873DF" w:rsidRPr="00DB26FF" w:rsidTr="000356FB">
        <w:trPr>
          <w:gridAfter w:val="1"/>
          <w:wAfter w:w="20" w:type="dxa"/>
          <w:trHeight w:val="142"/>
        </w:trPr>
        <w:tc>
          <w:tcPr>
            <w:tcW w:w="11068" w:type="dxa"/>
            <w:gridSpan w:val="24"/>
            <w:shd w:val="clear" w:color="auto" w:fill="99CCFF"/>
          </w:tcPr>
          <w:p w:rsidR="005873DF" w:rsidRPr="00DB26FF" w:rsidRDefault="005873DF" w:rsidP="005873DF">
            <w:pPr>
              <w:numPr>
                <w:ilvl w:val="0"/>
                <w:numId w:val="1"/>
              </w:numPr>
              <w:spacing w:before="60" w:after="60" w:line="240" w:lineRule="auto"/>
              <w:jc w:val="both"/>
              <w:rPr>
                <w:rFonts w:ascii="Times New Roman" w:eastAsia="Calibri" w:hAnsi="Times New Roman" w:cs="Times New Roman"/>
                <w:b/>
                <w:color w:val="000000"/>
              </w:rPr>
            </w:pPr>
            <w:r w:rsidRPr="00DB26FF">
              <w:rPr>
                <w:rFonts w:ascii="Times New Roman" w:eastAsia="Calibri" w:hAnsi="Times New Roman" w:cs="Times New Roman"/>
                <w:b/>
                <w:color w:val="000000"/>
              </w:rPr>
              <w:t>Wpływ na pozostałe obszary</w:t>
            </w:r>
          </w:p>
        </w:tc>
      </w:tr>
      <w:tr w:rsidR="005873DF" w:rsidRPr="00DB26FF" w:rsidTr="000356FB">
        <w:trPr>
          <w:gridAfter w:val="1"/>
          <w:wAfter w:w="20" w:type="dxa"/>
          <w:trHeight w:val="1031"/>
        </w:trPr>
        <w:tc>
          <w:tcPr>
            <w:tcW w:w="3403" w:type="dxa"/>
            <w:gridSpan w:val="5"/>
            <w:shd w:val="clear" w:color="auto" w:fill="FFFFFF"/>
          </w:tcPr>
          <w:p w:rsidR="005873DF" w:rsidRPr="00DB26FF" w:rsidRDefault="005873DF" w:rsidP="005873DF">
            <w:pPr>
              <w:spacing w:after="0" w:line="240" w:lineRule="auto"/>
              <w:rPr>
                <w:rFonts w:ascii="Times New Roman" w:eastAsia="Calibri" w:hAnsi="Times New Roman" w:cs="Times New Roman"/>
                <w:color w:val="000000"/>
              </w:rPr>
            </w:pPr>
          </w:p>
          <w:p w:rsidR="005873DF" w:rsidRPr="00DB26FF" w:rsidRDefault="005873DF" w:rsidP="005873DF">
            <w:pPr>
              <w:spacing w:after="0" w:line="240"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spacing w:val="-2"/>
              </w:rPr>
              <w:t>środowisko naturalne</w:t>
            </w:r>
          </w:p>
          <w:p w:rsidR="005873DF" w:rsidRPr="00DB26F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rPr>
              <w:t>sytuacja i rozwój regionalny</w:t>
            </w:r>
          </w:p>
          <w:p w:rsidR="005873DF" w:rsidRPr="00DB26FF" w:rsidRDefault="005873DF" w:rsidP="005873DF">
            <w:pPr>
              <w:spacing w:after="0" w:line="240"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916AAE">
              <w:rPr>
                <w:rFonts w:ascii="Times New Roman" w:eastAsia="Calibri" w:hAnsi="Times New Roman" w:cs="Times New Roman"/>
                <w:color w:val="000000"/>
              </w:rPr>
              <w:t>sądy powszechne, administracyjne lub wojskowe</w:t>
            </w:r>
          </w:p>
        </w:tc>
        <w:tc>
          <w:tcPr>
            <w:tcW w:w="3954" w:type="dxa"/>
            <w:gridSpan w:val="11"/>
            <w:shd w:val="clear" w:color="auto" w:fill="FFFFFF"/>
          </w:tcPr>
          <w:p w:rsidR="005873DF" w:rsidRPr="00DB26FF" w:rsidRDefault="005873DF" w:rsidP="005873DF">
            <w:pPr>
              <w:spacing w:after="0" w:line="240" w:lineRule="auto"/>
              <w:rPr>
                <w:rFonts w:ascii="Times New Roman" w:eastAsia="Calibri" w:hAnsi="Times New Roman" w:cs="Times New Roman"/>
                <w:color w:val="000000"/>
              </w:rPr>
            </w:pPr>
          </w:p>
          <w:p w:rsidR="005873DF" w:rsidRPr="00DB26FF" w:rsidRDefault="005873DF" w:rsidP="005873DF">
            <w:pPr>
              <w:spacing w:after="0" w:line="240"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spacing w:val="-2"/>
              </w:rPr>
              <w:t>demografia</w:t>
            </w:r>
          </w:p>
          <w:p w:rsidR="005873D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rPr>
              <w:t>mienie państwowe</w:t>
            </w:r>
          </w:p>
          <w:p w:rsidR="005873DF" w:rsidRPr="00DB26FF" w:rsidRDefault="005873DF" w:rsidP="005873DF">
            <w:pPr>
              <w:spacing w:after="0" w:line="240" w:lineRule="auto"/>
              <w:rPr>
                <w:rFonts w:ascii="Times New Roman" w:eastAsia="Calibri" w:hAnsi="Times New Roman" w:cs="Times New Roman"/>
                <w:color w:val="000000"/>
              </w:rPr>
            </w:pPr>
            <w:r w:rsidRPr="00916AAE">
              <w:rPr>
                <w:rFonts w:ascii="Times New Roman" w:eastAsia="Calibri" w:hAnsi="Times New Roman" w:cs="Times New Roman"/>
                <w:color w:val="000000"/>
              </w:rPr>
              <w:fldChar w:fldCharType="begin">
                <w:ffData>
                  <w:name w:val="Wybór1"/>
                  <w:enabled/>
                  <w:calcOnExit w:val="0"/>
                  <w:checkBox>
                    <w:sizeAuto/>
                    <w:default w:val="0"/>
                  </w:checkBox>
                </w:ffData>
              </w:fldChar>
            </w:r>
            <w:r w:rsidRPr="00916AAE">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916AAE">
              <w:rPr>
                <w:rFonts w:ascii="Times New Roman" w:eastAsia="Calibri" w:hAnsi="Times New Roman" w:cs="Times New Roman"/>
                <w:color w:val="000000"/>
              </w:rPr>
              <w:fldChar w:fldCharType="end"/>
            </w:r>
            <w:r w:rsidRPr="00916AAE">
              <w:rPr>
                <w:rFonts w:ascii="Times New Roman" w:eastAsia="Calibri" w:hAnsi="Times New Roman" w:cs="Times New Roman"/>
                <w:color w:val="000000"/>
              </w:rPr>
              <w:t xml:space="preserve"> inne: </w:t>
            </w:r>
            <w:r w:rsidRPr="00916AAE">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16AAE">
              <w:rPr>
                <w:rFonts w:ascii="Times New Roman" w:eastAsia="Calibri" w:hAnsi="Times New Roman" w:cs="Times New Roman"/>
                <w:color w:val="000000"/>
              </w:rPr>
              <w:instrText xml:space="preserve"> FORMTEXT </w:instrText>
            </w:r>
            <w:r w:rsidRPr="00916AAE">
              <w:rPr>
                <w:rFonts w:ascii="Times New Roman" w:eastAsia="Calibri" w:hAnsi="Times New Roman" w:cs="Times New Roman"/>
                <w:color w:val="000000"/>
              </w:rPr>
            </w:r>
            <w:r w:rsidRPr="00916AAE">
              <w:rPr>
                <w:rFonts w:ascii="Times New Roman" w:eastAsia="Calibri" w:hAnsi="Times New Roman" w:cs="Times New Roman"/>
                <w:color w:val="000000"/>
              </w:rPr>
              <w:fldChar w:fldCharType="separate"/>
            </w:r>
            <w:r w:rsidRPr="00916AAE">
              <w:rPr>
                <w:rFonts w:ascii="Times New Roman" w:eastAsia="Calibri" w:hAnsi="Times New Roman" w:cs="Times New Roman"/>
                <w:color w:val="000000"/>
              </w:rPr>
              <w:t> </w:t>
            </w:r>
            <w:r w:rsidRPr="00916AAE">
              <w:rPr>
                <w:rFonts w:ascii="Times New Roman" w:eastAsia="Calibri" w:hAnsi="Times New Roman" w:cs="Times New Roman"/>
                <w:color w:val="000000"/>
              </w:rPr>
              <w:t> </w:t>
            </w:r>
            <w:r w:rsidRPr="00916AAE">
              <w:rPr>
                <w:rFonts w:ascii="Times New Roman" w:eastAsia="Calibri" w:hAnsi="Times New Roman" w:cs="Times New Roman"/>
                <w:color w:val="000000"/>
              </w:rPr>
              <w:t> </w:t>
            </w:r>
            <w:r w:rsidRPr="00916AAE">
              <w:rPr>
                <w:rFonts w:ascii="Times New Roman" w:eastAsia="Calibri" w:hAnsi="Times New Roman" w:cs="Times New Roman"/>
                <w:color w:val="000000"/>
              </w:rPr>
              <w:t> </w:t>
            </w:r>
            <w:r w:rsidRPr="00916AAE">
              <w:rPr>
                <w:rFonts w:ascii="Times New Roman" w:eastAsia="Calibri" w:hAnsi="Times New Roman" w:cs="Times New Roman"/>
                <w:color w:val="000000"/>
              </w:rPr>
              <w:t> </w:t>
            </w:r>
            <w:r w:rsidRPr="00916AAE">
              <w:rPr>
                <w:rFonts w:ascii="Times New Roman" w:eastAsia="Calibri" w:hAnsi="Times New Roman" w:cs="Times New Roman"/>
                <w:color w:val="000000"/>
              </w:rPr>
              <w:fldChar w:fldCharType="end"/>
            </w:r>
          </w:p>
        </w:tc>
        <w:tc>
          <w:tcPr>
            <w:tcW w:w="3711" w:type="dxa"/>
            <w:gridSpan w:val="8"/>
            <w:shd w:val="clear" w:color="auto" w:fill="FFFFFF"/>
          </w:tcPr>
          <w:p w:rsidR="005873DF" w:rsidRPr="00DB26FF" w:rsidRDefault="005873DF" w:rsidP="005873DF">
            <w:pPr>
              <w:spacing w:after="0" w:line="240" w:lineRule="auto"/>
              <w:rPr>
                <w:rFonts w:ascii="Times New Roman" w:eastAsia="Calibri" w:hAnsi="Times New Roman" w:cs="Times New Roman"/>
                <w:color w:val="000000"/>
              </w:rPr>
            </w:pPr>
          </w:p>
          <w:p w:rsidR="005873DF" w:rsidRPr="00DB26FF" w:rsidRDefault="005873DF" w:rsidP="005873DF">
            <w:pPr>
              <w:spacing w:after="0" w:line="240" w:lineRule="auto"/>
              <w:rPr>
                <w:rFonts w:ascii="Times New Roman" w:eastAsia="Calibri" w:hAnsi="Times New Roman" w:cs="Times New Roman"/>
                <w:color w:val="000000"/>
                <w:spacing w:val="-2"/>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spacing w:val="-2"/>
              </w:rPr>
              <w:t>informatyzacja</w:t>
            </w:r>
          </w:p>
          <w:p w:rsidR="005873DF" w:rsidRPr="00DB26F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fldChar w:fldCharType="begin">
                <w:ffData>
                  <w:name w:val="Wybór1"/>
                  <w:enabled/>
                  <w:calcOnExit w:val="0"/>
                  <w:checkBox>
                    <w:sizeAuto/>
                    <w:default w:val="0"/>
                  </w:checkBox>
                </w:ffData>
              </w:fldChar>
            </w:r>
            <w:r w:rsidRPr="00DB26FF">
              <w:rPr>
                <w:rFonts w:ascii="Times New Roman" w:eastAsia="Calibri" w:hAnsi="Times New Roman" w:cs="Times New Roman"/>
                <w:color w:val="000000"/>
              </w:rPr>
              <w:instrText xml:space="preserve"> FORMCHECKBOX </w:instrText>
            </w:r>
            <w:r w:rsidR="00DC4BBD">
              <w:rPr>
                <w:rFonts w:ascii="Times New Roman" w:eastAsia="Calibri" w:hAnsi="Times New Roman" w:cs="Times New Roman"/>
                <w:color w:val="000000"/>
              </w:rPr>
            </w:r>
            <w:r w:rsidR="00DC4BBD">
              <w:rPr>
                <w:rFonts w:ascii="Times New Roman" w:eastAsia="Calibri" w:hAnsi="Times New Roman" w:cs="Times New Roman"/>
                <w:color w:val="000000"/>
              </w:rPr>
              <w:fldChar w:fldCharType="separate"/>
            </w:r>
            <w:r w:rsidRPr="00DB26FF">
              <w:rPr>
                <w:rFonts w:ascii="Times New Roman" w:eastAsia="Calibri" w:hAnsi="Times New Roman" w:cs="Times New Roman"/>
                <w:color w:val="000000"/>
              </w:rPr>
              <w:fldChar w:fldCharType="end"/>
            </w:r>
            <w:r w:rsidRPr="00DB26FF">
              <w:rPr>
                <w:rFonts w:ascii="Times New Roman" w:eastAsia="Calibri" w:hAnsi="Times New Roman" w:cs="Times New Roman"/>
                <w:color w:val="000000"/>
                <w:sz w:val="20"/>
                <w:szCs w:val="20"/>
              </w:rPr>
              <w:t xml:space="preserve"> </w:t>
            </w:r>
            <w:r w:rsidRPr="00DB26FF">
              <w:rPr>
                <w:rFonts w:ascii="Times New Roman" w:eastAsia="Calibri" w:hAnsi="Times New Roman" w:cs="Times New Roman"/>
                <w:color w:val="000000"/>
                <w:spacing w:val="-2"/>
              </w:rPr>
              <w:t>zdrowie</w:t>
            </w:r>
          </w:p>
        </w:tc>
      </w:tr>
      <w:tr w:rsidR="005873DF" w:rsidRPr="00DB26FF" w:rsidTr="000356FB">
        <w:trPr>
          <w:gridAfter w:val="1"/>
          <w:wAfter w:w="20" w:type="dxa"/>
          <w:trHeight w:val="409"/>
        </w:trPr>
        <w:tc>
          <w:tcPr>
            <w:tcW w:w="1560" w:type="dxa"/>
            <w:shd w:val="clear" w:color="auto" w:fill="FFFFFF"/>
            <w:vAlign w:val="center"/>
          </w:tcPr>
          <w:p w:rsidR="005873DF" w:rsidRPr="00DB26FF" w:rsidRDefault="005873DF" w:rsidP="005873DF">
            <w:pPr>
              <w:spacing w:after="0" w:line="240" w:lineRule="auto"/>
              <w:rPr>
                <w:rFonts w:ascii="Times New Roman" w:eastAsia="Calibri" w:hAnsi="Times New Roman" w:cs="Times New Roman"/>
                <w:color w:val="000000"/>
              </w:rPr>
            </w:pPr>
            <w:r w:rsidRPr="00DB26FF">
              <w:rPr>
                <w:rFonts w:ascii="Times New Roman" w:eastAsia="Calibri" w:hAnsi="Times New Roman" w:cs="Times New Roman"/>
                <w:color w:val="000000"/>
              </w:rPr>
              <w:t>Omówienie wpływu</w:t>
            </w:r>
          </w:p>
        </w:tc>
        <w:tc>
          <w:tcPr>
            <w:tcW w:w="9508" w:type="dxa"/>
            <w:gridSpan w:val="23"/>
            <w:shd w:val="clear" w:color="auto" w:fill="FFFFFF"/>
            <w:vAlign w:val="center"/>
          </w:tcPr>
          <w:p w:rsidR="005873DF" w:rsidRPr="00DB26FF" w:rsidRDefault="005873DF" w:rsidP="005873DF">
            <w:pPr>
              <w:spacing w:after="0" w:line="240" w:lineRule="auto"/>
              <w:jc w:val="both"/>
              <w:rPr>
                <w:rFonts w:ascii="Times New Roman" w:eastAsia="Calibri" w:hAnsi="Times New Roman" w:cs="Times New Roman"/>
                <w:color w:val="000000"/>
                <w:spacing w:val="-2"/>
              </w:rPr>
            </w:pPr>
            <w:r w:rsidRPr="00DB26FF">
              <w:rPr>
                <w:rFonts w:ascii="Times New Roman" w:eastAsia="Calibri" w:hAnsi="Times New Roman" w:cs="Times New Roman"/>
                <w:color w:val="000000"/>
              </w:rPr>
              <w:t xml:space="preserve">Zmiana nie ma wpływu na wskazane obszary. </w:t>
            </w:r>
          </w:p>
        </w:tc>
      </w:tr>
      <w:tr w:rsidR="005873DF" w:rsidRPr="00DB26FF" w:rsidTr="000356FB">
        <w:trPr>
          <w:gridAfter w:val="1"/>
          <w:wAfter w:w="20" w:type="dxa"/>
          <w:trHeight w:val="142"/>
        </w:trPr>
        <w:tc>
          <w:tcPr>
            <w:tcW w:w="11068" w:type="dxa"/>
            <w:gridSpan w:val="24"/>
            <w:shd w:val="clear" w:color="auto" w:fill="99CCFF"/>
          </w:tcPr>
          <w:p w:rsidR="005873DF" w:rsidRPr="00DB26FF" w:rsidRDefault="005873DF" w:rsidP="005873DF">
            <w:pPr>
              <w:numPr>
                <w:ilvl w:val="0"/>
                <w:numId w:val="1"/>
              </w:numPr>
              <w:spacing w:before="60" w:after="60" w:line="240" w:lineRule="auto"/>
              <w:ind w:left="318" w:hanging="284"/>
              <w:jc w:val="both"/>
              <w:rPr>
                <w:rFonts w:ascii="Times New Roman" w:eastAsia="Calibri" w:hAnsi="Times New Roman" w:cs="Times New Roman"/>
                <w:b/>
              </w:rPr>
            </w:pPr>
            <w:r w:rsidRPr="00DB26FF">
              <w:rPr>
                <w:rFonts w:ascii="Times New Roman" w:eastAsia="Calibri" w:hAnsi="Times New Roman" w:cs="Times New Roman"/>
                <w:b/>
                <w:spacing w:val="-2"/>
                <w:sz w:val="21"/>
                <w:szCs w:val="21"/>
              </w:rPr>
              <w:t>Planowane wykonanie przepisów aktu prawnego</w:t>
            </w:r>
          </w:p>
        </w:tc>
      </w:tr>
      <w:tr w:rsidR="005873DF" w:rsidRPr="00DB26FF" w:rsidTr="000356FB">
        <w:trPr>
          <w:gridAfter w:val="1"/>
          <w:wAfter w:w="20" w:type="dxa"/>
          <w:trHeight w:val="142"/>
        </w:trPr>
        <w:tc>
          <w:tcPr>
            <w:tcW w:w="11068" w:type="dxa"/>
            <w:gridSpan w:val="24"/>
            <w:shd w:val="clear" w:color="auto" w:fill="FFFFFF"/>
          </w:tcPr>
          <w:p w:rsidR="005873DF" w:rsidRPr="00DB26FF" w:rsidRDefault="005873DF" w:rsidP="005873DF">
            <w:pPr>
              <w:suppressAutoHyphens/>
              <w:autoSpaceDE w:val="0"/>
              <w:autoSpaceDN w:val="0"/>
              <w:adjustRightInd w:val="0"/>
              <w:spacing w:before="120" w:after="0" w:line="240" w:lineRule="auto"/>
              <w:jc w:val="both"/>
              <w:rPr>
                <w:rFonts w:ascii="Times New Roman" w:eastAsia="Times New Roman" w:hAnsi="Times New Roman" w:cs="Times New Roman"/>
                <w:lang w:eastAsia="pl-PL"/>
              </w:rPr>
            </w:pPr>
            <w:r w:rsidRPr="00DB26FF">
              <w:rPr>
                <w:rFonts w:ascii="Times New Roman" w:eastAsia="Times New Roman" w:hAnsi="Times New Roman" w:cs="Times New Roman"/>
                <w:lang w:eastAsia="pl-PL"/>
              </w:rPr>
              <w:t xml:space="preserve">Proponuje się, by rozporządzenie weszło w życie z dniem 1 </w:t>
            </w:r>
            <w:r>
              <w:rPr>
                <w:rFonts w:ascii="Times New Roman" w:eastAsia="Times New Roman" w:hAnsi="Times New Roman" w:cs="Times New Roman"/>
                <w:lang w:eastAsia="pl-PL"/>
              </w:rPr>
              <w:t>marca</w:t>
            </w:r>
            <w:r w:rsidRPr="00DB26FF">
              <w:rPr>
                <w:rFonts w:ascii="Times New Roman" w:eastAsia="Times New Roman" w:hAnsi="Times New Roman" w:cs="Times New Roman"/>
                <w:lang w:eastAsia="pl-PL"/>
              </w:rPr>
              <w:t xml:space="preserve"> 2022 r. </w:t>
            </w:r>
          </w:p>
        </w:tc>
      </w:tr>
      <w:tr w:rsidR="005873DF" w:rsidRPr="00DB26FF" w:rsidTr="000356FB">
        <w:trPr>
          <w:gridAfter w:val="1"/>
          <w:wAfter w:w="20" w:type="dxa"/>
          <w:trHeight w:val="142"/>
        </w:trPr>
        <w:tc>
          <w:tcPr>
            <w:tcW w:w="11068" w:type="dxa"/>
            <w:gridSpan w:val="24"/>
            <w:shd w:val="clear" w:color="auto" w:fill="99CCFF"/>
          </w:tcPr>
          <w:p w:rsidR="005873DF" w:rsidRPr="00DB26FF" w:rsidRDefault="005873DF" w:rsidP="005873DF">
            <w:pPr>
              <w:numPr>
                <w:ilvl w:val="0"/>
                <w:numId w:val="1"/>
              </w:numPr>
              <w:spacing w:before="60" w:after="60" w:line="240" w:lineRule="auto"/>
              <w:ind w:left="318" w:hanging="284"/>
              <w:jc w:val="both"/>
              <w:rPr>
                <w:rFonts w:ascii="Times New Roman" w:eastAsia="Calibri" w:hAnsi="Times New Roman" w:cs="Times New Roman"/>
                <w:b/>
                <w:color w:val="000000"/>
              </w:rPr>
            </w:pPr>
            <w:r w:rsidRPr="00DB26FF">
              <w:rPr>
                <w:rFonts w:ascii="Times New Roman" w:eastAsia="Calibri" w:hAnsi="Times New Roman" w:cs="Times New Roman"/>
                <w:b/>
                <w:color w:val="000000"/>
              </w:rPr>
              <w:t xml:space="preserve"> </w:t>
            </w:r>
            <w:r w:rsidRPr="00DB26FF">
              <w:rPr>
                <w:rFonts w:ascii="Times New Roman" w:eastAsia="Calibri" w:hAnsi="Times New Roman" w:cs="Times New Roman"/>
                <w:b/>
                <w:spacing w:val="-2"/>
                <w:sz w:val="21"/>
                <w:szCs w:val="21"/>
              </w:rPr>
              <w:t>W jaki sposób i kiedy nastąpi ewaluacja efektów projektu oraz jakie mierniki zostaną zastosowane?</w:t>
            </w:r>
          </w:p>
        </w:tc>
      </w:tr>
      <w:tr w:rsidR="005873DF" w:rsidRPr="00DB26FF" w:rsidTr="000356FB">
        <w:trPr>
          <w:gridAfter w:val="1"/>
          <w:wAfter w:w="20" w:type="dxa"/>
          <w:trHeight w:val="142"/>
        </w:trPr>
        <w:tc>
          <w:tcPr>
            <w:tcW w:w="11068" w:type="dxa"/>
            <w:gridSpan w:val="24"/>
            <w:shd w:val="clear" w:color="auto" w:fill="FFFFFF"/>
          </w:tcPr>
          <w:p w:rsidR="005873DF" w:rsidRPr="00DB26FF" w:rsidRDefault="005873DF" w:rsidP="005873DF">
            <w:pPr>
              <w:spacing w:after="0" w:line="240" w:lineRule="auto"/>
              <w:jc w:val="both"/>
              <w:rPr>
                <w:rFonts w:ascii="Times New Roman" w:eastAsia="Calibri" w:hAnsi="Times New Roman" w:cs="Times New Roman"/>
                <w:color w:val="000000"/>
                <w:spacing w:val="-2"/>
              </w:rPr>
            </w:pPr>
            <w:r w:rsidRPr="00DB26FF">
              <w:rPr>
                <w:rFonts w:ascii="Times New Roman" w:eastAsia="Calibri" w:hAnsi="Times New Roman" w:cs="Times New Roman"/>
                <w:color w:val="000000"/>
                <w:spacing w:val="-2"/>
              </w:rPr>
              <w:t>Nie dotyczy.</w:t>
            </w:r>
          </w:p>
          <w:p w:rsidR="005873DF" w:rsidRPr="00DB26FF" w:rsidRDefault="005873DF" w:rsidP="005873DF">
            <w:pPr>
              <w:spacing w:after="0" w:line="240" w:lineRule="auto"/>
              <w:jc w:val="both"/>
              <w:rPr>
                <w:rFonts w:ascii="Times New Roman" w:eastAsia="Calibri" w:hAnsi="Times New Roman" w:cs="Times New Roman"/>
                <w:color w:val="000000"/>
                <w:spacing w:val="-2"/>
              </w:rPr>
            </w:pPr>
          </w:p>
        </w:tc>
      </w:tr>
      <w:tr w:rsidR="005873DF" w:rsidRPr="00DB26FF" w:rsidTr="000356FB">
        <w:trPr>
          <w:gridAfter w:val="1"/>
          <w:wAfter w:w="20" w:type="dxa"/>
          <w:trHeight w:val="142"/>
        </w:trPr>
        <w:tc>
          <w:tcPr>
            <w:tcW w:w="11068" w:type="dxa"/>
            <w:gridSpan w:val="24"/>
            <w:shd w:val="clear" w:color="auto" w:fill="99CCFF"/>
          </w:tcPr>
          <w:p w:rsidR="005873DF" w:rsidRPr="00DB26FF" w:rsidRDefault="005873DF" w:rsidP="005873DF">
            <w:pPr>
              <w:numPr>
                <w:ilvl w:val="0"/>
                <w:numId w:val="1"/>
              </w:numPr>
              <w:spacing w:before="60" w:after="60" w:line="240" w:lineRule="auto"/>
              <w:ind w:left="318" w:hanging="284"/>
              <w:jc w:val="both"/>
              <w:rPr>
                <w:rFonts w:ascii="Times New Roman" w:eastAsia="Calibri" w:hAnsi="Times New Roman" w:cs="Times New Roman"/>
                <w:b/>
                <w:color w:val="000000"/>
                <w:spacing w:val="-2"/>
              </w:rPr>
            </w:pPr>
            <w:r w:rsidRPr="00DB26FF">
              <w:rPr>
                <w:rFonts w:ascii="Times New Roman" w:eastAsia="Calibri" w:hAnsi="Times New Roman" w:cs="Times New Roman"/>
                <w:b/>
                <w:color w:val="000000"/>
                <w:spacing w:val="-2"/>
              </w:rPr>
              <w:t xml:space="preserve">Załączniki </w:t>
            </w:r>
            <w:r w:rsidRPr="00DB26FF">
              <w:rPr>
                <w:rFonts w:ascii="Times New Roman" w:eastAsia="Calibri" w:hAnsi="Times New Roman" w:cs="Times New Roman"/>
                <w:b/>
                <w:spacing w:val="-2"/>
                <w:sz w:val="21"/>
                <w:szCs w:val="21"/>
              </w:rPr>
              <w:t>(istotne dokumenty źródłowe, badania, analizy itp.</w:t>
            </w:r>
            <w:r w:rsidRPr="00DB26FF">
              <w:rPr>
                <w:rFonts w:ascii="Times New Roman" w:eastAsia="Calibri" w:hAnsi="Times New Roman" w:cs="Times New Roman"/>
                <w:b/>
                <w:color w:val="000000"/>
                <w:spacing w:val="-2"/>
              </w:rPr>
              <w:t xml:space="preserve">) </w:t>
            </w:r>
          </w:p>
        </w:tc>
      </w:tr>
      <w:tr w:rsidR="005873DF" w:rsidRPr="00DB26FF" w:rsidTr="000356FB">
        <w:trPr>
          <w:gridAfter w:val="1"/>
          <w:wAfter w:w="20" w:type="dxa"/>
          <w:trHeight w:val="142"/>
        </w:trPr>
        <w:tc>
          <w:tcPr>
            <w:tcW w:w="11068" w:type="dxa"/>
            <w:gridSpan w:val="24"/>
            <w:shd w:val="clear" w:color="auto" w:fill="FFFFFF"/>
          </w:tcPr>
          <w:p w:rsidR="005873DF" w:rsidRPr="00DB26FF" w:rsidRDefault="005873DF" w:rsidP="005873DF">
            <w:pPr>
              <w:spacing w:after="0" w:line="240" w:lineRule="auto"/>
              <w:jc w:val="both"/>
              <w:rPr>
                <w:rFonts w:ascii="Times New Roman" w:eastAsia="Calibri" w:hAnsi="Times New Roman" w:cs="Times New Roman"/>
                <w:color w:val="000000"/>
                <w:spacing w:val="-2"/>
              </w:rPr>
            </w:pPr>
          </w:p>
        </w:tc>
      </w:tr>
    </w:tbl>
    <w:p w:rsidR="00437D8E" w:rsidRDefault="00437D8E"/>
    <w:sectPr w:rsidR="00437D8E" w:rsidSect="00857880">
      <w:pgSz w:w="11906" w:h="16838"/>
      <w:pgMar w:top="567" w:right="709" w:bottom="567" w:left="720" w:header="709" w:footer="2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4131"/>
    <w:multiLevelType w:val="hybridMultilevel"/>
    <w:tmpl w:val="18724D38"/>
    <w:lvl w:ilvl="0" w:tplc="3A22ADC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3762CA"/>
    <w:multiLevelType w:val="hybridMultilevel"/>
    <w:tmpl w:val="3482EABA"/>
    <w:lvl w:ilvl="0" w:tplc="EFD67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ECF5135"/>
    <w:multiLevelType w:val="hybridMultilevel"/>
    <w:tmpl w:val="869ED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FF"/>
    <w:rsid w:val="000356FB"/>
    <w:rsid w:val="0009008A"/>
    <w:rsid w:val="000A047A"/>
    <w:rsid w:val="000C2BBF"/>
    <w:rsid w:val="001C7B51"/>
    <w:rsid w:val="00203768"/>
    <w:rsid w:val="002275F2"/>
    <w:rsid w:val="0024104A"/>
    <w:rsid w:val="0027769C"/>
    <w:rsid w:val="002860F6"/>
    <w:rsid w:val="002A5D24"/>
    <w:rsid w:val="002B5CAE"/>
    <w:rsid w:val="00327A83"/>
    <w:rsid w:val="00352917"/>
    <w:rsid w:val="00363B7A"/>
    <w:rsid w:val="004137CB"/>
    <w:rsid w:val="00433F43"/>
    <w:rsid w:val="00437D8E"/>
    <w:rsid w:val="00451BDF"/>
    <w:rsid w:val="00453162"/>
    <w:rsid w:val="00497C6F"/>
    <w:rsid w:val="004E34D7"/>
    <w:rsid w:val="004E50C7"/>
    <w:rsid w:val="00505F85"/>
    <w:rsid w:val="005873DF"/>
    <w:rsid w:val="00587B0E"/>
    <w:rsid w:val="005A5924"/>
    <w:rsid w:val="005D5A40"/>
    <w:rsid w:val="00627D7A"/>
    <w:rsid w:val="00634B34"/>
    <w:rsid w:val="00667187"/>
    <w:rsid w:val="007110CF"/>
    <w:rsid w:val="007C3B98"/>
    <w:rsid w:val="00857880"/>
    <w:rsid w:val="00896E34"/>
    <w:rsid w:val="008B428B"/>
    <w:rsid w:val="008F3CFE"/>
    <w:rsid w:val="00916AAE"/>
    <w:rsid w:val="00975A17"/>
    <w:rsid w:val="00AA1EF5"/>
    <w:rsid w:val="00AA4912"/>
    <w:rsid w:val="00AB5618"/>
    <w:rsid w:val="00B0518F"/>
    <w:rsid w:val="00B223BE"/>
    <w:rsid w:val="00B4265B"/>
    <w:rsid w:val="00BD3BDB"/>
    <w:rsid w:val="00C146DA"/>
    <w:rsid w:val="00C60F7E"/>
    <w:rsid w:val="00C71479"/>
    <w:rsid w:val="00C84113"/>
    <w:rsid w:val="00CB2826"/>
    <w:rsid w:val="00CC3CE7"/>
    <w:rsid w:val="00CF6C43"/>
    <w:rsid w:val="00D1499A"/>
    <w:rsid w:val="00D53C70"/>
    <w:rsid w:val="00D61F7D"/>
    <w:rsid w:val="00DA13D3"/>
    <w:rsid w:val="00DA2BC7"/>
    <w:rsid w:val="00DB26FF"/>
    <w:rsid w:val="00DC4BBD"/>
    <w:rsid w:val="00E54037"/>
    <w:rsid w:val="00EC1D65"/>
    <w:rsid w:val="00ED4A0F"/>
    <w:rsid w:val="00EE7290"/>
    <w:rsid w:val="00EF6023"/>
    <w:rsid w:val="00F00444"/>
    <w:rsid w:val="00F3598E"/>
    <w:rsid w:val="00F64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46859-FDEE-480A-AEBC-C97142F0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49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912"/>
    <w:rPr>
      <w:rFonts w:ascii="Segoe UI" w:hAnsi="Segoe UI" w:cs="Segoe UI"/>
      <w:sz w:val="18"/>
      <w:szCs w:val="18"/>
    </w:rPr>
  </w:style>
  <w:style w:type="paragraph" w:customStyle="1" w:styleId="ARTartustawynprozporzdzenia">
    <w:name w:val="ART(§) – art. ustawy (§ np. rozporządzenia)"/>
    <w:uiPriority w:val="11"/>
    <w:qFormat/>
    <w:rsid w:val="00B223B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223BE"/>
    <w:rPr>
      <w:bCs/>
    </w:rPr>
  </w:style>
  <w:style w:type="paragraph" w:styleId="Akapitzlist">
    <w:name w:val="List Paragraph"/>
    <w:basedOn w:val="Normalny"/>
    <w:uiPriority w:val="34"/>
    <w:qFormat/>
    <w:rsid w:val="00B223BE"/>
    <w:pPr>
      <w:ind w:left="720"/>
      <w:contextualSpacing/>
    </w:pPr>
  </w:style>
  <w:style w:type="paragraph" w:customStyle="1" w:styleId="ZUSTzmustartykuempunktem">
    <w:name w:val="Z/UST(§) – zm. ust. (§) artykułem (punktem)"/>
    <w:basedOn w:val="Normalny"/>
    <w:uiPriority w:val="30"/>
    <w:qFormat/>
    <w:rsid w:val="00587B0E"/>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94319">
      <w:bodyDiv w:val="1"/>
      <w:marLeft w:val="0"/>
      <w:marRight w:val="0"/>
      <w:marTop w:val="0"/>
      <w:marBottom w:val="0"/>
      <w:divBdr>
        <w:top w:val="none" w:sz="0" w:space="0" w:color="auto"/>
        <w:left w:val="none" w:sz="0" w:space="0" w:color="auto"/>
        <w:bottom w:val="none" w:sz="0" w:space="0" w:color="auto"/>
        <w:right w:val="none" w:sz="0" w:space="0" w:color="auto"/>
      </w:divBdr>
    </w:div>
    <w:div w:id="9187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2319</Words>
  <Characters>13914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Okułowicz</dc:creator>
  <cp:keywords/>
  <dc:description/>
  <cp:lastModifiedBy>Tomasz Zebrowski</cp:lastModifiedBy>
  <cp:revision>16</cp:revision>
  <dcterms:created xsi:type="dcterms:W3CDTF">2022-01-25T09:50:00Z</dcterms:created>
  <dcterms:modified xsi:type="dcterms:W3CDTF">2022-01-27T14:08:00Z</dcterms:modified>
</cp:coreProperties>
</file>