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3"/>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5115"/>
      </w:tblGrid>
      <w:tr w:rsidR="007F6E22" w:rsidRPr="006B0816" w14:paraId="069ACF38" w14:textId="77777777" w:rsidTr="007B5AC5">
        <w:trPr>
          <w:trHeight w:val="1611"/>
        </w:trPr>
        <w:tc>
          <w:tcPr>
            <w:tcW w:w="7878" w:type="dxa"/>
            <w:gridSpan w:val="17"/>
          </w:tcPr>
          <w:p w14:paraId="22EC2449" w14:textId="77777777" w:rsidR="007F6E22" w:rsidRPr="00723D1D" w:rsidRDefault="007F6E22" w:rsidP="007B5AC5">
            <w:pPr>
              <w:spacing w:before="120" w:after="0" w:line="240" w:lineRule="auto"/>
              <w:ind w:left="-63" w:right="-4851" w:firstLine="63"/>
              <w:rPr>
                <w:rFonts w:ascii="Times New Roman" w:eastAsia="Calibri" w:hAnsi="Times New Roman" w:cs="Times New Roman"/>
                <w:color w:val="000000"/>
              </w:rPr>
            </w:pPr>
            <w:bookmarkStart w:id="0" w:name="t1"/>
            <w:r w:rsidRPr="00723D1D">
              <w:rPr>
                <w:rFonts w:ascii="Times New Roman" w:eastAsia="Calibri" w:hAnsi="Times New Roman" w:cs="Times New Roman"/>
                <w:b/>
                <w:color w:val="000000"/>
              </w:rPr>
              <w:t>Nazwa projektu</w:t>
            </w:r>
          </w:p>
          <w:p w14:paraId="5838D31E" w14:textId="77777777" w:rsidR="007F6E22" w:rsidRPr="00723D1D" w:rsidRDefault="007F6E22" w:rsidP="007B5AC5">
            <w:pPr>
              <w:spacing w:after="0" w:line="240" w:lineRule="auto"/>
              <w:ind w:hanging="34"/>
              <w:jc w:val="both"/>
              <w:rPr>
                <w:rFonts w:ascii="Times New Roman" w:hAnsi="Times New Roman" w:cs="Times New Roman"/>
                <w:kern w:val="24"/>
                <w:lang w:eastAsia="pl-PL"/>
              </w:rPr>
            </w:pPr>
            <w:r w:rsidRPr="00723D1D">
              <w:rPr>
                <w:rFonts w:ascii="Times New Roman" w:eastAsia="Calibri" w:hAnsi="Times New Roman" w:cs="Times New Roman"/>
                <w:color w:val="000000"/>
              </w:rPr>
              <w:t xml:space="preserve">Projekt rozporządzenia Ministra Klimatu i Środowiska w sprawie </w:t>
            </w:r>
            <w:r w:rsidRPr="00723D1D">
              <w:rPr>
                <w:rFonts w:ascii="Times New Roman" w:hAnsi="Times New Roman" w:cs="Times New Roman"/>
              </w:rPr>
              <w:t>szczegółowych zasad stwierdzania posiadania kwalifikacji przez osoby zajmujące się eksploatacją urządzeń, instalacji lub sieci</w:t>
            </w:r>
            <w:r w:rsidRPr="00723D1D">
              <w:rPr>
                <w:rFonts w:ascii="Times New Roman" w:hAnsi="Times New Roman" w:cs="Times New Roman"/>
                <w:kern w:val="24"/>
                <w:lang w:eastAsia="pl-PL"/>
              </w:rPr>
              <w:t xml:space="preserve"> </w:t>
            </w:r>
            <w:bookmarkEnd w:id="0"/>
          </w:p>
          <w:p w14:paraId="1708147F" w14:textId="77777777" w:rsidR="007F6E22" w:rsidRPr="00723D1D" w:rsidRDefault="007F6E22" w:rsidP="007B5AC5">
            <w:pPr>
              <w:spacing w:after="0" w:line="240" w:lineRule="auto"/>
              <w:ind w:hanging="34"/>
              <w:rPr>
                <w:rFonts w:ascii="Times New Roman" w:hAnsi="Times New Roman" w:cs="Times New Roman"/>
                <w:b/>
                <w:bCs/>
                <w:kern w:val="24"/>
                <w:lang w:eastAsia="pl-PL"/>
              </w:rPr>
            </w:pPr>
          </w:p>
          <w:p w14:paraId="2C070383" w14:textId="77777777" w:rsidR="007F6E22" w:rsidRPr="00723D1D" w:rsidRDefault="007F6E22" w:rsidP="007B5AC5">
            <w:pPr>
              <w:spacing w:after="0" w:line="240" w:lineRule="auto"/>
              <w:ind w:hanging="34"/>
              <w:rPr>
                <w:rFonts w:ascii="Times New Roman" w:eastAsia="Calibri" w:hAnsi="Times New Roman" w:cs="Times New Roman"/>
                <w:color w:val="000000"/>
              </w:rPr>
            </w:pPr>
            <w:r w:rsidRPr="00723D1D">
              <w:rPr>
                <w:rFonts w:ascii="Times New Roman" w:eastAsia="Calibri" w:hAnsi="Times New Roman" w:cs="Times New Roman"/>
                <w:color w:val="000000"/>
              </w:rPr>
              <w:t>Ministerstwo Klimatu i Środowiska</w:t>
            </w:r>
          </w:p>
          <w:p w14:paraId="241E74FC" w14:textId="77777777" w:rsidR="007F6E22" w:rsidRPr="00723D1D" w:rsidRDefault="007F6E22" w:rsidP="007B5AC5">
            <w:pPr>
              <w:spacing w:after="0" w:line="240" w:lineRule="auto"/>
              <w:rPr>
                <w:rFonts w:ascii="Times New Roman" w:eastAsia="Calibri" w:hAnsi="Times New Roman" w:cs="Times New Roman"/>
                <w:b/>
              </w:rPr>
            </w:pPr>
            <w:r w:rsidRPr="00723D1D">
              <w:rPr>
                <w:rFonts w:ascii="Times New Roman" w:eastAsia="Calibri" w:hAnsi="Times New Roman" w:cs="Times New Roman"/>
                <w:b/>
              </w:rPr>
              <w:t xml:space="preserve">Osoba odpowiedzialna za projekt w randze Ministra, Sekretarza Stanu lub Podsekretarza Stanu </w:t>
            </w:r>
          </w:p>
          <w:p w14:paraId="3F7AAA75" w14:textId="77777777" w:rsidR="007F6E22" w:rsidRPr="00723D1D" w:rsidRDefault="007F6E22" w:rsidP="007B5AC5">
            <w:pPr>
              <w:spacing w:after="0" w:line="240" w:lineRule="auto"/>
              <w:rPr>
                <w:rFonts w:ascii="Times New Roman" w:eastAsia="Calibri" w:hAnsi="Times New Roman" w:cs="Times New Roman"/>
              </w:rPr>
            </w:pPr>
            <w:r w:rsidRPr="00723D1D">
              <w:rPr>
                <w:rFonts w:ascii="Times New Roman" w:eastAsia="Calibri" w:hAnsi="Times New Roman" w:cs="Times New Roman"/>
              </w:rPr>
              <w:t>Pan Piotr Dziadzio</w:t>
            </w:r>
          </w:p>
          <w:p w14:paraId="5FEA2C35" w14:textId="77777777" w:rsidR="007F6E22" w:rsidRPr="00723D1D" w:rsidRDefault="007F6E22" w:rsidP="007B5AC5">
            <w:pPr>
              <w:spacing w:after="0" w:line="240" w:lineRule="auto"/>
              <w:rPr>
                <w:rFonts w:ascii="Times New Roman" w:eastAsia="Calibri" w:hAnsi="Times New Roman" w:cs="Times New Roman"/>
              </w:rPr>
            </w:pPr>
            <w:r w:rsidRPr="00723D1D">
              <w:rPr>
                <w:rFonts w:ascii="Times New Roman" w:eastAsia="Calibri" w:hAnsi="Times New Roman" w:cs="Times New Roman"/>
              </w:rPr>
              <w:t>Podsekretarz Stanu w Ministerstwie Klimatu i Środowiska</w:t>
            </w:r>
          </w:p>
          <w:p w14:paraId="35AEE810" w14:textId="77777777" w:rsidR="007F6E22" w:rsidRPr="00723D1D" w:rsidRDefault="007F6E22" w:rsidP="007B5AC5">
            <w:pPr>
              <w:spacing w:before="120" w:after="0" w:line="240" w:lineRule="auto"/>
              <w:ind w:hanging="45"/>
              <w:rPr>
                <w:rFonts w:ascii="Times New Roman" w:eastAsia="Calibri" w:hAnsi="Times New Roman" w:cs="Times New Roman"/>
                <w:b/>
                <w:color w:val="000000"/>
              </w:rPr>
            </w:pPr>
            <w:r w:rsidRPr="00723D1D">
              <w:rPr>
                <w:rFonts w:ascii="Times New Roman" w:eastAsia="Calibri" w:hAnsi="Times New Roman" w:cs="Times New Roman"/>
                <w:b/>
                <w:color w:val="000000"/>
              </w:rPr>
              <w:t>Kontakt do opiekuna merytorycznego projektu</w:t>
            </w:r>
          </w:p>
          <w:p w14:paraId="12097C7E" w14:textId="77777777" w:rsidR="007F6E22" w:rsidRPr="00723D1D" w:rsidRDefault="007F6E22" w:rsidP="007B5AC5">
            <w:pPr>
              <w:spacing w:after="0" w:line="240" w:lineRule="auto"/>
              <w:ind w:hanging="34"/>
              <w:rPr>
                <w:rFonts w:ascii="Times New Roman" w:eastAsia="Calibri" w:hAnsi="Times New Roman" w:cs="Times New Roman"/>
                <w:color w:val="000000"/>
              </w:rPr>
            </w:pPr>
            <w:r w:rsidRPr="00723D1D">
              <w:rPr>
                <w:rFonts w:ascii="Times New Roman" w:eastAsia="Calibri" w:hAnsi="Times New Roman" w:cs="Times New Roman"/>
                <w:color w:val="000000"/>
              </w:rPr>
              <w:t xml:space="preserve">Pan Janusz </w:t>
            </w:r>
            <w:proofErr w:type="spellStart"/>
            <w:r w:rsidRPr="00723D1D">
              <w:rPr>
                <w:rFonts w:ascii="Times New Roman" w:eastAsia="Calibri" w:hAnsi="Times New Roman" w:cs="Times New Roman"/>
                <w:color w:val="000000"/>
              </w:rPr>
              <w:t>Pilitowski</w:t>
            </w:r>
            <w:proofErr w:type="spellEnd"/>
          </w:p>
          <w:p w14:paraId="10F9969D" w14:textId="77777777" w:rsidR="007F6E22" w:rsidRPr="00723D1D" w:rsidRDefault="007F6E22" w:rsidP="007B5AC5">
            <w:pPr>
              <w:spacing w:after="0" w:line="240" w:lineRule="auto"/>
              <w:ind w:hanging="34"/>
              <w:rPr>
                <w:rFonts w:ascii="Times New Roman" w:eastAsia="Calibri" w:hAnsi="Times New Roman" w:cs="Times New Roman"/>
                <w:color w:val="000000"/>
              </w:rPr>
            </w:pPr>
            <w:r w:rsidRPr="00723D1D">
              <w:rPr>
                <w:rFonts w:ascii="Times New Roman" w:eastAsia="Calibri" w:hAnsi="Times New Roman" w:cs="Times New Roman"/>
                <w:color w:val="000000"/>
              </w:rPr>
              <w:t>Departament Elektroenergetyki i Gazu</w:t>
            </w:r>
          </w:p>
          <w:p w14:paraId="5213B849" w14:textId="77777777" w:rsidR="007F6E22" w:rsidRPr="00723D1D" w:rsidRDefault="007F6E22" w:rsidP="007B5AC5">
            <w:pPr>
              <w:spacing w:after="0" w:line="240" w:lineRule="auto"/>
              <w:ind w:hanging="34"/>
              <w:rPr>
                <w:rFonts w:ascii="Times New Roman" w:eastAsia="Calibri" w:hAnsi="Times New Roman" w:cs="Times New Roman"/>
                <w:color w:val="000000"/>
              </w:rPr>
            </w:pPr>
            <w:r w:rsidRPr="00723D1D">
              <w:rPr>
                <w:rFonts w:ascii="Times New Roman" w:eastAsia="Calibri" w:hAnsi="Times New Roman" w:cs="Times New Roman"/>
                <w:color w:val="000000"/>
              </w:rPr>
              <w:t>Tel: 22 369 10 76, e-mail: janusz.pilitowski@klimat.gov.pl</w:t>
            </w:r>
          </w:p>
        </w:tc>
        <w:tc>
          <w:tcPr>
            <w:tcW w:w="7999" w:type="dxa"/>
            <w:gridSpan w:val="12"/>
            <w:shd w:val="clear" w:color="auto" w:fill="FFFFFF"/>
          </w:tcPr>
          <w:p w14:paraId="5991ABA6" w14:textId="6E6EEA24" w:rsidR="007F6E22" w:rsidRPr="006B0816" w:rsidRDefault="007F6E22" w:rsidP="007B5AC5">
            <w:pPr>
              <w:spacing w:after="0" w:line="240" w:lineRule="auto"/>
              <w:rPr>
                <w:rFonts w:ascii="Times New Roman" w:eastAsia="Calibri" w:hAnsi="Times New Roman" w:cs="Times New Roman"/>
                <w:b/>
                <w:sz w:val="21"/>
                <w:szCs w:val="21"/>
              </w:rPr>
            </w:pPr>
            <w:r w:rsidRPr="006B0816">
              <w:rPr>
                <w:rFonts w:ascii="Times New Roman" w:eastAsia="Calibri" w:hAnsi="Times New Roman" w:cs="Times New Roman"/>
                <w:b/>
                <w:sz w:val="21"/>
                <w:szCs w:val="21"/>
              </w:rPr>
              <w:t>Data sporządzenia</w:t>
            </w:r>
            <w:r w:rsidRPr="006B0816">
              <w:rPr>
                <w:rFonts w:ascii="Times New Roman" w:eastAsia="Calibri" w:hAnsi="Times New Roman" w:cs="Times New Roman"/>
                <w:b/>
                <w:sz w:val="21"/>
                <w:szCs w:val="21"/>
              </w:rPr>
              <w:br/>
            </w:r>
            <w:r w:rsidR="00723D1D">
              <w:rPr>
                <w:rFonts w:ascii="Times New Roman" w:eastAsia="Calibri" w:hAnsi="Times New Roman" w:cs="Times New Roman"/>
                <w:sz w:val="21"/>
                <w:szCs w:val="21"/>
              </w:rPr>
              <w:t>17.01.</w:t>
            </w:r>
            <w:r w:rsidRPr="006B0816">
              <w:rPr>
                <w:rFonts w:ascii="Times New Roman" w:eastAsia="Calibri" w:hAnsi="Times New Roman" w:cs="Times New Roman"/>
                <w:sz w:val="21"/>
                <w:szCs w:val="21"/>
              </w:rPr>
              <w:t>202</w:t>
            </w:r>
            <w:r w:rsidR="00723D1D">
              <w:rPr>
                <w:rFonts w:ascii="Times New Roman" w:eastAsia="Calibri" w:hAnsi="Times New Roman" w:cs="Times New Roman"/>
                <w:sz w:val="21"/>
                <w:szCs w:val="21"/>
              </w:rPr>
              <w:t>2</w:t>
            </w:r>
            <w:r w:rsidRPr="006B0816">
              <w:rPr>
                <w:rFonts w:ascii="Times New Roman" w:eastAsia="Calibri" w:hAnsi="Times New Roman" w:cs="Times New Roman"/>
                <w:sz w:val="21"/>
                <w:szCs w:val="21"/>
              </w:rPr>
              <w:t xml:space="preserve"> r.</w:t>
            </w:r>
          </w:p>
          <w:p w14:paraId="4472E50F" w14:textId="77777777" w:rsidR="007F6E22" w:rsidRPr="006B0816" w:rsidRDefault="007F6E22" w:rsidP="007B5AC5">
            <w:pPr>
              <w:spacing w:after="0" w:line="240" w:lineRule="auto"/>
              <w:rPr>
                <w:rFonts w:ascii="Times New Roman" w:eastAsia="Calibri" w:hAnsi="Times New Roman" w:cs="Times New Roman"/>
                <w:b/>
              </w:rPr>
            </w:pPr>
          </w:p>
          <w:p w14:paraId="06CA3D8E" w14:textId="77777777" w:rsidR="007F6E22" w:rsidRPr="006B0816" w:rsidRDefault="007F6E22" w:rsidP="007B5AC5">
            <w:pPr>
              <w:spacing w:after="0" w:line="240" w:lineRule="auto"/>
              <w:rPr>
                <w:rFonts w:ascii="Times New Roman" w:eastAsia="Calibri" w:hAnsi="Times New Roman" w:cs="Times New Roman"/>
                <w:b/>
                <w:sz w:val="20"/>
                <w:szCs w:val="20"/>
              </w:rPr>
            </w:pPr>
            <w:r w:rsidRPr="006B0816">
              <w:rPr>
                <w:rFonts w:ascii="Times New Roman" w:eastAsia="Calibri" w:hAnsi="Times New Roman" w:cs="Times New Roman"/>
                <w:b/>
              </w:rPr>
              <w:t xml:space="preserve">Źródło: </w:t>
            </w:r>
            <w:bookmarkStart w:id="1" w:name="Lista1"/>
          </w:p>
          <w:bookmarkEnd w:id="1"/>
          <w:p w14:paraId="17A8208B" w14:textId="77777777" w:rsidR="007F6E22" w:rsidRPr="006B0816" w:rsidRDefault="007F6E22" w:rsidP="007B5AC5">
            <w:pPr>
              <w:spacing w:after="0" w:line="240" w:lineRule="auto"/>
              <w:rPr>
                <w:rFonts w:ascii="Times New Roman" w:eastAsia="Calibri" w:hAnsi="Times New Roman" w:cs="Times New Roman"/>
                <w:sz w:val="20"/>
                <w:szCs w:val="20"/>
              </w:rPr>
            </w:pPr>
            <w:r w:rsidRPr="006B0816">
              <w:rPr>
                <w:rFonts w:ascii="Times New Roman" w:eastAsia="Calibri" w:hAnsi="Times New Roman" w:cs="Times New Roman"/>
                <w:sz w:val="20"/>
                <w:szCs w:val="20"/>
              </w:rPr>
              <w:t xml:space="preserve">Art. 54 ust. 6 </w:t>
            </w:r>
            <w:bookmarkStart w:id="2" w:name="_Hlk52960917"/>
            <w:r w:rsidRPr="006B0816">
              <w:rPr>
                <w:rFonts w:ascii="Times New Roman" w:eastAsia="Calibri" w:hAnsi="Times New Roman" w:cs="Times New Roman"/>
                <w:sz w:val="20"/>
                <w:szCs w:val="20"/>
              </w:rPr>
              <w:t>ustawy z dnia 10 kwietnia 1997 r. – Prawo energetyczne</w:t>
            </w:r>
          </w:p>
          <w:bookmarkEnd w:id="2"/>
          <w:p w14:paraId="27F53190" w14:textId="77777777" w:rsidR="007F6E22" w:rsidRPr="006B0816" w:rsidRDefault="007F6E22" w:rsidP="007B5AC5">
            <w:pPr>
              <w:spacing w:after="0" w:line="240" w:lineRule="auto"/>
              <w:rPr>
                <w:rFonts w:ascii="Times New Roman" w:eastAsia="Calibri" w:hAnsi="Times New Roman" w:cs="Times New Roman"/>
              </w:rPr>
            </w:pPr>
          </w:p>
          <w:p w14:paraId="047B3C94" w14:textId="77777777" w:rsidR="007F6E22" w:rsidRPr="006B0816" w:rsidRDefault="007F6E22" w:rsidP="007B5AC5">
            <w:pPr>
              <w:spacing w:before="120" w:after="0" w:line="240" w:lineRule="auto"/>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 xml:space="preserve">Nr w wykazie prac legislacyjnych Ministra Klimatu i Środowiska: </w:t>
            </w:r>
          </w:p>
          <w:p w14:paraId="06CFB663" w14:textId="77777777" w:rsidR="007F6E22" w:rsidRPr="006B0816" w:rsidRDefault="007F6E22" w:rsidP="007B5AC5">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734</w:t>
            </w:r>
          </w:p>
          <w:p w14:paraId="6994A56A" w14:textId="77777777" w:rsidR="007F6E22" w:rsidRPr="006B0816" w:rsidRDefault="007F6E22" w:rsidP="007B5AC5">
            <w:pPr>
              <w:spacing w:after="0" w:line="240" w:lineRule="auto"/>
              <w:rPr>
                <w:rFonts w:ascii="Times New Roman" w:eastAsia="Calibri" w:hAnsi="Times New Roman" w:cs="Times New Roman"/>
                <w:color w:val="000000"/>
                <w:sz w:val="28"/>
                <w:szCs w:val="28"/>
              </w:rPr>
            </w:pPr>
          </w:p>
        </w:tc>
      </w:tr>
      <w:tr w:rsidR="007F6E22" w:rsidRPr="006B0816" w14:paraId="7DFB5354" w14:textId="77777777" w:rsidTr="007B5AC5">
        <w:trPr>
          <w:trHeight w:val="142"/>
        </w:trPr>
        <w:tc>
          <w:tcPr>
            <w:tcW w:w="15877" w:type="dxa"/>
            <w:gridSpan w:val="29"/>
            <w:shd w:val="clear" w:color="auto" w:fill="99CCFF"/>
          </w:tcPr>
          <w:p w14:paraId="7C0C468C" w14:textId="77777777" w:rsidR="007F6E22" w:rsidRPr="006B0816" w:rsidRDefault="007F6E22" w:rsidP="007B5AC5">
            <w:pPr>
              <w:spacing w:after="0" w:line="240" w:lineRule="auto"/>
              <w:ind w:left="57"/>
              <w:jc w:val="center"/>
              <w:rPr>
                <w:rFonts w:ascii="Times New Roman" w:eastAsia="Calibri" w:hAnsi="Times New Roman" w:cs="Times New Roman"/>
                <w:b/>
                <w:color w:val="FFFFFF"/>
                <w:sz w:val="32"/>
                <w:szCs w:val="32"/>
              </w:rPr>
            </w:pPr>
            <w:r w:rsidRPr="006B0816">
              <w:rPr>
                <w:rFonts w:ascii="Times New Roman" w:eastAsia="Calibri" w:hAnsi="Times New Roman" w:cs="Times New Roman"/>
                <w:b/>
                <w:color w:val="FFFFFF"/>
                <w:sz w:val="32"/>
                <w:szCs w:val="32"/>
              </w:rPr>
              <w:t>OCENA SKUTKÓW REGULACJI</w:t>
            </w:r>
          </w:p>
        </w:tc>
      </w:tr>
      <w:tr w:rsidR="007F6E22" w:rsidRPr="006B0816" w14:paraId="23F9C617" w14:textId="77777777" w:rsidTr="007B5AC5">
        <w:trPr>
          <w:trHeight w:val="333"/>
        </w:trPr>
        <w:tc>
          <w:tcPr>
            <w:tcW w:w="15877" w:type="dxa"/>
            <w:gridSpan w:val="29"/>
            <w:shd w:val="clear" w:color="auto" w:fill="99CCFF"/>
            <w:vAlign w:val="center"/>
          </w:tcPr>
          <w:p w14:paraId="2DB8C211" w14:textId="77777777" w:rsidR="007F6E22" w:rsidRPr="006B0816" w:rsidRDefault="007F6E22" w:rsidP="007B5AC5">
            <w:pPr>
              <w:numPr>
                <w:ilvl w:val="0"/>
                <w:numId w:val="1"/>
              </w:numPr>
              <w:spacing w:before="60" w:after="60" w:line="240" w:lineRule="auto"/>
              <w:ind w:left="318" w:hanging="284"/>
              <w:jc w:val="both"/>
              <w:rPr>
                <w:rFonts w:ascii="Times New Roman" w:eastAsia="Calibri" w:hAnsi="Times New Roman" w:cs="Times New Roman"/>
                <w:b/>
                <w:color w:val="000000"/>
              </w:rPr>
            </w:pPr>
            <w:r w:rsidRPr="006B0816">
              <w:rPr>
                <w:rFonts w:ascii="Times New Roman" w:eastAsia="Calibri" w:hAnsi="Times New Roman" w:cs="Times New Roman"/>
                <w:b/>
              </w:rPr>
              <w:t>Jaki problem jest rozwiązywany?</w:t>
            </w:r>
            <w:bookmarkStart w:id="3" w:name="Wybór1"/>
            <w:bookmarkEnd w:id="3"/>
          </w:p>
        </w:tc>
      </w:tr>
      <w:tr w:rsidR="007F6E22" w:rsidRPr="006B0816" w14:paraId="3B3945D8" w14:textId="77777777" w:rsidTr="007B5AC5">
        <w:trPr>
          <w:trHeight w:val="142"/>
        </w:trPr>
        <w:tc>
          <w:tcPr>
            <w:tcW w:w="15877" w:type="dxa"/>
            <w:gridSpan w:val="29"/>
            <w:shd w:val="clear" w:color="auto" w:fill="FFFFFF"/>
          </w:tcPr>
          <w:p w14:paraId="403137DF" w14:textId="77777777" w:rsidR="007F6E22" w:rsidRPr="006B0816" w:rsidRDefault="007F6E22" w:rsidP="007B5AC5">
            <w:pPr>
              <w:spacing w:before="120"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 xml:space="preserve">W związku z systemową zmianą uregulowania zasad stwierdzania posiadania kwalifikacji przez osoby zajmujące się eksploatacją urządzeń, instalacji lub sieci w ustawie z dnia 20 maja 2021 r. o zmianie ustawy – Prawo energetyczne oraz niektórych innych ustaw (Dz. U. poz. 1093), zaszła konieczność  stworzenia ram prawnych określających zmianę tych zasad. Należy podkreślić, że ogólne zasady w tym zakresie zostały określone w ustawie z dnia 10 kwietnia 1997 r. – Prawo energetyczne (Dz. U. poz. 716 z </w:t>
            </w:r>
            <w:proofErr w:type="spellStart"/>
            <w:r w:rsidRPr="006B0816">
              <w:rPr>
                <w:rFonts w:ascii="Times New Roman" w:eastAsia="Calibri" w:hAnsi="Times New Roman" w:cs="Times New Roman"/>
                <w:color w:val="000000"/>
                <w:spacing w:val="-2"/>
                <w:sz w:val="20"/>
                <w:szCs w:val="20"/>
              </w:rPr>
              <w:t>późn</w:t>
            </w:r>
            <w:proofErr w:type="spellEnd"/>
            <w:r w:rsidRPr="006B0816">
              <w:rPr>
                <w:rFonts w:ascii="Times New Roman" w:eastAsia="Calibri" w:hAnsi="Times New Roman" w:cs="Times New Roman"/>
                <w:color w:val="000000"/>
                <w:spacing w:val="-2"/>
                <w:sz w:val="20"/>
                <w:szCs w:val="20"/>
              </w:rPr>
              <w:t xml:space="preserve">. zm.), zwanej dalej „ustawą”. Ustawą z dnia 20 maja 2021 r. zmieniono przepisy określające zasady stwierdzania posiadania kwalifikacji, w tym m.in. dotyczące: tego, że osoby zajmujące się eksploatacją sieci oraz urządzeń i instalacji obowiązane są posiadać kwalifikacje potwierdzone świadectwem wydanym przez komisje kwalifikacyjne; okresu ważności tych świadectw; warunków dopuszczenia do wykonywania prac eksploatacyjnych przy urządzeniach energetycznych, pod nadzorem osoby uprawnionej, przez osoby nieposiadające świadectw kwalifikacyjnych; wskazania organu właściwego do uznawania kwalifikacji osób wykonujących te prace, nabytych w państwach członkowskich Unii Europejskiej, Konfederacji Szwajcarskiej lub państwach członkowskich Europejskiego Porozumienia o Wolnym Handlu (EFTA); zasad i sposobu powoływania komisji kwalifikacyjnych; maksymalnej wysokości opłaty za sprawdzenie kwalifikacji. Ustawa z dnia 20 maja 2021 r. określa, że </w:t>
            </w:r>
            <w:r w:rsidRPr="006B0816">
              <w:rPr>
                <w:rFonts w:ascii="Times New Roman" w:hAnsi="Times New Roman" w:cs="Times New Roman"/>
                <w:sz w:val="20"/>
                <w:szCs w:val="20"/>
              </w:rPr>
              <w:t>dotychczasowe przepisy wykonawcze zachowują moc do dnia wejścia w życie niniejszego rozporządzenia Ministra Klimatu i Środowiska, jednak nie dłużej niż do dnia 2 lipca 2022 roku.</w:t>
            </w:r>
          </w:p>
        </w:tc>
      </w:tr>
      <w:tr w:rsidR="007F6E22" w:rsidRPr="006B0816" w14:paraId="7592B84A" w14:textId="77777777" w:rsidTr="007B5AC5">
        <w:trPr>
          <w:trHeight w:val="142"/>
        </w:trPr>
        <w:tc>
          <w:tcPr>
            <w:tcW w:w="15877" w:type="dxa"/>
            <w:gridSpan w:val="29"/>
            <w:shd w:val="clear" w:color="auto" w:fill="99CCFF"/>
            <w:vAlign w:val="center"/>
          </w:tcPr>
          <w:p w14:paraId="1F395586"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pacing w:val="-2"/>
                <w:sz w:val="20"/>
                <w:szCs w:val="20"/>
              </w:rPr>
              <w:t>Rekomendowane rozwiązanie, w tym planowane narzędzia interwencji, i oczekiwany efekt</w:t>
            </w:r>
          </w:p>
        </w:tc>
      </w:tr>
      <w:tr w:rsidR="007F6E22" w:rsidRPr="006B0816" w14:paraId="121E8B22" w14:textId="77777777" w:rsidTr="007B5AC5">
        <w:trPr>
          <w:trHeight w:val="142"/>
        </w:trPr>
        <w:tc>
          <w:tcPr>
            <w:tcW w:w="15877" w:type="dxa"/>
            <w:gridSpan w:val="29"/>
            <w:shd w:val="clear" w:color="auto" w:fill="auto"/>
          </w:tcPr>
          <w:p w14:paraId="18B4DB15"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bookmarkStart w:id="4" w:name="_Hlk52961209"/>
            <w:r w:rsidRPr="006B0816">
              <w:rPr>
                <w:rFonts w:ascii="Times New Roman" w:eastAsia="Calibri" w:hAnsi="Times New Roman" w:cs="Times New Roman"/>
                <w:color w:val="000000"/>
                <w:spacing w:val="-2"/>
                <w:sz w:val="20"/>
                <w:szCs w:val="20"/>
              </w:rPr>
              <w:t xml:space="preserve">Rozporządzenie </w:t>
            </w:r>
            <w:r w:rsidRPr="006B0816">
              <w:rPr>
                <w:rFonts w:ascii="Times New Roman" w:hAnsi="Times New Roman" w:cs="Times New Roman"/>
                <w:color w:val="000000"/>
                <w:sz w:val="20"/>
                <w:szCs w:val="20"/>
              </w:rPr>
              <w:t xml:space="preserve">określi w szczególności: </w:t>
            </w:r>
          </w:p>
          <w:p w14:paraId="6D457331"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t xml:space="preserve">1) rodzaje prac, stanowisk oraz urządzeń, instalacji lub sieci, dla których jest wymagane świadectwo kwalifikacyjne do wykonywania czynności związanych z ich eksploatacją, </w:t>
            </w:r>
          </w:p>
          <w:p w14:paraId="1C611258"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t xml:space="preserve">2) zakres wiedzy teoretycznej i praktycznej niezbędnej do wykonywania czynności związanych z eksploatacją urządzeń, instalacji lub sieci, odpowiednio do rodzaju prac, stanowisk oraz instalacji, urządzeń lub sieci, </w:t>
            </w:r>
          </w:p>
          <w:p w14:paraId="5309710A"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t xml:space="preserve">3) skład komisji kwalifikacyjnych oraz wymagania dla przewodniczącego, zastępcy i członków komisji kwalifikacyjnych ze względu na stanowisko pracy, zakres czynności i grupy urządzeń, instalacji i sieci, na których wykonywane są czynności przez osoby, których kwalifikacje sprawdza ta komisja, </w:t>
            </w:r>
          </w:p>
          <w:p w14:paraId="2C4279E1"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t xml:space="preserve">4) tryb przeprowadzania egzaminu przez komisję kwalifikacyjną, </w:t>
            </w:r>
          </w:p>
          <w:p w14:paraId="0D4A8023"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t xml:space="preserve">5) sposób wnoszenia opłaty, o której mowa w ust. 4, i jej wysokość, </w:t>
            </w:r>
          </w:p>
          <w:p w14:paraId="7E22788E"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color w:val="000000"/>
                <w:sz w:val="20"/>
                <w:szCs w:val="20"/>
              </w:rPr>
            </w:pPr>
            <w:r w:rsidRPr="006B0816">
              <w:rPr>
                <w:rFonts w:ascii="Times New Roman" w:hAnsi="Times New Roman" w:cs="Times New Roman"/>
                <w:color w:val="000000"/>
                <w:sz w:val="20"/>
                <w:szCs w:val="20"/>
              </w:rPr>
              <w:lastRenderedPageBreak/>
              <w:t xml:space="preserve">6) warunki i sposób gromadzenia przez komisje kwalifikacyjne dokumentacji z postępowania w sprawie sprawdzania kwalifikacji, </w:t>
            </w:r>
          </w:p>
          <w:p w14:paraId="0B77E87C"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hAnsi="Times New Roman" w:cs="Times New Roman"/>
                <w:color w:val="000000"/>
                <w:sz w:val="20"/>
                <w:szCs w:val="20"/>
              </w:rPr>
              <w:t>7) wzór świadectwa kwalifikacyjnego</w:t>
            </w:r>
            <w:bookmarkEnd w:id="4"/>
            <w:r w:rsidRPr="006B0816">
              <w:rPr>
                <w:rFonts w:ascii="Times New Roman" w:hAnsi="Times New Roman" w:cs="Times New Roman"/>
                <w:color w:val="000000"/>
                <w:sz w:val="20"/>
                <w:szCs w:val="20"/>
              </w:rPr>
              <w:t>.</w:t>
            </w:r>
          </w:p>
        </w:tc>
      </w:tr>
      <w:tr w:rsidR="007F6E22" w:rsidRPr="006B0816" w14:paraId="0EB32BF6" w14:textId="77777777" w:rsidTr="007B5AC5">
        <w:trPr>
          <w:trHeight w:val="307"/>
        </w:trPr>
        <w:tc>
          <w:tcPr>
            <w:tcW w:w="15877" w:type="dxa"/>
            <w:gridSpan w:val="29"/>
            <w:shd w:val="clear" w:color="auto" w:fill="99CCFF"/>
            <w:vAlign w:val="center"/>
          </w:tcPr>
          <w:p w14:paraId="38CC3FAA"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spacing w:val="-2"/>
                <w:sz w:val="20"/>
                <w:szCs w:val="20"/>
              </w:rPr>
              <w:lastRenderedPageBreak/>
              <w:t>Jak problem został rozwiązany w innych krajach, w szczególności krajach członkowskich OECD/UE</w:t>
            </w:r>
            <w:r w:rsidRPr="006B0816">
              <w:rPr>
                <w:rFonts w:ascii="Times New Roman" w:eastAsia="Calibri" w:hAnsi="Times New Roman" w:cs="Times New Roman"/>
                <w:b/>
                <w:color w:val="000000"/>
                <w:sz w:val="20"/>
                <w:szCs w:val="20"/>
              </w:rPr>
              <w:t>?</w:t>
            </w:r>
            <w:r w:rsidRPr="006B0816">
              <w:rPr>
                <w:rFonts w:ascii="Times New Roman" w:eastAsia="Calibri" w:hAnsi="Times New Roman" w:cs="Times New Roman"/>
                <w:i/>
                <w:color w:val="000000"/>
                <w:sz w:val="20"/>
                <w:szCs w:val="20"/>
              </w:rPr>
              <w:t xml:space="preserve"> </w:t>
            </w:r>
          </w:p>
        </w:tc>
      </w:tr>
      <w:tr w:rsidR="007F6E22" w:rsidRPr="006B0816" w14:paraId="17E2DEF3" w14:textId="77777777" w:rsidTr="007B5AC5">
        <w:trPr>
          <w:trHeight w:val="142"/>
        </w:trPr>
        <w:tc>
          <w:tcPr>
            <w:tcW w:w="15877" w:type="dxa"/>
            <w:gridSpan w:val="29"/>
            <w:shd w:val="clear" w:color="auto" w:fill="auto"/>
          </w:tcPr>
          <w:p w14:paraId="0AAA2F9F" w14:textId="77777777" w:rsidR="007F6E22" w:rsidRPr="006B0816" w:rsidRDefault="007F6E22" w:rsidP="007B5A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 xml:space="preserve">Zawód elektryka to tak zwany </w:t>
            </w:r>
            <w:proofErr w:type="spellStart"/>
            <w:r w:rsidRPr="006B0816">
              <w:rPr>
                <w:rFonts w:ascii="Times New Roman" w:eastAsia="Times New Roman" w:hAnsi="Times New Roman" w:cs="Times New Roman"/>
                <w:sz w:val="20"/>
                <w:szCs w:val="20"/>
                <w:lang w:eastAsia="pl-PL"/>
              </w:rPr>
              <w:t>reglementierte</w:t>
            </w:r>
            <w:proofErr w:type="spellEnd"/>
            <w:r w:rsidRPr="006B0816">
              <w:rPr>
                <w:rFonts w:ascii="Times New Roman" w:eastAsia="Times New Roman" w:hAnsi="Times New Roman" w:cs="Times New Roman"/>
                <w:sz w:val="20"/>
                <w:szCs w:val="20"/>
                <w:lang w:eastAsia="pl-PL"/>
              </w:rPr>
              <w:t xml:space="preserve"> </w:t>
            </w:r>
            <w:proofErr w:type="spellStart"/>
            <w:r w:rsidRPr="006B0816">
              <w:rPr>
                <w:rFonts w:ascii="Times New Roman" w:eastAsia="Times New Roman" w:hAnsi="Times New Roman" w:cs="Times New Roman"/>
                <w:sz w:val="20"/>
                <w:szCs w:val="20"/>
                <w:lang w:eastAsia="pl-PL"/>
              </w:rPr>
              <w:t>Berufe</w:t>
            </w:r>
            <w:proofErr w:type="spellEnd"/>
            <w:r w:rsidRPr="006B0816">
              <w:rPr>
                <w:rFonts w:ascii="Times New Roman" w:eastAsia="Times New Roman" w:hAnsi="Times New Roman" w:cs="Times New Roman"/>
                <w:sz w:val="20"/>
                <w:szCs w:val="20"/>
                <w:lang w:eastAsia="pl-PL"/>
              </w:rPr>
              <w:t>, czyli zawód regulowany. Oznacza to, aby móc wykonywać ten zawód w pełnym zakresie potrzebne jest niemieckie zaświadczenie. Wstępem do jego zdobycia jest przetłumaczenie i uznanie polskiego dyplomu (</w:t>
            </w:r>
            <w:proofErr w:type="spellStart"/>
            <w:r w:rsidRPr="006B0816">
              <w:rPr>
                <w:rFonts w:ascii="Times New Roman" w:eastAsia="Times New Roman" w:hAnsi="Times New Roman" w:cs="Times New Roman"/>
                <w:sz w:val="20"/>
                <w:szCs w:val="20"/>
                <w:lang w:eastAsia="pl-PL"/>
              </w:rPr>
              <w:t>Anerkennung</w:t>
            </w:r>
            <w:proofErr w:type="spellEnd"/>
            <w:r w:rsidRPr="006B0816">
              <w:rPr>
                <w:rFonts w:ascii="Times New Roman" w:eastAsia="Times New Roman" w:hAnsi="Times New Roman" w:cs="Times New Roman"/>
                <w:sz w:val="20"/>
                <w:szCs w:val="20"/>
                <w:lang w:eastAsia="pl-PL"/>
              </w:rPr>
              <w:t xml:space="preserve">). Nie dotyczy to jednak uprawnień SEP (np. do 1 </w:t>
            </w:r>
            <w:proofErr w:type="spellStart"/>
            <w:r w:rsidRPr="006B0816">
              <w:rPr>
                <w:rFonts w:ascii="Times New Roman" w:eastAsia="Times New Roman" w:hAnsi="Times New Roman" w:cs="Times New Roman"/>
                <w:sz w:val="20"/>
                <w:szCs w:val="20"/>
                <w:lang w:eastAsia="pl-PL"/>
              </w:rPr>
              <w:t>kV</w:t>
            </w:r>
            <w:proofErr w:type="spellEnd"/>
            <w:r w:rsidRPr="006B0816">
              <w:rPr>
                <w:rFonts w:ascii="Times New Roman" w:eastAsia="Times New Roman" w:hAnsi="Times New Roman" w:cs="Times New Roman"/>
                <w:sz w:val="20"/>
                <w:szCs w:val="20"/>
                <w:lang w:eastAsia="pl-PL"/>
              </w:rPr>
              <w:t>), które nie mają odpowiednika w Niemczech, w związku z czym nie są one podstawowym dokumentem do uzyskania tzw. mistrzostwa w niemieckim cechu, który odpowiada za regulowanie zawodem elektryka. Niemiecki urząd może nie uznać kwalifikacji, gdy starająca się osoba nie ma wymaganego wykształcenia kierunkowego (np. szkoły średniej), a jedynie doświadczenie zawodowe. Dodatkowo, aby móc w pełni pracować jako elektryk należy znać język na poziomie B1 i być zameldowanym w Niemczech. Miejscowe urzędy mają kilka miesięcy na rozpatrywanie wniosku, minimum to 3 miesiące. Aby złożyć wniosek jest wymagane między innymi:</w:t>
            </w:r>
          </w:p>
          <w:p w14:paraId="3DF1A387"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uwierzytelnione kopie dyplomu lub świadectwa,</w:t>
            </w:r>
          </w:p>
          <w:p w14:paraId="7A1B57CB"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przetłumaczony dyplom lub świadectwo,</w:t>
            </w:r>
          </w:p>
          <w:p w14:paraId="0603FA37"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wypełniony wniosek adekwatny do zawodu, </w:t>
            </w:r>
          </w:p>
          <w:p w14:paraId="61A2C002"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2 zdjęcia paszportowe,</w:t>
            </w:r>
          </w:p>
          <w:p w14:paraId="3BACF720"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 xml:space="preserve">kopia zameldowania, czyli </w:t>
            </w:r>
            <w:proofErr w:type="spellStart"/>
            <w:r w:rsidRPr="006B0816">
              <w:rPr>
                <w:rFonts w:ascii="Times New Roman" w:eastAsia="Times New Roman" w:hAnsi="Times New Roman" w:cs="Times New Roman"/>
                <w:sz w:val="20"/>
                <w:szCs w:val="20"/>
                <w:lang w:eastAsia="pl-PL"/>
              </w:rPr>
              <w:t>Anmeldung</w:t>
            </w:r>
            <w:proofErr w:type="spellEnd"/>
            <w:r w:rsidRPr="006B0816">
              <w:rPr>
                <w:rFonts w:ascii="Times New Roman" w:eastAsia="Times New Roman" w:hAnsi="Times New Roman" w:cs="Times New Roman"/>
                <w:sz w:val="20"/>
                <w:szCs w:val="20"/>
                <w:lang w:eastAsia="pl-PL"/>
              </w:rPr>
              <w:t>,</w:t>
            </w:r>
          </w:p>
          <w:p w14:paraId="75915DC3" w14:textId="77777777" w:rsidR="007F6E22" w:rsidRPr="006B0816" w:rsidRDefault="007F6E22" w:rsidP="007B5AC5">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potwierdzenie praktyki zawodowej.</w:t>
            </w:r>
          </w:p>
          <w:p w14:paraId="64C70B8E" w14:textId="77777777" w:rsidR="007F6E22" w:rsidRPr="006B0816" w:rsidRDefault="007F6E22" w:rsidP="007B5A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Regulacje unijne dążą do tego, aby w pełni wykwalifikowany pracownik miał prawo do wykonywania tego samego zawodu w innym państwie członkowskim. Uznanie kwalifikacji zawodowych umożliwia podjęcie lub wykonywanie regulowanego zawodu lub działalności na takich samych zasadach, jakie obowiązują osoby, które uzyskały kwalifikacje w danym państwie. Jeżeli dany zawód jest regulowany, osoba, która uzyskała kwalifikacje w innym państwie członkowskim, potrzebuje ich oficjalnego uznania. Uznania kwalifikacji zawodowych dokonują właściwe organy przyjmującego państwa członkowskiego. W przypadku zawodów nieregulowanych zatrudnienie pracownika posiadającego kwalifikacje uzyskane w innym kraju członkowskim UE zależy od pracodawcy. W postępowaniu w sprawie uznania kwalifikacji właściwy organ sprawdza:</w:t>
            </w:r>
          </w:p>
          <w:p w14:paraId="43134165" w14:textId="77777777" w:rsidR="007F6E22" w:rsidRPr="006B0816" w:rsidRDefault="007F6E22" w:rsidP="007B5AC5">
            <w:pPr>
              <w:numPr>
                <w:ilvl w:val="0"/>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odpowiedni poziom wykształcenia</w:t>
            </w:r>
          </w:p>
          <w:p w14:paraId="54C08E5D" w14:textId="77777777" w:rsidR="007F6E22" w:rsidRPr="006B0816" w:rsidRDefault="007F6E22" w:rsidP="007B5AC5">
            <w:pPr>
              <w:numPr>
                <w:ilvl w:val="0"/>
                <w:numId w:val="6"/>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kwalifikacje dające prawo wykonywania danego zawodu w państwie, w którym zostały uzyskane.</w:t>
            </w:r>
          </w:p>
          <w:p w14:paraId="7A227B58" w14:textId="77777777" w:rsidR="007F6E22" w:rsidRPr="006B0816" w:rsidRDefault="007F6E22" w:rsidP="007B5A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6B0816">
              <w:rPr>
                <w:rFonts w:ascii="Times New Roman" w:eastAsia="Times New Roman" w:hAnsi="Times New Roman" w:cs="Times New Roman"/>
                <w:sz w:val="20"/>
                <w:szCs w:val="20"/>
                <w:lang w:eastAsia="pl-PL"/>
              </w:rPr>
              <w:t>W sytuacji, gdy występuje znacząca różnica pomiędzy wykształceniem zdobytym przez daną osobę a wykształceniem wymaganym w przyjmującym państwie członkowskim lub zakresami zawodu, państwo członkowskie może uzależnić uznanie</w:t>
            </w:r>
            <w:r w:rsidRPr="006B0816">
              <w:rPr>
                <w:rFonts w:ascii="Times New Roman" w:eastAsia="Times New Roman" w:hAnsi="Times New Roman" w:cs="Times New Roman"/>
                <w:b/>
                <w:bCs/>
                <w:sz w:val="20"/>
                <w:szCs w:val="20"/>
                <w:lang w:eastAsia="pl-PL"/>
              </w:rPr>
              <w:t xml:space="preserve"> </w:t>
            </w:r>
            <w:r w:rsidRPr="006B0816">
              <w:rPr>
                <w:rFonts w:ascii="Times New Roman" w:eastAsia="Times New Roman" w:hAnsi="Times New Roman" w:cs="Times New Roman"/>
                <w:sz w:val="20"/>
                <w:szCs w:val="20"/>
                <w:lang w:eastAsia="pl-PL"/>
              </w:rPr>
              <w:t>kwalifikacji od odbycia przez wnioskodawcę stażu adaptacyjnego (trwającego nie dłużej niż trzy lata) lub zdania testu umiejętności. W sytuacji, gdy dany zawód nie jest regulowany w państwie członkowskim wnioskodawcy, wymaga się, aby poza przedstawieniem dowodów potwierdzających posiadanie kwalifikacji osoba potwierdziła wykonywanie tego zawodu w pełnym wymiarze czasu pracy przez rok w okresie ostatnich dziesięciu lat albo przedstawiła dokument potwierdzający ukończenie kształcenia regulowanego. Dla osoby, która posiada prawo wykonywania zawodu w jednym z państw członkowskich UE (państwo siedziby), w razie przeniesienia się do innego państwa (przyjmującego) w celu tymczasowego i okazjonalnego wykonywania zawodu jest przewidziana procedura uproszczona. Państwo przyjmujące ocenia indywidualnie tymczasowy i okazjonalny charakter świadczenia usług, przy uwzględnieniu przede wszystkim długości, częstotliwości, regularności i ciągłości tego świadczenia.</w:t>
            </w:r>
          </w:p>
        </w:tc>
      </w:tr>
      <w:tr w:rsidR="007F6E22" w:rsidRPr="006B0816" w14:paraId="28BA04C0" w14:textId="77777777" w:rsidTr="007B5AC5">
        <w:trPr>
          <w:trHeight w:val="359"/>
        </w:trPr>
        <w:tc>
          <w:tcPr>
            <w:tcW w:w="15877" w:type="dxa"/>
            <w:gridSpan w:val="29"/>
            <w:shd w:val="clear" w:color="auto" w:fill="99CCFF"/>
            <w:vAlign w:val="center"/>
          </w:tcPr>
          <w:p w14:paraId="758FCD0B"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Podmioty, na które oddziałuje projekt</w:t>
            </w:r>
          </w:p>
        </w:tc>
      </w:tr>
      <w:tr w:rsidR="007F6E22" w:rsidRPr="006B0816" w14:paraId="23F0305C" w14:textId="77777777" w:rsidTr="007B5AC5">
        <w:trPr>
          <w:trHeight w:val="142"/>
        </w:trPr>
        <w:tc>
          <w:tcPr>
            <w:tcW w:w="3915" w:type="dxa"/>
            <w:gridSpan w:val="3"/>
            <w:shd w:val="clear" w:color="auto" w:fill="auto"/>
          </w:tcPr>
          <w:p w14:paraId="03550701" w14:textId="77777777" w:rsidR="007F6E22" w:rsidRPr="006B0816" w:rsidRDefault="007F6E22" w:rsidP="007B5AC5">
            <w:pPr>
              <w:spacing w:before="40" w:after="0" w:line="240" w:lineRule="auto"/>
              <w:ind w:right="452"/>
              <w:jc w:val="center"/>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Grupa</w:t>
            </w:r>
          </w:p>
        </w:tc>
        <w:tc>
          <w:tcPr>
            <w:tcW w:w="2292" w:type="dxa"/>
            <w:gridSpan w:val="8"/>
            <w:shd w:val="clear" w:color="auto" w:fill="auto"/>
          </w:tcPr>
          <w:p w14:paraId="6FFA6F40" w14:textId="77777777" w:rsidR="007F6E22" w:rsidRPr="006B0816" w:rsidRDefault="007F6E22" w:rsidP="007B5AC5">
            <w:pPr>
              <w:spacing w:before="40" w:after="0" w:line="240" w:lineRule="auto"/>
              <w:ind w:right="452"/>
              <w:jc w:val="center"/>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Wielkość</w:t>
            </w:r>
          </w:p>
        </w:tc>
        <w:tc>
          <w:tcPr>
            <w:tcW w:w="2996" w:type="dxa"/>
            <w:gridSpan w:val="12"/>
            <w:shd w:val="clear" w:color="auto" w:fill="auto"/>
          </w:tcPr>
          <w:p w14:paraId="758AEBCD" w14:textId="77777777" w:rsidR="007F6E22" w:rsidRPr="006B0816" w:rsidRDefault="007F6E22" w:rsidP="007B5AC5">
            <w:pPr>
              <w:spacing w:before="40" w:after="0" w:line="240" w:lineRule="auto"/>
              <w:ind w:right="452"/>
              <w:jc w:val="center"/>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Źródło danych</w:t>
            </w:r>
            <w:r w:rsidRPr="006B0816" w:rsidDel="00260F33">
              <w:rPr>
                <w:rFonts w:ascii="Times New Roman" w:eastAsia="Calibri" w:hAnsi="Times New Roman" w:cs="Times New Roman"/>
                <w:color w:val="000000"/>
                <w:spacing w:val="-2"/>
                <w:sz w:val="20"/>
                <w:szCs w:val="20"/>
              </w:rPr>
              <w:t xml:space="preserve"> </w:t>
            </w:r>
          </w:p>
        </w:tc>
        <w:tc>
          <w:tcPr>
            <w:tcW w:w="6674" w:type="dxa"/>
            <w:gridSpan w:val="6"/>
            <w:shd w:val="clear" w:color="auto" w:fill="auto"/>
          </w:tcPr>
          <w:p w14:paraId="6D850A7C" w14:textId="77777777" w:rsidR="007F6E22" w:rsidRPr="006B0816" w:rsidRDefault="007F6E22" w:rsidP="007B5AC5">
            <w:pPr>
              <w:spacing w:before="40" w:after="0" w:line="240" w:lineRule="auto"/>
              <w:ind w:right="452"/>
              <w:jc w:val="center"/>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Oddziaływanie</w:t>
            </w:r>
          </w:p>
        </w:tc>
      </w:tr>
      <w:tr w:rsidR="007F6E22" w:rsidRPr="006B0816" w14:paraId="2056B8FD" w14:textId="77777777" w:rsidTr="007B5AC5">
        <w:trPr>
          <w:trHeight w:val="142"/>
        </w:trPr>
        <w:tc>
          <w:tcPr>
            <w:tcW w:w="3915" w:type="dxa"/>
            <w:gridSpan w:val="3"/>
            <w:shd w:val="clear" w:color="auto" w:fill="auto"/>
          </w:tcPr>
          <w:p w14:paraId="507BEFE5" w14:textId="77777777" w:rsidR="007F6E22" w:rsidRPr="006B0816" w:rsidRDefault="007F6E22" w:rsidP="007B5AC5">
            <w:pPr>
              <w:autoSpaceDE w:val="0"/>
              <w:autoSpaceDN w:val="0"/>
              <w:adjustRightInd w:val="0"/>
              <w:spacing w:after="0" w:line="240" w:lineRule="auto"/>
              <w:jc w:val="both"/>
              <w:rPr>
                <w:rFonts w:ascii="Times New Roman" w:hAnsi="Times New Roman" w:cs="Times New Roman"/>
                <w:sz w:val="20"/>
                <w:szCs w:val="20"/>
              </w:rPr>
            </w:pPr>
            <w:r w:rsidRPr="006B0816">
              <w:rPr>
                <w:rFonts w:ascii="Times New Roman" w:eastAsia="Calibri" w:hAnsi="Times New Roman" w:cs="Times New Roman"/>
                <w:color w:val="000000"/>
                <w:sz w:val="20"/>
                <w:szCs w:val="20"/>
              </w:rPr>
              <w:lastRenderedPageBreak/>
              <w:t xml:space="preserve">Przedsiębiorstwa energetyczne </w:t>
            </w:r>
            <w:r w:rsidRPr="006B0816">
              <w:rPr>
                <w:rFonts w:ascii="Times New Roman" w:hAnsi="Times New Roman" w:cs="Times New Roman"/>
                <w:sz w:val="20"/>
                <w:szCs w:val="20"/>
              </w:rPr>
              <w:t>prowadzące działalność gospodarczą w zakresie wytwarzania, przetwarzania, magazynowania, przesyłania, dystrybucji paliw albo energii lub obrotu nimi</w:t>
            </w:r>
          </w:p>
        </w:tc>
        <w:tc>
          <w:tcPr>
            <w:tcW w:w="2292" w:type="dxa"/>
            <w:gridSpan w:val="8"/>
            <w:shd w:val="clear" w:color="auto" w:fill="auto"/>
          </w:tcPr>
          <w:p w14:paraId="3DAF000E"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2170 (w zakresie energii elektrycznej);</w:t>
            </w:r>
          </w:p>
          <w:p w14:paraId="7DA1E715"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302 (w zakresie paliw gazowych);</w:t>
            </w:r>
          </w:p>
          <w:p w14:paraId="472B1434"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797 (w zakresie przedsiębiorstw ciepłowniczych);</w:t>
            </w:r>
          </w:p>
          <w:p w14:paraId="5AB2E73B"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5921 ( w zakresie paliw ciekłych).</w:t>
            </w:r>
          </w:p>
        </w:tc>
        <w:tc>
          <w:tcPr>
            <w:tcW w:w="2996" w:type="dxa"/>
            <w:gridSpan w:val="12"/>
            <w:shd w:val="clear" w:color="auto" w:fill="auto"/>
          </w:tcPr>
          <w:p w14:paraId="1C5DA232"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BIP URE</w:t>
            </w:r>
          </w:p>
        </w:tc>
        <w:tc>
          <w:tcPr>
            <w:tcW w:w="6674" w:type="dxa"/>
            <w:gridSpan w:val="6"/>
            <w:shd w:val="clear" w:color="auto" w:fill="auto"/>
          </w:tcPr>
          <w:p w14:paraId="4F2410E2"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Liczba koncesji ważnych na koniec 2020 roku. Przedsiębiorstwa energetyczne wykorzystują kwalifikacje zawodowe osób posiadających świadectwa kwalifikacyjne.</w:t>
            </w:r>
          </w:p>
          <w:p w14:paraId="35A89B33"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Zapewnienie ciągłości funkcjonowania.</w:t>
            </w:r>
          </w:p>
        </w:tc>
      </w:tr>
      <w:tr w:rsidR="007F6E22" w:rsidRPr="006B0816" w14:paraId="13C6068E" w14:textId="77777777" w:rsidTr="007B5AC5">
        <w:trPr>
          <w:trHeight w:val="660"/>
        </w:trPr>
        <w:tc>
          <w:tcPr>
            <w:tcW w:w="3915" w:type="dxa"/>
            <w:gridSpan w:val="3"/>
            <w:shd w:val="clear" w:color="auto" w:fill="auto"/>
          </w:tcPr>
          <w:p w14:paraId="3A0383FF" w14:textId="77777777" w:rsidR="007F6E22" w:rsidRPr="006B0816" w:rsidRDefault="007F6E22" w:rsidP="007B5AC5">
            <w:pPr>
              <w:autoSpaceDE w:val="0"/>
              <w:autoSpaceDN w:val="0"/>
              <w:adjustRightInd w:val="0"/>
              <w:spacing w:after="0" w:line="240" w:lineRule="auto"/>
              <w:rPr>
                <w:rFonts w:ascii="Times New Roman" w:eastAsia="Univers-PL" w:hAnsi="Times New Roman" w:cs="Times New Roman"/>
              </w:rPr>
            </w:pPr>
            <w:r w:rsidRPr="006B0816">
              <w:rPr>
                <w:rFonts w:ascii="Times New Roman" w:eastAsia="Univers-PL" w:hAnsi="Times New Roman" w:cs="Times New Roman"/>
              </w:rPr>
              <w:t>jednostki organizacyjne, przy których powołuje się komisje kwalifikacyjne</w:t>
            </w:r>
          </w:p>
        </w:tc>
        <w:tc>
          <w:tcPr>
            <w:tcW w:w="2292" w:type="dxa"/>
            <w:gridSpan w:val="8"/>
            <w:shd w:val="clear" w:color="auto" w:fill="auto"/>
          </w:tcPr>
          <w:p w14:paraId="33EBAF6B"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 xml:space="preserve">385 komisji kwalifikacyjnych, z liczbą członków komisji - 4985 osób </w:t>
            </w:r>
          </w:p>
        </w:tc>
        <w:tc>
          <w:tcPr>
            <w:tcW w:w="2996" w:type="dxa"/>
            <w:gridSpan w:val="12"/>
            <w:shd w:val="clear" w:color="auto" w:fill="auto"/>
          </w:tcPr>
          <w:p w14:paraId="73B57748"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BIP URE</w:t>
            </w:r>
          </w:p>
        </w:tc>
        <w:tc>
          <w:tcPr>
            <w:tcW w:w="6674" w:type="dxa"/>
            <w:gridSpan w:val="6"/>
            <w:shd w:val="clear" w:color="auto" w:fill="auto"/>
          </w:tcPr>
          <w:p w14:paraId="13ADF614"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Bezpośredni udział w procesie wydawania świadectw kwalifikacyjnych</w:t>
            </w:r>
          </w:p>
        </w:tc>
      </w:tr>
      <w:tr w:rsidR="007F6E22" w:rsidRPr="006B0816" w14:paraId="3F74F5CB" w14:textId="77777777" w:rsidTr="007B5AC5">
        <w:trPr>
          <w:trHeight w:val="345"/>
        </w:trPr>
        <w:tc>
          <w:tcPr>
            <w:tcW w:w="3915" w:type="dxa"/>
            <w:gridSpan w:val="3"/>
            <w:shd w:val="clear" w:color="auto" w:fill="auto"/>
          </w:tcPr>
          <w:p w14:paraId="2EF62C49" w14:textId="77777777" w:rsidR="007F6E22" w:rsidRPr="006B0816" w:rsidRDefault="007F6E22" w:rsidP="007B5AC5">
            <w:pPr>
              <w:tabs>
                <w:tab w:val="left" w:pos="1560"/>
              </w:tabs>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 xml:space="preserve">Osoby posiadające formalne kwalifikacje elektroenergetyczne, ciepłownicze  lub gazowe </w:t>
            </w:r>
          </w:p>
        </w:tc>
        <w:tc>
          <w:tcPr>
            <w:tcW w:w="2292" w:type="dxa"/>
            <w:gridSpan w:val="8"/>
            <w:shd w:val="clear" w:color="auto" w:fill="auto"/>
          </w:tcPr>
          <w:p w14:paraId="350DB6ED"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p>
          <w:p w14:paraId="6A2F63BC"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Ok. 100 000 osób</w:t>
            </w:r>
          </w:p>
        </w:tc>
        <w:tc>
          <w:tcPr>
            <w:tcW w:w="2996" w:type="dxa"/>
            <w:gridSpan w:val="12"/>
            <w:shd w:val="clear" w:color="auto" w:fill="auto"/>
          </w:tcPr>
          <w:p w14:paraId="371201A2"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BIP URE</w:t>
            </w:r>
          </w:p>
        </w:tc>
        <w:tc>
          <w:tcPr>
            <w:tcW w:w="6674" w:type="dxa"/>
            <w:gridSpan w:val="6"/>
            <w:shd w:val="clear" w:color="auto" w:fill="auto"/>
          </w:tcPr>
          <w:p w14:paraId="48D571A0"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Zapewnienie ciągłości funkcjonowania gospodarki narodowej.(w szczególności sektor przemysłu, handlu i usług)</w:t>
            </w:r>
          </w:p>
        </w:tc>
      </w:tr>
      <w:tr w:rsidR="007F6E22" w:rsidRPr="006B0816" w14:paraId="5E6F8769" w14:textId="77777777" w:rsidTr="007B5AC5">
        <w:trPr>
          <w:trHeight w:val="302"/>
        </w:trPr>
        <w:tc>
          <w:tcPr>
            <w:tcW w:w="15877" w:type="dxa"/>
            <w:gridSpan w:val="29"/>
            <w:shd w:val="clear" w:color="auto" w:fill="99CCFF"/>
            <w:vAlign w:val="center"/>
          </w:tcPr>
          <w:p w14:paraId="05065174"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Informacje na temat zakresu, czasu trwania i podsumowanie wyników konsultacji</w:t>
            </w:r>
          </w:p>
        </w:tc>
      </w:tr>
      <w:tr w:rsidR="007F6E22" w:rsidRPr="006B0816" w14:paraId="2369FD33" w14:textId="77777777" w:rsidTr="007B5AC5">
        <w:trPr>
          <w:trHeight w:val="342"/>
        </w:trPr>
        <w:tc>
          <w:tcPr>
            <w:tcW w:w="15877" w:type="dxa"/>
            <w:gridSpan w:val="29"/>
            <w:shd w:val="clear" w:color="auto" w:fill="FFFFFF"/>
          </w:tcPr>
          <w:p w14:paraId="77AAB0CA" w14:textId="77777777" w:rsidR="007F6E22" w:rsidRPr="00723D1D" w:rsidRDefault="007F6E22" w:rsidP="00723D1D">
            <w:pPr>
              <w:spacing w:after="120" w:line="240" w:lineRule="auto"/>
              <w:ind w:right="452"/>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Projekt nie był przedmiotem </w:t>
            </w:r>
            <w:proofErr w:type="spellStart"/>
            <w:r w:rsidRPr="00723D1D">
              <w:rPr>
                <w:rFonts w:ascii="Times New Roman" w:eastAsia="Calibri" w:hAnsi="Times New Roman" w:cs="Times New Roman"/>
                <w:color w:val="000000"/>
                <w:spacing w:val="-2"/>
                <w:sz w:val="20"/>
                <w:szCs w:val="20"/>
              </w:rPr>
              <w:t>pre</w:t>
            </w:r>
            <w:proofErr w:type="spellEnd"/>
            <w:r w:rsidRPr="00723D1D">
              <w:rPr>
                <w:rFonts w:ascii="Times New Roman" w:eastAsia="Calibri" w:hAnsi="Times New Roman" w:cs="Times New Roman"/>
                <w:color w:val="000000"/>
                <w:spacing w:val="-2"/>
                <w:sz w:val="20"/>
                <w:szCs w:val="20"/>
              </w:rPr>
              <w:t xml:space="preserve">-konsultacji. </w:t>
            </w:r>
          </w:p>
          <w:p w14:paraId="6A4D39EE" w14:textId="3E44BD43" w:rsidR="007F6E22" w:rsidRPr="00723D1D" w:rsidRDefault="007F6E22" w:rsidP="00723D1D">
            <w:pPr>
              <w:spacing w:after="120" w:line="240" w:lineRule="auto"/>
              <w:ind w:right="452"/>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Projekt, zgodnie z art. 5 ustawy z dnia 7 lipca 2005 r. o działalności lobbingowej w procesie stanowienia prawa i § 52 uchwały nr 190 Rady Ministrów z dnia 29 października 2013 r. – Regulamin pracy Rady Ministrów, zosta</w:t>
            </w:r>
            <w:r w:rsidR="00723D1D" w:rsidRPr="00723D1D">
              <w:rPr>
                <w:rFonts w:ascii="Times New Roman" w:eastAsia="Calibri" w:hAnsi="Times New Roman" w:cs="Times New Roman"/>
                <w:color w:val="000000"/>
                <w:spacing w:val="-2"/>
                <w:sz w:val="20"/>
                <w:szCs w:val="20"/>
              </w:rPr>
              <w:t>nie</w:t>
            </w:r>
            <w:r w:rsidRPr="00723D1D">
              <w:rPr>
                <w:rFonts w:ascii="Times New Roman" w:eastAsia="Calibri" w:hAnsi="Times New Roman" w:cs="Times New Roman"/>
                <w:color w:val="000000"/>
                <w:spacing w:val="-2"/>
                <w:sz w:val="20"/>
                <w:szCs w:val="20"/>
              </w:rPr>
              <w:t xml:space="preserve"> udostępniony w Biuletynie Informacji Publicznej, na stronie podmiotowej Rządowego Centrum Legislacji, w serwisie Rządowy Proces Legislacyjny. </w:t>
            </w:r>
          </w:p>
          <w:p w14:paraId="2FB445BD" w14:textId="77777777" w:rsidR="007F6E22" w:rsidRPr="00723D1D" w:rsidRDefault="007F6E22" w:rsidP="00723D1D">
            <w:pPr>
              <w:spacing w:after="120" w:line="240" w:lineRule="auto"/>
              <w:ind w:right="452"/>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Projekt zostanie przekazany do konsultacji (14 dni) do następujących podmiotów: </w:t>
            </w:r>
          </w:p>
          <w:p w14:paraId="31E43B2D"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Polskie Towarzystwo </w:t>
            </w:r>
            <w:proofErr w:type="spellStart"/>
            <w:r w:rsidRPr="00723D1D">
              <w:rPr>
                <w:rFonts w:ascii="Times New Roman" w:eastAsia="Calibri" w:hAnsi="Times New Roman" w:cs="Times New Roman"/>
                <w:color w:val="000000"/>
                <w:spacing w:val="-2"/>
                <w:sz w:val="20"/>
                <w:szCs w:val="20"/>
              </w:rPr>
              <w:t>Przesyłu</w:t>
            </w:r>
            <w:proofErr w:type="spellEnd"/>
            <w:r w:rsidRPr="00723D1D">
              <w:rPr>
                <w:rFonts w:ascii="Times New Roman" w:eastAsia="Calibri" w:hAnsi="Times New Roman" w:cs="Times New Roman"/>
                <w:color w:val="000000"/>
                <w:spacing w:val="-2"/>
                <w:sz w:val="20"/>
                <w:szCs w:val="20"/>
              </w:rPr>
              <w:t xml:space="preserve"> i Rozdziału Energii Elektrycznej,</w:t>
            </w:r>
          </w:p>
          <w:p w14:paraId="1BBF0D2F"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Polskie Sieci Elektroenergetyczne S.A.,</w:t>
            </w:r>
          </w:p>
          <w:p w14:paraId="0B6983C4"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Towarzystwo Gospodarcze Polskie Elektrownie,</w:t>
            </w:r>
          </w:p>
          <w:p w14:paraId="69F0B8D0"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Towarzystwo Obrotu Energią,,</w:t>
            </w:r>
          </w:p>
          <w:p w14:paraId="52EEEFC2"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Krajowa Izba Gospodarcza Elektroniki i Telekomunikacji,</w:t>
            </w:r>
          </w:p>
          <w:p w14:paraId="3370CA68" w14:textId="77777777" w:rsidR="007F6E22" w:rsidRPr="00723D1D" w:rsidRDefault="007F6E22" w:rsidP="00723D1D">
            <w:pPr>
              <w:numPr>
                <w:ilvl w:val="0"/>
                <w:numId w:val="2"/>
              </w:numPr>
              <w:spacing w:after="120" w:line="240" w:lineRule="auto"/>
              <w:ind w:left="202" w:right="452" w:hanging="20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 Stowarzyszenie Elektryków Polskich,</w:t>
            </w:r>
          </w:p>
          <w:p w14:paraId="0911C4F6" w14:textId="77777777" w:rsidR="007F6E22" w:rsidRPr="00723D1D" w:rsidRDefault="007F6E22" w:rsidP="00723D1D">
            <w:pPr>
              <w:spacing w:after="120" w:line="240" w:lineRule="auto"/>
              <w:ind w:right="452"/>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Projekt zostanie przekazany do zaopiniowania (14 dni) do następujących podmiotów:</w:t>
            </w:r>
          </w:p>
          <w:p w14:paraId="09BDC84B" w14:textId="77777777" w:rsidR="007F6E22" w:rsidRPr="00723D1D" w:rsidRDefault="007F6E22" w:rsidP="00723D1D">
            <w:pPr>
              <w:numPr>
                <w:ilvl w:val="0"/>
                <w:numId w:val="7"/>
              </w:numPr>
              <w:spacing w:after="120" w:line="240" w:lineRule="auto"/>
              <w:ind w:right="45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Prezes Urzędu Regulacji Energetyki,</w:t>
            </w:r>
          </w:p>
          <w:p w14:paraId="50B99E31" w14:textId="77777777" w:rsidR="007F6E22" w:rsidRPr="00723D1D" w:rsidRDefault="007F6E22" w:rsidP="00723D1D">
            <w:pPr>
              <w:numPr>
                <w:ilvl w:val="0"/>
                <w:numId w:val="7"/>
              </w:numPr>
              <w:spacing w:after="120" w:line="240" w:lineRule="auto"/>
              <w:ind w:right="452"/>
              <w:contextualSpacing/>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 xml:space="preserve">Młodzieżowa Rada Klimatyczna. </w:t>
            </w:r>
          </w:p>
          <w:p w14:paraId="3E693D26" w14:textId="77777777" w:rsidR="007F6E22" w:rsidRPr="00723D1D" w:rsidRDefault="007F6E22" w:rsidP="00723D1D">
            <w:pPr>
              <w:autoSpaceDE w:val="0"/>
              <w:autoSpaceDN w:val="0"/>
              <w:adjustRightInd w:val="0"/>
              <w:spacing w:after="120" w:line="240" w:lineRule="auto"/>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Z uwagi na zakres projektu, który dotyczy zadań związków zawodowych, projekt  podlega opiniowaniu przez reprezentatywne związki zawodowe. Projekt zostanie przekazany na 30 dni do następujących reprezentatywnych związków zawodowych:</w:t>
            </w:r>
          </w:p>
          <w:p w14:paraId="665B9E2A" w14:textId="201CDFF4" w:rsidR="007F6E22" w:rsidRPr="00723D1D" w:rsidRDefault="007F6E22" w:rsidP="00723D1D">
            <w:pPr>
              <w:numPr>
                <w:ilvl w:val="0"/>
                <w:numId w:val="4"/>
              </w:numPr>
              <w:autoSpaceDE w:val="0"/>
              <w:autoSpaceDN w:val="0"/>
              <w:adjustRightInd w:val="0"/>
              <w:spacing w:after="120" w:line="240" w:lineRule="auto"/>
              <w:ind w:left="202" w:hanging="202"/>
              <w:contextualSpacing/>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Niezależny Samorządny Związek Zawodowy</w:t>
            </w:r>
            <w:r w:rsidR="00723D1D" w:rsidRPr="00723D1D">
              <w:rPr>
                <w:rFonts w:ascii="Times New Roman" w:eastAsia="Calibri" w:hAnsi="Times New Roman" w:cs="Times New Roman"/>
                <w:color w:val="000000"/>
                <w:sz w:val="20"/>
                <w:szCs w:val="20"/>
                <w:lang w:eastAsia="pl-PL"/>
              </w:rPr>
              <w:t xml:space="preserve"> „</w:t>
            </w:r>
            <w:r w:rsidRPr="00723D1D">
              <w:rPr>
                <w:rFonts w:ascii="Times New Roman" w:eastAsia="Calibri" w:hAnsi="Times New Roman" w:cs="Times New Roman"/>
                <w:color w:val="000000"/>
                <w:sz w:val="20"/>
                <w:szCs w:val="20"/>
                <w:lang w:eastAsia="pl-PL"/>
              </w:rPr>
              <w:t>Solidarność</w:t>
            </w:r>
            <w:r w:rsidR="00723D1D" w:rsidRPr="00723D1D">
              <w:rPr>
                <w:rFonts w:ascii="Times New Roman" w:eastAsia="Calibri" w:hAnsi="Times New Roman" w:cs="Times New Roman"/>
                <w:color w:val="000000"/>
                <w:sz w:val="20"/>
                <w:szCs w:val="20"/>
                <w:lang w:eastAsia="pl-PL"/>
              </w:rPr>
              <w:t>”</w:t>
            </w:r>
            <w:r w:rsidRPr="00723D1D">
              <w:rPr>
                <w:rFonts w:ascii="Times New Roman" w:eastAsia="Calibri" w:hAnsi="Times New Roman" w:cs="Times New Roman"/>
                <w:color w:val="000000"/>
                <w:sz w:val="20"/>
                <w:szCs w:val="20"/>
                <w:lang w:eastAsia="pl-PL"/>
              </w:rPr>
              <w:t>,</w:t>
            </w:r>
          </w:p>
          <w:p w14:paraId="63CF9669" w14:textId="77777777" w:rsidR="007F6E22" w:rsidRPr="00723D1D" w:rsidRDefault="007F6E22" w:rsidP="00723D1D">
            <w:pPr>
              <w:numPr>
                <w:ilvl w:val="0"/>
                <w:numId w:val="4"/>
              </w:numPr>
              <w:autoSpaceDE w:val="0"/>
              <w:autoSpaceDN w:val="0"/>
              <w:adjustRightInd w:val="0"/>
              <w:spacing w:after="120" w:line="240" w:lineRule="auto"/>
              <w:ind w:left="202" w:hanging="202"/>
              <w:contextualSpacing/>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Ogólnopolskie Porozumienie Związków Zawodowych,</w:t>
            </w:r>
          </w:p>
          <w:p w14:paraId="2DCA1C3A" w14:textId="77777777" w:rsidR="007F6E22" w:rsidRPr="00723D1D" w:rsidRDefault="007F6E22" w:rsidP="00723D1D">
            <w:pPr>
              <w:numPr>
                <w:ilvl w:val="0"/>
                <w:numId w:val="4"/>
              </w:numPr>
              <w:autoSpaceDE w:val="0"/>
              <w:autoSpaceDN w:val="0"/>
              <w:adjustRightInd w:val="0"/>
              <w:spacing w:after="120" w:line="240" w:lineRule="auto"/>
              <w:ind w:left="202" w:hanging="202"/>
              <w:contextualSpacing/>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Forum Związków Zawodowych.</w:t>
            </w:r>
          </w:p>
          <w:p w14:paraId="3184C9B5" w14:textId="77777777" w:rsidR="007F6E22" w:rsidRPr="00723D1D" w:rsidRDefault="007F6E22" w:rsidP="00723D1D">
            <w:pPr>
              <w:spacing w:after="120" w:line="240" w:lineRule="auto"/>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lastRenderedPageBreak/>
              <w:t xml:space="preserve">Z uwagi na zakres projektu, który dotyczy praw i interesów związków pracodawców, projekt podlega opiniowaniu przez reprezentatywne organizacje pracodawców. </w:t>
            </w:r>
            <w:r w:rsidRPr="00723D1D">
              <w:rPr>
                <w:rFonts w:ascii="Times New Roman" w:eastAsia="Calibri" w:hAnsi="Times New Roman" w:cs="Times New Roman"/>
                <w:color w:val="000000"/>
                <w:sz w:val="20"/>
                <w:szCs w:val="20"/>
                <w:lang w:eastAsia="pl-PL"/>
              </w:rPr>
              <w:t>Projekt zostanie przekazany na 30 dni do następujących reprezentatywnych organizacji pracodawców:</w:t>
            </w:r>
          </w:p>
          <w:p w14:paraId="4E3AF5D3"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Pracodawcy RP,</w:t>
            </w:r>
          </w:p>
          <w:p w14:paraId="46F58E06"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Konfederacja Lewiatan,</w:t>
            </w:r>
          </w:p>
          <w:p w14:paraId="55564502"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Związek Rzemiosła Polskiego,</w:t>
            </w:r>
          </w:p>
          <w:p w14:paraId="69A24CD8"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Związek Pracodawców  Business Centre Club,</w:t>
            </w:r>
          </w:p>
          <w:p w14:paraId="126AE29F"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Związek Przedsiębiorców i Pracodawców,</w:t>
            </w:r>
          </w:p>
          <w:p w14:paraId="2984B3AC" w14:textId="77777777" w:rsidR="007F6E22" w:rsidRPr="00723D1D" w:rsidRDefault="007F6E22" w:rsidP="00723D1D">
            <w:pPr>
              <w:numPr>
                <w:ilvl w:val="0"/>
                <w:numId w:val="3"/>
              </w:numPr>
              <w:spacing w:after="120" w:line="240" w:lineRule="auto"/>
              <w:ind w:left="284" w:hanging="284"/>
              <w:contextualSpacing/>
              <w:jc w:val="both"/>
              <w:rPr>
                <w:rFonts w:ascii="Times New Roman" w:eastAsia="Calibri" w:hAnsi="Times New Roman" w:cs="Times New Roman"/>
                <w:sz w:val="20"/>
                <w:szCs w:val="20"/>
              </w:rPr>
            </w:pPr>
            <w:r w:rsidRPr="00723D1D">
              <w:rPr>
                <w:rFonts w:ascii="Times New Roman" w:eastAsia="Calibri" w:hAnsi="Times New Roman" w:cs="Times New Roman"/>
                <w:sz w:val="20"/>
                <w:szCs w:val="20"/>
              </w:rPr>
              <w:t>Federacja Przedsiębiorców Polskich.</w:t>
            </w:r>
          </w:p>
          <w:p w14:paraId="4F2DEFDF" w14:textId="77777777" w:rsidR="007F6E22" w:rsidRPr="00723D1D" w:rsidRDefault="007F6E22" w:rsidP="00723D1D">
            <w:pPr>
              <w:autoSpaceDE w:val="0"/>
              <w:autoSpaceDN w:val="0"/>
              <w:adjustRightInd w:val="0"/>
              <w:spacing w:after="120" w:line="240" w:lineRule="auto"/>
              <w:ind w:right="452"/>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 xml:space="preserve">Projekt podlega opiniowaniu przez Komisję Wspólną Rządu i Samorządu Terytorialnego, gdyż dotyczy spraw związanych z samorządem terytorialnym, o których mowa w ustawie z dnia 6 maja 2005 r. o Komisji Wspólnej Rządu i Samorządu Terytorialnego oraz o przedstawicielach Rzeczypospolitej Polskiej w Komitecie Regionów Unii Europejskiej. </w:t>
            </w:r>
          </w:p>
          <w:p w14:paraId="30581BAC" w14:textId="77777777" w:rsidR="007F6E22" w:rsidRPr="00723D1D" w:rsidRDefault="007F6E22" w:rsidP="00723D1D">
            <w:pPr>
              <w:autoSpaceDE w:val="0"/>
              <w:autoSpaceDN w:val="0"/>
              <w:adjustRightInd w:val="0"/>
              <w:spacing w:after="120" w:line="240" w:lineRule="auto"/>
              <w:ind w:right="452"/>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Projekt dotyczy spraw, o których mowa w art. 1 ustawy z dnia 24 lipca 2015 r. o Radzie Dialogu Społecznego i innych instytucji dialogu społecznego, wobec czego wymaga zaopiniowania przez RDS.</w:t>
            </w:r>
          </w:p>
          <w:p w14:paraId="3F2A7146" w14:textId="77777777" w:rsidR="007F6E22" w:rsidRPr="00723D1D" w:rsidRDefault="007F6E22" w:rsidP="00723D1D">
            <w:pPr>
              <w:autoSpaceDE w:val="0"/>
              <w:autoSpaceDN w:val="0"/>
              <w:adjustRightInd w:val="0"/>
              <w:spacing w:after="120" w:line="240" w:lineRule="auto"/>
              <w:ind w:right="452"/>
              <w:jc w:val="both"/>
              <w:rPr>
                <w:rFonts w:ascii="Times New Roman" w:eastAsia="Calibri" w:hAnsi="Times New Roman" w:cs="Times New Roman"/>
                <w:color w:val="000000"/>
                <w:sz w:val="20"/>
                <w:szCs w:val="20"/>
                <w:lang w:eastAsia="pl-PL"/>
              </w:rPr>
            </w:pPr>
            <w:r w:rsidRPr="00723D1D">
              <w:rPr>
                <w:rFonts w:ascii="Times New Roman" w:eastAsia="Calibri" w:hAnsi="Times New Roman" w:cs="Times New Roman"/>
                <w:color w:val="000000"/>
                <w:sz w:val="20"/>
                <w:szCs w:val="20"/>
                <w:lang w:eastAsia="pl-PL"/>
              </w:rPr>
              <w:t>Projekt rozporządzenia nie wymaga przedstawienia właściwym instytucjom i organom Unii Europejskiej, w tym Europejskiemu Bankowi Centralnemu, celem uzyskania opinii, dokonania powiadomienia, konsultacji albo uzgodnienia projektu.</w:t>
            </w:r>
          </w:p>
          <w:p w14:paraId="5A485176" w14:textId="77777777" w:rsidR="007F6E22" w:rsidRPr="00723D1D" w:rsidRDefault="007F6E22" w:rsidP="00723D1D">
            <w:pPr>
              <w:spacing w:after="120" w:line="240" w:lineRule="auto"/>
              <w:ind w:right="452"/>
              <w:jc w:val="both"/>
              <w:rPr>
                <w:rFonts w:ascii="Times New Roman" w:eastAsia="Calibri" w:hAnsi="Times New Roman" w:cs="Times New Roman"/>
                <w:color w:val="000000"/>
                <w:spacing w:val="-2"/>
                <w:sz w:val="20"/>
                <w:szCs w:val="20"/>
              </w:rPr>
            </w:pPr>
            <w:r w:rsidRPr="00723D1D">
              <w:rPr>
                <w:rFonts w:ascii="Times New Roman" w:eastAsia="Calibri" w:hAnsi="Times New Roman" w:cs="Times New Roman"/>
                <w:color w:val="000000"/>
                <w:spacing w:val="-2"/>
                <w:sz w:val="20"/>
                <w:szCs w:val="20"/>
              </w:rPr>
              <w:t>Wyniki opiniowania i konsultacji publicznych zostaną omówione w raporcie z opiniowania i konsultacji publicznych udostępnionym na stronie Rządowego Centrum Legislacji, w zakładce Rządowy Proces Legislacyjny.</w:t>
            </w:r>
          </w:p>
        </w:tc>
      </w:tr>
      <w:tr w:rsidR="007F6E22" w:rsidRPr="006B0816" w14:paraId="4CF9760E" w14:textId="77777777" w:rsidTr="007B5AC5">
        <w:trPr>
          <w:trHeight w:val="363"/>
        </w:trPr>
        <w:tc>
          <w:tcPr>
            <w:tcW w:w="15877" w:type="dxa"/>
            <w:gridSpan w:val="29"/>
            <w:shd w:val="clear" w:color="auto" w:fill="99CCFF"/>
            <w:vAlign w:val="center"/>
          </w:tcPr>
          <w:p w14:paraId="3423657F"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lastRenderedPageBreak/>
              <w:t>Wpływ na sektor finansów publicznych</w:t>
            </w:r>
          </w:p>
        </w:tc>
      </w:tr>
      <w:tr w:rsidR="007F6E22" w:rsidRPr="006B0816" w14:paraId="34DD7C37" w14:textId="77777777" w:rsidTr="007B5AC5">
        <w:trPr>
          <w:trHeight w:val="142"/>
        </w:trPr>
        <w:tc>
          <w:tcPr>
            <w:tcW w:w="4380" w:type="dxa"/>
            <w:gridSpan w:val="4"/>
            <w:vMerge w:val="restart"/>
            <w:shd w:val="clear" w:color="auto" w:fill="FFFFFF"/>
          </w:tcPr>
          <w:p w14:paraId="1932C46A" w14:textId="77777777" w:rsidR="007F6E22" w:rsidRPr="006B0816" w:rsidRDefault="007F6E22" w:rsidP="007B5AC5">
            <w:pPr>
              <w:spacing w:before="40" w:after="40" w:line="276" w:lineRule="auto"/>
              <w:ind w:right="452"/>
              <w:rPr>
                <w:rFonts w:ascii="Times New Roman" w:eastAsia="Calibri" w:hAnsi="Times New Roman" w:cs="Times New Roman"/>
                <w:i/>
                <w:color w:val="000000"/>
                <w:sz w:val="20"/>
                <w:szCs w:val="20"/>
              </w:rPr>
            </w:pPr>
            <w:r w:rsidRPr="006B0816">
              <w:rPr>
                <w:rFonts w:ascii="Times New Roman" w:eastAsia="Calibri" w:hAnsi="Times New Roman" w:cs="Times New Roman"/>
                <w:color w:val="000000"/>
                <w:sz w:val="20"/>
                <w:szCs w:val="20"/>
              </w:rPr>
              <w:t>(ceny stałe z 2020 r.)</w:t>
            </w:r>
          </w:p>
        </w:tc>
        <w:tc>
          <w:tcPr>
            <w:tcW w:w="11497" w:type="dxa"/>
            <w:gridSpan w:val="25"/>
            <w:shd w:val="clear" w:color="auto" w:fill="FFFFFF"/>
          </w:tcPr>
          <w:p w14:paraId="4BA5DB5E" w14:textId="77777777" w:rsidR="007F6E22" w:rsidRPr="006B0816" w:rsidRDefault="007F6E22" w:rsidP="007B5AC5">
            <w:pPr>
              <w:spacing w:before="40" w:after="40" w:line="240" w:lineRule="auto"/>
              <w:ind w:right="452"/>
              <w:jc w:val="center"/>
              <w:rPr>
                <w:rFonts w:ascii="Times New Roman" w:eastAsia="Calibri" w:hAnsi="Times New Roman" w:cs="Times New Roman"/>
                <w:i/>
                <w:color w:val="000000"/>
                <w:spacing w:val="-2"/>
                <w:sz w:val="20"/>
                <w:szCs w:val="20"/>
              </w:rPr>
            </w:pPr>
            <w:r w:rsidRPr="006B0816">
              <w:rPr>
                <w:rFonts w:ascii="Times New Roman" w:eastAsia="Calibri" w:hAnsi="Times New Roman" w:cs="Times New Roman"/>
                <w:color w:val="000000"/>
                <w:sz w:val="20"/>
                <w:szCs w:val="20"/>
              </w:rPr>
              <w:t>Skutki w okresie 10 lat od wejścia w życie zmian [mln zł]</w:t>
            </w:r>
          </w:p>
        </w:tc>
      </w:tr>
      <w:tr w:rsidR="007F6E22" w:rsidRPr="006B0816" w14:paraId="4A66D566" w14:textId="77777777" w:rsidTr="007B5AC5">
        <w:trPr>
          <w:trHeight w:val="142"/>
        </w:trPr>
        <w:tc>
          <w:tcPr>
            <w:tcW w:w="4380" w:type="dxa"/>
            <w:gridSpan w:val="4"/>
            <w:vMerge/>
            <w:shd w:val="clear" w:color="auto" w:fill="FFFFFF"/>
          </w:tcPr>
          <w:p w14:paraId="2FF3265E" w14:textId="77777777" w:rsidR="007F6E22" w:rsidRPr="006B0816" w:rsidRDefault="007F6E22" w:rsidP="007B5AC5">
            <w:pPr>
              <w:spacing w:before="40" w:after="40" w:line="240" w:lineRule="auto"/>
              <w:ind w:right="452"/>
              <w:rPr>
                <w:rFonts w:ascii="Times New Roman" w:eastAsia="Calibri" w:hAnsi="Times New Roman" w:cs="Times New Roman"/>
                <w:i/>
                <w:color w:val="000000"/>
                <w:sz w:val="20"/>
                <w:szCs w:val="20"/>
              </w:rPr>
            </w:pPr>
          </w:p>
        </w:tc>
        <w:tc>
          <w:tcPr>
            <w:tcW w:w="569" w:type="dxa"/>
            <w:gridSpan w:val="2"/>
            <w:shd w:val="clear" w:color="auto" w:fill="FFFFFF"/>
          </w:tcPr>
          <w:p w14:paraId="1E13BC91"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c>
          <w:tcPr>
            <w:tcW w:w="570" w:type="dxa"/>
            <w:gridSpan w:val="2"/>
            <w:shd w:val="clear" w:color="auto" w:fill="FFFFFF"/>
          </w:tcPr>
          <w:p w14:paraId="7635C709"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1</w:t>
            </w:r>
          </w:p>
        </w:tc>
        <w:tc>
          <w:tcPr>
            <w:tcW w:w="570" w:type="dxa"/>
            <w:gridSpan w:val="2"/>
            <w:shd w:val="clear" w:color="auto" w:fill="FFFFFF"/>
          </w:tcPr>
          <w:p w14:paraId="0821A599"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2</w:t>
            </w:r>
          </w:p>
        </w:tc>
        <w:tc>
          <w:tcPr>
            <w:tcW w:w="569" w:type="dxa"/>
            <w:gridSpan w:val="3"/>
            <w:shd w:val="clear" w:color="auto" w:fill="FFFFFF"/>
          </w:tcPr>
          <w:p w14:paraId="0DDAA5D8"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3</w:t>
            </w:r>
          </w:p>
        </w:tc>
        <w:tc>
          <w:tcPr>
            <w:tcW w:w="570" w:type="dxa"/>
            <w:gridSpan w:val="2"/>
            <w:shd w:val="clear" w:color="auto" w:fill="FFFFFF"/>
          </w:tcPr>
          <w:p w14:paraId="1818F8FB"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4</w:t>
            </w:r>
          </w:p>
        </w:tc>
        <w:tc>
          <w:tcPr>
            <w:tcW w:w="570" w:type="dxa"/>
            <w:shd w:val="clear" w:color="auto" w:fill="FFFFFF"/>
          </w:tcPr>
          <w:p w14:paraId="111480CA"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5</w:t>
            </w:r>
          </w:p>
        </w:tc>
        <w:tc>
          <w:tcPr>
            <w:tcW w:w="570" w:type="dxa"/>
            <w:gridSpan w:val="3"/>
            <w:shd w:val="clear" w:color="auto" w:fill="FFFFFF"/>
          </w:tcPr>
          <w:p w14:paraId="5A9D836C"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6</w:t>
            </w:r>
          </w:p>
        </w:tc>
        <w:tc>
          <w:tcPr>
            <w:tcW w:w="569" w:type="dxa"/>
            <w:gridSpan w:val="3"/>
            <w:shd w:val="clear" w:color="auto" w:fill="FFFFFF"/>
          </w:tcPr>
          <w:p w14:paraId="67C7AF5B"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7</w:t>
            </w:r>
          </w:p>
        </w:tc>
        <w:tc>
          <w:tcPr>
            <w:tcW w:w="570" w:type="dxa"/>
            <w:gridSpan w:val="2"/>
            <w:shd w:val="clear" w:color="auto" w:fill="FFFFFF"/>
          </w:tcPr>
          <w:p w14:paraId="729F3030"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8</w:t>
            </w:r>
          </w:p>
        </w:tc>
        <w:tc>
          <w:tcPr>
            <w:tcW w:w="570" w:type="dxa"/>
            <w:gridSpan w:val="2"/>
            <w:shd w:val="clear" w:color="auto" w:fill="FFFFFF"/>
          </w:tcPr>
          <w:p w14:paraId="6008A47C"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9</w:t>
            </w:r>
          </w:p>
        </w:tc>
        <w:tc>
          <w:tcPr>
            <w:tcW w:w="570" w:type="dxa"/>
            <w:shd w:val="clear" w:color="auto" w:fill="FFFFFF"/>
          </w:tcPr>
          <w:p w14:paraId="469B1D69"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10</w:t>
            </w:r>
          </w:p>
        </w:tc>
        <w:tc>
          <w:tcPr>
            <w:tcW w:w="5230" w:type="dxa"/>
            <w:gridSpan w:val="2"/>
            <w:shd w:val="clear" w:color="auto" w:fill="FFFFFF"/>
          </w:tcPr>
          <w:p w14:paraId="47C4225B" w14:textId="77777777" w:rsidR="007F6E22" w:rsidRPr="006B0816" w:rsidRDefault="007F6E22" w:rsidP="007B5AC5">
            <w:pPr>
              <w:spacing w:before="40" w:after="40" w:line="240" w:lineRule="auto"/>
              <w:ind w:right="452"/>
              <w:jc w:val="center"/>
              <w:rPr>
                <w:rFonts w:ascii="Times New Roman" w:eastAsia="Calibri" w:hAnsi="Times New Roman" w:cs="Times New Roman"/>
                <w:i/>
                <w:color w:val="000000"/>
                <w:spacing w:val="-2"/>
                <w:sz w:val="20"/>
                <w:szCs w:val="20"/>
              </w:rPr>
            </w:pPr>
            <w:r w:rsidRPr="006B0816">
              <w:rPr>
                <w:rFonts w:ascii="Times New Roman" w:eastAsia="Calibri" w:hAnsi="Times New Roman" w:cs="Times New Roman"/>
                <w:i/>
                <w:color w:val="000000"/>
                <w:spacing w:val="-2"/>
                <w:sz w:val="20"/>
                <w:szCs w:val="20"/>
              </w:rPr>
              <w:t>Łącznie (0-10)</w:t>
            </w:r>
          </w:p>
        </w:tc>
      </w:tr>
      <w:tr w:rsidR="007F6E22" w:rsidRPr="006B0816" w14:paraId="0990C8CC" w14:textId="77777777" w:rsidTr="007B5AC5">
        <w:trPr>
          <w:trHeight w:val="321"/>
        </w:trPr>
        <w:tc>
          <w:tcPr>
            <w:tcW w:w="4380" w:type="dxa"/>
            <w:gridSpan w:val="4"/>
            <w:shd w:val="clear" w:color="auto" w:fill="FFFFFF"/>
            <w:vAlign w:val="center"/>
          </w:tcPr>
          <w:p w14:paraId="661589D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b/>
                <w:color w:val="000000"/>
                <w:sz w:val="20"/>
                <w:szCs w:val="20"/>
              </w:rPr>
              <w:t>Dochody ogółem</w:t>
            </w:r>
          </w:p>
        </w:tc>
        <w:tc>
          <w:tcPr>
            <w:tcW w:w="569" w:type="dxa"/>
            <w:gridSpan w:val="2"/>
            <w:shd w:val="clear" w:color="auto" w:fill="FFFFFF"/>
          </w:tcPr>
          <w:p w14:paraId="6354CFA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c>
          <w:tcPr>
            <w:tcW w:w="570" w:type="dxa"/>
            <w:gridSpan w:val="2"/>
            <w:shd w:val="clear" w:color="auto" w:fill="FFFFFF"/>
          </w:tcPr>
          <w:p w14:paraId="47AEDA0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9EF771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12B895C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E57E19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1C7745D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26BE071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6323D97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15ACD0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3793A3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1CBC6A8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034F0573"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742D7187" w14:textId="77777777" w:rsidTr="007B5AC5">
        <w:trPr>
          <w:trHeight w:val="321"/>
        </w:trPr>
        <w:tc>
          <w:tcPr>
            <w:tcW w:w="4380" w:type="dxa"/>
            <w:gridSpan w:val="4"/>
            <w:shd w:val="clear" w:color="auto" w:fill="FFFFFF"/>
            <w:vAlign w:val="center"/>
          </w:tcPr>
          <w:p w14:paraId="1274008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budżet państwa</w:t>
            </w:r>
          </w:p>
        </w:tc>
        <w:tc>
          <w:tcPr>
            <w:tcW w:w="569" w:type="dxa"/>
            <w:gridSpan w:val="2"/>
            <w:shd w:val="clear" w:color="auto" w:fill="FFFFFF"/>
          </w:tcPr>
          <w:p w14:paraId="0745BB7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934984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1C3DE0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2228E9F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6A4E59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F0891C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16CE7A0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0A2BDC7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FB4D7F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7CDA3F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57187CB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617582F2"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5A524D1B" w14:textId="77777777" w:rsidTr="007B5AC5">
        <w:trPr>
          <w:trHeight w:val="344"/>
        </w:trPr>
        <w:tc>
          <w:tcPr>
            <w:tcW w:w="4380" w:type="dxa"/>
            <w:gridSpan w:val="4"/>
            <w:shd w:val="clear" w:color="auto" w:fill="FFFFFF"/>
            <w:vAlign w:val="center"/>
          </w:tcPr>
          <w:p w14:paraId="0E692C4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JST</w:t>
            </w:r>
          </w:p>
        </w:tc>
        <w:tc>
          <w:tcPr>
            <w:tcW w:w="569" w:type="dxa"/>
            <w:gridSpan w:val="2"/>
            <w:shd w:val="clear" w:color="auto" w:fill="FFFFFF"/>
          </w:tcPr>
          <w:p w14:paraId="73D53AF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56433FD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CF5D52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2DFE36A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C8321E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1DB832B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3E7F9A1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4047098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04510C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4A082F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CCE440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2014D59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1F601AA3" w14:textId="77777777" w:rsidTr="007B5AC5">
        <w:trPr>
          <w:trHeight w:val="344"/>
        </w:trPr>
        <w:tc>
          <w:tcPr>
            <w:tcW w:w="4380" w:type="dxa"/>
            <w:gridSpan w:val="4"/>
            <w:shd w:val="clear" w:color="auto" w:fill="FFFFFF"/>
            <w:vAlign w:val="center"/>
          </w:tcPr>
          <w:p w14:paraId="2264E37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pozostałe jednostki (oddzielnie)</w:t>
            </w:r>
          </w:p>
        </w:tc>
        <w:tc>
          <w:tcPr>
            <w:tcW w:w="569" w:type="dxa"/>
            <w:gridSpan w:val="2"/>
            <w:shd w:val="clear" w:color="auto" w:fill="FFFFFF"/>
          </w:tcPr>
          <w:p w14:paraId="13764FB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CDC643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DFD51D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2A38B5D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5CA4B6C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3604903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681D4FF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47929E1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5EC7918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926B23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C9007C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4C882E2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1249BA9A" w14:textId="77777777" w:rsidTr="007B5AC5">
        <w:trPr>
          <w:trHeight w:val="330"/>
        </w:trPr>
        <w:tc>
          <w:tcPr>
            <w:tcW w:w="4380" w:type="dxa"/>
            <w:gridSpan w:val="4"/>
            <w:shd w:val="clear" w:color="auto" w:fill="FFFFFF"/>
            <w:vAlign w:val="center"/>
          </w:tcPr>
          <w:p w14:paraId="44EAB21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b/>
                <w:color w:val="000000"/>
                <w:sz w:val="20"/>
                <w:szCs w:val="20"/>
              </w:rPr>
              <w:t>Wydatki ogółem</w:t>
            </w:r>
          </w:p>
        </w:tc>
        <w:tc>
          <w:tcPr>
            <w:tcW w:w="569" w:type="dxa"/>
            <w:gridSpan w:val="2"/>
            <w:shd w:val="clear" w:color="auto" w:fill="FFFFFF"/>
          </w:tcPr>
          <w:p w14:paraId="7ABECBC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49CB70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B26A60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64BBC7C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2ED40A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32D6AC4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709ADBB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7FEB7B0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7DBB87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33FE5D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1560A58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37BABF4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0967A1AF" w14:textId="77777777" w:rsidTr="007B5AC5">
        <w:trPr>
          <w:trHeight w:val="330"/>
        </w:trPr>
        <w:tc>
          <w:tcPr>
            <w:tcW w:w="4380" w:type="dxa"/>
            <w:gridSpan w:val="4"/>
            <w:shd w:val="clear" w:color="auto" w:fill="FFFFFF"/>
            <w:vAlign w:val="center"/>
          </w:tcPr>
          <w:p w14:paraId="3188605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budżet państwa</w:t>
            </w:r>
          </w:p>
        </w:tc>
        <w:tc>
          <w:tcPr>
            <w:tcW w:w="569" w:type="dxa"/>
            <w:gridSpan w:val="2"/>
            <w:shd w:val="clear" w:color="auto" w:fill="FFFFFF"/>
          </w:tcPr>
          <w:p w14:paraId="57E3CA0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58C98C9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7242D5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51ED29D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26A196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0B5C920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7959FC3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0C2CB6C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A6B9A3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D08589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43AA70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192707E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4B8990B7" w14:textId="77777777" w:rsidTr="007B5AC5">
        <w:trPr>
          <w:trHeight w:val="351"/>
        </w:trPr>
        <w:tc>
          <w:tcPr>
            <w:tcW w:w="4380" w:type="dxa"/>
            <w:gridSpan w:val="4"/>
            <w:shd w:val="clear" w:color="auto" w:fill="FFFFFF"/>
            <w:vAlign w:val="center"/>
          </w:tcPr>
          <w:p w14:paraId="67B26BD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JST</w:t>
            </w:r>
          </w:p>
        </w:tc>
        <w:tc>
          <w:tcPr>
            <w:tcW w:w="569" w:type="dxa"/>
            <w:gridSpan w:val="2"/>
            <w:shd w:val="clear" w:color="auto" w:fill="FFFFFF"/>
          </w:tcPr>
          <w:p w14:paraId="42E0434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082577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361FAB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30DC4F2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ED5F4C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11CF73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0F4519A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68F4F9B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91E007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F03795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3351EDD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691E540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50100C8D" w14:textId="77777777" w:rsidTr="007B5AC5">
        <w:trPr>
          <w:trHeight w:val="351"/>
        </w:trPr>
        <w:tc>
          <w:tcPr>
            <w:tcW w:w="4380" w:type="dxa"/>
            <w:gridSpan w:val="4"/>
            <w:shd w:val="clear" w:color="auto" w:fill="FFFFFF"/>
            <w:vAlign w:val="center"/>
          </w:tcPr>
          <w:p w14:paraId="77819AF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pozostałe jednostki (oddzielnie)</w:t>
            </w:r>
          </w:p>
        </w:tc>
        <w:tc>
          <w:tcPr>
            <w:tcW w:w="569" w:type="dxa"/>
            <w:gridSpan w:val="2"/>
            <w:shd w:val="clear" w:color="auto" w:fill="FFFFFF"/>
          </w:tcPr>
          <w:p w14:paraId="4222D17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CC9C27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336A7C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12CF2E8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1388B3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6140BFB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0C071B4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07AD75A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487C79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7FF99C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73BA750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5328674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5EB8291E" w14:textId="77777777" w:rsidTr="007B5AC5">
        <w:trPr>
          <w:trHeight w:val="360"/>
        </w:trPr>
        <w:tc>
          <w:tcPr>
            <w:tcW w:w="4380" w:type="dxa"/>
            <w:gridSpan w:val="4"/>
            <w:shd w:val="clear" w:color="auto" w:fill="FFFFFF"/>
            <w:vAlign w:val="center"/>
          </w:tcPr>
          <w:p w14:paraId="12BE68A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b/>
                <w:color w:val="000000"/>
                <w:sz w:val="20"/>
                <w:szCs w:val="20"/>
              </w:rPr>
              <w:t>Saldo ogółem</w:t>
            </w:r>
          </w:p>
        </w:tc>
        <w:tc>
          <w:tcPr>
            <w:tcW w:w="569" w:type="dxa"/>
            <w:gridSpan w:val="2"/>
            <w:shd w:val="clear" w:color="auto" w:fill="FFFFFF"/>
          </w:tcPr>
          <w:p w14:paraId="2DC2541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320ECB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1270E8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0266867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241B9F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1E88ACD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7C5BE96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6D1710A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8E7B67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5C4F78D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6FDC0E9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6827ECE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6084B1B2" w14:textId="77777777" w:rsidTr="007B5AC5">
        <w:trPr>
          <w:trHeight w:val="360"/>
        </w:trPr>
        <w:tc>
          <w:tcPr>
            <w:tcW w:w="4380" w:type="dxa"/>
            <w:gridSpan w:val="4"/>
            <w:shd w:val="clear" w:color="auto" w:fill="FFFFFF"/>
            <w:vAlign w:val="center"/>
          </w:tcPr>
          <w:p w14:paraId="5A0E3D8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budżet państwa</w:t>
            </w:r>
          </w:p>
        </w:tc>
        <w:tc>
          <w:tcPr>
            <w:tcW w:w="569" w:type="dxa"/>
            <w:gridSpan w:val="2"/>
            <w:shd w:val="clear" w:color="auto" w:fill="FFFFFF"/>
          </w:tcPr>
          <w:p w14:paraId="6F5AADB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4C7519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D9227D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1B0EFAA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28B1F43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DF1BF6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4E480CA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3D1A851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D717B9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59ED8F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79F78E9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2927376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435A2FC7" w14:textId="77777777" w:rsidTr="007B5AC5">
        <w:trPr>
          <w:trHeight w:val="357"/>
        </w:trPr>
        <w:tc>
          <w:tcPr>
            <w:tcW w:w="4380" w:type="dxa"/>
            <w:gridSpan w:val="4"/>
            <w:shd w:val="clear" w:color="auto" w:fill="FFFFFF"/>
            <w:vAlign w:val="center"/>
          </w:tcPr>
          <w:p w14:paraId="5DA1E69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lastRenderedPageBreak/>
              <w:t>JST</w:t>
            </w:r>
          </w:p>
        </w:tc>
        <w:tc>
          <w:tcPr>
            <w:tcW w:w="569" w:type="dxa"/>
            <w:gridSpan w:val="2"/>
            <w:shd w:val="clear" w:color="auto" w:fill="FFFFFF"/>
          </w:tcPr>
          <w:p w14:paraId="2718CC8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D6C544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FEA08D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1061693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40D047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0270512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29E4E59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4D485E5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C5939C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360B5EC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6D3F514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311D127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53A104E4" w14:textId="77777777" w:rsidTr="007B5AC5">
        <w:trPr>
          <w:trHeight w:val="357"/>
        </w:trPr>
        <w:tc>
          <w:tcPr>
            <w:tcW w:w="4380" w:type="dxa"/>
            <w:gridSpan w:val="4"/>
            <w:shd w:val="clear" w:color="auto" w:fill="FFFFFF"/>
            <w:vAlign w:val="center"/>
          </w:tcPr>
          <w:p w14:paraId="75E7C93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pozostałe jednostki (oddzielnie)</w:t>
            </w:r>
          </w:p>
        </w:tc>
        <w:tc>
          <w:tcPr>
            <w:tcW w:w="569" w:type="dxa"/>
            <w:gridSpan w:val="2"/>
            <w:shd w:val="clear" w:color="auto" w:fill="FFFFFF"/>
          </w:tcPr>
          <w:p w14:paraId="58205B9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6C658FE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0F4DB28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32C6042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719A780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4DFC7EC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3"/>
            <w:shd w:val="clear" w:color="auto" w:fill="FFFFFF"/>
          </w:tcPr>
          <w:p w14:paraId="6A98CCC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69" w:type="dxa"/>
            <w:gridSpan w:val="3"/>
            <w:shd w:val="clear" w:color="auto" w:fill="FFFFFF"/>
          </w:tcPr>
          <w:p w14:paraId="02F5778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1DF7C34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gridSpan w:val="2"/>
            <w:shd w:val="clear" w:color="auto" w:fill="FFFFFF"/>
          </w:tcPr>
          <w:p w14:paraId="450B1B9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70" w:type="dxa"/>
            <w:shd w:val="clear" w:color="auto" w:fill="FFFFFF"/>
          </w:tcPr>
          <w:p w14:paraId="562F35F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230" w:type="dxa"/>
            <w:gridSpan w:val="2"/>
            <w:shd w:val="clear" w:color="auto" w:fill="FFFFFF"/>
          </w:tcPr>
          <w:p w14:paraId="6C354B9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r>
      <w:tr w:rsidR="007F6E22" w:rsidRPr="006B0816" w14:paraId="7D5BC694" w14:textId="77777777" w:rsidTr="007B5AC5">
        <w:trPr>
          <w:trHeight w:val="348"/>
        </w:trPr>
        <w:tc>
          <w:tcPr>
            <w:tcW w:w="3490" w:type="dxa"/>
            <w:gridSpan w:val="2"/>
            <w:shd w:val="clear" w:color="auto" w:fill="FFFFFF"/>
            <w:vAlign w:val="center"/>
          </w:tcPr>
          <w:p w14:paraId="63458B8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 xml:space="preserve">Źródła finansowania </w:t>
            </w:r>
          </w:p>
        </w:tc>
        <w:tc>
          <w:tcPr>
            <w:tcW w:w="12387" w:type="dxa"/>
            <w:gridSpan w:val="27"/>
            <w:shd w:val="clear" w:color="auto" w:fill="FFFFFF"/>
            <w:vAlign w:val="center"/>
          </w:tcPr>
          <w:p w14:paraId="7E076933" w14:textId="77777777" w:rsidR="007F6E22" w:rsidRPr="006B0816" w:rsidRDefault="007F6E22" w:rsidP="007B5AC5">
            <w:pPr>
              <w:spacing w:after="0" w:line="240" w:lineRule="auto"/>
              <w:ind w:right="452"/>
              <w:jc w:val="both"/>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Zakłada się brak bezpośredniego wpływu niniejszego rozporządzenia na jednostki sektora finansów publicznych (kontynuacja dotychczasowych zadań Prezesa URE). Rozporządzenie stanowi nowy akt wykonawczy do ustawy. Jego funkcją jest umożliwienie kontynuacji  dotychczasowych obowiązków nakładanych na uczestników rynku poprzez</w:t>
            </w:r>
            <w:bookmarkStart w:id="5" w:name="_Hlk52889639"/>
            <w:r w:rsidRPr="006B0816">
              <w:rPr>
                <w:rFonts w:ascii="Times New Roman" w:eastAsia="Calibri" w:hAnsi="Times New Roman" w:cs="Times New Roman"/>
                <w:color w:val="000000"/>
                <w:sz w:val="20"/>
                <w:szCs w:val="20"/>
              </w:rPr>
              <w:t xml:space="preserve"> tę ustawę. </w:t>
            </w:r>
            <w:bookmarkEnd w:id="5"/>
          </w:p>
        </w:tc>
      </w:tr>
      <w:tr w:rsidR="007F6E22" w:rsidRPr="006B0816" w14:paraId="6B77657F" w14:textId="77777777" w:rsidTr="007B5AC5">
        <w:trPr>
          <w:trHeight w:val="1926"/>
        </w:trPr>
        <w:tc>
          <w:tcPr>
            <w:tcW w:w="3490" w:type="dxa"/>
            <w:gridSpan w:val="2"/>
            <w:shd w:val="clear" w:color="auto" w:fill="FFFFFF"/>
          </w:tcPr>
          <w:p w14:paraId="44DE221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Dodatkowe informacje, w tym wskazanie źródeł danych i przyjętych do obliczeń założeń</w:t>
            </w:r>
          </w:p>
        </w:tc>
        <w:tc>
          <w:tcPr>
            <w:tcW w:w="12387" w:type="dxa"/>
            <w:gridSpan w:val="27"/>
            <w:shd w:val="clear" w:color="auto" w:fill="FFFFFF"/>
          </w:tcPr>
          <w:p w14:paraId="18CF803D" w14:textId="77777777" w:rsidR="007F6E22" w:rsidRPr="006B0816" w:rsidRDefault="007F6E22" w:rsidP="007B5AC5">
            <w:pPr>
              <w:spacing w:after="0" w:line="240" w:lineRule="auto"/>
              <w:ind w:right="452"/>
              <w:jc w:val="both"/>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Nie dotyczy</w:t>
            </w:r>
          </w:p>
        </w:tc>
      </w:tr>
      <w:tr w:rsidR="007F6E22" w:rsidRPr="006B0816" w14:paraId="14BB38B4" w14:textId="77777777" w:rsidTr="007B5AC5">
        <w:trPr>
          <w:trHeight w:val="345"/>
        </w:trPr>
        <w:tc>
          <w:tcPr>
            <w:tcW w:w="15877" w:type="dxa"/>
            <w:gridSpan w:val="29"/>
            <w:shd w:val="clear" w:color="auto" w:fill="99CCFF"/>
          </w:tcPr>
          <w:p w14:paraId="5E7DA1F6" w14:textId="77777777" w:rsidR="007F6E22" w:rsidRPr="006B0816" w:rsidRDefault="007F6E22" w:rsidP="007B5AC5">
            <w:pPr>
              <w:numPr>
                <w:ilvl w:val="0"/>
                <w:numId w:val="1"/>
              </w:numPr>
              <w:spacing w:before="120" w:after="120" w:line="240" w:lineRule="auto"/>
              <w:ind w:right="452"/>
              <w:jc w:val="both"/>
              <w:rPr>
                <w:rFonts w:ascii="Times New Roman" w:eastAsia="Calibri" w:hAnsi="Times New Roman" w:cs="Times New Roman"/>
                <w:b/>
                <w:color w:val="000000"/>
                <w:spacing w:val="-2"/>
                <w:sz w:val="20"/>
                <w:szCs w:val="20"/>
              </w:rPr>
            </w:pPr>
            <w:r w:rsidRPr="006B0816">
              <w:rPr>
                <w:rFonts w:ascii="Times New Roman" w:eastAsia="Calibri" w:hAnsi="Times New Roman" w:cs="Times New Roman"/>
                <w:b/>
                <w:color w:val="000000"/>
                <w:spacing w:val="-2"/>
                <w:sz w:val="20"/>
                <w:szCs w:val="20"/>
              </w:rPr>
              <w:t xml:space="preserve">Wpływ na </w:t>
            </w:r>
            <w:r w:rsidRPr="006B0816">
              <w:rPr>
                <w:rFonts w:ascii="Times New Roman" w:eastAsia="Calibri" w:hAnsi="Times New Roman" w:cs="Times New Roman"/>
                <w:b/>
                <w:color w:val="000000"/>
                <w:sz w:val="20"/>
                <w:szCs w:val="20"/>
              </w:rPr>
              <w:t xml:space="preserve">konkurencyjność gospodarki i przedsiębiorczość, w tym funkcjonowanie przedsiębiorców oraz na rodzinę, obywateli i gospodarstwa domowe </w:t>
            </w:r>
          </w:p>
        </w:tc>
      </w:tr>
      <w:tr w:rsidR="007F6E22" w:rsidRPr="006B0816" w14:paraId="27677CEE" w14:textId="77777777" w:rsidTr="007B5AC5">
        <w:trPr>
          <w:trHeight w:val="142"/>
        </w:trPr>
        <w:tc>
          <w:tcPr>
            <w:tcW w:w="15877" w:type="dxa"/>
            <w:gridSpan w:val="29"/>
            <w:shd w:val="clear" w:color="auto" w:fill="FFFFFF"/>
          </w:tcPr>
          <w:p w14:paraId="6D7B1F2A" w14:textId="77777777" w:rsidR="007F6E22" w:rsidRPr="006B0816" w:rsidRDefault="007F6E22" w:rsidP="007B5AC5">
            <w:pPr>
              <w:spacing w:after="0" w:line="240" w:lineRule="auto"/>
              <w:ind w:right="452"/>
              <w:jc w:val="center"/>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Skutki</w:t>
            </w:r>
          </w:p>
        </w:tc>
      </w:tr>
      <w:tr w:rsidR="007F6E22" w:rsidRPr="006B0816" w14:paraId="774DD2B6" w14:textId="77777777" w:rsidTr="007B5AC5">
        <w:trPr>
          <w:trHeight w:val="142"/>
        </w:trPr>
        <w:tc>
          <w:tcPr>
            <w:tcW w:w="5136" w:type="dxa"/>
            <w:gridSpan w:val="7"/>
            <w:shd w:val="clear" w:color="auto" w:fill="FFFFFF"/>
          </w:tcPr>
          <w:p w14:paraId="483074E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Czas w latach od wejścia w życie zmian</w:t>
            </w:r>
          </w:p>
        </w:tc>
        <w:tc>
          <w:tcPr>
            <w:tcW w:w="937" w:type="dxa"/>
            <w:gridSpan w:val="2"/>
            <w:shd w:val="clear" w:color="auto" w:fill="FFFFFF"/>
          </w:tcPr>
          <w:p w14:paraId="06009AFB"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c>
          <w:tcPr>
            <w:tcW w:w="938" w:type="dxa"/>
            <w:gridSpan w:val="5"/>
            <w:shd w:val="clear" w:color="auto" w:fill="FFFFFF"/>
          </w:tcPr>
          <w:p w14:paraId="60464E59"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1</w:t>
            </w:r>
          </w:p>
        </w:tc>
        <w:tc>
          <w:tcPr>
            <w:tcW w:w="938" w:type="dxa"/>
            <w:gridSpan w:val="4"/>
            <w:shd w:val="clear" w:color="auto" w:fill="FFFFFF"/>
          </w:tcPr>
          <w:p w14:paraId="04388AE5"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2</w:t>
            </w:r>
          </w:p>
        </w:tc>
        <w:tc>
          <w:tcPr>
            <w:tcW w:w="937" w:type="dxa"/>
            <w:gridSpan w:val="3"/>
            <w:shd w:val="clear" w:color="auto" w:fill="FFFFFF"/>
          </w:tcPr>
          <w:p w14:paraId="08352F83"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3</w:t>
            </w:r>
          </w:p>
        </w:tc>
        <w:tc>
          <w:tcPr>
            <w:tcW w:w="938" w:type="dxa"/>
            <w:gridSpan w:val="4"/>
            <w:shd w:val="clear" w:color="auto" w:fill="FFFFFF"/>
          </w:tcPr>
          <w:p w14:paraId="7B6C7087"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5</w:t>
            </w:r>
          </w:p>
        </w:tc>
        <w:tc>
          <w:tcPr>
            <w:tcW w:w="938" w:type="dxa"/>
            <w:gridSpan w:val="3"/>
            <w:shd w:val="clear" w:color="auto" w:fill="FFFFFF"/>
          </w:tcPr>
          <w:p w14:paraId="0A25F73D" w14:textId="77777777" w:rsidR="007F6E22" w:rsidRPr="006B0816" w:rsidRDefault="007F6E22" w:rsidP="007B5AC5">
            <w:pPr>
              <w:spacing w:after="0" w:line="240" w:lineRule="auto"/>
              <w:ind w:right="452"/>
              <w:jc w:val="center"/>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10</w:t>
            </w:r>
          </w:p>
        </w:tc>
        <w:tc>
          <w:tcPr>
            <w:tcW w:w="5115" w:type="dxa"/>
            <w:shd w:val="clear" w:color="auto" w:fill="FFFFFF"/>
          </w:tcPr>
          <w:p w14:paraId="6D8A8CF0" w14:textId="77777777" w:rsidR="007F6E22" w:rsidRPr="006B0816" w:rsidRDefault="007F6E22" w:rsidP="007B5AC5">
            <w:pPr>
              <w:spacing w:after="0" w:line="240" w:lineRule="auto"/>
              <w:ind w:right="452"/>
              <w:jc w:val="center"/>
              <w:rPr>
                <w:rFonts w:ascii="Times New Roman" w:eastAsia="Calibri" w:hAnsi="Times New Roman" w:cs="Times New Roman"/>
                <w:i/>
                <w:color w:val="000000"/>
                <w:spacing w:val="-2"/>
                <w:sz w:val="20"/>
                <w:szCs w:val="20"/>
              </w:rPr>
            </w:pPr>
            <w:r w:rsidRPr="006B0816">
              <w:rPr>
                <w:rFonts w:ascii="Times New Roman" w:eastAsia="Calibri" w:hAnsi="Times New Roman" w:cs="Times New Roman"/>
                <w:i/>
                <w:color w:val="000000"/>
                <w:spacing w:val="-2"/>
                <w:sz w:val="20"/>
                <w:szCs w:val="20"/>
              </w:rPr>
              <w:t>Łącznie</w:t>
            </w:r>
            <w:r w:rsidRPr="006B0816" w:rsidDel="0073273A">
              <w:rPr>
                <w:rFonts w:ascii="Times New Roman" w:eastAsia="Calibri" w:hAnsi="Times New Roman" w:cs="Times New Roman"/>
                <w:i/>
                <w:color w:val="000000"/>
                <w:spacing w:val="-2"/>
                <w:sz w:val="20"/>
                <w:szCs w:val="20"/>
              </w:rPr>
              <w:t xml:space="preserve"> </w:t>
            </w:r>
            <w:r w:rsidRPr="006B0816">
              <w:rPr>
                <w:rFonts w:ascii="Times New Roman" w:eastAsia="Calibri" w:hAnsi="Times New Roman" w:cs="Times New Roman"/>
                <w:i/>
                <w:color w:val="000000"/>
                <w:spacing w:val="-2"/>
                <w:sz w:val="20"/>
                <w:szCs w:val="20"/>
              </w:rPr>
              <w:t>(0-10)</w:t>
            </w:r>
          </w:p>
        </w:tc>
      </w:tr>
      <w:tr w:rsidR="007F6E22" w:rsidRPr="006B0816" w14:paraId="1946D48C" w14:textId="77777777" w:rsidTr="007B5AC5">
        <w:trPr>
          <w:trHeight w:val="142"/>
        </w:trPr>
        <w:tc>
          <w:tcPr>
            <w:tcW w:w="2843" w:type="dxa"/>
            <w:vMerge w:val="restart"/>
            <w:shd w:val="clear" w:color="auto" w:fill="FFFFFF"/>
          </w:tcPr>
          <w:p w14:paraId="7F99964F" w14:textId="77777777" w:rsidR="007F6E22" w:rsidRPr="006B0816" w:rsidRDefault="007F6E22" w:rsidP="007B5AC5">
            <w:pPr>
              <w:spacing w:after="0" w:line="276"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W ujęciu pieniężnym</w:t>
            </w:r>
          </w:p>
          <w:p w14:paraId="42286131" w14:textId="77777777" w:rsidR="007F6E22" w:rsidRPr="006B0816" w:rsidRDefault="007F6E22" w:rsidP="007B5AC5">
            <w:pPr>
              <w:spacing w:after="0" w:line="276" w:lineRule="auto"/>
              <w:ind w:right="452"/>
              <w:rPr>
                <w:rFonts w:ascii="Times New Roman" w:eastAsia="Calibri" w:hAnsi="Times New Roman" w:cs="Times New Roman"/>
                <w:spacing w:val="-2"/>
                <w:sz w:val="20"/>
                <w:szCs w:val="20"/>
              </w:rPr>
            </w:pPr>
            <w:r w:rsidRPr="006B0816">
              <w:rPr>
                <w:rFonts w:ascii="Times New Roman" w:eastAsia="Calibri" w:hAnsi="Times New Roman" w:cs="Times New Roman"/>
                <w:spacing w:val="-2"/>
                <w:sz w:val="20"/>
                <w:szCs w:val="20"/>
              </w:rPr>
              <w:t xml:space="preserve">(w mln zł, </w:t>
            </w:r>
          </w:p>
          <w:p w14:paraId="22255E7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spacing w:val="-2"/>
                <w:sz w:val="20"/>
                <w:szCs w:val="20"/>
              </w:rPr>
              <w:t>ceny stałe z 2020 r.)</w:t>
            </w:r>
          </w:p>
        </w:tc>
        <w:tc>
          <w:tcPr>
            <w:tcW w:w="2293" w:type="dxa"/>
            <w:gridSpan w:val="6"/>
            <w:shd w:val="clear" w:color="auto" w:fill="FFFFFF"/>
          </w:tcPr>
          <w:p w14:paraId="0EA5773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duże przedsiębiorstwa</w:t>
            </w:r>
          </w:p>
        </w:tc>
        <w:tc>
          <w:tcPr>
            <w:tcW w:w="937" w:type="dxa"/>
            <w:gridSpan w:val="2"/>
            <w:shd w:val="clear" w:color="auto" w:fill="FFFFFF"/>
          </w:tcPr>
          <w:p w14:paraId="7CDA274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0</w:t>
            </w:r>
          </w:p>
        </w:tc>
        <w:tc>
          <w:tcPr>
            <w:tcW w:w="938" w:type="dxa"/>
            <w:gridSpan w:val="5"/>
            <w:shd w:val="clear" w:color="auto" w:fill="FFFFFF"/>
          </w:tcPr>
          <w:p w14:paraId="5820D90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7F31E6E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7" w:type="dxa"/>
            <w:gridSpan w:val="3"/>
            <w:shd w:val="clear" w:color="auto" w:fill="FFFFFF"/>
          </w:tcPr>
          <w:p w14:paraId="38735F0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3D11F50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3"/>
            <w:shd w:val="clear" w:color="auto" w:fill="FFFFFF"/>
          </w:tcPr>
          <w:p w14:paraId="74F2B53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115" w:type="dxa"/>
            <w:shd w:val="clear" w:color="auto" w:fill="FFFFFF"/>
          </w:tcPr>
          <w:p w14:paraId="1E1EA905"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5B81D04A" w14:textId="77777777" w:rsidTr="007B5AC5">
        <w:trPr>
          <w:trHeight w:val="142"/>
        </w:trPr>
        <w:tc>
          <w:tcPr>
            <w:tcW w:w="2843" w:type="dxa"/>
            <w:vMerge/>
            <w:shd w:val="clear" w:color="auto" w:fill="FFFFFF"/>
          </w:tcPr>
          <w:p w14:paraId="4D54CD6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4958103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sektor mikro-, małych i średnich przedsiębiorstw</w:t>
            </w:r>
          </w:p>
        </w:tc>
        <w:tc>
          <w:tcPr>
            <w:tcW w:w="937" w:type="dxa"/>
            <w:gridSpan w:val="2"/>
            <w:shd w:val="clear" w:color="auto" w:fill="FFFFFF"/>
          </w:tcPr>
          <w:p w14:paraId="527362E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5"/>
            <w:shd w:val="clear" w:color="auto" w:fill="FFFFFF"/>
          </w:tcPr>
          <w:p w14:paraId="2FA7007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34CA351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7" w:type="dxa"/>
            <w:gridSpan w:val="3"/>
            <w:shd w:val="clear" w:color="auto" w:fill="FFFFFF"/>
          </w:tcPr>
          <w:p w14:paraId="4C648FD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48EF4A6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3"/>
            <w:shd w:val="clear" w:color="auto" w:fill="FFFFFF"/>
          </w:tcPr>
          <w:p w14:paraId="1F0631B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115" w:type="dxa"/>
            <w:shd w:val="clear" w:color="auto" w:fill="FFFFFF"/>
          </w:tcPr>
          <w:p w14:paraId="4BAD8987"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793AADE4" w14:textId="77777777" w:rsidTr="007B5AC5">
        <w:trPr>
          <w:trHeight w:val="142"/>
        </w:trPr>
        <w:tc>
          <w:tcPr>
            <w:tcW w:w="2843" w:type="dxa"/>
            <w:vMerge/>
            <w:shd w:val="clear" w:color="auto" w:fill="FFFFFF"/>
          </w:tcPr>
          <w:p w14:paraId="1E20955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630D875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sz w:val="20"/>
                <w:szCs w:val="20"/>
              </w:rPr>
              <w:t>rodzina, obywatele oraz gospodarstwa domowe</w:t>
            </w:r>
          </w:p>
        </w:tc>
        <w:tc>
          <w:tcPr>
            <w:tcW w:w="937" w:type="dxa"/>
            <w:gridSpan w:val="2"/>
            <w:shd w:val="clear" w:color="auto" w:fill="FFFFFF"/>
          </w:tcPr>
          <w:p w14:paraId="190CF31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5"/>
            <w:shd w:val="clear" w:color="auto" w:fill="FFFFFF"/>
          </w:tcPr>
          <w:p w14:paraId="20D56EF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370F2F3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7" w:type="dxa"/>
            <w:gridSpan w:val="3"/>
            <w:shd w:val="clear" w:color="auto" w:fill="FFFFFF"/>
          </w:tcPr>
          <w:p w14:paraId="5C92DB8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08FD54C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3"/>
            <w:shd w:val="clear" w:color="auto" w:fill="FFFFFF"/>
          </w:tcPr>
          <w:p w14:paraId="79AA956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115" w:type="dxa"/>
            <w:shd w:val="clear" w:color="auto" w:fill="FFFFFF"/>
          </w:tcPr>
          <w:p w14:paraId="2033AB2D"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19F5AC5C" w14:textId="77777777" w:rsidTr="007B5AC5">
        <w:trPr>
          <w:trHeight w:val="142"/>
        </w:trPr>
        <w:tc>
          <w:tcPr>
            <w:tcW w:w="2843" w:type="dxa"/>
            <w:vMerge/>
            <w:shd w:val="clear" w:color="auto" w:fill="FFFFFF"/>
          </w:tcPr>
          <w:p w14:paraId="5B2E0E2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10E1874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noProof/>
                <w:color w:val="000000"/>
                <w:sz w:val="20"/>
                <w:szCs w:val="20"/>
              </w:rPr>
              <w:t>(dodaj/usuń)</w:t>
            </w:r>
            <w:r w:rsidRPr="006B0816">
              <w:rPr>
                <w:rFonts w:ascii="Times New Roman" w:eastAsia="Calibri" w:hAnsi="Times New Roman" w:cs="Times New Roman"/>
                <w:color w:val="000000"/>
                <w:sz w:val="20"/>
                <w:szCs w:val="20"/>
              </w:rPr>
              <w:fldChar w:fldCharType="end"/>
            </w:r>
          </w:p>
        </w:tc>
        <w:tc>
          <w:tcPr>
            <w:tcW w:w="937" w:type="dxa"/>
            <w:gridSpan w:val="2"/>
            <w:shd w:val="clear" w:color="auto" w:fill="FFFFFF"/>
          </w:tcPr>
          <w:p w14:paraId="370F362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5"/>
            <w:shd w:val="clear" w:color="auto" w:fill="FFFFFF"/>
          </w:tcPr>
          <w:p w14:paraId="5D9CAEE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5EEF047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7" w:type="dxa"/>
            <w:gridSpan w:val="3"/>
            <w:shd w:val="clear" w:color="auto" w:fill="FFFFFF"/>
          </w:tcPr>
          <w:p w14:paraId="128A878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4"/>
            <w:shd w:val="clear" w:color="auto" w:fill="FFFFFF"/>
          </w:tcPr>
          <w:p w14:paraId="677DC7B0"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938" w:type="dxa"/>
            <w:gridSpan w:val="3"/>
            <w:shd w:val="clear" w:color="auto" w:fill="FFFFFF"/>
          </w:tcPr>
          <w:p w14:paraId="5F62AAF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0</w:t>
            </w:r>
          </w:p>
        </w:tc>
        <w:tc>
          <w:tcPr>
            <w:tcW w:w="5115" w:type="dxa"/>
            <w:shd w:val="clear" w:color="auto" w:fill="FFFFFF"/>
          </w:tcPr>
          <w:p w14:paraId="67469602"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0</w:t>
            </w:r>
          </w:p>
        </w:tc>
      </w:tr>
      <w:tr w:rsidR="007F6E22" w:rsidRPr="006B0816" w14:paraId="6173A598" w14:textId="77777777" w:rsidTr="007B5AC5">
        <w:trPr>
          <w:trHeight w:val="142"/>
        </w:trPr>
        <w:tc>
          <w:tcPr>
            <w:tcW w:w="2843" w:type="dxa"/>
            <w:vMerge w:val="restart"/>
            <w:shd w:val="clear" w:color="auto" w:fill="FFFFFF"/>
          </w:tcPr>
          <w:p w14:paraId="00E212E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W ujęciu niepieniężnym</w:t>
            </w:r>
          </w:p>
        </w:tc>
        <w:tc>
          <w:tcPr>
            <w:tcW w:w="2293" w:type="dxa"/>
            <w:gridSpan w:val="6"/>
            <w:shd w:val="clear" w:color="auto" w:fill="FFFFFF"/>
          </w:tcPr>
          <w:p w14:paraId="7BFBD45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duże przedsiębiorstwa</w:t>
            </w:r>
          </w:p>
        </w:tc>
        <w:tc>
          <w:tcPr>
            <w:tcW w:w="10741" w:type="dxa"/>
            <w:gridSpan w:val="22"/>
            <w:shd w:val="clear" w:color="auto" w:fill="FFFFFF"/>
          </w:tcPr>
          <w:p w14:paraId="070E4F86"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Pośrednie korzyści:</w:t>
            </w:r>
          </w:p>
          <w:p w14:paraId="4B0D89FE"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Zakłada się brak bezpośredniego wpływu niniejszego rozporządzenia na duże przedsiębiorstwa, bowiem rozporządzenie stanowi nowy akt wykonawczy do ustawy. Jego funkcją jest umożliwienie realizacji nowych praw i obowiązków nakładanych na uczestników rynku poprzez ustawę, w przypadku tych przedsiębiorstw polegających na zapewnieniu dostępu do bezpłatnego rejestru komisji kwalifikacyjnych.</w:t>
            </w:r>
          </w:p>
        </w:tc>
      </w:tr>
      <w:tr w:rsidR="007F6E22" w:rsidRPr="006B0816" w14:paraId="1B901884" w14:textId="77777777" w:rsidTr="007B5AC5">
        <w:trPr>
          <w:trHeight w:val="142"/>
        </w:trPr>
        <w:tc>
          <w:tcPr>
            <w:tcW w:w="2843" w:type="dxa"/>
            <w:vMerge/>
            <w:shd w:val="clear" w:color="auto" w:fill="FFFFFF"/>
          </w:tcPr>
          <w:p w14:paraId="2CA4ADA2"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44A5EB8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sektor mikro-, małych i średnich przedsiębiorstw</w:t>
            </w:r>
          </w:p>
        </w:tc>
        <w:tc>
          <w:tcPr>
            <w:tcW w:w="10741" w:type="dxa"/>
            <w:gridSpan w:val="22"/>
            <w:shd w:val="clear" w:color="auto" w:fill="FFFFFF"/>
          </w:tcPr>
          <w:p w14:paraId="2C49856B"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proofErr w:type="spellStart"/>
            <w:r w:rsidRPr="006B0816">
              <w:rPr>
                <w:rFonts w:ascii="Times New Roman" w:eastAsia="Calibri" w:hAnsi="Times New Roman" w:cs="Times New Roman"/>
                <w:color w:val="000000"/>
                <w:spacing w:val="-2"/>
                <w:sz w:val="20"/>
                <w:szCs w:val="20"/>
              </w:rPr>
              <w:t>J.w</w:t>
            </w:r>
            <w:proofErr w:type="spellEnd"/>
            <w:r w:rsidRPr="006B0816">
              <w:rPr>
                <w:rFonts w:ascii="Times New Roman" w:eastAsia="Calibri" w:hAnsi="Times New Roman" w:cs="Times New Roman"/>
                <w:color w:val="000000"/>
                <w:spacing w:val="-2"/>
                <w:sz w:val="20"/>
                <w:szCs w:val="20"/>
              </w:rPr>
              <w:t>.</w:t>
            </w:r>
          </w:p>
        </w:tc>
      </w:tr>
      <w:tr w:rsidR="007F6E22" w:rsidRPr="006B0816" w14:paraId="218B7458" w14:textId="77777777" w:rsidTr="007B5AC5">
        <w:trPr>
          <w:trHeight w:val="596"/>
        </w:trPr>
        <w:tc>
          <w:tcPr>
            <w:tcW w:w="2843" w:type="dxa"/>
            <w:vMerge/>
            <w:shd w:val="clear" w:color="auto" w:fill="FFFFFF"/>
          </w:tcPr>
          <w:p w14:paraId="02092DB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352C5E76" w14:textId="77777777" w:rsidR="007F6E22" w:rsidRPr="006B0816" w:rsidRDefault="007F6E22" w:rsidP="007B5AC5">
            <w:pPr>
              <w:tabs>
                <w:tab w:val="right" w:pos="1936"/>
              </w:tabs>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sz w:val="20"/>
                <w:szCs w:val="20"/>
              </w:rPr>
              <w:t>rodzina, obywatele oraz gospodarstwa domowe</w:t>
            </w:r>
            <w:r w:rsidRPr="006B0816">
              <w:rPr>
                <w:rFonts w:ascii="Times New Roman" w:eastAsia="Calibri" w:hAnsi="Times New Roman" w:cs="Times New Roman"/>
                <w:color w:val="000000"/>
                <w:sz w:val="20"/>
                <w:szCs w:val="20"/>
              </w:rPr>
              <w:t xml:space="preserve"> </w:t>
            </w:r>
          </w:p>
        </w:tc>
        <w:tc>
          <w:tcPr>
            <w:tcW w:w="10741" w:type="dxa"/>
            <w:gridSpan w:val="22"/>
            <w:shd w:val="clear" w:color="auto" w:fill="FFFFFF"/>
          </w:tcPr>
          <w:p w14:paraId="0230B48F"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proofErr w:type="spellStart"/>
            <w:r w:rsidRPr="006B0816">
              <w:rPr>
                <w:rFonts w:ascii="Times New Roman" w:eastAsia="Calibri" w:hAnsi="Times New Roman" w:cs="Times New Roman"/>
                <w:color w:val="000000"/>
                <w:spacing w:val="-2"/>
                <w:sz w:val="20"/>
                <w:szCs w:val="20"/>
              </w:rPr>
              <w:t>J.w</w:t>
            </w:r>
            <w:proofErr w:type="spellEnd"/>
            <w:r w:rsidRPr="006B0816">
              <w:rPr>
                <w:rFonts w:ascii="Times New Roman" w:eastAsia="Calibri" w:hAnsi="Times New Roman" w:cs="Times New Roman"/>
                <w:color w:val="000000"/>
                <w:spacing w:val="-2"/>
                <w:sz w:val="20"/>
                <w:szCs w:val="20"/>
              </w:rPr>
              <w:t>.</w:t>
            </w:r>
          </w:p>
        </w:tc>
      </w:tr>
      <w:tr w:rsidR="007F6E22" w:rsidRPr="006B0816" w14:paraId="193C43FE" w14:textId="77777777" w:rsidTr="007B5AC5">
        <w:trPr>
          <w:trHeight w:val="240"/>
        </w:trPr>
        <w:tc>
          <w:tcPr>
            <w:tcW w:w="2843" w:type="dxa"/>
            <w:vMerge/>
            <w:shd w:val="clear" w:color="auto" w:fill="FFFFFF"/>
          </w:tcPr>
          <w:p w14:paraId="7DFB15C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247E9064" w14:textId="77777777" w:rsidR="007F6E22" w:rsidRPr="006B0816" w:rsidRDefault="007F6E22" w:rsidP="007B5AC5">
            <w:pPr>
              <w:tabs>
                <w:tab w:val="right" w:pos="1936"/>
              </w:tabs>
              <w:spacing w:after="0" w:line="276" w:lineRule="auto"/>
              <w:ind w:right="452"/>
              <w:rPr>
                <w:rFonts w:ascii="Times New Roman" w:eastAsia="Calibri" w:hAnsi="Times New Roman" w:cs="Times New Roman"/>
                <w:sz w:val="20"/>
                <w:szCs w:val="20"/>
              </w:rPr>
            </w:pPr>
            <w:r w:rsidRPr="006B0816">
              <w:rPr>
                <w:rFonts w:ascii="Times New Roman" w:eastAsia="Calibri" w:hAnsi="Times New Roman" w:cs="Times New Roman"/>
                <w:color w:val="000000"/>
                <w:sz w:val="20"/>
                <w:szCs w:val="20"/>
              </w:rPr>
              <w:t>osoby niepełnosprawne oraz osoby starsze</w:t>
            </w:r>
          </w:p>
        </w:tc>
        <w:tc>
          <w:tcPr>
            <w:tcW w:w="10741" w:type="dxa"/>
            <w:gridSpan w:val="22"/>
            <w:shd w:val="clear" w:color="auto" w:fill="FFFFFF"/>
          </w:tcPr>
          <w:p w14:paraId="267608CC" w14:textId="77777777" w:rsidR="007F6E22" w:rsidRPr="006B0816" w:rsidRDefault="007F6E22" w:rsidP="007B5AC5">
            <w:pPr>
              <w:tabs>
                <w:tab w:val="left" w:pos="3000"/>
              </w:tabs>
              <w:spacing w:after="0" w:line="276" w:lineRule="auto"/>
              <w:ind w:right="452"/>
              <w:rPr>
                <w:rFonts w:ascii="Times New Roman" w:eastAsia="Calibri" w:hAnsi="Times New Roman" w:cs="Times New Roman"/>
                <w:color w:val="000000"/>
                <w:spacing w:val="-2"/>
                <w:sz w:val="20"/>
                <w:szCs w:val="20"/>
              </w:rPr>
            </w:pPr>
          </w:p>
        </w:tc>
      </w:tr>
      <w:tr w:rsidR="007F6E22" w:rsidRPr="006B0816" w14:paraId="3C686B7D" w14:textId="77777777" w:rsidTr="007B5AC5">
        <w:trPr>
          <w:trHeight w:val="142"/>
        </w:trPr>
        <w:tc>
          <w:tcPr>
            <w:tcW w:w="2843" w:type="dxa"/>
            <w:vMerge w:val="restart"/>
            <w:shd w:val="clear" w:color="auto" w:fill="FFFFFF"/>
          </w:tcPr>
          <w:p w14:paraId="38091E7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Niemierzalne</w:t>
            </w:r>
          </w:p>
        </w:tc>
        <w:tc>
          <w:tcPr>
            <w:tcW w:w="2293" w:type="dxa"/>
            <w:gridSpan w:val="6"/>
            <w:shd w:val="clear" w:color="auto" w:fill="FFFFFF"/>
          </w:tcPr>
          <w:p w14:paraId="50E3C2F4"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noProof/>
                <w:color w:val="000000"/>
                <w:sz w:val="20"/>
                <w:szCs w:val="20"/>
              </w:rPr>
              <w:t>(dodaj/usuń)</w:t>
            </w:r>
            <w:r w:rsidRPr="006B0816">
              <w:rPr>
                <w:rFonts w:ascii="Times New Roman" w:eastAsia="Calibri" w:hAnsi="Times New Roman" w:cs="Times New Roman"/>
                <w:color w:val="000000"/>
                <w:sz w:val="20"/>
                <w:szCs w:val="20"/>
              </w:rPr>
              <w:fldChar w:fldCharType="end"/>
            </w:r>
          </w:p>
        </w:tc>
        <w:tc>
          <w:tcPr>
            <w:tcW w:w="10741" w:type="dxa"/>
            <w:gridSpan w:val="22"/>
            <w:shd w:val="clear" w:color="auto" w:fill="FFFFFF"/>
          </w:tcPr>
          <w:p w14:paraId="4CBAFC28"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p>
        </w:tc>
      </w:tr>
      <w:tr w:rsidR="007F6E22" w:rsidRPr="006B0816" w14:paraId="0B006564" w14:textId="77777777" w:rsidTr="007B5AC5">
        <w:trPr>
          <w:trHeight w:val="142"/>
        </w:trPr>
        <w:tc>
          <w:tcPr>
            <w:tcW w:w="2843" w:type="dxa"/>
            <w:vMerge/>
            <w:shd w:val="clear" w:color="auto" w:fill="FFFFFF"/>
          </w:tcPr>
          <w:p w14:paraId="0CF075E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c>
          <w:tcPr>
            <w:tcW w:w="2293" w:type="dxa"/>
            <w:gridSpan w:val="6"/>
            <w:shd w:val="clear" w:color="auto" w:fill="FFFFFF"/>
          </w:tcPr>
          <w:p w14:paraId="7FE7CA1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noProof/>
                <w:color w:val="000000"/>
                <w:sz w:val="20"/>
                <w:szCs w:val="20"/>
              </w:rPr>
              <w:t>(dodaj/usuń)</w:t>
            </w:r>
            <w:r w:rsidRPr="006B0816">
              <w:rPr>
                <w:rFonts w:ascii="Times New Roman" w:eastAsia="Calibri" w:hAnsi="Times New Roman" w:cs="Times New Roman"/>
                <w:color w:val="000000"/>
                <w:sz w:val="20"/>
                <w:szCs w:val="20"/>
              </w:rPr>
              <w:fldChar w:fldCharType="end"/>
            </w:r>
          </w:p>
        </w:tc>
        <w:tc>
          <w:tcPr>
            <w:tcW w:w="10741" w:type="dxa"/>
            <w:gridSpan w:val="22"/>
            <w:shd w:val="clear" w:color="auto" w:fill="FFFFFF"/>
          </w:tcPr>
          <w:p w14:paraId="7A402CB7"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p>
        </w:tc>
      </w:tr>
      <w:tr w:rsidR="007F6E22" w:rsidRPr="006B0816" w14:paraId="385D9FFD" w14:textId="77777777" w:rsidTr="007B5AC5">
        <w:trPr>
          <w:trHeight w:val="1643"/>
        </w:trPr>
        <w:tc>
          <w:tcPr>
            <w:tcW w:w="3490" w:type="dxa"/>
            <w:gridSpan w:val="2"/>
            <w:shd w:val="clear" w:color="auto" w:fill="FFFFFF"/>
          </w:tcPr>
          <w:p w14:paraId="293E5903"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 xml:space="preserve">Dodatkowe informacje, w tym wskazanie źródeł danych i przyjętych do obliczeń założeń </w:t>
            </w:r>
          </w:p>
        </w:tc>
        <w:tc>
          <w:tcPr>
            <w:tcW w:w="12387" w:type="dxa"/>
            <w:gridSpan w:val="27"/>
            <w:shd w:val="clear" w:color="auto" w:fill="FFFFFF"/>
            <w:vAlign w:val="center"/>
          </w:tcPr>
          <w:p w14:paraId="57E99DF5" w14:textId="77777777" w:rsidR="007F6E22" w:rsidRPr="006B0816" w:rsidRDefault="007F6E22" w:rsidP="007B5AC5">
            <w:pPr>
              <w:spacing w:after="0" w:line="240" w:lineRule="auto"/>
              <w:ind w:right="452"/>
              <w:jc w:val="both"/>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Zakłada się brak bezpośredniego wpływu niniejszego rozporządzenia na funkcjonowanie przedsiębiorców oraz na rodzinę, obywateli i gospodarstwa domowe. Rozporządzenie stanowi nowy akt wykonawczy do ustawy. Jego funkcją jest umożliwienie realizacji nowych praw i obowiązków nakładanych na uczestników rynku poprzez ustawę z dnia 20 maja 2021 r. o zmianie ustawy – Prawo energetyczne oraz niektórych innych ustaw. Rozporządzenie nie generuje skutków finansowych dla przedsiębiorców.</w:t>
            </w:r>
          </w:p>
        </w:tc>
      </w:tr>
      <w:tr w:rsidR="007F6E22" w:rsidRPr="006B0816" w14:paraId="049CBA82" w14:textId="77777777" w:rsidTr="007B5AC5">
        <w:trPr>
          <w:trHeight w:val="342"/>
        </w:trPr>
        <w:tc>
          <w:tcPr>
            <w:tcW w:w="15877" w:type="dxa"/>
            <w:gridSpan w:val="29"/>
            <w:shd w:val="clear" w:color="auto" w:fill="99CCFF"/>
            <w:vAlign w:val="center"/>
          </w:tcPr>
          <w:p w14:paraId="7ACF7A88"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 xml:space="preserve"> Zmiana obciążeń regulacyjnych (w tym obowiązków informacyjnych) wynikających z projektu</w:t>
            </w:r>
          </w:p>
        </w:tc>
      </w:tr>
      <w:tr w:rsidR="007F6E22" w:rsidRPr="006B0816" w14:paraId="542CAC2B" w14:textId="77777777" w:rsidTr="007B5AC5">
        <w:trPr>
          <w:trHeight w:val="151"/>
        </w:trPr>
        <w:tc>
          <w:tcPr>
            <w:tcW w:w="15877" w:type="dxa"/>
            <w:gridSpan w:val="29"/>
            <w:shd w:val="clear" w:color="auto" w:fill="FFFFFF"/>
          </w:tcPr>
          <w:p w14:paraId="0BABAD8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nie dotyczy</w:t>
            </w:r>
          </w:p>
        </w:tc>
      </w:tr>
      <w:tr w:rsidR="007F6E22" w:rsidRPr="006B0816" w14:paraId="54EEF26E" w14:textId="77777777" w:rsidTr="007B5AC5">
        <w:trPr>
          <w:trHeight w:val="946"/>
        </w:trPr>
        <w:tc>
          <w:tcPr>
            <w:tcW w:w="6358" w:type="dxa"/>
            <w:gridSpan w:val="12"/>
            <w:shd w:val="clear" w:color="auto" w:fill="FFFFFF"/>
          </w:tcPr>
          <w:p w14:paraId="50D5DA31" w14:textId="77777777" w:rsidR="007F6E22" w:rsidRPr="006B0816" w:rsidRDefault="007F6E22" w:rsidP="007B5AC5">
            <w:pPr>
              <w:spacing w:after="0" w:line="276"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 xml:space="preserve">Wprowadzane są obciążenia poza bezwzględnie wymaganymi przez UE </w:t>
            </w:r>
            <w:r w:rsidRPr="006B0816">
              <w:rPr>
                <w:rFonts w:ascii="Times New Roman" w:eastAsia="Calibri" w:hAnsi="Times New Roman" w:cs="Times New Roman"/>
                <w:color w:val="000000"/>
                <w:sz w:val="20"/>
                <w:szCs w:val="20"/>
              </w:rPr>
              <w:t>(szczegóły w odwróconej tabeli zgodności).</w:t>
            </w:r>
          </w:p>
        </w:tc>
        <w:tc>
          <w:tcPr>
            <w:tcW w:w="9519" w:type="dxa"/>
            <w:gridSpan w:val="17"/>
            <w:shd w:val="clear" w:color="auto" w:fill="FFFFFF"/>
          </w:tcPr>
          <w:p w14:paraId="37206B3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tak</w:t>
            </w:r>
          </w:p>
          <w:p w14:paraId="71BDAF2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nie</w:t>
            </w:r>
          </w:p>
          <w:p w14:paraId="14F6A399" w14:textId="77777777" w:rsidR="007F6E22" w:rsidRPr="006B0816" w:rsidRDefault="007F6E22" w:rsidP="007B5AC5">
            <w:pPr>
              <w:spacing w:after="0" w:line="276"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1"/>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nie dotyczy</w:t>
            </w:r>
          </w:p>
        </w:tc>
      </w:tr>
      <w:tr w:rsidR="007F6E22" w:rsidRPr="006B0816" w14:paraId="5B0A9CEB" w14:textId="77777777" w:rsidTr="007B5AC5">
        <w:trPr>
          <w:trHeight w:val="1245"/>
        </w:trPr>
        <w:tc>
          <w:tcPr>
            <w:tcW w:w="6358" w:type="dxa"/>
            <w:gridSpan w:val="12"/>
            <w:shd w:val="clear" w:color="auto" w:fill="FFFFFF"/>
          </w:tcPr>
          <w:p w14:paraId="6DD75B99"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zmniejszenie liczby dokumentów</w:t>
            </w:r>
          </w:p>
          <w:p w14:paraId="79E1DD29"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zmniejszenie liczby procedur</w:t>
            </w:r>
          </w:p>
          <w:p w14:paraId="68EE7357"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skrócenie czasu na załatwienie sprawy</w:t>
            </w:r>
          </w:p>
          <w:p w14:paraId="1ECBBDC7"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inne:</w:t>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Times New Roman" w:cs="Times New Roman"/>
                <w:color w:val="000000"/>
                <w:sz w:val="20"/>
                <w:szCs w:val="20"/>
              </w:rPr>
              <w:fldChar w:fldCharType="end"/>
            </w:r>
          </w:p>
          <w:p w14:paraId="093C47B9" w14:textId="77777777" w:rsidR="007F6E22" w:rsidRPr="006B0816" w:rsidRDefault="007F6E22" w:rsidP="007B5AC5">
            <w:pPr>
              <w:spacing w:after="0" w:line="276" w:lineRule="auto"/>
              <w:ind w:right="452"/>
              <w:rPr>
                <w:rFonts w:ascii="Times New Roman" w:eastAsia="Calibri" w:hAnsi="Times New Roman" w:cs="Times New Roman"/>
                <w:b/>
                <w:color w:val="000000"/>
                <w:spacing w:val="-2"/>
                <w:sz w:val="20"/>
                <w:szCs w:val="20"/>
              </w:rPr>
            </w:pPr>
          </w:p>
        </w:tc>
        <w:tc>
          <w:tcPr>
            <w:tcW w:w="9519" w:type="dxa"/>
            <w:gridSpan w:val="17"/>
            <w:shd w:val="clear" w:color="auto" w:fill="FFFFFF"/>
          </w:tcPr>
          <w:p w14:paraId="6898422C"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zwiększenie liczby dokumentów</w:t>
            </w:r>
          </w:p>
          <w:p w14:paraId="342F7424"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zwiększenie liczby procedur</w:t>
            </w:r>
          </w:p>
          <w:p w14:paraId="1B8760F9"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wydłużenie czasu na załatwienie sprawy</w:t>
            </w:r>
          </w:p>
          <w:p w14:paraId="339FE66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inne:</w:t>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Times New Roman" w:cs="Times New Roman"/>
                <w:color w:val="000000"/>
                <w:sz w:val="20"/>
                <w:szCs w:val="20"/>
              </w:rPr>
              <w:fldChar w:fldCharType="end"/>
            </w:r>
          </w:p>
          <w:p w14:paraId="1856F53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r>
      <w:tr w:rsidR="007F6E22" w:rsidRPr="006B0816" w14:paraId="20FB6510" w14:textId="77777777" w:rsidTr="007B5AC5">
        <w:trPr>
          <w:trHeight w:val="870"/>
        </w:trPr>
        <w:tc>
          <w:tcPr>
            <w:tcW w:w="6358" w:type="dxa"/>
            <w:gridSpan w:val="12"/>
            <w:shd w:val="clear" w:color="auto" w:fill="FFFFFF"/>
          </w:tcPr>
          <w:p w14:paraId="4132BDF6"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pacing w:val="-2"/>
                <w:sz w:val="20"/>
                <w:szCs w:val="20"/>
              </w:rPr>
              <w:t xml:space="preserve">Wprowadzane obciążenia są przystosowane do ich elektronizacji. </w:t>
            </w:r>
          </w:p>
        </w:tc>
        <w:tc>
          <w:tcPr>
            <w:tcW w:w="9519" w:type="dxa"/>
            <w:gridSpan w:val="17"/>
            <w:shd w:val="clear" w:color="auto" w:fill="FFFFFF"/>
          </w:tcPr>
          <w:p w14:paraId="52AE50F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tak</w:t>
            </w:r>
          </w:p>
          <w:p w14:paraId="04661D2F"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nie</w:t>
            </w:r>
          </w:p>
          <w:p w14:paraId="5C7A3FAE"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nie dotyczy</w:t>
            </w:r>
          </w:p>
          <w:p w14:paraId="58E9EB79"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tc>
      </w:tr>
      <w:tr w:rsidR="007F6E22" w:rsidRPr="006B0816" w14:paraId="0B1A1E12" w14:textId="77777777" w:rsidTr="007B5AC5">
        <w:trPr>
          <w:trHeight w:val="630"/>
        </w:trPr>
        <w:tc>
          <w:tcPr>
            <w:tcW w:w="15877" w:type="dxa"/>
            <w:gridSpan w:val="29"/>
            <w:shd w:val="clear" w:color="auto" w:fill="FFFFFF"/>
          </w:tcPr>
          <w:p w14:paraId="6760E410" w14:textId="77777777" w:rsidR="007F6E22" w:rsidRPr="006B0816" w:rsidRDefault="007F6E22" w:rsidP="007B5AC5">
            <w:pPr>
              <w:spacing w:after="0" w:line="240" w:lineRule="auto"/>
              <w:ind w:right="452"/>
              <w:jc w:val="both"/>
              <w:rPr>
                <w:rFonts w:ascii="Times New Roman" w:eastAsia="Calibri" w:hAnsi="Times New Roman" w:cs="Times New Roman"/>
                <w:color w:val="000000"/>
                <w:sz w:val="20"/>
                <w:szCs w:val="20"/>
              </w:rPr>
            </w:pPr>
          </w:p>
        </w:tc>
      </w:tr>
      <w:tr w:rsidR="007F6E22" w:rsidRPr="006B0816" w14:paraId="1AA4C4CD" w14:textId="77777777" w:rsidTr="007B5AC5">
        <w:trPr>
          <w:trHeight w:val="142"/>
        </w:trPr>
        <w:tc>
          <w:tcPr>
            <w:tcW w:w="15877" w:type="dxa"/>
            <w:gridSpan w:val="29"/>
            <w:shd w:val="clear" w:color="auto" w:fill="99CCFF"/>
          </w:tcPr>
          <w:p w14:paraId="04004D5E" w14:textId="77777777" w:rsidR="007F6E22" w:rsidRPr="006B0816" w:rsidRDefault="007F6E22" w:rsidP="007B5AC5">
            <w:pPr>
              <w:numPr>
                <w:ilvl w:val="0"/>
                <w:numId w:val="1"/>
              </w:numPr>
              <w:spacing w:before="60" w:after="60" w:line="240" w:lineRule="auto"/>
              <w:ind w:right="452"/>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 xml:space="preserve">Wpływ na rynek pracy </w:t>
            </w:r>
          </w:p>
        </w:tc>
      </w:tr>
      <w:tr w:rsidR="007F6E22" w:rsidRPr="006B0816" w14:paraId="383B7B54" w14:textId="77777777" w:rsidTr="007B5AC5">
        <w:trPr>
          <w:trHeight w:val="142"/>
        </w:trPr>
        <w:tc>
          <w:tcPr>
            <w:tcW w:w="15877" w:type="dxa"/>
            <w:gridSpan w:val="29"/>
            <w:shd w:val="clear" w:color="auto" w:fill="auto"/>
          </w:tcPr>
          <w:p w14:paraId="3E1EA20C" w14:textId="77777777" w:rsidR="007F6E22" w:rsidRPr="006B0816" w:rsidRDefault="007F6E22" w:rsidP="007B5AC5">
            <w:pPr>
              <w:spacing w:after="0" w:line="240" w:lineRule="auto"/>
              <w:ind w:right="452"/>
              <w:jc w:val="both"/>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 xml:space="preserve">Nie przewiduje się bezpośredniego wpływu rozporządzenia na rynek pracy. </w:t>
            </w:r>
          </w:p>
        </w:tc>
      </w:tr>
      <w:tr w:rsidR="007F6E22" w:rsidRPr="006B0816" w14:paraId="0F5DF907" w14:textId="77777777" w:rsidTr="007B5AC5">
        <w:trPr>
          <w:trHeight w:val="142"/>
        </w:trPr>
        <w:tc>
          <w:tcPr>
            <w:tcW w:w="15877" w:type="dxa"/>
            <w:gridSpan w:val="29"/>
            <w:shd w:val="clear" w:color="auto" w:fill="99CCFF"/>
          </w:tcPr>
          <w:p w14:paraId="5CF71E9B" w14:textId="77777777" w:rsidR="007F6E22" w:rsidRPr="006B0816" w:rsidRDefault="007F6E22" w:rsidP="007B5AC5">
            <w:pPr>
              <w:numPr>
                <w:ilvl w:val="0"/>
                <w:numId w:val="1"/>
              </w:numPr>
              <w:spacing w:before="60" w:after="60" w:line="240" w:lineRule="auto"/>
              <w:ind w:right="452"/>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Wpływ na pozostałe obszary</w:t>
            </w:r>
          </w:p>
        </w:tc>
      </w:tr>
      <w:tr w:rsidR="007F6E22" w:rsidRPr="006B0816" w14:paraId="2AEAC3E0" w14:textId="77777777" w:rsidTr="007B5AC5">
        <w:trPr>
          <w:trHeight w:val="1031"/>
        </w:trPr>
        <w:tc>
          <w:tcPr>
            <w:tcW w:w="4794" w:type="dxa"/>
            <w:gridSpan w:val="5"/>
            <w:shd w:val="clear" w:color="auto" w:fill="FFFFFF"/>
          </w:tcPr>
          <w:p w14:paraId="2327376B"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p w14:paraId="3285CE5A"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środowisko naturalne</w:t>
            </w:r>
          </w:p>
          <w:p w14:paraId="524A1B4D" w14:textId="77777777" w:rsidR="007F6E22"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sytuacja i rozwój regionalny</w:t>
            </w:r>
          </w:p>
          <w:p w14:paraId="00063331"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s</w:t>
            </w:r>
            <w:r>
              <w:rPr>
                <w:rFonts w:ascii="Times New Roman" w:eastAsia="Calibri" w:hAnsi="Times New Roman" w:cs="Times New Roman"/>
                <w:color w:val="000000"/>
                <w:sz w:val="20"/>
                <w:szCs w:val="20"/>
              </w:rPr>
              <w:t>ądy powszechne, administracyjne</w:t>
            </w:r>
          </w:p>
          <w:p w14:paraId="08E68697"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 xml:space="preserve">inne: </w:t>
            </w:r>
            <w:r w:rsidRPr="006B0816">
              <w:rPr>
                <w:rFonts w:ascii="Times New Roman" w:eastAsia="Calibri" w:hAnsi="Times New Roman" w:cs="Times New Roman"/>
                <w:color w:val="000000"/>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B0816">
              <w:rPr>
                <w:rFonts w:ascii="Times New Roman" w:eastAsia="Calibri" w:hAnsi="Times New Roman" w:cs="Times New Roman"/>
                <w:color w:val="000000"/>
                <w:sz w:val="20"/>
                <w:szCs w:val="20"/>
              </w:rPr>
              <w:instrText xml:space="preserve"> FORMTEXT </w:instrText>
            </w:r>
            <w:r w:rsidRPr="006B0816">
              <w:rPr>
                <w:rFonts w:ascii="Times New Roman" w:eastAsia="Calibri" w:hAnsi="Times New Roman" w:cs="Times New Roman"/>
                <w:color w:val="000000"/>
                <w:sz w:val="20"/>
                <w:szCs w:val="20"/>
              </w:rPr>
            </w:r>
            <w:r w:rsidRPr="006B0816">
              <w:rPr>
                <w:rFonts w:ascii="Times New Roman" w:eastAsia="Calibri" w:hAnsi="Times New Roman" w:cs="Times New Roman"/>
                <w:color w:val="000000"/>
                <w:sz w:val="20"/>
                <w:szCs w:val="20"/>
              </w:rPr>
              <w:fldChar w:fldCharType="separate"/>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Calibri" w:cs="Times New Roman"/>
                <w:noProof/>
                <w:color w:val="000000"/>
                <w:sz w:val="20"/>
                <w:szCs w:val="20"/>
              </w:rPr>
              <w:t> </w:t>
            </w:r>
            <w:r w:rsidRPr="006B0816">
              <w:rPr>
                <w:rFonts w:ascii="Times New Roman" w:eastAsia="Calibri" w:hAnsi="Times New Roman" w:cs="Times New Roman"/>
                <w:color w:val="000000"/>
                <w:sz w:val="20"/>
                <w:szCs w:val="20"/>
              </w:rPr>
              <w:fldChar w:fldCharType="end"/>
            </w:r>
          </w:p>
        </w:tc>
        <w:tc>
          <w:tcPr>
            <w:tcW w:w="3687" w:type="dxa"/>
            <w:gridSpan w:val="15"/>
            <w:shd w:val="clear" w:color="auto" w:fill="FFFFFF"/>
          </w:tcPr>
          <w:p w14:paraId="0EC613A5"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p w14:paraId="5FEC5855"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demografia</w:t>
            </w:r>
          </w:p>
          <w:p w14:paraId="09058FCA"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mienie państwowe</w:t>
            </w:r>
          </w:p>
        </w:tc>
        <w:tc>
          <w:tcPr>
            <w:tcW w:w="7396" w:type="dxa"/>
            <w:gridSpan w:val="9"/>
            <w:shd w:val="clear" w:color="auto" w:fill="FFFFFF"/>
          </w:tcPr>
          <w:p w14:paraId="3569F0A8"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p>
          <w:p w14:paraId="3C422051" w14:textId="77777777" w:rsidR="007F6E22" w:rsidRPr="006B0816" w:rsidRDefault="007F6E22" w:rsidP="007B5AC5">
            <w:pPr>
              <w:spacing w:after="0" w:line="240" w:lineRule="auto"/>
              <w:ind w:right="452"/>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z w:val="20"/>
                <w:szCs w:val="20"/>
              </w:rPr>
              <w:fldChar w:fldCharType="begin">
                <w:ffData>
                  <w:name w:val=""/>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informatyzacja</w:t>
            </w:r>
          </w:p>
          <w:p w14:paraId="4FDEA19C"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fldChar w:fldCharType="begin">
                <w:ffData>
                  <w:name w:val="Wybór1"/>
                  <w:enabled/>
                  <w:calcOnExit w:val="0"/>
                  <w:checkBox>
                    <w:sizeAuto/>
                    <w:default w:val="0"/>
                  </w:checkBox>
                </w:ffData>
              </w:fldChar>
            </w:r>
            <w:r w:rsidRPr="006B0816">
              <w:rPr>
                <w:rFonts w:ascii="Times New Roman" w:eastAsia="Calibri" w:hAnsi="Times New Roman" w:cs="Times New Roman"/>
                <w:color w:val="000000"/>
                <w:sz w:val="20"/>
                <w:szCs w:val="20"/>
              </w:rPr>
              <w:instrText xml:space="preserve"> FORMCHECKBOX </w:instrText>
            </w:r>
            <w:r w:rsidR="009468B3">
              <w:rPr>
                <w:rFonts w:ascii="Times New Roman" w:eastAsia="Calibri" w:hAnsi="Times New Roman" w:cs="Times New Roman"/>
                <w:color w:val="000000"/>
                <w:sz w:val="20"/>
                <w:szCs w:val="20"/>
              </w:rPr>
            </w:r>
            <w:r w:rsidR="009468B3">
              <w:rPr>
                <w:rFonts w:ascii="Times New Roman" w:eastAsia="Calibri" w:hAnsi="Times New Roman" w:cs="Times New Roman"/>
                <w:color w:val="000000"/>
                <w:sz w:val="20"/>
                <w:szCs w:val="20"/>
              </w:rPr>
              <w:fldChar w:fldCharType="separate"/>
            </w:r>
            <w:r w:rsidRPr="006B0816">
              <w:rPr>
                <w:rFonts w:ascii="Times New Roman" w:eastAsia="Calibri" w:hAnsi="Times New Roman" w:cs="Times New Roman"/>
                <w:color w:val="000000"/>
                <w:sz w:val="20"/>
                <w:szCs w:val="20"/>
              </w:rPr>
              <w:fldChar w:fldCharType="end"/>
            </w:r>
            <w:r w:rsidRPr="006B0816">
              <w:rPr>
                <w:rFonts w:ascii="Times New Roman" w:eastAsia="Calibri" w:hAnsi="Times New Roman" w:cs="Times New Roman"/>
                <w:color w:val="000000"/>
                <w:sz w:val="20"/>
                <w:szCs w:val="20"/>
              </w:rPr>
              <w:t xml:space="preserve"> </w:t>
            </w:r>
            <w:r w:rsidRPr="006B0816">
              <w:rPr>
                <w:rFonts w:ascii="Times New Roman" w:eastAsia="Calibri" w:hAnsi="Times New Roman" w:cs="Times New Roman"/>
                <w:color w:val="000000"/>
                <w:spacing w:val="-2"/>
                <w:sz w:val="20"/>
                <w:szCs w:val="20"/>
              </w:rPr>
              <w:t>zdrowie</w:t>
            </w:r>
          </w:p>
        </w:tc>
      </w:tr>
      <w:tr w:rsidR="007F6E22" w:rsidRPr="006B0816" w14:paraId="1149DA9E" w14:textId="77777777" w:rsidTr="007B5AC5">
        <w:trPr>
          <w:trHeight w:val="712"/>
        </w:trPr>
        <w:tc>
          <w:tcPr>
            <w:tcW w:w="3490" w:type="dxa"/>
            <w:gridSpan w:val="2"/>
            <w:shd w:val="clear" w:color="auto" w:fill="FFFFFF"/>
            <w:vAlign w:val="center"/>
          </w:tcPr>
          <w:p w14:paraId="0B6938ED" w14:textId="77777777" w:rsidR="007F6E22" w:rsidRPr="006B0816" w:rsidRDefault="007F6E22" w:rsidP="007B5AC5">
            <w:pPr>
              <w:spacing w:after="0" w:line="240" w:lineRule="auto"/>
              <w:ind w:right="452"/>
              <w:rPr>
                <w:rFonts w:ascii="Times New Roman" w:eastAsia="Calibri" w:hAnsi="Times New Roman" w:cs="Times New Roman"/>
                <w:color w:val="000000"/>
                <w:sz w:val="20"/>
                <w:szCs w:val="20"/>
              </w:rPr>
            </w:pPr>
            <w:r w:rsidRPr="006B0816">
              <w:rPr>
                <w:rFonts w:ascii="Times New Roman" w:eastAsia="Calibri" w:hAnsi="Times New Roman" w:cs="Times New Roman"/>
                <w:color w:val="000000"/>
                <w:sz w:val="20"/>
                <w:szCs w:val="20"/>
              </w:rPr>
              <w:t>Omówienie wpływu</w:t>
            </w:r>
          </w:p>
        </w:tc>
        <w:tc>
          <w:tcPr>
            <w:tcW w:w="12387" w:type="dxa"/>
            <w:gridSpan w:val="27"/>
            <w:shd w:val="clear" w:color="auto" w:fill="FFFFFF"/>
            <w:vAlign w:val="center"/>
          </w:tcPr>
          <w:p w14:paraId="5EB999B0"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brak</w:t>
            </w:r>
          </w:p>
        </w:tc>
      </w:tr>
      <w:tr w:rsidR="007F6E22" w:rsidRPr="006B0816" w14:paraId="1F5F2CD9" w14:textId="77777777" w:rsidTr="007B5AC5">
        <w:trPr>
          <w:trHeight w:val="142"/>
        </w:trPr>
        <w:tc>
          <w:tcPr>
            <w:tcW w:w="15877" w:type="dxa"/>
            <w:gridSpan w:val="29"/>
            <w:shd w:val="clear" w:color="auto" w:fill="99CCFF"/>
          </w:tcPr>
          <w:p w14:paraId="5954A588"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sz w:val="20"/>
                <w:szCs w:val="20"/>
              </w:rPr>
            </w:pPr>
            <w:r w:rsidRPr="006B0816">
              <w:rPr>
                <w:rFonts w:ascii="Times New Roman" w:eastAsia="Calibri" w:hAnsi="Times New Roman" w:cs="Times New Roman"/>
                <w:b/>
                <w:spacing w:val="-2"/>
                <w:sz w:val="20"/>
                <w:szCs w:val="20"/>
              </w:rPr>
              <w:t>Planowane wykonanie przepisów aktu prawnego</w:t>
            </w:r>
          </w:p>
        </w:tc>
      </w:tr>
      <w:tr w:rsidR="007F6E22" w:rsidRPr="006B0816" w14:paraId="6B6D1C76" w14:textId="77777777" w:rsidTr="007B5AC5">
        <w:trPr>
          <w:trHeight w:val="142"/>
        </w:trPr>
        <w:tc>
          <w:tcPr>
            <w:tcW w:w="15877" w:type="dxa"/>
            <w:gridSpan w:val="29"/>
            <w:shd w:val="clear" w:color="auto" w:fill="FFFFFF"/>
          </w:tcPr>
          <w:p w14:paraId="21483D87" w14:textId="77777777" w:rsidR="007F6E22" w:rsidRPr="006B0816" w:rsidRDefault="007F6E22" w:rsidP="007B5AC5">
            <w:pPr>
              <w:spacing w:after="0" w:line="240" w:lineRule="auto"/>
              <w:ind w:right="452"/>
              <w:jc w:val="both"/>
              <w:rPr>
                <w:rFonts w:ascii="Times New Roman" w:eastAsia="Calibri" w:hAnsi="Times New Roman" w:cs="Times New Roman"/>
                <w:spacing w:val="-2"/>
                <w:sz w:val="20"/>
                <w:szCs w:val="20"/>
              </w:rPr>
            </w:pPr>
            <w:r w:rsidRPr="006B0816">
              <w:rPr>
                <w:rFonts w:ascii="Times New Roman" w:eastAsia="Calibri" w:hAnsi="Times New Roman" w:cs="Times New Roman"/>
                <w:spacing w:val="-2"/>
                <w:sz w:val="20"/>
                <w:szCs w:val="20"/>
              </w:rPr>
              <w:t>Wraz z wejściem w życie przepisów rozporządzenia, tj. 14 dni od dnia ogłoszenia.</w:t>
            </w:r>
          </w:p>
        </w:tc>
      </w:tr>
      <w:tr w:rsidR="007F6E22" w:rsidRPr="006B0816" w14:paraId="4C3B8215" w14:textId="77777777" w:rsidTr="007B5AC5">
        <w:trPr>
          <w:trHeight w:val="142"/>
        </w:trPr>
        <w:tc>
          <w:tcPr>
            <w:tcW w:w="15877" w:type="dxa"/>
            <w:gridSpan w:val="29"/>
            <w:shd w:val="clear" w:color="auto" w:fill="99CCFF"/>
          </w:tcPr>
          <w:p w14:paraId="53E9D274"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z w:val="20"/>
                <w:szCs w:val="20"/>
              </w:rPr>
            </w:pPr>
            <w:r w:rsidRPr="006B0816">
              <w:rPr>
                <w:rFonts w:ascii="Times New Roman" w:eastAsia="Calibri" w:hAnsi="Times New Roman" w:cs="Times New Roman"/>
                <w:b/>
                <w:color w:val="000000"/>
                <w:sz w:val="20"/>
                <w:szCs w:val="20"/>
              </w:rPr>
              <w:t xml:space="preserve"> </w:t>
            </w:r>
            <w:r w:rsidRPr="006B0816">
              <w:rPr>
                <w:rFonts w:ascii="Times New Roman" w:eastAsia="Calibri" w:hAnsi="Times New Roman" w:cs="Times New Roman"/>
                <w:b/>
                <w:spacing w:val="-2"/>
                <w:sz w:val="20"/>
                <w:szCs w:val="20"/>
              </w:rPr>
              <w:t>W jaki sposób i kiedy nastąpi ewaluacja efektów projektu oraz jakie mierniki zostaną zastosowane?</w:t>
            </w:r>
          </w:p>
        </w:tc>
      </w:tr>
      <w:tr w:rsidR="007F6E22" w:rsidRPr="006B0816" w14:paraId="19728BA3" w14:textId="77777777" w:rsidTr="007B5AC5">
        <w:trPr>
          <w:trHeight w:val="142"/>
        </w:trPr>
        <w:tc>
          <w:tcPr>
            <w:tcW w:w="15877" w:type="dxa"/>
            <w:gridSpan w:val="29"/>
            <w:shd w:val="clear" w:color="auto" w:fill="FFFFFF"/>
          </w:tcPr>
          <w:p w14:paraId="21FA4695"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spacing w:val="-2"/>
                <w:sz w:val="20"/>
                <w:szCs w:val="20"/>
              </w:rPr>
              <w:t xml:space="preserve">Szczegółowe zasady stwierdzania posiadania kwalifikacji przez osoby zajmujące się eksploatacją urządzeń, instalacji i sieci będą stanowiły źródło wiedzy na temat zrealizowanego poziomu i wielkości kształcenia w tym zakresie oraz dynamiki jego rozwoju w Polsce. </w:t>
            </w:r>
          </w:p>
        </w:tc>
      </w:tr>
      <w:tr w:rsidR="007F6E22" w:rsidRPr="006B0816" w14:paraId="3C08EE6E" w14:textId="77777777" w:rsidTr="007B5AC5">
        <w:trPr>
          <w:trHeight w:val="142"/>
        </w:trPr>
        <w:tc>
          <w:tcPr>
            <w:tcW w:w="15877" w:type="dxa"/>
            <w:gridSpan w:val="29"/>
            <w:shd w:val="clear" w:color="auto" w:fill="99CCFF"/>
          </w:tcPr>
          <w:p w14:paraId="5A63A6F5" w14:textId="77777777" w:rsidR="007F6E22" w:rsidRPr="006B0816" w:rsidRDefault="007F6E22" w:rsidP="007B5AC5">
            <w:pPr>
              <w:numPr>
                <w:ilvl w:val="0"/>
                <w:numId w:val="1"/>
              </w:numPr>
              <w:spacing w:before="60" w:after="60" w:line="240" w:lineRule="auto"/>
              <w:ind w:left="318" w:right="452" w:hanging="284"/>
              <w:jc w:val="both"/>
              <w:rPr>
                <w:rFonts w:ascii="Times New Roman" w:eastAsia="Calibri" w:hAnsi="Times New Roman" w:cs="Times New Roman"/>
                <w:b/>
                <w:color w:val="000000"/>
                <w:spacing w:val="-2"/>
                <w:sz w:val="20"/>
                <w:szCs w:val="20"/>
              </w:rPr>
            </w:pPr>
            <w:r w:rsidRPr="006B0816">
              <w:rPr>
                <w:rFonts w:ascii="Times New Roman" w:eastAsia="Calibri" w:hAnsi="Times New Roman" w:cs="Times New Roman"/>
                <w:b/>
                <w:color w:val="000000"/>
                <w:spacing w:val="-2"/>
                <w:sz w:val="20"/>
                <w:szCs w:val="20"/>
              </w:rPr>
              <w:t xml:space="preserve">Załączniki </w:t>
            </w:r>
            <w:r w:rsidRPr="006B0816">
              <w:rPr>
                <w:rFonts w:ascii="Times New Roman" w:eastAsia="Calibri" w:hAnsi="Times New Roman" w:cs="Times New Roman"/>
                <w:b/>
                <w:spacing w:val="-2"/>
                <w:sz w:val="20"/>
                <w:szCs w:val="20"/>
              </w:rPr>
              <w:t>(istotne dokumenty źródłowe, badania, analizy itp.</w:t>
            </w:r>
            <w:r w:rsidRPr="006B0816">
              <w:rPr>
                <w:rFonts w:ascii="Times New Roman" w:eastAsia="Calibri" w:hAnsi="Times New Roman" w:cs="Times New Roman"/>
                <w:b/>
                <w:color w:val="000000"/>
                <w:spacing w:val="-2"/>
                <w:sz w:val="20"/>
                <w:szCs w:val="20"/>
              </w:rPr>
              <w:t xml:space="preserve">) </w:t>
            </w:r>
          </w:p>
        </w:tc>
      </w:tr>
      <w:tr w:rsidR="007F6E22" w:rsidRPr="006B0816" w14:paraId="19AF05BA" w14:textId="77777777" w:rsidTr="007B5AC5">
        <w:trPr>
          <w:trHeight w:val="142"/>
        </w:trPr>
        <w:tc>
          <w:tcPr>
            <w:tcW w:w="15877" w:type="dxa"/>
            <w:gridSpan w:val="29"/>
            <w:shd w:val="clear" w:color="auto" w:fill="FFFFFF"/>
          </w:tcPr>
          <w:p w14:paraId="3DAFBB3E" w14:textId="77777777" w:rsidR="007F6E22" w:rsidRPr="006B0816" w:rsidRDefault="007F6E22" w:rsidP="007B5AC5">
            <w:pPr>
              <w:spacing w:after="0" w:line="240" w:lineRule="auto"/>
              <w:ind w:right="452"/>
              <w:jc w:val="both"/>
              <w:rPr>
                <w:rFonts w:ascii="Times New Roman" w:eastAsia="Calibri" w:hAnsi="Times New Roman" w:cs="Times New Roman"/>
                <w:color w:val="000000"/>
                <w:spacing w:val="-2"/>
                <w:sz w:val="20"/>
                <w:szCs w:val="20"/>
              </w:rPr>
            </w:pPr>
            <w:r w:rsidRPr="006B0816">
              <w:rPr>
                <w:rFonts w:ascii="Times New Roman" w:eastAsia="Calibri" w:hAnsi="Times New Roman" w:cs="Times New Roman"/>
                <w:color w:val="000000"/>
                <w:spacing w:val="-2"/>
                <w:sz w:val="20"/>
                <w:szCs w:val="20"/>
              </w:rPr>
              <w:t>Sprawozdanie Prezesa URE za 2020 rok</w:t>
            </w:r>
          </w:p>
        </w:tc>
      </w:tr>
    </w:tbl>
    <w:p w14:paraId="6A7B7FFE" w14:textId="77777777" w:rsidR="007F6E22" w:rsidRPr="006B0816" w:rsidRDefault="007F6E22" w:rsidP="007F6E22"/>
    <w:p w14:paraId="1EEA21CC" w14:textId="77777777" w:rsidR="007F6E22" w:rsidRDefault="007F6E22" w:rsidP="007F6E22"/>
    <w:p w14:paraId="171F3F84" w14:textId="77777777" w:rsidR="007F6E22" w:rsidRDefault="007F6E22" w:rsidP="007F6E22"/>
    <w:p w14:paraId="24D46B78" w14:textId="77777777" w:rsidR="007F6E22" w:rsidRDefault="007F6E22" w:rsidP="007F6E22"/>
    <w:p w14:paraId="5D5B3FB3" w14:textId="77777777" w:rsidR="007F6E22" w:rsidRDefault="007F6E22"/>
    <w:sectPr w:rsidR="007F6E22" w:rsidSect="003A6DA3">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6C"/>
    <w:multiLevelType w:val="multilevel"/>
    <w:tmpl w:val="9F0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0829"/>
    <w:multiLevelType w:val="multilevel"/>
    <w:tmpl w:val="99E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C4BFC"/>
    <w:multiLevelType w:val="hybridMultilevel"/>
    <w:tmpl w:val="D93EB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255169"/>
    <w:multiLevelType w:val="hybridMultilevel"/>
    <w:tmpl w:val="019E7FFA"/>
    <w:lvl w:ilvl="0" w:tplc="177446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5C7587"/>
    <w:multiLevelType w:val="hybridMultilevel"/>
    <w:tmpl w:val="F780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22"/>
    <w:rsid w:val="00723D1D"/>
    <w:rsid w:val="007F6E22"/>
    <w:rsid w:val="009468B3"/>
    <w:rsid w:val="00EA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901B"/>
  <w15:chartTrackingRefBased/>
  <w15:docId w15:val="{3220FC37-18CE-4475-B718-665D4AF2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E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13260</Characters>
  <Application>Microsoft Office Word</Application>
  <DocSecurity>0</DocSecurity>
  <Lines>110</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PILITOWSKI Janusz</dc:creator>
  <cp:keywords/>
  <dc:description/>
  <cp:lastModifiedBy>Florkiewicz Ewa</cp:lastModifiedBy>
  <cp:revision>2</cp:revision>
  <dcterms:created xsi:type="dcterms:W3CDTF">2022-02-15T18:53:00Z</dcterms:created>
  <dcterms:modified xsi:type="dcterms:W3CDTF">2022-02-15T18:53:00Z</dcterms:modified>
</cp:coreProperties>
</file>