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221"/>
        <w:tblW w:w="10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162"/>
        <w:gridCol w:w="728"/>
        <w:gridCol w:w="414"/>
        <w:gridCol w:w="134"/>
        <w:gridCol w:w="21"/>
        <w:gridCol w:w="187"/>
        <w:gridCol w:w="383"/>
        <w:gridCol w:w="259"/>
        <w:gridCol w:w="255"/>
        <w:gridCol w:w="40"/>
        <w:gridCol w:w="16"/>
        <w:gridCol w:w="269"/>
        <w:gridCol w:w="300"/>
        <w:gridCol w:w="353"/>
        <w:gridCol w:w="217"/>
        <w:gridCol w:w="570"/>
        <w:gridCol w:w="80"/>
        <w:gridCol w:w="71"/>
        <w:gridCol w:w="419"/>
        <w:gridCol w:w="113"/>
        <w:gridCol w:w="132"/>
        <w:gridCol w:w="273"/>
        <w:gridCol w:w="51"/>
        <w:gridCol w:w="570"/>
        <w:gridCol w:w="317"/>
        <w:gridCol w:w="253"/>
        <w:gridCol w:w="570"/>
        <w:gridCol w:w="115"/>
        <w:gridCol w:w="1422"/>
        <w:gridCol w:w="10"/>
      </w:tblGrid>
      <w:tr w:rsidR="00DD4E3B" w:rsidRPr="00DD4E3B" w14:paraId="1D8F2890" w14:textId="77777777" w:rsidTr="00DD4E3B">
        <w:trPr>
          <w:gridAfter w:val="1"/>
          <w:wAfter w:w="10" w:type="dxa"/>
          <w:trHeight w:val="1611"/>
        </w:trPr>
        <w:tc>
          <w:tcPr>
            <w:tcW w:w="6631" w:type="dxa"/>
            <w:gridSpan w:val="19"/>
          </w:tcPr>
          <w:p w14:paraId="39BF8E96" w14:textId="77777777" w:rsidR="00DD4E3B" w:rsidRPr="00C023A8" w:rsidRDefault="00DD4E3B" w:rsidP="00F363F2">
            <w:pPr>
              <w:spacing w:after="0"/>
              <w:ind w:left="29"/>
              <w:jc w:val="both"/>
              <w:rPr>
                <w:rFonts w:ascii="Times New Roman" w:hAnsi="Times New Roman" w:cs="Times New Roman"/>
              </w:rPr>
            </w:pPr>
            <w:bookmarkStart w:id="0" w:name="t1"/>
            <w:bookmarkStart w:id="1" w:name="_GoBack"/>
            <w:bookmarkEnd w:id="1"/>
            <w:r w:rsidRPr="00C023A8">
              <w:rPr>
                <w:rFonts w:ascii="Times New Roman" w:hAnsi="Times New Roman" w:cs="Times New Roman"/>
                <w:b/>
              </w:rPr>
              <w:t>Nazwa projektu</w:t>
            </w:r>
          </w:p>
          <w:p w14:paraId="5F1C7189" w14:textId="77777777" w:rsidR="00810036" w:rsidRDefault="00DD4E3B" w:rsidP="00F363F2">
            <w:pPr>
              <w:spacing w:after="0"/>
              <w:ind w:left="29"/>
              <w:jc w:val="both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Projekt rozporządzenia</w:t>
            </w:r>
            <w:r w:rsidRPr="00C023A8">
              <w:rPr>
                <w:rFonts w:ascii="Times New Roman" w:hAnsi="Times New Roman" w:cs="Times New Roman"/>
                <w:b/>
                <w:bCs/>
                <w:kern w:val="36"/>
              </w:rPr>
              <w:t xml:space="preserve"> </w:t>
            </w:r>
            <w:r w:rsidRPr="00C023A8">
              <w:rPr>
                <w:rFonts w:ascii="Times New Roman" w:hAnsi="Times New Roman" w:cs="Times New Roman"/>
              </w:rPr>
              <w:t xml:space="preserve">Ministra Spraw Wewnętrznych i Administracji </w:t>
            </w:r>
            <w:r w:rsidRPr="00C023A8">
              <w:rPr>
                <w:rFonts w:ascii="Times New Roman" w:hAnsi="Times New Roman" w:cs="Times New Roman"/>
                <w:bCs/>
                <w:kern w:val="36"/>
              </w:rPr>
              <w:t xml:space="preserve">zmieniającego rozporządzenie w sprawie wymagań, jakim powinna odpowiadać ochrona wartości pieniężnych przechowywanych </w:t>
            </w:r>
            <w:r w:rsidR="00F97898">
              <w:rPr>
                <w:rFonts w:ascii="Times New Roman" w:hAnsi="Times New Roman" w:cs="Times New Roman"/>
                <w:bCs/>
                <w:kern w:val="36"/>
              </w:rPr>
              <w:br/>
            </w:r>
            <w:r w:rsidRPr="00C023A8">
              <w:rPr>
                <w:rFonts w:ascii="Times New Roman" w:hAnsi="Times New Roman" w:cs="Times New Roman"/>
                <w:bCs/>
                <w:kern w:val="36"/>
              </w:rPr>
              <w:t>i transportowanych przez przedsiębiorców i inne jednostki organizacyjne</w:t>
            </w:r>
            <w:r w:rsidRPr="00C023A8">
              <w:rPr>
                <w:rFonts w:ascii="Times New Roman" w:hAnsi="Times New Roman" w:cs="Times New Roman"/>
              </w:rPr>
              <w:t xml:space="preserve"> </w:t>
            </w:r>
          </w:p>
          <w:p w14:paraId="67691CF6" w14:textId="77777777" w:rsidR="00810036" w:rsidRDefault="00810036" w:rsidP="00F363F2">
            <w:pPr>
              <w:spacing w:after="0"/>
              <w:ind w:left="29"/>
              <w:jc w:val="both"/>
              <w:rPr>
                <w:rFonts w:ascii="Times New Roman" w:hAnsi="Times New Roman" w:cs="Times New Roman"/>
              </w:rPr>
            </w:pPr>
          </w:p>
          <w:p w14:paraId="04CDDD39" w14:textId="613C7533" w:rsidR="00DD4E3B" w:rsidRDefault="00DD4E3B" w:rsidP="00F363F2">
            <w:pPr>
              <w:spacing w:after="0"/>
              <w:ind w:left="29"/>
              <w:jc w:val="both"/>
              <w:rPr>
                <w:rFonts w:ascii="Times New Roman" w:hAnsi="Times New Roman" w:cs="Times New Roman"/>
                <w:b/>
              </w:rPr>
            </w:pPr>
            <w:r w:rsidRPr="00FC20EE">
              <w:rPr>
                <w:rFonts w:ascii="Times New Roman" w:hAnsi="Times New Roman" w:cs="Times New Roman"/>
                <w:b/>
              </w:rPr>
              <w:t>Ministerstwo wiodące i ministerstwa współpracujące</w:t>
            </w:r>
          </w:p>
          <w:p w14:paraId="68AC872E" w14:textId="77777777" w:rsidR="00FC20EE" w:rsidRPr="00FC20EE" w:rsidRDefault="00FC20EE" w:rsidP="00F363F2">
            <w:pPr>
              <w:spacing w:after="0"/>
              <w:ind w:left="29"/>
              <w:jc w:val="both"/>
              <w:rPr>
                <w:rFonts w:ascii="Times New Roman" w:hAnsi="Times New Roman" w:cs="Times New Roman"/>
              </w:rPr>
            </w:pPr>
            <w:r w:rsidRPr="00FC20EE">
              <w:rPr>
                <w:rFonts w:ascii="Times New Roman" w:hAnsi="Times New Roman" w:cs="Times New Roman"/>
              </w:rPr>
              <w:t xml:space="preserve">Ministerstwo Spraw Wewnętrznych i Administracji </w:t>
            </w:r>
          </w:p>
          <w:bookmarkEnd w:id="0"/>
          <w:p w14:paraId="4688F7BD" w14:textId="77777777" w:rsidR="00810036" w:rsidRDefault="00810036" w:rsidP="00F363F2">
            <w:pPr>
              <w:spacing w:after="0"/>
              <w:ind w:left="29"/>
              <w:jc w:val="both"/>
              <w:rPr>
                <w:rFonts w:ascii="Times New Roman" w:hAnsi="Times New Roman" w:cs="Times New Roman"/>
                <w:b/>
              </w:rPr>
            </w:pPr>
          </w:p>
          <w:p w14:paraId="3DCAE7BF" w14:textId="77777777" w:rsidR="00DD4E3B" w:rsidRPr="00C023A8" w:rsidRDefault="00DD4E3B" w:rsidP="00F363F2">
            <w:pPr>
              <w:spacing w:after="0"/>
              <w:ind w:left="29"/>
              <w:jc w:val="both"/>
              <w:rPr>
                <w:rFonts w:ascii="Times New Roman" w:hAnsi="Times New Roman" w:cs="Times New Roman"/>
                <w:b/>
              </w:rPr>
            </w:pPr>
            <w:r w:rsidRPr="00C023A8">
              <w:rPr>
                <w:rFonts w:ascii="Times New Roman" w:hAnsi="Times New Roman" w:cs="Times New Roman"/>
                <w:b/>
              </w:rPr>
              <w:t xml:space="preserve">Osoba odpowiedzialna za projekt w randze Ministra, Sekretarza Stanu lub Podsekretarza Stanu </w:t>
            </w:r>
          </w:p>
          <w:p w14:paraId="2C2963C7" w14:textId="77777777" w:rsidR="00DD4E3B" w:rsidRPr="00C023A8" w:rsidRDefault="001E27C6" w:rsidP="00F363F2">
            <w:pPr>
              <w:spacing w:after="0"/>
              <w:ind w:lef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 Maciej Wąsik – Sekretarz Stanu w MSWiA</w:t>
            </w:r>
          </w:p>
          <w:p w14:paraId="0F94D67E" w14:textId="77777777" w:rsidR="00810036" w:rsidRDefault="00810036" w:rsidP="00F363F2">
            <w:pPr>
              <w:spacing w:after="0"/>
              <w:ind w:left="29"/>
              <w:jc w:val="both"/>
              <w:rPr>
                <w:rFonts w:ascii="Times New Roman" w:hAnsi="Times New Roman" w:cs="Times New Roman"/>
                <w:b/>
              </w:rPr>
            </w:pPr>
          </w:p>
          <w:p w14:paraId="4AE59785" w14:textId="77777777" w:rsidR="00DD4E3B" w:rsidRPr="00C023A8" w:rsidRDefault="00DD4E3B" w:rsidP="00F363F2">
            <w:pPr>
              <w:spacing w:after="0"/>
              <w:ind w:left="29"/>
              <w:jc w:val="both"/>
              <w:rPr>
                <w:rFonts w:ascii="Times New Roman" w:hAnsi="Times New Roman" w:cs="Times New Roman"/>
                <w:b/>
              </w:rPr>
            </w:pPr>
            <w:r w:rsidRPr="00C023A8">
              <w:rPr>
                <w:rFonts w:ascii="Times New Roman" w:hAnsi="Times New Roman" w:cs="Times New Roman"/>
                <w:b/>
              </w:rPr>
              <w:t>Kontakt do opiekuna merytorycznego projektu</w:t>
            </w:r>
          </w:p>
          <w:p w14:paraId="64F29511" w14:textId="77777777" w:rsidR="00DD4E3B" w:rsidRPr="00C023A8" w:rsidRDefault="001E27C6" w:rsidP="00F363F2">
            <w:pPr>
              <w:spacing w:after="0"/>
              <w:ind w:lef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 Mariusz Cichomski</w:t>
            </w:r>
          </w:p>
          <w:p w14:paraId="494D9F84" w14:textId="77777777" w:rsidR="001E27C6" w:rsidRDefault="001E27C6" w:rsidP="00F363F2">
            <w:pPr>
              <w:spacing w:after="0"/>
              <w:ind w:lef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 Departamentu Porządku Publicznego MSWiA</w:t>
            </w:r>
          </w:p>
          <w:p w14:paraId="41ED6BD6" w14:textId="77777777" w:rsidR="00DD4E3B" w:rsidRPr="008C6643" w:rsidRDefault="00DD4E3B" w:rsidP="00F363F2">
            <w:pPr>
              <w:spacing w:after="0"/>
              <w:ind w:left="29"/>
              <w:jc w:val="both"/>
              <w:rPr>
                <w:rFonts w:ascii="Times New Roman" w:hAnsi="Times New Roman" w:cs="Times New Roman"/>
              </w:rPr>
            </w:pPr>
            <w:r w:rsidRPr="008C6643">
              <w:rPr>
                <w:rFonts w:ascii="Times New Roman" w:hAnsi="Times New Roman" w:cs="Times New Roman"/>
              </w:rPr>
              <w:t>tel. 22 60</w:t>
            </w:r>
            <w:r w:rsidR="001E27C6" w:rsidRPr="008C6643">
              <w:rPr>
                <w:rFonts w:ascii="Times New Roman" w:hAnsi="Times New Roman" w:cs="Times New Roman"/>
              </w:rPr>
              <w:t> 140 70</w:t>
            </w:r>
            <w:r w:rsidRPr="008C6643">
              <w:rPr>
                <w:rFonts w:ascii="Times New Roman" w:hAnsi="Times New Roman" w:cs="Times New Roman"/>
              </w:rPr>
              <w:t>,</w:t>
            </w:r>
            <w:r w:rsidR="00990E60" w:rsidRPr="008C6643">
              <w:rPr>
                <w:rFonts w:ascii="Times New Roman" w:hAnsi="Times New Roman" w:cs="Times New Roman"/>
              </w:rPr>
              <w:t xml:space="preserve"> </w:t>
            </w:r>
            <w:r w:rsidRPr="008C6643">
              <w:rPr>
                <w:rFonts w:ascii="Times New Roman" w:hAnsi="Times New Roman" w:cs="Times New Roman"/>
              </w:rPr>
              <w:t xml:space="preserve">e-mail: </w:t>
            </w:r>
            <w:r w:rsidR="001E27C6" w:rsidRPr="008C6643">
              <w:rPr>
                <w:rFonts w:ascii="Times New Roman" w:hAnsi="Times New Roman" w:cs="Times New Roman"/>
              </w:rPr>
              <w:t>dpp.koordynacja</w:t>
            </w:r>
            <w:r w:rsidRPr="008C6643">
              <w:rPr>
                <w:rFonts w:ascii="Times New Roman" w:hAnsi="Times New Roman" w:cs="Times New Roman"/>
              </w:rPr>
              <w:t>@</w:t>
            </w:r>
            <w:r w:rsidR="001E27C6" w:rsidRPr="008C6643">
              <w:rPr>
                <w:rFonts w:ascii="Times New Roman" w:hAnsi="Times New Roman" w:cs="Times New Roman"/>
              </w:rPr>
              <w:t>mswia</w:t>
            </w:r>
            <w:r w:rsidRPr="008C6643">
              <w:rPr>
                <w:rFonts w:ascii="Times New Roman" w:hAnsi="Times New Roman" w:cs="Times New Roman"/>
              </w:rPr>
              <w:t>.gov.pl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4C4EC543" w14:textId="77777777" w:rsidR="00DD4E3B" w:rsidRPr="00C023A8" w:rsidRDefault="00DD4E3B" w:rsidP="00F363F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023A8">
              <w:rPr>
                <w:rFonts w:ascii="Times New Roman" w:hAnsi="Times New Roman" w:cs="Times New Roman"/>
                <w:b/>
              </w:rPr>
              <w:t xml:space="preserve">Data sporządzenia: </w:t>
            </w:r>
          </w:p>
          <w:p w14:paraId="04F270FD" w14:textId="293EDBCC" w:rsidR="00DD4E3B" w:rsidRPr="00C023A8" w:rsidRDefault="00043D37" w:rsidP="00F363F2">
            <w:pPr>
              <w:spacing w:after="0"/>
              <w:jc w:val="both"/>
              <w:rPr>
                <w:rFonts w:ascii="Times New Roman" w:hAnsi="Times New Roman" w:cs="Times New Roman"/>
                <w:bCs/>
                <w:kern w:val="36"/>
              </w:rPr>
            </w:pPr>
            <w:r>
              <w:rPr>
                <w:rFonts w:ascii="Times New Roman" w:hAnsi="Times New Roman" w:cs="Times New Roman"/>
              </w:rPr>
              <w:t>11 marca</w:t>
            </w:r>
            <w:r w:rsidR="00AC1272">
              <w:rPr>
                <w:rFonts w:ascii="Times New Roman" w:hAnsi="Times New Roman" w:cs="Times New Roman"/>
              </w:rPr>
              <w:t xml:space="preserve"> 2022</w:t>
            </w:r>
            <w:r w:rsidR="00DD4E3B" w:rsidRPr="00C023A8">
              <w:rPr>
                <w:rFonts w:ascii="Times New Roman" w:hAnsi="Times New Roman" w:cs="Times New Roman"/>
                <w:bCs/>
                <w:kern w:val="36"/>
              </w:rPr>
              <w:t xml:space="preserve"> r.</w:t>
            </w:r>
          </w:p>
          <w:p w14:paraId="63E53EA0" w14:textId="77777777" w:rsidR="00DD4E3B" w:rsidRPr="00C023A8" w:rsidRDefault="00DD4E3B" w:rsidP="00F363F2">
            <w:pPr>
              <w:spacing w:after="0"/>
              <w:jc w:val="both"/>
              <w:rPr>
                <w:rFonts w:ascii="Times New Roman" w:hAnsi="Times New Roman" w:cs="Times New Roman"/>
                <w:bCs/>
                <w:kern w:val="36"/>
              </w:rPr>
            </w:pPr>
          </w:p>
          <w:p w14:paraId="6CA05A1D" w14:textId="77777777" w:rsidR="00DD4E3B" w:rsidRPr="00C023A8" w:rsidRDefault="00DD4E3B" w:rsidP="00F363F2">
            <w:pPr>
              <w:spacing w:after="0"/>
              <w:jc w:val="both"/>
              <w:rPr>
                <w:rFonts w:ascii="Times New Roman" w:hAnsi="Times New Roman" w:cs="Times New Roman"/>
                <w:bCs/>
                <w:kern w:val="36"/>
              </w:rPr>
            </w:pPr>
            <w:r w:rsidRPr="00C023A8">
              <w:rPr>
                <w:rFonts w:ascii="Times New Roman" w:hAnsi="Times New Roman" w:cs="Times New Roman"/>
                <w:b/>
                <w:bCs/>
                <w:kern w:val="36"/>
              </w:rPr>
              <w:t>Źródło</w:t>
            </w:r>
            <w:r w:rsidRPr="00C023A8">
              <w:rPr>
                <w:rFonts w:ascii="Times New Roman" w:hAnsi="Times New Roman" w:cs="Times New Roman"/>
                <w:bCs/>
                <w:kern w:val="36"/>
              </w:rPr>
              <w:t xml:space="preserve">: </w:t>
            </w:r>
            <w:bookmarkStart w:id="2" w:name="Lista1"/>
          </w:p>
          <w:bookmarkEnd w:id="2"/>
          <w:p w14:paraId="5EADEA24" w14:textId="31993F41" w:rsidR="00DD4E3B" w:rsidRDefault="008C3156" w:rsidP="00F363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kern w:val="36"/>
              </w:rPr>
            </w:pPr>
            <w:r w:rsidRPr="00C023A8">
              <w:rPr>
                <w:rFonts w:ascii="Times New Roman" w:hAnsi="Times New Roman" w:cs="Times New Roman"/>
                <w:bCs/>
                <w:kern w:val="36"/>
              </w:rPr>
              <w:t xml:space="preserve">art. 6 ust. 2 ustawy z dnia 22 sierpnia 1997 r. </w:t>
            </w:r>
            <w:r w:rsidR="00810036">
              <w:rPr>
                <w:rFonts w:ascii="Times New Roman" w:hAnsi="Times New Roman" w:cs="Times New Roman"/>
                <w:bCs/>
                <w:kern w:val="36"/>
              </w:rPr>
              <w:br/>
            </w:r>
            <w:r w:rsidRPr="00C023A8">
              <w:rPr>
                <w:rFonts w:ascii="Times New Roman" w:hAnsi="Times New Roman" w:cs="Times New Roman"/>
                <w:bCs/>
                <w:kern w:val="36"/>
              </w:rPr>
              <w:t>o ochronie osób i mienia (</w:t>
            </w:r>
            <w:r w:rsidR="00F53662" w:rsidRPr="00F53662">
              <w:rPr>
                <w:rFonts w:ascii="Times New Roman" w:hAnsi="Times New Roman" w:cs="Times New Roman"/>
                <w:bCs/>
                <w:kern w:val="36"/>
              </w:rPr>
              <w:t>Dz. U. z 202</w:t>
            </w:r>
            <w:r w:rsidR="00290576">
              <w:rPr>
                <w:rFonts w:ascii="Times New Roman" w:hAnsi="Times New Roman" w:cs="Times New Roman"/>
                <w:bCs/>
                <w:kern w:val="36"/>
              </w:rPr>
              <w:t>1</w:t>
            </w:r>
            <w:r w:rsidR="00F53662" w:rsidRPr="00F53662">
              <w:rPr>
                <w:rFonts w:ascii="Times New Roman" w:hAnsi="Times New Roman" w:cs="Times New Roman"/>
                <w:bCs/>
                <w:kern w:val="36"/>
              </w:rPr>
              <w:t xml:space="preserve"> r. poz. </w:t>
            </w:r>
            <w:r w:rsidR="00290576">
              <w:rPr>
                <w:rFonts w:ascii="Times New Roman" w:hAnsi="Times New Roman" w:cs="Times New Roman"/>
                <w:bCs/>
                <w:kern w:val="36"/>
              </w:rPr>
              <w:t>1995)</w:t>
            </w:r>
          </w:p>
          <w:p w14:paraId="50FC5E97" w14:textId="77777777" w:rsidR="004A3FA0" w:rsidRPr="00C023A8" w:rsidRDefault="004A3FA0" w:rsidP="00F363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kern w:val="36"/>
              </w:rPr>
            </w:pPr>
          </w:p>
          <w:p w14:paraId="7CC595D4" w14:textId="4950956C" w:rsidR="00DD4E3B" w:rsidRPr="00C023A8" w:rsidRDefault="00DD4E3B" w:rsidP="00F363F2">
            <w:pPr>
              <w:spacing w:after="0"/>
              <w:jc w:val="both"/>
              <w:rPr>
                <w:rFonts w:ascii="Times New Roman" w:hAnsi="Times New Roman" w:cs="Times New Roman"/>
                <w:bCs/>
                <w:kern w:val="36"/>
              </w:rPr>
            </w:pPr>
            <w:r w:rsidRPr="00C023A8">
              <w:rPr>
                <w:rFonts w:ascii="Times New Roman" w:hAnsi="Times New Roman" w:cs="Times New Roman"/>
                <w:b/>
                <w:bCs/>
                <w:kern w:val="36"/>
              </w:rPr>
              <w:t>Nr w wykazie prac:</w:t>
            </w:r>
          </w:p>
          <w:p w14:paraId="4311D117" w14:textId="77777777" w:rsidR="00DD4E3B" w:rsidRPr="00C023A8" w:rsidRDefault="00DD4E3B" w:rsidP="00990E6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E3B" w:rsidRPr="00DD4E3B" w14:paraId="4DC08B67" w14:textId="77777777" w:rsidTr="00DD4E3B">
        <w:trPr>
          <w:gridAfter w:val="1"/>
          <w:wAfter w:w="10" w:type="dxa"/>
          <w:trHeight w:val="142"/>
        </w:trPr>
        <w:tc>
          <w:tcPr>
            <w:tcW w:w="10937" w:type="dxa"/>
            <w:gridSpan w:val="31"/>
            <w:shd w:val="clear" w:color="auto" w:fill="99CCFF"/>
          </w:tcPr>
          <w:p w14:paraId="1813E18D" w14:textId="77777777" w:rsidR="00DD4E3B" w:rsidRPr="00C023A8" w:rsidRDefault="00DD4E3B" w:rsidP="00F363F2">
            <w:pPr>
              <w:spacing w:after="0"/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 w:rsidRPr="00C023A8">
              <w:rPr>
                <w:rFonts w:ascii="Times New Roman" w:hAnsi="Times New Roman" w:cs="Times New Roman"/>
                <w:b/>
              </w:rPr>
              <w:t>OCENA SKUTKÓW REGULACJI</w:t>
            </w:r>
          </w:p>
        </w:tc>
      </w:tr>
      <w:tr w:rsidR="00DD4E3B" w:rsidRPr="00DD4E3B" w14:paraId="120A5A9B" w14:textId="77777777" w:rsidTr="00DD4E3B">
        <w:trPr>
          <w:gridAfter w:val="1"/>
          <w:wAfter w:w="10" w:type="dxa"/>
          <w:trHeight w:val="333"/>
        </w:trPr>
        <w:tc>
          <w:tcPr>
            <w:tcW w:w="10937" w:type="dxa"/>
            <w:gridSpan w:val="31"/>
            <w:shd w:val="clear" w:color="auto" w:fill="99CCFF"/>
            <w:vAlign w:val="center"/>
          </w:tcPr>
          <w:p w14:paraId="6EB0DC8F" w14:textId="77777777" w:rsidR="00DD4E3B" w:rsidRPr="00C023A8" w:rsidRDefault="00DD4E3B" w:rsidP="00F363F2">
            <w:pPr>
              <w:numPr>
                <w:ilvl w:val="0"/>
                <w:numId w:val="3"/>
              </w:numPr>
              <w:spacing w:after="0"/>
              <w:ind w:left="318" w:hanging="284"/>
              <w:jc w:val="both"/>
              <w:rPr>
                <w:rFonts w:ascii="Times New Roman" w:hAnsi="Times New Roman" w:cs="Times New Roman"/>
                <w:b/>
              </w:rPr>
            </w:pPr>
            <w:r w:rsidRPr="00C023A8">
              <w:rPr>
                <w:rFonts w:ascii="Times New Roman" w:hAnsi="Times New Roman" w:cs="Times New Roman"/>
                <w:b/>
              </w:rPr>
              <w:t>Jaki problem jest rozwiązywany?</w:t>
            </w:r>
            <w:bookmarkStart w:id="3" w:name="Wybór1"/>
            <w:bookmarkEnd w:id="3"/>
          </w:p>
        </w:tc>
      </w:tr>
      <w:tr w:rsidR="00DD4E3B" w:rsidRPr="00DD4E3B" w14:paraId="6B04C178" w14:textId="77777777" w:rsidTr="00DD4E3B">
        <w:trPr>
          <w:gridAfter w:val="1"/>
          <w:wAfter w:w="10" w:type="dxa"/>
          <w:trHeight w:val="142"/>
        </w:trPr>
        <w:tc>
          <w:tcPr>
            <w:tcW w:w="10937" w:type="dxa"/>
            <w:gridSpan w:val="31"/>
            <w:shd w:val="clear" w:color="auto" w:fill="FFFFFF"/>
          </w:tcPr>
          <w:p w14:paraId="2FE227AE" w14:textId="44D78B69" w:rsidR="00C74972" w:rsidRPr="00956604" w:rsidRDefault="0050199A" w:rsidP="00613B90">
            <w:pPr>
              <w:spacing w:after="12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56604">
              <w:rPr>
                <w:rFonts w:ascii="Times New Roman" w:eastAsia="Times New Roman" w:hAnsi="Times New Roman"/>
                <w:lang w:eastAsia="pl-PL"/>
              </w:rPr>
              <w:t xml:space="preserve">Potrzeba zmiany rozporządzenia </w:t>
            </w:r>
            <w:r w:rsidRPr="00956604">
              <w:rPr>
                <w:rFonts w:ascii="Times New Roman" w:hAnsi="Times New Roman"/>
              </w:rPr>
              <w:t xml:space="preserve">Ministra Spraw Wewnętrznych i Administracji z dnia 7 września 2010 r. </w:t>
            </w:r>
            <w:r w:rsidRPr="00956604">
              <w:rPr>
                <w:rFonts w:ascii="Times New Roman" w:hAnsi="Times New Roman" w:cs="Times New Roman"/>
                <w:bCs/>
                <w:i/>
                <w:kern w:val="36"/>
              </w:rPr>
              <w:t>w sprawie wymagań, jakim powinna odpowiadać ochrona wartoś</w:t>
            </w:r>
            <w:r w:rsidR="00290576" w:rsidRPr="00956604">
              <w:rPr>
                <w:rFonts w:ascii="Times New Roman" w:hAnsi="Times New Roman" w:cs="Times New Roman"/>
                <w:bCs/>
                <w:i/>
                <w:kern w:val="36"/>
              </w:rPr>
              <w:t xml:space="preserve">ci pieniężnych przechowywanych </w:t>
            </w:r>
            <w:r w:rsidRPr="00956604">
              <w:rPr>
                <w:rFonts w:ascii="Times New Roman" w:hAnsi="Times New Roman" w:cs="Times New Roman"/>
                <w:bCs/>
                <w:i/>
                <w:kern w:val="36"/>
              </w:rPr>
              <w:t>i transportowanych przez przedsiębiorców i inne jednostki organizacyjne</w:t>
            </w:r>
            <w:r w:rsidRPr="00956604">
              <w:rPr>
                <w:rFonts w:ascii="Times New Roman" w:hAnsi="Times New Roman" w:cs="Times New Roman"/>
                <w:i/>
              </w:rPr>
              <w:t xml:space="preserve"> </w:t>
            </w:r>
            <w:r w:rsidRPr="00956604">
              <w:rPr>
                <w:rFonts w:ascii="Times New Roman" w:hAnsi="Times New Roman"/>
              </w:rPr>
              <w:t>(Dz. U. z 201</w:t>
            </w:r>
            <w:r w:rsidR="004D6B96" w:rsidRPr="00956604">
              <w:rPr>
                <w:rFonts w:ascii="Times New Roman" w:hAnsi="Times New Roman"/>
              </w:rPr>
              <w:t>6</w:t>
            </w:r>
            <w:r w:rsidRPr="00956604">
              <w:rPr>
                <w:rFonts w:ascii="Times New Roman" w:hAnsi="Times New Roman"/>
              </w:rPr>
              <w:t xml:space="preserve"> r. poz. </w:t>
            </w:r>
            <w:r w:rsidR="004D6B96" w:rsidRPr="00956604">
              <w:rPr>
                <w:rFonts w:ascii="Times New Roman" w:hAnsi="Times New Roman"/>
              </w:rPr>
              <w:t>793</w:t>
            </w:r>
            <w:r w:rsidRPr="00956604">
              <w:rPr>
                <w:rFonts w:ascii="Times New Roman" w:hAnsi="Times New Roman"/>
              </w:rPr>
              <w:t xml:space="preserve"> z późn. zm.) </w:t>
            </w:r>
            <w:r w:rsidRPr="00956604">
              <w:rPr>
                <w:rFonts w:ascii="Times New Roman" w:eastAsia="Times New Roman" w:hAnsi="Times New Roman"/>
                <w:lang w:eastAsia="pl-PL"/>
              </w:rPr>
              <w:t xml:space="preserve">wynika </w:t>
            </w:r>
            <w:r w:rsidR="00C74972" w:rsidRPr="00956604">
              <w:rPr>
                <w:rFonts w:ascii="Times New Roman" w:eastAsia="Times New Roman" w:hAnsi="Times New Roman"/>
                <w:lang w:eastAsia="pl-PL"/>
              </w:rPr>
              <w:t xml:space="preserve">ze zwiększonego </w:t>
            </w:r>
            <w:r w:rsidR="00C74972" w:rsidRPr="00956604">
              <w:t xml:space="preserve"> </w:t>
            </w:r>
            <w:r w:rsidR="00C74972" w:rsidRPr="00956604">
              <w:rPr>
                <w:rFonts w:ascii="Times New Roman" w:eastAsia="Times New Roman" w:hAnsi="Times New Roman"/>
                <w:lang w:eastAsia="pl-PL"/>
              </w:rPr>
              <w:t>popyt</w:t>
            </w:r>
            <w:r w:rsidR="00810036" w:rsidRPr="00956604">
              <w:rPr>
                <w:rFonts w:ascii="Times New Roman" w:eastAsia="Times New Roman" w:hAnsi="Times New Roman"/>
                <w:lang w:eastAsia="pl-PL"/>
              </w:rPr>
              <w:t>u</w:t>
            </w:r>
            <w:r w:rsidR="00C74972" w:rsidRPr="00956604">
              <w:rPr>
                <w:rFonts w:ascii="Times New Roman" w:eastAsia="Times New Roman" w:hAnsi="Times New Roman"/>
                <w:lang w:eastAsia="pl-PL"/>
              </w:rPr>
              <w:t xml:space="preserve"> ludności na gotówkę. W związku z zaistniałą sytuacją </w:t>
            </w:r>
            <w:r w:rsidR="00810036" w:rsidRPr="00956604">
              <w:rPr>
                <w:rFonts w:ascii="Times New Roman" w:eastAsia="Times New Roman" w:hAnsi="Times New Roman"/>
                <w:lang w:eastAsia="pl-PL"/>
              </w:rPr>
              <w:t xml:space="preserve">wynikającą </w:t>
            </w:r>
            <w:r w:rsidR="00E5552E" w:rsidRPr="00956604">
              <w:rPr>
                <w:rFonts w:ascii="Times New Roman" w:eastAsia="Times New Roman" w:hAnsi="Times New Roman"/>
                <w:lang w:eastAsia="pl-PL"/>
              </w:rPr>
              <w:t>z ataku Federacji Rosyjskiej na Ukrainę, zauważa się rosnące zapotrzebowanie na dokonywani</w:t>
            </w:r>
            <w:r w:rsidR="00043D37" w:rsidRPr="00956604">
              <w:rPr>
                <w:rFonts w:ascii="Times New Roman" w:eastAsia="Times New Roman" w:hAnsi="Times New Roman"/>
                <w:lang w:eastAsia="pl-PL"/>
              </w:rPr>
              <w:t>e</w:t>
            </w:r>
            <w:r w:rsidR="00E5552E" w:rsidRPr="00956604">
              <w:rPr>
                <w:rFonts w:ascii="Times New Roman" w:eastAsia="Times New Roman" w:hAnsi="Times New Roman"/>
                <w:lang w:eastAsia="pl-PL"/>
              </w:rPr>
              <w:t xml:space="preserve"> transakcji polegających w szczególności na wypłacaniu gotówki z bankomatów</w:t>
            </w:r>
            <w:r w:rsidR="00613B90">
              <w:rPr>
                <w:rFonts w:ascii="Times New Roman" w:eastAsia="Times New Roman" w:hAnsi="Times New Roman"/>
                <w:lang w:eastAsia="pl-PL"/>
              </w:rPr>
              <w:t xml:space="preserve"> oraz wypłatach walut</w:t>
            </w:r>
            <w:r w:rsidR="00E5552E" w:rsidRPr="00956604">
              <w:rPr>
                <w:rFonts w:ascii="Times New Roman" w:eastAsia="Times New Roman" w:hAnsi="Times New Roman"/>
                <w:lang w:eastAsia="pl-PL"/>
              </w:rPr>
              <w:t>. Kwestia ta pozostaje również szczególnie istotna w kontekście</w:t>
            </w:r>
            <w:r w:rsidR="00810036" w:rsidRPr="00956604">
              <w:rPr>
                <w:rFonts w:ascii="Times New Roman" w:eastAsia="Times New Roman" w:hAnsi="Times New Roman"/>
                <w:lang w:eastAsia="pl-PL"/>
              </w:rPr>
              <w:t xml:space="preserve"> wzrostu</w:t>
            </w:r>
            <w:r w:rsidR="00C74972" w:rsidRPr="00956604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40073E" w:rsidRPr="00956604">
              <w:rPr>
                <w:rFonts w:ascii="Times New Roman" w:eastAsia="Times New Roman" w:hAnsi="Times New Roman"/>
                <w:lang w:eastAsia="pl-PL"/>
              </w:rPr>
              <w:t>napływu</w:t>
            </w:r>
            <w:r w:rsidR="00C74972" w:rsidRPr="00956604">
              <w:rPr>
                <w:rFonts w:ascii="Times New Roman" w:eastAsia="Times New Roman" w:hAnsi="Times New Roman"/>
                <w:lang w:eastAsia="pl-PL"/>
              </w:rPr>
              <w:t xml:space="preserve"> z Ukrainy</w:t>
            </w:r>
            <w:r w:rsidR="00043D37" w:rsidRPr="00956604">
              <w:rPr>
                <w:rFonts w:ascii="Times New Roman" w:eastAsia="Times New Roman" w:hAnsi="Times New Roman"/>
                <w:lang w:eastAsia="pl-PL"/>
              </w:rPr>
              <w:t xml:space="preserve"> uchodźców na terytorium Polski</w:t>
            </w:r>
            <w:r w:rsidR="00C74972" w:rsidRPr="00956604">
              <w:rPr>
                <w:rFonts w:ascii="Times New Roman" w:eastAsia="Times New Roman" w:hAnsi="Times New Roman"/>
                <w:lang w:eastAsia="pl-PL"/>
              </w:rPr>
              <w:t xml:space="preserve">. </w:t>
            </w:r>
          </w:p>
          <w:p w14:paraId="5FB66E73" w14:textId="1C0C1D74" w:rsidR="00043D37" w:rsidRPr="00956604" w:rsidRDefault="00043D37" w:rsidP="00613B90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56604">
              <w:rPr>
                <w:rFonts w:ascii="Times New Roman" w:eastAsia="Times New Roman" w:hAnsi="Times New Roman" w:cs="Times New Roman"/>
                <w:lang w:eastAsia="pl-PL"/>
              </w:rPr>
              <w:t xml:space="preserve">Obowiązujące przepisy w tym zakresie w § 7 rozporządzenia </w:t>
            </w:r>
            <w:r w:rsidRPr="00956604">
              <w:rPr>
                <w:rFonts w:ascii="Times New Roman" w:eastAsia="Times New Roman" w:hAnsi="Times New Roman" w:cs="Times New Roman"/>
                <w:i/>
                <w:lang w:eastAsia="pl-PL"/>
              </w:rPr>
              <w:t>w sprawie wymagań</w:t>
            </w:r>
            <w:r w:rsidR="001E23A4">
              <w:rPr>
                <w:rFonts w:ascii="Times New Roman" w:eastAsia="Times New Roman" w:hAnsi="Times New Roman" w:cs="Times New Roman"/>
                <w:i/>
                <w:lang w:eastAsia="pl-PL"/>
              </w:rPr>
              <w:t>,</w:t>
            </w:r>
            <w:r w:rsidRPr="0095660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jakim powinna odpowiadać ochrona wartości pieniężnych przechowywanych i transportowanych przez przedsiębiorców i inne jednostki organizacyjne </w:t>
            </w:r>
            <w:r w:rsidRPr="00956604">
              <w:rPr>
                <w:rFonts w:ascii="Times New Roman" w:eastAsia="Times New Roman" w:hAnsi="Times New Roman" w:cs="Times New Roman"/>
                <w:lang w:eastAsia="pl-PL"/>
              </w:rPr>
              <w:t xml:space="preserve">nakładają określone limity gotówki, które mają zastosowanie w odniesieniu do wielkości kwot przewożonych bankowozami. Powoduje to spowolnienie możliwości zasilania banków i bankomatów w gotówkę i w konsekwencji skutkuje nawet czasowym wyłączaniem bankomatów z użytkowania.   </w:t>
            </w:r>
          </w:p>
          <w:p w14:paraId="74B81940" w14:textId="77777777" w:rsidR="00043D37" w:rsidRPr="00956604" w:rsidRDefault="00043D37" w:rsidP="00043D37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56604">
              <w:rPr>
                <w:rFonts w:ascii="Times New Roman" w:eastAsia="Times New Roman" w:hAnsi="Times New Roman" w:cs="Times New Roman"/>
                <w:lang w:eastAsia="pl-PL"/>
              </w:rPr>
              <w:t xml:space="preserve">W celu wyeliminowania przedmiotowego problemu, rozporządzeniem z dnia 1 marca 2022 r. </w:t>
            </w:r>
            <w:r w:rsidRPr="00956604">
              <w:rPr>
                <w:rFonts w:ascii="Times New Roman" w:hAnsi="Times New Roman" w:cs="Times New Roman"/>
                <w:i/>
              </w:rPr>
              <w:t>zmieniającym rozporządzenie w sprawie wymagań, jakim powinna odpowiadać ochrona wartości pieniężnych przechowywanych i transportowanych przez przedsiębiorców i inne jednostki organizacyjne</w:t>
            </w:r>
            <w:r w:rsidRPr="00956604">
              <w:rPr>
                <w:rFonts w:ascii="Times New Roman" w:eastAsia="Times New Roman" w:hAnsi="Times New Roman" w:cs="Times New Roman"/>
                <w:lang w:eastAsia="pl-PL"/>
              </w:rPr>
              <w:t xml:space="preserve">, dodano § 14a, będący przepisem epizodycznym, który zapewnia, że od 2 marca do 15 marca 2022 r. limity wartości pieniężnych, które będą mogły być transportowane do banków </w:t>
            </w:r>
            <w:r w:rsidRPr="0095660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bankomatów zostaną podwojone, odpowiednio: </w:t>
            </w:r>
          </w:p>
          <w:p w14:paraId="55ADA688" w14:textId="77777777" w:rsidR="00043D37" w:rsidRPr="00956604" w:rsidRDefault="00043D37" w:rsidP="00043D37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56604">
              <w:rPr>
                <w:rFonts w:ascii="Times New Roman" w:eastAsia="Times New Roman" w:hAnsi="Times New Roman" w:cs="Times New Roman"/>
                <w:lang w:eastAsia="pl-PL"/>
              </w:rPr>
              <w:t>1) transport bankowozami typu A będzie wymagany dla wartości pieniężnych powyżej 48 jednostek obliczeniowych;</w:t>
            </w:r>
          </w:p>
          <w:p w14:paraId="4079A0AC" w14:textId="77777777" w:rsidR="00290576" w:rsidRPr="00956604" w:rsidRDefault="00043D37" w:rsidP="00043D3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56604">
              <w:rPr>
                <w:rFonts w:ascii="Times New Roman" w:eastAsia="Times New Roman" w:hAnsi="Times New Roman" w:cs="Times New Roman"/>
                <w:lang w:eastAsia="pl-PL"/>
              </w:rPr>
              <w:t xml:space="preserve">2) transport bankowozami typu C, wyposażonymi w pojemniki specjalistyczne co najmniej klasy D, </w:t>
            </w:r>
            <w:r w:rsidRPr="0095660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będzie możliwy z udziałem nieuzbrojonego pracownika ochrony posiadającego legitymację kwalifikowanego pracownika ochrony fizycznej, bez konwojenta, dla wartości pieniężnych do 16 jednostek obliczeniowych. </w:t>
            </w:r>
          </w:p>
          <w:p w14:paraId="40467BB6" w14:textId="7ABF9D3B" w:rsidR="00613B90" w:rsidRPr="00253143" w:rsidRDefault="00363A8F" w:rsidP="00253143">
            <w:pPr>
              <w:jc w:val="both"/>
              <w:rPr>
                <w:rFonts w:ascii="Times New Roman" w:eastAsia="Calibri" w:hAnsi="Times New Roman" w:cs="Times New Roman"/>
              </w:rPr>
            </w:pPr>
            <w:r w:rsidRPr="00956604">
              <w:rPr>
                <w:rFonts w:ascii="Times New Roman" w:eastAsia="Times New Roman" w:hAnsi="Times New Roman" w:cs="Times New Roman"/>
                <w:lang w:eastAsia="pl-PL"/>
              </w:rPr>
              <w:t xml:space="preserve">Należy </w:t>
            </w:r>
            <w:r w:rsidR="00613B90">
              <w:rPr>
                <w:rFonts w:ascii="Times New Roman" w:eastAsia="Times New Roman" w:hAnsi="Times New Roman" w:cs="Times New Roman"/>
                <w:lang w:eastAsia="pl-PL"/>
              </w:rPr>
              <w:t xml:space="preserve">jednak </w:t>
            </w:r>
            <w:r w:rsidRPr="00956604">
              <w:rPr>
                <w:rFonts w:ascii="Times New Roman" w:eastAsia="Times New Roman" w:hAnsi="Times New Roman" w:cs="Times New Roman"/>
                <w:lang w:eastAsia="pl-PL"/>
              </w:rPr>
              <w:t xml:space="preserve">wskazać, że utrzymuje się wzmożone zapotrzebowanie na usługi transportu wartości pieniężnych na polskim rynku, </w:t>
            </w:r>
            <w:r w:rsidR="00613B90">
              <w:rPr>
                <w:rFonts w:ascii="Times New Roman" w:eastAsia="Times New Roman" w:hAnsi="Times New Roman" w:cs="Times New Roman"/>
                <w:lang w:eastAsia="pl-PL"/>
              </w:rPr>
              <w:t>przy jednoczesnej potrzebie</w:t>
            </w:r>
            <w:r w:rsidRPr="00956604">
              <w:rPr>
                <w:rFonts w:ascii="Times New Roman" w:eastAsia="Times New Roman" w:hAnsi="Times New Roman" w:cs="Times New Roman"/>
                <w:lang w:eastAsia="pl-PL"/>
              </w:rPr>
              <w:t xml:space="preserve"> zachowania dostępności gotówki dla społeczeństwa przez banki komercyjne. </w:t>
            </w:r>
            <w:r w:rsidR="00253143">
              <w:rPr>
                <w:rFonts w:ascii="Times New Roman" w:eastAsia="Times New Roman" w:hAnsi="Times New Roman" w:cs="Times New Roman"/>
                <w:lang w:eastAsia="pl-PL"/>
              </w:rPr>
              <w:t>Aktualna sytuacja</w:t>
            </w:r>
            <w:r w:rsidR="00253143" w:rsidRPr="0025314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53143">
              <w:rPr>
                <w:rFonts w:ascii="Times New Roman" w:eastAsia="Times New Roman" w:hAnsi="Times New Roman" w:cs="Times New Roman"/>
                <w:lang w:eastAsia="pl-PL"/>
              </w:rPr>
              <w:t xml:space="preserve">związana z napływem uchodźców </w:t>
            </w:r>
            <w:r w:rsidR="00253143" w:rsidRPr="00253143">
              <w:rPr>
                <w:rFonts w:ascii="Times New Roman" w:eastAsia="Times New Roman" w:hAnsi="Times New Roman" w:cs="Times New Roman"/>
                <w:lang w:eastAsia="pl-PL"/>
              </w:rPr>
              <w:t>wpływ</w:t>
            </w:r>
            <w:r w:rsidR="00253143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253143" w:rsidRPr="00253143">
              <w:rPr>
                <w:rFonts w:ascii="Times New Roman" w:eastAsia="Times New Roman" w:hAnsi="Times New Roman" w:cs="Times New Roman"/>
                <w:lang w:eastAsia="pl-PL"/>
              </w:rPr>
              <w:t xml:space="preserve"> ma </w:t>
            </w:r>
            <w:r w:rsidR="00253143" w:rsidRPr="00253143">
              <w:rPr>
                <w:rFonts w:ascii="Times New Roman" w:eastAsia="Calibri" w:hAnsi="Times New Roman" w:cs="Times New Roman"/>
              </w:rPr>
              <w:t xml:space="preserve">wzrost zakupu waluty przez banki komercyjne, który spowodował </w:t>
            </w:r>
            <w:r w:rsidR="00253143">
              <w:rPr>
                <w:rFonts w:ascii="Times New Roman" w:eastAsia="Calibri" w:hAnsi="Times New Roman" w:cs="Times New Roman"/>
              </w:rPr>
              <w:t xml:space="preserve">z kolei </w:t>
            </w:r>
            <w:r w:rsidR="00253143" w:rsidRPr="00253143">
              <w:rPr>
                <w:rFonts w:ascii="Times New Roman" w:eastAsia="Calibri" w:hAnsi="Times New Roman" w:cs="Times New Roman"/>
              </w:rPr>
              <w:t xml:space="preserve">zwiększone zapotrzebowanie na transporty cargo na trasie Lotnisko Okęcie – skarbce banków lub firm CIT – dotychczas 3-4 w tygodniu, do 8-10 dziennie. Dodatkowo, zawierane transakcje zakupu walut obcych przewyższają wolumenami dotychczasowe limity na transport, co oznacza, że na jednym lotniczym liście przewozowym jest więcej </w:t>
            </w:r>
            <w:r w:rsidR="00253143" w:rsidRPr="00253143">
              <w:rPr>
                <w:rFonts w:ascii="Times New Roman" w:eastAsia="Calibri" w:hAnsi="Times New Roman" w:cs="Times New Roman"/>
              </w:rPr>
              <w:lastRenderedPageBreak/>
              <w:t>gotówki do zabrania jednorazowo z lotniska niż w trybie standardowym, tym samym wymusza to konieczność podstawienia większej ilości pojazdów i załóg, które nie mogą realizować codziennych zadań.</w:t>
            </w:r>
          </w:p>
        </w:tc>
      </w:tr>
      <w:tr w:rsidR="00DD4E3B" w:rsidRPr="00DD4E3B" w14:paraId="11AE7812" w14:textId="77777777" w:rsidTr="00DD4E3B">
        <w:trPr>
          <w:gridAfter w:val="1"/>
          <w:wAfter w:w="10" w:type="dxa"/>
          <w:trHeight w:val="142"/>
        </w:trPr>
        <w:tc>
          <w:tcPr>
            <w:tcW w:w="10937" w:type="dxa"/>
            <w:gridSpan w:val="31"/>
            <w:shd w:val="clear" w:color="auto" w:fill="99CCFF"/>
            <w:vAlign w:val="center"/>
          </w:tcPr>
          <w:p w14:paraId="307EF5F5" w14:textId="77777777" w:rsidR="00DD4E3B" w:rsidRPr="00956604" w:rsidRDefault="00DD4E3B" w:rsidP="00F363F2">
            <w:pPr>
              <w:numPr>
                <w:ilvl w:val="0"/>
                <w:numId w:val="3"/>
              </w:numPr>
              <w:spacing w:after="0"/>
              <w:ind w:left="318" w:hanging="284"/>
              <w:jc w:val="both"/>
              <w:rPr>
                <w:rFonts w:ascii="Times New Roman" w:hAnsi="Times New Roman" w:cs="Times New Roman"/>
                <w:b/>
              </w:rPr>
            </w:pPr>
            <w:r w:rsidRPr="00956604">
              <w:rPr>
                <w:rFonts w:ascii="Times New Roman" w:hAnsi="Times New Roman" w:cs="Times New Roman"/>
                <w:b/>
                <w:spacing w:val="-2"/>
              </w:rPr>
              <w:lastRenderedPageBreak/>
              <w:t>Rekomendowane rozwiązanie, w tym planowane narzędzia interwencji, i oczekiwany efekt</w:t>
            </w:r>
          </w:p>
        </w:tc>
      </w:tr>
      <w:tr w:rsidR="00DD4E3B" w:rsidRPr="00DD4E3B" w14:paraId="4FFCE208" w14:textId="77777777" w:rsidTr="00DB0BD7">
        <w:trPr>
          <w:gridAfter w:val="1"/>
          <w:wAfter w:w="10" w:type="dxa"/>
          <w:trHeight w:val="557"/>
        </w:trPr>
        <w:tc>
          <w:tcPr>
            <w:tcW w:w="10937" w:type="dxa"/>
            <w:gridSpan w:val="31"/>
            <w:shd w:val="clear" w:color="auto" w:fill="auto"/>
          </w:tcPr>
          <w:p w14:paraId="1024B38C" w14:textId="3CCD63E4" w:rsidR="00FC442F" w:rsidRPr="00956604" w:rsidRDefault="001E23A4" w:rsidP="00E5552E">
            <w:pPr>
              <w:widowControl w:val="0"/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 związku z tym, iż </w:t>
            </w:r>
            <w:r w:rsidR="00253143" w:rsidRPr="00956604">
              <w:rPr>
                <w:rFonts w:ascii="Times New Roman" w:eastAsia="Times New Roman" w:hAnsi="Times New Roman" w:cs="Times New Roman"/>
                <w:lang w:eastAsia="pl-PL"/>
              </w:rPr>
              <w:t>utrzymuje się wzmożone zapotrzebowanie na usługi transportu wartości pieniężnych</w:t>
            </w:r>
            <w:r w:rsidR="00253143">
              <w:rPr>
                <w:rFonts w:ascii="Times New Roman" w:eastAsia="Times New Roman" w:hAnsi="Times New Roman" w:cs="Times New Roman"/>
                <w:lang w:eastAsia="pl-PL"/>
              </w:rPr>
              <w:t>, przy jednoczesnej potrzebie</w:t>
            </w:r>
            <w:r w:rsidR="00253143" w:rsidRPr="00956604">
              <w:rPr>
                <w:rFonts w:ascii="Times New Roman" w:eastAsia="Times New Roman" w:hAnsi="Times New Roman" w:cs="Times New Roman"/>
                <w:lang w:eastAsia="pl-PL"/>
              </w:rPr>
              <w:t xml:space="preserve"> zachowania dostępności gotówki dla społeczeństwa przez banki komercyjne</w:t>
            </w:r>
            <w:r w:rsidR="00253143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253143" w:rsidRPr="009566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43D37" w:rsidRPr="00956604">
              <w:rPr>
                <w:rFonts w:ascii="Times New Roman" w:eastAsia="Times New Roman" w:hAnsi="Times New Roman" w:cs="Times New Roman"/>
                <w:lang w:eastAsia="pl-PL"/>
              </w:rPr>
              <w:t>zachodzi potrzeba przedłużenia obowiązywania</w:t>
            </w:r>
            <w:r w:rsidR="00FC442F" w:rsidRPr="00956604">
              <w:rPr>
                <w:rFonts w:ascii="Times New Roman" w:eastAsia="Times New Roman" w:hAnsi="Times New Roman" w:cs="Times New Roman"/>
                <w:lang w:eastAsia="pl-PL"/>
              </w:rPr>
              <w:t xml:space="preserve"> podwojonych limitów wartości pieniężnych, które będą mogły być transp</w:t>
            </w:r>
            <w:r w:rsidR="00253143">
              <w:rPr>
                <w:rFonts w:ascii="Times New Roman" w:eastAsia="Times New Roman" w:hAnsi="Times New Roman" w:cs="Times New Roman"/>
                <w:lang w:eastAsia="pl-PL"/>
              </w:rPr>
              <w:t xml:space="preserve">ortowane </w:t>
            </w:r>
            <w:r w:rsidR="00C8630A">
              <w:rPr>
                <w:rFonts w:ascii="Times New Roman" w:eastAsia="Times New Roman" w:hAnsi="Times New Roman" w:cs="Times New Roman"/>
                <w:lang w:eastAsia="pl-PL"/>
              </w:rPr>
              <w:t>do banków i bankomatów. W celu realizacji tego postulatu, proponuje się</w:t>
            </w:r>
            <w:r w:rsidR="00363A8F" w:rsidRPr="00956604">
              <w:rPr>
                <w:rFonts w:ascii="Times New Roman" w:eastAsia="Times New Roman" w:hAnsi="Times New Roman" w:cs="Times New Roman"/>
                <w:lang w:eastAsia="pl-PL"/>
              </w:rPr>
              <w:t xml:space="preserve"> wprowadzenie do nowelizowanego rozporządzenia stosownego</w:t>
            </w:r>
            <w:r w:rsidR="00C8630A">
              <w:rPr>
                <w:rFonts w:ascii="Times New Roman" w:eastAsia="Times New Roman" w:hAnsi="Times New Roman" w:cs="Times New Roman"/>
                <w:lang w:eastAsia="pl-PL"/>
              </w:rPr>
              <w:t xml:space="preserve"> przepisu epizodycznego (§ 14b), który obowiązywać będzie od 16 do 31 marca 2022 r.</w:t>
            </w:r>
          </w:p>
          <w:p w14:paraId="49795D4B" w14:textId="77468369" w:rsidR="00E5552E" w:rsidRPr="00956604" w:rsidRDefault="00E5552E" w:rsidP="00E5552E">
            <w:pPr>
              <w:widowControl w:val="0"/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56604">
              <w:rPr>
                <w:rFonts w:ascii="Times New Roman" w:eastAsia="Times New Roman" w:hAnsi="Times New Roman" w:cs="Times New Roman"/>
                <w:lang w:eastAsia="pl-PL"/>
              </w:rPr>
              <w:t xml:space="preserve">W wymiarze finansowym, przy obecnej wartości jednostki obliczeniowej, zwiększy się możliwość przewozu z ok. 17 mln zł do 34 </w:t>
            </w:r>
            <w:r w:rsidR="001E23A4">
              <w:rPr>
                <w:rFonts w:ascii="Times New Roman" w:eastAsia="Times New Roman" w:hAnsi="Times New Roman" w:cs="Times New Roman"/>
                <w:lang w:eastAsia="pl-PL"/>
              </w:rPr>
              <w:t xml:space="preserve">mln zł </w:t>
            </w:r>
            <w:r w:rsidRPr="00956604">
              <w:rPr>
                <w:rFonts w:ascii="Times New Roman" w:eastAsia="Times New Roman" w:hAnsi="Times New Roman" w:cs="Times New Roman"/>
                <w:lang w:eastAsia="pl-PL"/>
              </w:rPr>
              <w:t xml:space="preserve">w przypadku bankowozów typu B oraz z ok. 5,5 mln zł do 11 mln zł w przypadku bankowozu typu C. </w:t>
            </w:r>
          </w:p>
        </w:tc>
      </w:tr>
      <w:tr w:rsidR="00DD4E3B" w:rsidRPr="00DD4E3B" w14:paraId="26617D4E" w14:textId="77777777" w:rsidTr="00DD4E3B">
        <w:trPr>
          <w:gridAfter w:val="1"/>
          <w:wAfter w:w="10" w:type="dxa"/>
          <w:trHeight w:val="307"/>
        </w:trPr>
        <w:tc>
          <w:tcPr>
            <w:tcW w:w="10937" w:type="dxa"/>
            <w:gridSpan w:val="31"/>
            <w:shd w:val="clear" w:color="auto" w:fill="99CCFF"/>
            <w:vAlign w:val="center"/>
          </w:tcPr>
          <w:p w14:paraId="33783A4D" w14:textId="77777777" w:rsidR="00DD4E3B" w:rsidRPr="00C023A8" w:rsidRDefault="00DD4E3B" w:rsidP="00F363F2">
            <w:pPr>
              <w:numPr>
                <w:ilvl w:val="0"/>
                <w:numId w:val="3"/>
              </w:numPr>
              <w:spacing w:after="0"/>
              <w:ind w:left="318" w:hanging="284"/>
              <w:jc w:val="both"/>
              <w:rPr>
                <w:rFonts w:ascii="Times New Roman" w:hAnsi="Times New Roman" w:cs="Times New Roman"/>
                <w:b/>
              </w:rPr>
            </w:pPr>
            <w:r w:rsidRPr="00C023A8">
              <w:rPr>
                <w:rFonts w:ascii="Times New Roman" w:hAnsi="Times New Roman" w:cs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C023A8">
              <w:rPr>
                <w:rFonts w:ascii="Times New Roman" w:hAnsi="Times New Roman" w:cs="Times New Roman"/>
                <w:b/>
              </w:rPr>
              <w:t>?</w:t>
            </w:r>
          </w:p>
        </w:tc>
      </w:tr>
      <w:tr w:rsidR="00DD4E3B" w:rsidRPr="00DD4E3B" w14:paraId="5E5E5CF0" w14:textId="77777777" w:rsidTr="00DD4E3B">
        <w:trPr>
          <w:gridAfter w:val="1"/>
          <w:wAfter w:w="10" w:type="dxa"/>
          <w:trHeight w:val="142"/>
        </w:trPr>
        <w:tc>
          <w:tcPr>
            <w:tcW w:w="10937" w:type="dxa"/>
            <w:gridSpan w:val="31"/>
            <w:shd w:val="clear" w:color="auto" w:fill="auto"/>
          </w:tcPr>
          <w:p w14:paraId="7605FA40" w14:textId="163D85E2" w:rsidR="008C6643" w:rsidRPr="00C023A8" w:rsidRDefault="00DD4E3B" w:rsidP="00E22E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 xml:space="preserve">Z uwagi na charakter proponowanych zmian odstąpiono od analizy prawno-porównawczej regulacji. </w:t>
            </w:r>
          </w:p>
        </w:tc>
      </w:tr>
      <w:tr w:rsidR="00DD4E3B" w:rsidRPr="00DD4E3B" w14:paraId="236CE937" w14:textId="77777777" w:rsidTr="00DD4E3B">
        <w:trPr>
          <w:gridAfter w:val="1"/>
          <w:wAfter w:w="10" w:type="dxa"/>
          <w:trHeight w:val="359"/>
        </w:trPr>
        <w:tc>
          <w:tcPr>
            <w:tcW w:w="10937" w:type="dxa"/>
            <w:gridSpan w:val="31"/>
            <w:shd w:val="clear" w:color="auto" w:fill="99CCFF"/>
            <w:vAlign w:val="center"/>
          </w:tcPr>
          <w:p w14:paraId="65204E68" w14:textId="77777777" w:rsidR="00DD4E3B" w:rsidRPr="00C023A8" w:rsidRDefault="00DD4E3B" w:rsidP="00F363F2">
            <w:pPr>
              <w:numPr>
                <w:ilvl w:val="0"/>
                <w:numId w:val="3"/>
              </w:numPr>
              <w:spacing w:after="0"/>
              <w:ind w:left="318" w:hanging="284"/>
              <w:jc w:val="both"/>
              <w:rPr>
                <w:rFonts w:ascii="Times New Roman" w:hAnsi="Times New Roman" w:cs="Times New Roman"/>
                <w:b/>
              </w:rPr>
            </w:pPr>
            <w:r w:rsidRPr="00C023A8">
              <w:rPr>
                <w:rFonts w:ascii="Times New Roman" w:hAnsi="Times New Roman" w:cs="Times New Roman"/>
                <w:b/>
              </w:rPr>
              <w:t>Podmioty, na które oddziałuje projekt</w:t>
            </w:r>
          </w:p>
        </w:tc>
      </w:tr>
      <w:tr w:rsidR="00DD4E3B" w:rsidRPr="00DD4E3B" w14:paraId="10FFD1EB" w14:textId="77777777" w:rsidTr="00AF261E">
        <w:trPr>
          <w:gridAfter w:val="1"/>
          <w:wAfter w:w="10" w:type="dxa"/>
          <w:trHeight w:val="142"/>
        </w:trPr>
        <w:tc>
          <w:tcPr>
            <w:tcW w:w="2405" w:type="dxa"/>
            <w:gridSpan w:val="3"/>
            <w:shd w:val="clear" w:color="auto" w:fill="auto"/>
          </w:tcPr>
          <w:p w14:paraId="243B9901" w14:textId="77777777" w:rsidR="00DD4E3B" w:rsidRPr="00C023A8" w:rsidRDefault="00DD4E3B" w:rsidP="00AF261E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C023A8">
              <w:rPr>
                <w:rFonts w:ascii="Times New Roman" w:hAnsi="Times New Roman" w:cs="Times New Roman"/>
                <w:spacing w:val="-2"/>
              </w:rPr>
              <w:t>Grupa</w:t>
            </w:r>
          </w:p>
        </w:tc>
        <w:tc>
          <w:tcPr>
            <w:tcW w:w="2381" w:type="dxa"/>
            <w:gridSpan w:val="8"/>
            <w:shd w:val="clear" w:color="auto" w:fill="auto"/>
          </w:tcPr>
          <w:p w14:paraId="1D6993C8" w14:textId="77777777" w:rsidR="00DD4E3B" w:rsidRPr="00C023A8" w:rsidRDefault="00DD4E3B" w:rsidP="00AF261E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C023A8">
              <w:rPr>
                <w:rFonts w:ascii="Times New Roman" w:hAnsi="Times New Roman" w:cs="Times New Roman"/>
                <w:spacing w:val="-2"/>
              </w:rPr>
              <w:t>Wielkość</w:t>
            </w:r>
          </w:p>
        </w:tc>
        <w:tc>
          <w:tcPr>
            <w:tcW w:w="2580" w:type="dxa"/>
            <w:gridSpan w:val="12"/>
            <w:shd w:val="clear" w:color="auto" w:fill="auto"/>
          </w:tcPr>
          <w:p w14:paraId="76572004" w14:textId="77777777" w:rsidR="00DD4E3B" w:rsidRPr="00C023A8" w:rsidRDefault="00DD4E3B" w:rsidP="00AF261E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C023A8">
              <w:rPr>
                <w:rFonts w:ascii="Times New Roman" w:hAnsi="Times New Roman" w:cs="Times New Roman"/>
                <w:spacing w:val="-2"/>
              </w:rPr>
              <w:t>Źródło danych</w:t>
            </w:r>
          </w:p>
        </w:tc>
        <w:tc>
          <w:tcPr>
            <w:tcW w:w="3571" w:type="dxa"/>
            <w:gridSpan w:val="8"/>
            <w:shd w:val="clear" w:color="auto" w:fill="auto"/>
          </w:tcPr>
          <w:p w14:paraId="07743AC8" w14:textId="77777777" w:rsidR="00DD4E3B" w:rsidRPr="00C023A8" w:rsidRDefault="00DD4E3B" w:rsidP="00AF261E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C023A8">
              <w:rPr>
                <w:rFonts w:ascii="Times New Roman" w:hAnsi="Times New Roman" w:cs="Times New Roman"/>
                <w:spacing w:val="-2"/>
              </w:rPr>
              <w:t>Oddziaływanie</w:t>
            </w:r>
          </w:p>
        </w:tc>
      </w:tr>
      <w:tr w:rsidR="00DD4E3B" w:rsidRPr="00DD4E3B" w14:paraId="6C586257" w14:textId="77777777" w:rsidTr="00AF261E">
        <w:trPr>
          <w:gridAfter w:val="1"/>
          <w:wAfter w:w="10" w:type="dxa"/>
          <w:trHeight w:val="142"/>
        </w:trPr>
        <w:tc>
          <w:tcPr>
            <w:tcW w:w="2405" w:type="dxa"/>
            <w:gridSpan w:val="3"/>
            <w:shd w:val="clear" w:color="auto" w:fill="auto"/>
          </w:tcPr>
          <w:p w14:paraId="4124CDE2" w14:textId="77777777" w:rsidR="00DD4E3B" w:rsidRPr="00C023A8" w:rsidRDefault="00C73E63" w:rsidP="00D97112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C023A8">
              <w:rPr>
                <w:rFonts w:ascii="Times New Roman" w:hAnsi="Times New Roman" w:cs="Times New Roman"/>
              </w:rPr>
              <w:t>Banki i</w:t>
            </w:r>
            <w:r w:rsidR="00051025" w:rsidRPr="00C023A8">
              <w:rPr>
                <w:rFonts w:ascii="Times New Roman" w:hAnsi="Times New Roman" w:cs="Times New Roman"/>
              </w:rPr>
              <w:t xml:space="preserve"> </w:t>
            </w:r>
            <w:r w:rsidR="00F545AA" w:rsidRPr="00C023A8">
              <w:rPr>
                <w:rFonts w:ascii="Times New Roman" w:hAnsi="Times New Roman" w:cs="Times New Roman"/>
              </w:rPr>
              <w:t xml:space="preserve">pozabankowi </w:t>
            </w:r>
            <w:r w:rsidR="003E71F7" w:rsidRPr="00C023A8">
              <w:rPr>
                <w:rFonts w:ascii="Times New Roman" w:hAnsi="Times New Roman" w:cs="Times New Roman"/>
              </w:rPr>
              <w:t>operatorzy bankomatów</w:t>
            </w:r>
          </w:p>
        </w:tc>
        <w:tc>
          <w:tcPr>
            <w:tcW w:w="2381" w:type="dxa"/>
            <w:gridSpan w:val="8"/>
            <w:shd w:val="clear" w:color="auto" w:fill="auto"/>
          </w:tcPr>
          <w:p w14:paraId="2C6F37CC" w14:textId="011A85F5" w:rsidR="00800FD3" w:rsidRPr="00C023A8" w:rsidRDefault="007A5069" w:rsidP="00D97112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12</w:t>
            </w:r>
            <w:r w:rsidR="002942D3">
              <w:rPr>
                <w:rFonts w:ascii="Times New Roman" w:hAnsi="Times New Roman" w:cs="Times New Roman"/>
                <w:spacing w:val="-2"/>
              </w:rPr>
              <w:t xml:space="preserve"> – w tym jako jednego operatora wskazano stowarzyszone banki spółdzielcze </w:t>
            </w:r>
          </w:p>
        </w:tc>
        <w:tc>
          <w:tcPr>
            <w:tcW w:w="2580" w:type="dxa"/>
            <w:gridSpan w:val="12"/>
            <w:shd w:val="clear" w:color="auto" w:fill="auto"/>
          </w:tcPr>
          <w:p w14:paraId="41BC4FDF" w14:textId="77777777" w:rsidR="00DD4E3B" w:rsidRPr="00C023A8" w:rsidRDefault="007A5069" w:rsidP="00AF261E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KGP</w:t>
            </w:r>
          </w:p>
        </w:tc>
        <w:tc>
          <w:tcPr>
            <w:tcW w:w="3571" w:type="dxa"/>
            <w:gridSpan w:val="8"/>
            <w:shd w:val="clear" w:color="auto" w:fill="auto"/>
          </w:tcPr>
          <w:p w14:paraId="7050F1C7" w14:textId="6E694841" w:rsidR="002A5404" w:rsidRPr="00C023A8" w:rsidRDefault="008E35B1" w:rsidP="00AF261E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  <w:r>
              <w:rPr>
                <w:rFonts w:ascii="Times New Roman" w:hAnsi="Times New Roman" w:cs="Times New Roman"/>
                <w:bCs/>
                <w:kern w:val="36"/>
              </w:rPr>
              <w:t>Zwiększenie limitu przewożonej gotówki</w:t>
            </w:r>
          </w:p>
        </w:tc>
      </w:tr>
      <w:tr w:rsidR="00DD4E3B" w:rsidRPr="00DD4E3B" w14:paraId="3881A1F3" w14:textId="77777777" w:rsidTr="00DD4E3B">
        <w:trPr>
          <w:gridAfter w:val="1"/>
          <w:wAfter w:w="10" w:type="dxa"/>
          <w:trHeight w:val="302"/>
        </w:trPr>
        <w:tc>
          <w:tcPr>
            <w:tcW w:w="10937" w:type="dxa"/>
            <w:gridSpan w:val="31"/>
            <w:shd w:val="clear" w:color="auto" w:fill="99CCFF"/>
            <w:vAlign w:val="center"/>
          </w:tcPr>
          <w:p w14:paraId="3F298FE2" w14:textId="77777777" w:rsidR="00DD4E3B" w:rsidRPr="00C023A8" w:rsidRDefault="00DD4E3B" w:rsidP="00F363F2">
            <w:pPr>
              <w:numPr>
                <w:ilvl w:val="0"/>
                <w:numId w:val="3"/>
              </w:numPr>
              <w:spacing w:after="0"/>
              <w:ind w:left="318" w:hanging="284"/>
              <w:jc w:val="both"/>
              <w:rPr>
                <w:rFonts w:ascii="Times New Roman" w:hAnsi="Times New Roman" w:cs="Times New Roman"/>
                <w:b/>
              </w:rPr>
            </w:pPr>
            <w:r w:rsidRPr="00C023A8">
              <w:rPr>
                <w:rFonts w:ascii="Times New Roman" w:hAnsi="Times New Roman" w:cs="Times New Roman"/>
                <w:b/>
              </w:rPr>
              <w:t>Informacje na temat zakresu, czasu trwania i podsumowanie wyników konsultacji</w:t>
            </w:r>
          </w:p>
        </w:tc>
      </w:tr>
      <w:tr w:rsidR="00DD4E3B" w:rsidRPr="00DD4E3B" w14:paraId="57CED558" w14:textId="77777777" w:rsidTr="00DD4E3B">
        <w:trPr>
          <w:gridAfter w:val="1"/>
          <w:wAfter w:w="10" w:type="dxa"/>
          <w:trHeight w:val="342"/>
        </w:trPr>
        <w:tc>
          <w:tcPr>
            <w:tcW w:w="10937" w:type="dxa"/>
            <w:gridSpan w:val="31"/>
            <w:shd w:val="clear" w:color="auto" w:fill="FFFFFF"/>
          </w:tcPr>
          <w:p w14:paraId="76B8AE83" w14:textId="5082B4D9" w:rsidR="009A2A4B" w:rsidRDefault="009A2A4B" w:rsidP="009A2A4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bookmarkStart w:id="4" w:name="_Hlk90550965"/>
            <w:r w:rsidRPr="009A2A4B">
              <w:rPr>
                <w:rFonts w:ascii="Times New Roman" w:eastAsia="Calibri" w:hAnsi="Times New Roman" w:cs="Times New Roman"/>
              </w:rPr>
              <w:t xml:space="preserve">Projekt rozporządzenia stosownie do wymogów art. 5 ustawy z dnia 7 lipca 2005 r. </w:t>
            </w:r>
            <w:r w:rsidRPr="009A2A4B">
              <w:rPr>
                <w:rFonts w:ascii="Times New Roman" w:eastAsia="Calibri" w:hAnsi="Times New Roman" w:cs="Times New Roman"/>
                <w:i/>
              </w:rPr>
              <w:t xml:space="preserve">o działalności lobbingowej </w:t>
            </w:r>
            <w:r w:rsidRPr="009A2A4B">
              <w:rPr>
                <w:rFonts w:ascii="Times New Roman" w:eastAsia="Calibri" w:hAnsi="Times New Roman" w:cs="Times New Roman"/>
                <w:i/>
              </w:rPr>
              <w:br/>
              <w:t>w procesie stanowienia prawa</w:t>
            </w:r>
            <w:r w:rsidRPr="009A2A4B">
              <w:rPr>
                <w:rFonts w:ascii="Times New Roman" w:eastAsia="Calibri" w:hAnsi="Times New Roman" w:cs="Times New Roman"/>
              </w:rPr>
              <w:t xml:space="preserve"> (Dz. U. z 2017 r. poz. 248) oraz zgodnie z § 52 ust. 1 uchwały nr 190 Rady Ministrów </w:t>
            </w:r>
            <w:r w:rsidRPr="009A2A4B">
              <w:rPr>
                <w:rFonts w:ascii="Times New Roman" w:eastAsia="Calibri" w:hAnsi="Times New Roman" w:cs="Times New Roman"/>
              </w:rPr>
              <w:br/>
              <w:t xml:space="preserve">z dnia 29 października 2013 r. – </w:t>
            </w:r>
            <w:r w:rsidRPr="009A2A4B">
              <w:rPr>
                <w:rFonts w:ascii="Times New Roman" w:eastAsia="Calibri" w:hAnsi="Times New Roman" w:cs="Times New Roman"/>
                <w:i/>
              </w:rPr>
              <w:t>Regulamin pracy Rady Ministrów</w:t>
            </w:r>
            <w:r w:rsidRPr="009A2A4B">
              <w:rPr>
                <w:rFonts w:ascii="Times New Roman" w:eastAsia="Calibri" w:hAnsi="Times New Roman" w:cs="Times New Roman"/>
              </w:rPr>
              <w:t xml:space="preserve"> (M.P. z 2016 r. </w:t>
            </w:r>
            <w:r w:rsidR="001E23A4">
              <w:rPr>
                <w:rFonts w:ascii="Times New Roman" w:eastAsia="Calibri" w:hAnsi="Times New Roman" w:cs="Times New Roman"/>
              </w:rPr>
              <w:t>poz. 1006, z późn. zm.) został</w:t>
            </w:r>
            <w:r w:rsidRPr="009A2A4B">
              <w:rPr>
                <w:rFonts w:ascii="Times New Roman" w:eastAsia="Calibri" w:hAnsi="Times New Roman" w:cs="Times New Roman"/>
              </w:rPr>
              <w:t xml:space="preserve"> zamieszczony w Biuletynie Informacji Publicznej na stronie podmiotowej Rządowego Centrum Legislacji, w serwisie Rządowy Proces Legislacyjny.</w:t>
            </w:r>
          </w:p>
          <w:p w14:paraId="46816D3B" w14:textId="260BDEB0" w:rsidR="009A2A4B" w:rsidRPr="00956604" w:rsidRDefault="009A2A4B" w:rsidP="009A2A4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A2A4B">
              <w:rPr>
                <w:rFonts w:ascii="Times New Roman" w:eastAsia="Calibri" w:hAnsi="Times New Roman" w:cs="Times New Roman"/>
              </w:rPr>
              <w:t xml:space="preserve">Projektowane regulacje nie spowodują skutków dla budżetów jednostek samorządu terytorialnego, tym samym projekt nie wymaga </w:t>
            </w:r>
            <w:r w:rsidRPr="00956604">
              <w:rPr>
                <w:rFonts w:ascii="Times New Roman" w:eastAsia="Calibri" w:hAnsi="Times New Roman" w:cs="Times New Roman"/>
              </w:rPr>
              <w:t>konsultacji z Komisją Wspólną Rządu i Samorządu Terytorialnego.</w:t>
            </w:r>
            <w:bookmarkEnd w:id="4"/>
          </w:p>
          <w:p w14:paraId="6163EE10" w14:textId="5D49942B" w:rsidR="000E49E4" w:rsidRPr="00956604" w:rsidRDefault="000E49E4" w:rsidP="009A2A4B">
            <w:pPr>
              <w:spacing w:after="0"/>
              <w:ind w:left="28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56604">
              <w:rPr>
                <w:rFonts w:ascii="Times New Roman" w:hAnsi="Times New Roman"/>
                <w:spacing w:val="-2"/>
              </w:rPr>
              <w:t xml:space="preserve">Projekt realizuje postulat </w:t>
            </w:r>
            <w:r w:rsidR="00956604" w:rsidRPr="00956604">
              <w:rPr>
                <w:rFonts w:ascii="Times New Roman" w:hAnsi="Times New Roman"/>
                <w:spacing w:val="-2"/>
              </w:rPr>
              <w:t>Urzędu Komisji Nadzoru Finansowego</w:t>
            </w:r>
            <w:r w:rsidR="00152B32" w:rsidRPr="00956604">
              <w:rPr>
                <w:rFonts w:ascii="Times New Roman" w:hAnsi="Times New Roman"/>
                <w:spacing w:val="-2"/>
              </w:rPr>
              <w:t>,</w:t>
            </w:r>
            <w:r w:rsidR="0059222B" w:rsidRPr="00956604">
              <w:rPr>
                <w:rFonts w:ascii="Times New Roman" w:hAnsi="Times New Roman"/>
                <w:spacing w:val="-2"/>
              </w:rPr>
              <w:t xml:space="preserve"> </w:t>
            </w:r>
            <w:r w:rsidRPr="00956604">
              <w:rPr>
                <w:rFonts w:ascii="Times New Roman" w:hAnsi="Times New Roman"/>
              </w:rPr>
              <w:t>któr</w:t>
            </w:r>
            <w:r w:rsidR="00152B32" w:rsidRPr="00956604">
              <w:rPr>
                <w:rFonts w:ascii="Times New Roman" w:hAnsi="Times New Roman"/>
              </w:rPr>
              <w:t>y zwrócił się</w:t>
            </w:r>
            <w:r w:rsidRPr="00956604">
              <w:rPr>
                <w:rFonts w:ascii="Times New Roman" w:hAnsi="Times New Roman"/>
              </w:rPr>
              <w:t xml:space="preserve"> do Ministra Spraw Wewnętrznych </w:t>
            </w:r>
            <w:r w:rsidR="00D97112" w:rsidRPr="00956604">
              <w:rPr>
                <w:rFonts w:ascii="Times New Roman" w:hAnsi="Times New Roman"/>
              </w:rPr>
              <w:br/>
            </w:r>
            <w:r w:rsidRPr="00956604">
              <w:rPr>
                <w:rFonts w:ascii="Times New Roman" w:hAnsi="Times New Roman"/>
              </w:rPr>
              <w:t xml:space="preserve">i Administracji o </w:t>
            </w:r>
            <w:r w:rsidR="00152B32" w:rsidRPr="00956604">
              <w:rPr>
                <w:rFonts w:ascii="Times New Roman" w:hAnsi="Times New Roman"/>
              </w:rPr>
              <w:t xml:space="preserve">dokonanie stosownej interwencji legislacyjnej. Proponowane rozwiązanie jest również zgodne </w:t>
            </w:r>
            <w:r w:rsidR="00D97112" w:rsidRPr="00956604">
              <w:rPr>
                <w:rFonts w:ascii="Times New Roman" w:hAnsi="Times New Roman"/>
              </w:rPr>
              <w:br/>
            </w:r>
            <w:r w:rsidR="00152B32" w:rsidRPr="00956604">
              <w:rPr>
                <w:rFonts w:ascii="Times New Roman" w:hAnsi="Times New Roman"/>
              </w:rPr>
              <w:t>z oczekiwaniami pozostałych przedstawicieli rynku obrotu gotówkowego, w tym</w:t>
            </w:r>
            <w:r w:rsidR="00152B32" w:rsidRPr="00956604">
              <w:t xml:space="preserve"> </w:t>
            </w:r>
            <w:r w:rsidR="00152B32" w:rsidRPr="00956604">
              <w:rPr>
                <w:rFonts w:ascii="Times New Roman" w:hAnsi="Times New Roman"/>
              </w:rPr>
              <w:t xml:space="preserve">banków i firm CIT zaopatrujących oddziały banków i bankomatów w gotówkę. </w:t>
            </w:r>
            <w:r w:rsidR="003A1817" w:rsidRPr="00956604">
              <w:rPr>
                <w:rFonts w:ascii="Times New Roman" w:hAnsi="Times New Roman"/>
              </w:rPr>
              <w:t xml:space="preserve">Mając powyższe na uwadze oraz biorąc </w:t>
            </w:r>
            <w:r w:rsidRPr="00956604">
              <w:rPr>
                <w:rFonts w:ascii="Times New Roman" w:eastAsia="Times New Roman" w:hAnsi="Times New Roman"/>
                <w:lang w:eastAsia="pl-PL"/>
              </w:rPr>
              <w:t xml:space="preserve">pod uwagę pilną potrzebę nowelizacji odstąpiono od kierowania </w:t>
            </w:r>
            <w:r w:rsidR="00D97112" w:rsidRPr="00956604">
              <w:rPr>
                <w:rFonts w:ascii="Times New Roman" w:eastAsia="Times New Roman" w:hAnsi="Times New Roman"/>
                <w:lang w:eastAsia="pl-PL"/>
              </w:rPr>
              <w:t>projektu</w:t>
            </w:r>
            <w:r w:rsidRPr="00956604">
              <w:rPr>
                <w:rFonts w:ascii="Times New Roman" w:eastAsia="Times New Roman" w:hAnsi="Times New Roman"/>
                <w:lang w:eastAsia="pl-PL"/>
              </w:rPr>
              <w:t xml:space="preserve"> do szerszych konsultacji publicznych </w:t>
            </w:r>
            <w:r w:rsidR="00381072" w:rsidRPr="00956604">
              <w:rPr>
                <w:rFonts w:ascii="Times New Roman" w:eastAsia="Times New Roman" w:hAnsi="Times New Roman"/>
                <w:lang w:eastAsia="pl-PL"/>
              </w:rPr>
              <w:t>z</w:t>
            </w:r>
            <w:r w:rsidRPr="00956604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381072" w:rsidRPr="00956604">
              <w:rPr>
                <w:rFonts w:ascii="Times New Roman" w:eastAsia="Times New Roman" w:hAnsi="Times New Roman"/>
                <w:lang w:eastAsia="pl-PL"/>
              </w:rPr>
              <w:t>przedstawic</w:t>
            </w:r>
            <w:r w:rsidR="004C15C7" w:rsidRPr="00956604">
              <w:rPr>
                <w:rFonts w:ascii="Times New Roman" w:eastAsia="Times New Roman" w:hAnsi="Times New Roman"/>
                <w:lang w:eastAsia="pl-PL"/>
              </w:rPr>
              <w:t>ielami rynku obrotu gotówkowego.</w:t>
            </w:r>
          </w:p>
          <w:p w14:paraId="4132E02C" w14:textId="6E742634" w:rsidR="00D040B7" w:rsidRPr="00D97112" w:rsidRDefault="004C15C7" w:rsidP="009A2A4B">
            <w:pPr>
              <w:spacing w:after="0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6604">
              <w:rPr>
                <w:rFonts w:ascii="Times New Roman" w:hAnsi="Times New Roman" w:cs="Times New Roman"/>
              </w:rPr>
              <w:t>Jednocześnie</w:t>
            </w:r>
            <w:r w:rsidR="00D97112" w:rsidRPr="00956604">
              <w:rPr>
                <w:rFonts w:ascii="Times New Roman" w:hAnsi="Times New Roman" w:cs="Times New Roman"/>
              </w:rPr>
              <w:t>,</w:t>
            </w:r>
            <w:r w:rsidRPr="00956604">
              <w:rPr>
                <w:rFonts w:ascii="Times New Roman" w:hAnsi="Times New Roman" w:cs="Times New Roman"/>
              </w:rPr>
              <w:t xml:space="preserve"> mając na uwadze konieczność niezwłocznego </w:t>
            </w:r>
            <w:r w:rsidRPr="00D97112">
              <w:rPr>
                <w:rFonts w:ascii="Times New Roman" w:hAnsi="Times New Roman" w:cs="Times New Roman"/>
              </w:rPr>
              <w:t xml:space="preserve">wydania aktu prawnego w związku z zaistnieniem nieprzewidzianych okoliczności odnoszących się do ochrony bezpieczeństwa i spójności systemu finansowego, </w:t>
            </w:r>
            <w:r w:rsidR="00D97112" w:rsidRPr="00D97112">
              <w:rPr>
                <w:rFonts w:ascii="Times New Roman" w:hAnsi="Times New Roman" w:cs="Times New Roman"/>
              </w:rPr>
              <w:t>odstąpiono</w:t>
            </w:r>
            <w:r w:rsidRPr="00D97112">
              <w:rPr>
                <w:rFonts w:ascii="Times New Roman" w:hAnsi="Times New Roman" w:cs="Times New Roman"/>
              </w:rPr>
              <w:t xml:space="preserve"> od procedury notyfikacji określonej w przepisach rozporządzenia Rady Ministrów z dnia 23 grudnia 2002 r. w sprawie sposobu funkcjonowania krajowego systemu notyfikacji norm i aktów prawnych (Dz. U. poz. 2039 oraz z 2004 r. poz. 597)</w:t>
            </w:r>
            <w:r w:rsidR="00D97112" w:rsidRPr="00D97112">
              <w:rPr>
                <w:rFonts w:ascii="Times New Roman" w:hAnsi="Times New Roman" w:cs="Times New Roman"/>
              </w:rPr>
              <w:t>,</w:t>
            </w:r>
            <w:r w:rsidRPr="00D97112">
              <w:rPr>
                <w:rFonts w:ascii="Times New Roman" w:hAnsi="Times New Roman" w:cs="Times New Roman"/>
              </w:rPr>
              <w:t xml:space="preserve"> zgodnie z brzmieniem § 10a ww. rozporządzenia.</w:t>
            </w:r>
          </w:p>
        </w:tc>
      </w:tr>
      <w:tr w:rsidR="00DD4E3B" w:rsidRPr="00DD4E3B" w14:paraId="627A8367" w14:textId="77777777" w:rsidTr="00DD4E3B">
        <w:trPr>
          <w:gridAfter w:val="1"/>
          <w:wAfter w:w="10" w:type="dxa"/>
          <w:trHeight w:val="363"/>
        </w:trPr>
        <w:tc>
          <w:tcPr>
            <w:tcW w:w="10937" w:type="dxa"/>
            <w:gridSpan w:val="31"/>
            <w:shd w:val="clear" w:color="auto" w:fill="99CCFF"/>
            <w:vAlign w:val="center"/>
          </w:tcPr>
          <w:p w14:paraId="34DB773F" w14:textId="77777777" w:rsidR="00DD4E3B" w:rsidRPr="00C023A8" w:rsidRDefault="00DD4E3B" w:rsidP="009A2A4B">
            <w:pPr>
              <w:numPr>
                <w:ilvl w:val="0"/>
                <w:numId w:val="3"/>
              </w:numPr>
              <w:spacing w:after="0"/>
              <w:ind w:left="318" w:hanging="284"/>
              <w:jc w:val="both"/>
              <w:rPr>
                <w:rFonts w:ascii="Times New Roman" w:hAnsi="Times New Roman" w:cs="Times New Roman"/>
                <w:b/>
              </w:rPr>
            </w:pPr>
            <w:r w:rsidRPr="00C023A8">
              <w:rPr>
                <w:rFonts w:ascii="Times New Roman" w:hAnsi="Times New Roman" w:cs="Times New Roman"/>
                <w:b/>
              </w:rPr>
              <w:t xml:space="preserve"> Wpływ na sektor finansów publicznych</w:t>
            </w:r>
          </w:p>
        </w:tc>
      </w:tr>
      <w:tr w:rsidR="00DD4E3B" w:rsidRPr="00DD4E3B" w14:paraId="051B71F3" w14:textId="77777777" w:rsidTr="00DD4E3B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110FE641" w14:textId="77777777" w:rsidR="00DD4E3B" w:rsidRPr="00C023A8" w:rsidRDefault="00DD4E3B" w:rsidP="00F363F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023A8">
              <w:rPr>
                <w:rFonts w:ascii="Times New Roman" w:hAnsi="Times New Roman" w:cs="Times New Roman"/>
              </w:rPr>
              <w:t>(ceny stałe z …… r.)</w:t>
            </w:r>
          </w:p>
        </w:tc>
        <w:tc>
          <w:tcPr>
            <w:tcW w:w="7804" w:type="dxa"/>
            <w:gridSpan w:val="27"/>
            <w:shd w:val="clear" w:color="auto" w:fill="FFFFFF"/>
          </w:tcPr>
          <w:p w14:paraId="2A010B4E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  <w:i/>
                <w:spacing w:val="-2"/>
              </w:rPr>
            </w:pPr>
            <w:r w:rsidRPr="00C023A8">
              <w:rPr>
                <w:rFonts w:ascii="Times New Roman" w:hAnsi="Times New Roman" w:cs="Times New Roman"/>
              </w:rPr>
              <w:t>Skutki w okresie 10 lat od wejścia w życie zmian [mln zł]</w:t>
            </w:r>
          </w:p>
        </w:tc>
      </w:tr>
      <w:tr w:rsidR="00DD4E3B" w:rsidRPr="00DD4E3B" w14:paraId="2149D389" w14:textId="77777777" w:rsidTr="00DD4E3B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08EF3D1D" w14:textId="77777777" w:rsidR="00DD4E3B" w:rsidRPr="00C023A8" w:rsidRDefault="00DD4E3B" w:rsidP="00F363F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D084019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08FF2A0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4D5B9B0C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E57FAAB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0384DC3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2B0BEAF0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340BC67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65886C45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" w:type="dxa"/>
            <w:shd w:val="clear" w:color="auto" w:fill="FFFFFF"/>
          </w:tcPr>
          <w:p w14:paraId="3DAE7D64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A0D4C81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1B3CCF47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06E8852D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pacing w:val="-2"/>
              </w:rPr>
            </w:pPr>
            <w:r w:rsidRPr="00C023A8">
              <w:rPr>
                <w:rFonts w:ascii="Times New Roman" w:hAnsi="Times New Roman" w:cs="Times New Roman"/>
                <w:i/>
                <w:spacing w:val="-2"/>
              </w:rPr>
              <w:t>Łącznie (0-10)</w:t>
            </w:r>
          </w:p>
        </w:tc>
      </w:tr>
      <w:tr w:rsidR="00DD4E3B" w:rsidRPr="00DD4E3B" w14:paraId="6F348C96" w14:textId="77777777" w:rsidTr="00DD4E3B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844ED7C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  <w:b/>
              </w:rPr>
              <w:t>Dochody ogółem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7578928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35BEEF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4CEADD52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9396E6D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B4E2B0E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0D6A1A9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504A79D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3E9EF5FF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35007CF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04877AC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723FBD7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A8158B3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C023A8">
              <w:rPr>
                <w:rFonts w:ascii="Times New Roman" w:hAnsi="Times New Roman" w:cs="Times New Roman"/>
                <w:spacing w:val="-2"/>
              </w:rPr>
              <w:t>-</w:t>
            </w:r>
          </w:p>
        </w:tc>
      </w:tr>
      <w:tr w:rsidR="00DD4E3B" w:rsidRPr="00DD4E3B" w14:paraId="1A5715CE" w14:textId="77777777" w:rsidTr="00DD4E3B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E025439" w14:textId="77777777" w:rsidR="00DD4E3B" w:rsidRPr="00C023A8" w:rsidRDefault="00DD4E3B" w:rsidP="00F363F2">
            <w:pPr>
              <w:spacing w:after="0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budżet państwa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A65E0C1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16C21FB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6C607A2A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C3B913F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43FFE9F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617E058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D066DDB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1AB134E4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B46C980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5ACEF99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670679E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1440A97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C023A8">
              <w:rPr>
                <w:rFonts w:ascii="Times New Roman" w:hAnsi="Times New Roman" w:cs="Times New Roman"/>
                <w:spacing w:val="-2"/>
              </w:rPr>
              <w:t>-</w:t>
            </w:r>
          </w:p>
        </w:tc>
      </w:tr>
      <w:tr w:rsidR="00DD4E3B" w:rsidRPr="00DD4E3B" w14:paraId="2BD2E879" w14:textId="77777777" w:rsidTr="00DD4E3B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9EC363D" w14:textId="77777777" w:rsidR="00DD4E3B" w:rsidRPr="00C023A8" w:rsidRDefault="00DD4E3B" w:rsidP="00F363F2">
            <w:pPr>
              <w:spacing w:after="0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JST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5E970B2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795086C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6B70F411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7503266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AAA6792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65410D3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2163EC1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4A722C42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918B805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4585BB3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CC2D199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8EF9FD1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</w:tr>
      <w:tr w:rsidR="00DD4E3B" w:rsidRPr="00DD4E3B" w14:paraId="0A870B93" w14:textId="77777777" w:rsidTr="00DD4E3B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52D31BD" w14:textId="77777777" w:rsidR="00DD4E3B" w:rsidRPr="00C023A8" w:rsidRDefault="00DD4E3B" w:rsidP="00F363F2">
            <w:pPr>
              <w:spacing w:after="0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pozostałe jednostki (oddzielnie)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1D9F9F3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256B465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33536DB8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2A4FC52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708C6A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EC781F2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6D0E6AC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072E3273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25210B7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157F307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613365F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A19CAD4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</w:tr>
      <w:tr w:rsidR="00DD4E3B" w:rsidRPr="00DD4E3B" w14:paraId="437DB6D7" w14:textId="77777777" w:rsidTr="00DD4E3B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9D3B0BC" w14:textId="77777777" w:rsidR="00DD4E3B" w:rsidRPr="00C023A8" w:rsidRDefault="00DD4E3B" w:rsidP="00F363F2">
            <w:pPr>
              <w:spacing w:after="0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  <w:b/>
              </w:rPr>
              <w:t>Wydatki ogółem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9300E30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39D24DF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4E9C6C42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1F1F35F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A1263B9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E886C60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2B2733E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72FBFF97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8893D8A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40AB05F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91D132A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B750641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</w:tr>
      <w:tr w:rsidR="00DD4E3B" w:rsidRPr="00DD4E3B" w14:paraId="0D7FA3B2" w14:textId="77777777" w:rsidTr="00DD4E3B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8DC3E08" w14:textId="77777777" w:rsidR="00DD4E3B" w:rsidRPr="00C023A8" w:rsidRDefault="00DD4E3B" w:rsidP="00F363F2">
            <w:pPr>
              <w:spacing w:after="0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budżet państwa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4449046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55F9F54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10702173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8BFFAA4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7FF3275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43F73EA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14EC7CE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6653DD9C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A699738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DB083F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0D84EFA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55A8A7C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</w:tr>
      <w:tr w:rsidR="00DD4E3B" w:rsidRPr="00DD4E3B" w14:paraId="6E072D49" w14:textId="77777777" w:rsidTr="00DD4E3B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4B7A5AC" w14:textId="77777777" w:rsidR="00DD4E3B" w:rsidRPr="00C023A8" w:rsidRDefault="00DD4E3B" w:rsidP="00F363F2">
            <w:pPr>
              <w:spacing w:after="0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lastRenderedPageBreak/>
              <w:t>JST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45BB8A9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C80AEE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4E5816A4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46964AD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A48052E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7FBA8BA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C84BA84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1AF436B8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5E3DF60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1FD37FF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A5A0E79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BEA13D2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</w:tr>
      <w:tr w:rsidR="00DD4E3B" w:rsidRPr="00DD4E3B" w14:paraId="26F2FB1D" w14:textId="77777777" w:rsidTr="00DD4E3B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4614D18" w14:textId="77777777" w:rsidR="00DD4E3B" w:rsidRPr="00C023A8" w:rsidRDefault="00DD4E3B" w:rsidP="00F363F2">
            <w:pPr>
              <w:spacing w:after="0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pozostałe jednostki (oddzielnie)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3D76A0F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A0CA135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11914D57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E50C957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48D410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0FC5244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AECB620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36139EAD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9BB1D67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A63C7FF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0FC315E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5FEB1AC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</w:tr>
      <w:tr w:rsidR="00DD4E3B" w:rsidRPr="00DD4E3B" w14:paraId="3967C124" w14:textId="77777777" w:rsidTr="00DD4E3B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2984307" w14:textId="77777777" w:rsidR="00DD4E3B" w:rsidRPr="00C023A8" w:rsidRDefault="00DD4E3B" w:rsidP="00F363F2">
            <w:pPr>
              <w:spacing w:after="0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  <w:b/>
              </w:rPr>
              <w:t>Saldo ogółem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65045ED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0975B88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099F405C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D74B5A1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168C1C5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ADE8C10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6B0386C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617175C0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8BF43F4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9ED57C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470DAD4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887B641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</w:tr>
      <w:tr w:rsidR="00DD4E3B" w:rsidRPr="00DD4E3B" w14:paraId="1B35D3D6" w14:textId="77777777" w:rsidTr="00DD4E3B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C6960A3" w14:textId="77777777" w:rsidR="00DD4E3B" w:rsidRPr="00C023A8" w:rsidRDefault="00DD4E3B" w:rsidP="00F363F2">
            <w:pPr>
              <w:spacing w:after="0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budżet państwa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1AD2FE5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C13467E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0A845BF8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2C8E6E1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04DF88A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0A44A5D2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69A1B0C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610C3FD9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DFA5348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59B6C3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7C54D3A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730839B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</w:tr>
      <w:tr w:rsidR="00DD4E3B" w:rsidRPr="00DD4E3B" w14:paraId="35E5C23A" w14:textId="77777777" w:rsidTr="00DD4E3B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B0C7C66" w14:textId="77777777" w:rsidR="00DD4E3B" w:rsidRPr="00C023A8" w:rsidRDefault="00DD4E3B" w:rsidP="00F363F2">
            <w:pPr>
              <w:spacing w:after="0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JST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90D5615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AC355F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0C88843C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C45BC0C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4C18C9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45FBDBF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7FF2359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21FBFACE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AD172C6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02CE9C7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6113496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D1B284D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</w:tr>
      <w:tr w:rsidR="00DD4E3B" w:rsidRPr="00DD4E3B" w14:paraId="43B5B83B" w14:textId="77777777" w:rsidTr="00DD4E3B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A590403" w14:textId="77777777" w:rsidR="00DD4E3B" w:rsidRPr="00C023A8" w:rsidRDefault="00DD4E3B" w:rsidP="00F363F2">
            <w:pPr>
              <w:spacing w:after="0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pozostałe jednostki (oddzielnie)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3FBB1DE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9E37620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263799B8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E10F77E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BF379D6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695D126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C856072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13D1AD63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DF57CBD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BF4D53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F06744C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5A846ED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-</w:t>
            </w:r>
          </w:p>
        </w:tc>
      </w:tr>
      <w:tr w:rsidR="00DD4E3B" w:rsidRPr="00DD4E3B" w14:paraId="237751F6" w14:textId="77777777" w:rsidTr="00F53662">
        <w:trPr>
          <w:gridAfter w:val="1"/>
          <w:wAfter w:w="10" w:type="dxa"/>
          <w:trHeight w:val="348"/>
        </w:trPr>
        <w:tc>
          <w:tcPr>
            <w:tcW w:w="3681" w:type="dxa"/>
            <w:gridSpan w:val="6"/>
            <w:shd w:val="clear" w:color="auto" w:fill="FFFFFF"/>
            <w:vAlign w:val="center"/>
          </w:tcPr>
          <w:p w14:paraId="2D6989E0" w14:textId="77777777" w:rsidR="00DD4E3B" w:rsidRPr="00C023A8" w:rsidRDefault="00DD4E3B" w:rsidP="00F363F2">
            <w:pPr>
              <w:spacing w:after="0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 xml:space="preserve">Źródła finansowania </w:t>
            </w:r>
          </w:p>
        </w:tc>
        <w:tc>
          <w:tcPr>
            <w:tcW w:w="7256" w:type="dxa"/>
            <w:gridSpan w:val="25"/>
            <w:shd w:val="clear" w:color="auto" w:fill="FFFFFF"/>
            <w:vAlign w:val="center"/>
          </w:tcPr>
          <w:p w14:paraId="44DB1311" w14:textId="77777777" w:rsidR="00DD4E3B" w:rsidRPr="00C023A8" w:rsidRDefault="00DD4E3B" w:rsidP="00F363F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E3B" w:rsidRPr="00DD4E3B" w14:paraId="4CAE5151" w14:textId="77777777" w:rsidTr="00F53662">
        <w:trPr>
          <w:gridAfter w:val="1"/>
          <w:wAfter w:w="10" w:type="dxa"/>
          <w:trHeight w:val="630"/>
        </w:trPr>
        <w:tc>
          <w:tcPr>
            <w:tcW w:w="3681" w:type="dxa"/>
            <w:gridSpan w:val="6"/>
            <w:shd w:val="clear" w:color="auto" w:fill="FFFFFF"/>
          </w:tcPr>
          <w:p w14:paraId="33901B97" w14:textId="77777777" w:rsidR="00DD4E3B" w:rsidRPr="00C023A8" w:rsidRDefault="00DD4E3B" w:rsidP="00F363F2">
            <w:pPr>
              <w:spacing w:after="0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Dodatkowe informacje, w tym wskazanie źródeł danych i przyjętych do obliczeń założeń</w:t>
            </w:r>
          </w:p>
        </w:tc>
        <w:tc>
          <w:tcPr>
            <w:tcW w:w="7256" w:type="dxa"/>
            <w:gridSpan w:val="25"/>
            <w:shd w:val="clear" w:color="auto" w:fill="FFFFFF"/>
          </w:tcPr>
          <w:p w14:paraId="3FA58A10" w14:textId="60448F02" w:rsidR="007C6467" w:rsidRPr="00C023A8" w:rsidRDefault="00DD4E3B" w:rsidP="00F363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 xml:space="preserve">Wejście w życie rozporządzenia nie wywoła skutków finansowych dla budżetu państwa </w:t>
            </w:r>
            <w:r w:rsidR="00334940">
              <w:rPr>
                <w:rFonts w:ascii="Times New Roman" w:hAnsi="Times New Roman" w:cs="Times New Roman"/>
              </w:rPr>
              <w:t>i</w:t>
            </w:r>
            <w:r w:rsidR="00C74435" w:rsidRPr="00C023A8">
              <w:rPr>
                <w:rFonts w:ascii="Times New Roman" w:hAnsi="Times New Roman" w:cs="Times New Roman"/>
              </w:rPr>
              <w:t xml:space="preserve"> </w:t>
            </w:r>
            <w:r w:rsidRPr="00C023A8">
              <w:rPr>
                <w:rFonts w:ascii="Times New Roman" w:hAnsi="Times New Roman" w:cs="Times New Roman"/>
              </w:rPr>
              <w:t>budżetów jednostek samorządu terytorialnego w rozumieniu art. 50 ust. 1 ustawy z dnia 27</w:t>
            </w:r>
            <w:r w:rsidR="00500E39">
              <w:rPr>
                <w:rFonts w:ascii="Times New Roman" w:hAnsi="Times New Roman" w:cs="Times New Roman"/>
              </w:rPr>
              <w:t> </w:t>
            </w:r>
            <w:r w:rsidRPr="00C023A8">
              <w:rPr>
                <w:rFonts w:ascii="Times New Roman" w:hAnsi="Times New Roman" w:cs="Times New Roman"/>
              </w:rPr>
              <w:t xml:space="preserve">sierpnia </w:t>
            </w:r>
            <w:r w:rsidR="000E17FA" w:rsidRPr="00C023A8">
              <w:rPr>
                <w:rFonts w:ascii="Times New Roman" w:hAnsi="Times New Roman" w:cs="Times New Roman"/>
              </w:rPr>
              <w:t>200</w:t>
            </w:r>
            <w:r w:rsidR="000E17FA">
              <w:rPr>
                <w:rFonts w:ascii="Times New Roman" w:hAnsi="Times New Roman" w:cs="Times New Roman"/>
              </w:rPr>
              <w:t>9</w:t>
            </w:r>
            <w:r w:rsidR="000E17FA" w:rsidRPr="00C023A8">
              <w:rPr>
                <w:rFonts w:ascii="Times New Roman" w:hAnsi="Times New Roman" w:cs="Times New Roman"/>
              </w:rPr>
              <w:t xml:space="preserve"> </w:t>
            </w:r>
            <w:r w:rsidRPr="00C023A8">
              <w:rPr>
                <w:rFonts w:ascii="Times New Roman" w:hAnsi="Times New Roman" w:cs="Times New Roman"/>
              </w:rPr>
              <w:t xml:space="preserve">r. </w:t>
            </w:r>
            <w:r w:rsidRPr="00F15A90">
              <w:rPr>
                <w:rFonts w:ascii="Times New Roman" w:hAnsi="Times New Roman" w:cs="Times New Roman"/>
                <w:i/>
              </w:rPr>
              <w:t>o finansach publicznych</w:t>
            </w:r>
            <w:r w:rsidR="00990E60">
              <w:rPr>
                <w:rFonts w:ascii="Times New Roman" w:hAnsi="Times New Roman" w:cs="Times New Roman"/>
              </w:rPr>
              <w:t>.</w:t>
            </w:r>
          </w:p>
        </w:tc>
      </w:tr>
      <w:tr w:rsidR="00DD4E3B" w:rsidRPr="00DD4E3B" w14:paraId="7F7A57D4" w14:textId="77777777" w:rsidTr="00DD4E3B">
        <w:trPr>
          <w:gridAfter w:val="1"/>
          <w:wAfter w:w="10" w:type="dxa"/>
          <w:trHeight w:val="345"/>
        </w:trPr>
        <w:tc>
          <w:tcPr>
            <w:tcW w:w="10937" w:type="dxa"/>
            <w:gridSpan w:val="31"/>
            <w:shd w:val="clear" w:color="auto" w:fill="99CCFF"/>
          </w:tcPr>
          <w:p w14:paraId="56727188" w14:textId="77777777" w:rsidR="00DD4E3B" w:rsidRPr="00C023A8" w:rsidRDefault="00DD4E3B" w:rsidP="00F363F2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b/>
                <w:spacing w:val="-2"/>
              </w:rPr>
            </w:pPr>
            <w:r w:rsidRPr="00C023A8">
              <w:rPr>
                <w:rFonts w:ascii="Times New Roman" w:hAnsi="Times New Roman" w:cs="Times New Roman"/>
                <w:b/>
                <w:spacing w:val="-2"/>
              </w:rPr>
              <w:t xml:space="preserve">Wpływ na </w:t>
            </w:r>
            <w:r w:rsidRPr="00C023A8">
              <w:rPr>
                <w:rFonts w:ascii="Times New Roman" w:hAnsi="Times New Roman" w:cs="Times New Roman"/>
                <w:b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DD4E3B" w:rsidRPr="00DD4E3B" w14:paraId="34D673D1" w14:textId="77777777" w:rsidTr="00DD4E3B">
        <w:trPr>
          <w:gridAfter w:val="1"/>
          <w:wAfter w:w="10" w:type="dxa"/>
          <w:trHeight w:val="142"/>
        </w:trPr>
        <w:tc>
          <w:tcPr>
            <w:tcW w:w="10937" w:type="dxa"/>
            <w:gridSpan w:val="31"/>
            <w:shd w:val="clear" w:color="auto" w:fill="FFFFFF"/>
          </w:tcPr>
          <w:p w14:paraId="09F5C6C0" w14:textId="0EBD22A8" w:rsidR="004A36E8" w:rsidRPr="009714D1" w:rsidRDefault="009714D1" w:rsidP="009714D1">
            <w:pPr>
              <w:keepLines/>
              <w:spacing w:after="0"/>
              <w:ind w:left="28"/>
              <w:jc w:val="center"/>
              <w:rPr>
                <w:rFonts w:ascii="Times New Roman" w:hAnsi="Times New Roman" w:cs="Times New Roman"/>
              </w:rPr>
            </w:pPr>
            <w:r w:rsidRPr="009714D1"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DD4E3B" w:rsidRPr="00DD4E3B" w14:paraId="06B22FBD" w14:textId="77777777" w:rsidTr="00DD4E3B">
        <w:trPr>
          <w:gridAfter w:val="1"/>
          <w:wAfter w:w="10" w:type="dxa"/>
          <w:trHeight w:val="142"/>
        </w:trPr>
        <w:tc>
          <w:tcPr>
            <w:tcW w:w="3889" w:type="dxa"/>
            <w:gridSpan w:val="8"/>
            <w:shd w:val="clear" w:color="auto" w:fill="FFFFFF"/>
          </w:tcPr>
          <w:p w14:paraId="2225D804" w14:textId="77777777" w:rsidR="00DD4E3B" w:rsidRPr="00C023A8" w:rsidRDefault="00DD4E3B" w:rsidP="00F363F2">
            <w:pPr>
              <w:spacing w:after="0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Czas w latach od wejścia w życie zmian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20DCE90C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5E531CC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4B4410A" w14:textId="77777777" w:rsidR="00DD4E3B" w:rsidRPr="00C023A8" w:rsidRDefault="00DD4E3B" w:rsidP="00F363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223005FC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76256DC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2AB0640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761B6DEF" w14:textId="77777777" w:rsidR="004A36E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pacing w:val="-2"/>
              </w:rPr>
            </w:pPr>
            <w:r w:rsidRPr="00C023A8">
              <w:rPr>
                <w:rFonts w:ascii="Times New Roman" w:hAnsi="Times New Roman" w:cs="Times New Roman"/>
                <w:i/>
                <w:spacing w:val="-2"/>
              </w:rPr>
              <w:t>Łącznie</w:t>
            </w:r>
            <w:r w:rsidR="004A36E8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</w:p>
          <w:p w14:paraId="15555BDF" w14:textId="77777777" w:rsidR="00DD4E3B" w:rsidRPr="00C023A8" w:rsidRDefault="00DD4E3B" w:rsidP="003B60DB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pacing w:val="-2"/>
              </w:rPr>
            </w:pPr>
            <w:r w:rsidRPr="00C023A8">
              <w:rPr>
                <w:rFonts w:ascii="Times New Roman" w:hAnsi="Times New Roman" w:cs="Times New Roman"/>
                <w:i/>
                <w:spacing w:val="-2"/>
              </w:rPr>
              <w:t>(0-10)</w:t>
            </w:r>
          </w:p>
        </w:tc>
      </w:tr>
      <w:tr w:rsidR="00DD4E3B" w:rsidRPr="00DD4E3B" w14:paraId="7B8E830D" w14:textId="77777777" w:rsidTr="00DD4E3B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CDE2233" w14:textId="77777777" w:rsidR="00DD4E3B" w:rsidRPr="00C023A8" w:rsidRDefault="00DD4E3B" w:rsidP="00F363F2">
            <w:pPr>
              <w:spacing w:after="0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W ujęciu pieniężnym</w:t>
            </w:r>
          </w:p>
          <w:p w14:paraId="70D2F5BC" w14:textId="77777777" w:rsidR="00DD4E3B" w:rsidRPr="00C023A8" w:rsidRDefault="00DD4E3B" w:rsidP="00F363F2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C023A8">
              <w:rPr>
                <w:rFonts w:ascii="Times New Roman" w:hAnsi="Times New Roman" w:cs="Times New Roman"/>
                <w:spacing w:val="-2"/>
              </w:rPr>
              <w:t xml:space="preserve">(w mln zł, </w:t>
            </w:r>
          </w:p>
          <w:p w14:paraId="682A2D33" w14:textId="77777777" w:rsidR="00DD4E3B" w:rsidRPr="00C023A8" w:rsidRDefault="00DD4E3B" w:rsidP="00F363F2">
            <w:pPr>
              <w:spacing w:after="0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  <w:spacing w:val="-2"/>
              </w:rPr>
              <w:t>ceny stałe z …… r.)</w:t>
            </w:r>
          </w:p>
        </w:tc>
        <w:tc>
          <w:tcPr>
            <w:tcW w:w="2293" w:type="dxa"/>
            <w:gridSpan w:val="7"/>
            <w:shd w:val="clear" w:color="auto" w:fill="FFFFFF"/>
          </w:tcPr>
          <w:p w14:paraId="3514D9C4" w14:textId="77777777" w:rsidR="00DD4E3B" w:rsidRPr="00C023A8" w:rsidRDefault="00DD4E3B" w:rsidP="00F363F2">
            <w:pPr>
              <w:spacing w:after="0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duże przedsiębiorstwa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7BF2FEAE" w14:textId="77777777" w:rsidR="00DD4E3B" w:rsidRPr="00C023A8" w:rsidRDefault="00DD4E3B" w:rsidP="00F363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421482E" w14:textId="77777777" w:rsidR="00DD4E3B" w:rsidRPr="00C023A8" w:rsidRDefault="00DD4E3B" w:rsidP="00F363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BDAE6FF" w14:textId="77777777" w:rsidR="00DD4E3B" w:rsidRPr="00C023A8" w:rsidRDefault="00DD4E3B" w:rsidP="00F363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gridSpan w:val="4"/>
            <w:shd w:val="clear" w:color="auto" w:fill="FFFFFF"/>
          </w:tcPr>
          <w:p w14:paraId="17DCC01F" w14:textId="77777777" w:rsidR="00DD4E3B" w:rsidRPr="00C023A8" w:rsidRDefault="00DD4E3B" w:rsidP="003B60DB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AC325EE" w14:textId="77777777" w:rsidR="00DD4E3B" w:rsidRPr="00C023A8" w:rsidRDefault="00DD4E3B" w:rsidP="003B60DB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B92C591" w14:textId="77777777" w:rsidR="00DD4E3B" w:rsidRPr="00C023A8" w:rsidRDefault="00DD4E3B" w:rsidP="003B60DB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shd w:val="clear" w:color="auto" w:fill="FFFFFF"/>
          </w:tcPr>
          <w:p w14:paraId="48B24F06" w14:textId="77777777" w:rsidR="00DD4E3B" w:rsidRPr="00C023A8" w:rsidRDefault="00DD4E3B" w:rsidP="003B60DB">
            <w:pPr>
              <w:spacing w:after="12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DD4E3B" w:rsidRPr="00DD4E3B" w14:paraId="6422A9AA" w14:textId="77777777" w:rsidTr="00DD4E3B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5467CD1" w14:textId="77777777" w:rsidR="00DD4E3B" w:rsidRPr="00C023A8" w:rsidRDefault="00DD4E3B" w:rsidP="00F363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1C2F1167" w14:textId="77777777" w:rsidR="00DD4E3B" w:rsidRPr="00C023A8" w:rsidRDefault="00DD4E3B" w:rsidP="00F363F2">
            <w:pPr>
              <w:spacing w:after="0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 xml:space="preserve">sektor mikro-, małych </w:t>
            </w:r>
            <w:r w:rsidR="001D3237" w:rsidRPr="00C023A8">
              <w:rPr>
                <w:rFonts w:ascii="Times New Roman" w:hAnsi="Times New Roman" w:cs="Times New Roman"/>
              </w:rPr>
              <w:br/>
            </w:r>
            <w:r w:rsidRPr="00C023A8">
              <w:rPr>
                <w:rFonts w:ascii="Times New Roman" w:hAnsi="Times New Roman" w:cs="Times New Roman"/>
              </w:rPr>
              <w:t>i średnich przedsiębiorstw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54BB6E17" w14:textId="77777777" w:rsidR="00DD4E3B" w:rsidRPr="00C023A8" w:rsidRDefault="00DD4E3B" w:rsidP="00F363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57B41BF" w14:textId="77777777" w:rsidR="00DD4E3B" w:rsidRPr="00C023A8" w:rsidRDefault="00DD4E3B" w:rsidP="00F363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4960A9C" w14:textId="77777777" w:rsidR="00DD4E3B" w:rsidRPr="00C023A8" w:rsidRDefault="00DD4E3B" w:rsidP="00F363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gridSpan w:val="4"/>
            <w:shd w:val="clear" w:color="auto" w:fill="FFFFFF"/>
          </w:tcPr>
          <w:p w14:paraId="1B21F4CA" w14:textId="77777777" w:rsidR="00DD4E3B" w:rsidRPr="00C023A8" w:rsidRDefault="00DD4E3B" w:rsidP="003B60DB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0B8B55D" w14:textId="77777777" w:rsidR="00DD4E3B" w:rsidRPr="00C023A8" w:rsidRDefault="00DD4E3B" w:rsidP="003B60DB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9126B4E" w14:textId="77777777" w:rsidR="00DD4E3B" w:rsidRPr="00C023A8" w:rsidRDefault="00DD4E3B" w:rsidP="003B60DB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shd w:val="clear" w:color="auto" w:fill="FFFFFF"/>
          </w:tcPr>
          <w:p w14:paraId="62AB63DB" w14:textId="77777777" w:rsidR="00DD4E3B" w:rsidRPr="00C023A8" w:rsidRDefault="00DD4E3B" w:rsidP="003B60DB">
            <w:pPr>
              <w:spacing w:after="12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DD4E3B" w:rsidRPr="00DD4E3B" w14:paraId="7B18326B" w14:textId="77777777" w:rsidTr="00515EBD">
        <w:trPr>
          <w:gridAfter w:val="1"/>
          <w:wAfter w:w="10" w:type="dxa"/>
          <w:trHeight w:val="1050"/>
        </w:trPr>
        <w:tc>
          <w:tcPr>
            <w:tcW w:w="1596" w:type="dxa"/>
            <w:vMerge/>
            <w:shd w:val="clear" w:color="auto" w:fill="FFFFFF"/>
          </w:tcPr>
          <w:p w14:paraId="20D3C82F" w14:textId="77777777" w:rsidR="00DD4E3B" w:rsidRPr="00C023A8" w:rsidRDefault="00DD4E3B" w:rsidP="00F363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77B37C5A" w14:textId="77777777" w:rsidR="00DD4E3B" w:rsidRPr="00C023A8" w:rsidRDefault="00DD4E3B" w:rsidP="00F363F2">
            <w:pPr>
              <w:spacing w:after="0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rodzina, obywatele oraz gospodarstwa domowe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3BB67B43" w14:textId="77777777" w:rsidR="00DD4E3B" w:rsidRPr="00C023A8" w:rsidRDefault="00DD4E3B" w:rsidP="00F363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2A388D6" w14:textId="77777777" w:rsidR="00DD4E3B" w:rsidRPr="00C023A8" w:rsidRDefault="00DD4E3B" w:rsidP="00F363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6C56F3B" w14:textId="77777777" w:rsidR="00DD4E3B" w:rsidRPr="00C023A8" w:rsidRDefault="00DD4E3B" w:rsidP="00F363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gridSpan w:val="4"/>
            <w:shd w:val="clear" w:color="auto" w:fill="FFFFFF"/>
          </w:tcPr>
          <w:p w14:paraId="4F48FD14" w14:textId="77777777" w:rsidR="00DD4E3B" w:rsidRPr="00C023A8" w:rsidRDefault="00DD4E3B" w:rsidP="003B60DB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E21CF84" w14:textId="77777777" w:rsidR="00DD4E3B" w:rsidRPr="00C023A8" w:rsidRDefault="00DD4E3B" w:rsidP="003B60DB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222E055" w14:textId="77777777" w:rsidR="00DD4E3B" w:rsidRPr="00C023A8" w:rsidRDefault="00DD4E3B" w:rsidP="003B60DB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shd w:val="clear" w:color="auto" w:fill="FFFFFF"/>
          </w:tcPr>
          <w:p w14:paraId="7F04ED80" w14:textId="77777777" w:rsidR="00DD4E3B" w:rsidRPr="00C023A8" w:rsidRDefault="00DD4E3B" w:rsidP="003B60DB">
            <w:pPr>
              <w:spacing w:after="12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DD4E3B" w:rsidRPr="00DD4E3B" w14:paraId="2BA411F3" w14:textId="77777777" w:rsidTr="00DD4E3B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A533ADD" w14:textId="77777777" w:rsidR="00DD4E3B" w:rsidRPr="00C023A8" w:rsidRDefault="00DD4E3B" w:rsidP="00F363F2">
            <w:pPr>
              <w:spacing w:after="0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W ujęciu niepieniężnym</w:t>
            </w:r>
          </w:p>
        </w:tc>
        <w:tc>
          <w:tcPr>
            <w:tcW w:w="2293" w:type="dxa"/>
            <w:gridSpan w:val="7"/>
            <w:shd w:val="clear" w:color="auto" w:fill="FFFFFF"/>
          </w:tcPr>
          <w:p w14:paraId="16062434" w14:textId="77777777" w:rsidR="00DD4E3B" w:rsidRPr="00C023A8" w:rsidRDefault="00DD4E3B" w:rsidP="00F363F2">
            <w:pPr>
              <w:spacing w:after="0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duże przedsiębiorstwa</w:t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04A7924C" w14:textId="77777777" w:rsidR="00DD4E3B" w:rsidRPr="00C023A8" w:rsidRDefault="00DD4E3B" w:rsidP="00F363F2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DD4E3B" w:rsidRPr="00DD4E3B" w14:paraId="4D793B1F" w14:textId="77777777" w:rsidTr="00DD4E3B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05174CA" w14:textId="77777777" w:rsidR="00DD4E3B" w:rsidRPr="00C023A8" w:rsidRDefault="00DD4E3B" w:rsidP="00F363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5FFA373B" w14:textId="77777777" w:rsidR="00DD4E3B" w:rsidRPr="00C023A8" w:rsidRDefault="00DD4E3B" w:rsidP="00F363F2">
            <w:pPr>
              <w:spacing w:after="0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 xml:space="preserve">sektor mikro-, małych </w:t>
            </w:r>
            <w:r w:rsidR="001D3237" w:rsidRPr="00C023A8">
              <w:rPr>
                <w:rFonts w:ascii="Times New Roman" w:hAnsi="Times New Roman" w:cs="Times New Roman"/>
              </w:rPr>
              <w:br/>
            </w:r>
            <w:r w:rsidRPr="00C023A8">
              <w:rPr>
                <w:rFonts w:ascii="Times New Roman" w:hAnsi="Times New Roman" w:cs="Times New Roman"/>
              </w:rPr>
              <w:t>i średnich przedsiębiorstw</w:t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1D25C813" w14:textId="38C0304C" w:rsidR="00DD4E3B" w:rsidRPr="00C023A8" w:rsidRDefault="00D146F9" w:rsidP="009714D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D146F9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Przedmiotowy projekt z uwagi na swój charakter nie zawiera regulacji dotyczących majątkowych praw i obowiązków przedsiębiorców lub praw </w:t>
            </w:r>
            <w:r w:rsidRPr="00D146F9">
              <w:rPr>
                <w:rFonts w:ascii="Times New Roman" w:eastAsia="Calibri" w:hAnsi="Times New Roman" w:cs="Times New Roman"/>
                <w:color w:val="000000"/>
                <w:spacing w:val="-2"/>
              </w:rPr>
              <w:br/>
              <w:t xml:space="preserve">i obowiązków przedsiębiorców wobec organów administracji publicznej, </w:t>
            </w:r>
            <w:r w:rsidRPr="00D146F9">
              <w:rPr>
                <w:rFonts w:ascii="Times New Roman" w:eastAsia="Calibri" w:hAnsi="Times New Roman" w:cs="Times New Roman"/>
                <w:color w:val="000000"/>
                <w:spacing w:val="-2"/>
              </w:rPr>
              <w:br/>
              <w:t xml:space="preserve">a zatem nie podlega obowiązkowi dokonania oceny przewidywanego wpływu proponowanych rozwiązań na działalność mikro, małych i średnich przedsiębiorców, stosownie do przepisów ustawy z dnia 6 marca 2018 r. – </w:t>
            </w:r>
            <w:r w:rsidRPr="00D146F9"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  <w:t>Prawo przedsiębiorców</w:t>
            </w:r>
            <w:r w:rsidRPr="00D146F9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(Dz. U. z 2021 r. poz. 162</w:t>
            </w:r>
            <w:r w:rsidR="001E23A4">
              <w:rPr>
                <w:rFonts w:ascii="Times New Roman" w:eastAsia="Calibri" w:hAnsi="Times New Roman" w:cs="Times New Roman"/>
                <w:color w:val="000000"/>
                <w:spacing w:val="-2"/>
              </w:rPr>
              <w:t>, z późn. zm.</w:t>
            </w:r>
            <w:r w:rsidRPr="00D146F9">
              <w:rPr>
                <w:rFonts w:ascii="Times New Roman" w:eastAsia="Calibri" w:hAnsi="Times New Roman" w:cs="Times New Roman"/>
                <w:color w:val="000000"/>
                <w:spacing w:val="-2"/>
              </w:rPr>
              <w:t>).</w:t>
            </w:r>
          </w:p>
        </w:tc>
      </w:tr>
      <w:tr w:rsidR="00DD4E3B" w:rsidRPr="00DD4E3B" w14:paraId="4D86D019" w14:textId="77777777" w:rsidTr="00DD4E3B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3EDDF345" w14:textId="77777777" w:rsidR="00DD4E3B" w:rsidRPr="00C023A8" w:rsidRDefault="00DD4E3B" w:rsidP="00F363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63CA8431" w14:textId="77777777" w:rsidR="00DD4E3B" w:rsidRPr="00C023A8" w:rsidRDefault="00DD4E3B" w:rsidP="00F363F2">
            <w:pPr>
              <w:tabs>
                <w:tab w:val="right" w:pos="1936"/>
              </w:tabs>
              <w:spacing w:after="0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rodzina, obywatele oraz gospodarstwa domowe</w:t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6B3E3BBE" w14:textId="170EB27D" w:rsidR="00DD4E3B" w:rsidRPr="00C023A8" w:rsidRDefault="00DD4E3B" w:rsidP="009714D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DD4E3B" w:rsidRPr="00DD4E3B" w14:paraId="7424A782" w14:textId="77777777" w:rsidTr="00DD4E3B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47EA3476" w14:textId="77777777" w:rsidR="00DD4E3B" w:rsidRPr="00C023A8" w:rsidRDefault="00DD4E3B" w:rsidP="00F363F2">
            <w:pPr>
              <w:spacing w:after="0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Niemierzalne</w:t>
            </w:r>
          </w:p>
        </w:tc>
        <w:tc>
          <w:tcPr>
            <w:tcW w:w="2293" w:type="dxa"/>
            <w:gridSpan w:val="7"/>
            <w:shd w:val="clear" w:color="auto" w:fill="FFFFFF"/>
          </w:tcPr>
          <w:p w14:paraId="7EEB637D" w14:textId="77777777" w:rsidR="00DD4E3B" w:rsidRPr="00C023A8" w:rsidRDefault="00DD4E3B" w:rsidP="00F363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48" w:type="dxa"/>
            <w:gridSpan w:val="23"/>
            <w:shd w:val="clear" w:color="auto" w:fill="FFFFFF"/>
          </w:tcPr>
          <w:p w14:paraId="27549D56" w14:textId="29E2337D" w:rsidR="00DD4E3B" w:rsidRPr="00C023A8" w:rsidRDefault="00D146F9" w:rsidP="006A439E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Zwiększenie poczucia komfortu osób, które z różnych powodów mają zwiększone zapotrzebowanie na posiadanie gotówki i dokonywanie transakcji gotówkowych w walucie PLN.  </w:t>
            </w:r>
          </w:p>
        </w:tc>
      </w:tr>
      <w:tr w:rsidR="00DD4E3B" w:rsidRPr="00DD4E3B" w14:paraId="535A6F06" w14:textId="77777777" w:rsidTr="00F53662">
        <w:trPr>
          <w:gridAfter w:val="1"/>
          <w:wAfter w:w="10" w:type="dxa"/>
          <w:trHeight w:val="507"/>
        </w:trPr>
        <w:tc>
          <w:tcPr>
            <w:tcW w:w="4531" w:type="dxa"/>
            <w:gridSpan w:val="10"/>
            <w:shd w:val="clear" w:color="auto" w:fill="FFFFFF"/>
          </w:tcPr>
          <w:p w14:paraId="3D3B1A11" w14:textId="77777777" w:rsidR="00DD4E3B" w:rsidRPr="00C023A8" w:rsidRDefault="00DD4E3B" w:rsidP="00F363F2">
            <w:pPr>
              <w:spacing w:after="0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 xml:space="preserve">Dodatkowe informacje, w tym wskazanie źródeł danych i przyjętych do obliczeń założeń </w:t>
            </w:r>
          </w:p>
        </w:tc>
        <w:tc>
          <w:tcPr>
            <w:tcW w:w="6406" w:type="dxa"/>
            <w:gridSpan w:val="21"/>
            <w:shd w:val="clear" w:color="auto" w:fill="FFFFFF"/>
            <w:vAlign w:val="center"/>
          </w:tcPr>
          <w:p w14:paraId="1F63D120" w14:textId="4D4D3217" w:rsidR="00DD4E3B" w:rsidRPr="00C023A8" w:rsidRDefault="009714D1" w:rsidP="009714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Wejście w życie rozporządzenia nie będzie miało bezpośredniego wpływu na konkurencyjność gospodarki</w:t>
            </w:r>
            <w:r>
              <w:rPr>
                <w:rFonts w:ascii="Times New Roman" w:hAnsi="Times New Roman" w:cs="Times New Roman"/>
              </w:rPr>
              <w:t>,</w:t>
            </w:r>
            <w:r w:rsidRPr="00C023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</w:t>
            </w:r>
            <w:r w:rsidRPr="00C023A8">
              <w:rPr>
                <w:rFonts w:ascii="Times New Roman" w:hAnsi="Times New Roman" w:cs="Times New Roman"/>
              </w:rPr>
              <w:t>atomiast wywrze wpływ na funkcjonowanie przedsiębiorców (</w:t>
            </w:r>
            <w:r w:rsidRPr="000E17FA">
              <w:rPr>
                <w:rFonts w:ascii="Times New Roman" w:hAnsi="Times New Roman" w:cs="Times New Roman"/>
              </w:rPr>
              <w:t>dostawców usług płatniczych lub inne podmioty świadczące usługi na rzecz wydawcy instrumentu płatniczego, będące właścic</w:t>
            </w:r>
            <w:r w:rsidR="001E23A4">
              <w:rPr>
                <w:rFonts w:ascii="Times New Roman" w:hAnsi="Times New Roman" w:cs="Times New Roman"/>
              </w:rPr>
              <w:t>ielem lub posiadaczem bankomatu</w:t>
            </w:r>
            <w:r w:rsidRPr="00C023A8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przez zwiększenie ich funkcjonalności.</w:t>
            </w:r>
          </w:p>
        </w:tc>
      </w:tr>
      <w:tr w:rsidR="00DD4E3B" w:rsidRPr="00DD4E3B" w14:paraId="7FC2C105" w14:textId="77777777" w:rsidTr="00DD4E3B">
        <w:trPr>
          <w:gridAfter w:val="1"/>
          <w:wAfter w:w="10" w:type="dxa"/>
          <w:trHeight w:val="342"/>
        </w:trPr>
        <w:tc>
          <w:tcPr>
            <w:tcW w:w="10937" w:type="dxa"/>
            <w:gridSpan w:val="31"/>
            <w:shd w:val="clear" w:color="auto" w:fill="99CCFF"/>
            <w:vAlign w:val="center"/>
          </w:tcPr>
          <w:p w14:paraId="4F620E13" w14:textId="77777777" w:rsidR="00DD4E3B" w:rsidRPr="00C023A8" w:rsidRDefault="00DD4E3B" w:rsidP="00F363F2">
            <w:pPr>
              <w:numPr>
                <w:ilvl w:val="0"/>
                <w:numId w:val="3"/>
              </w:numPr>
              <w:spacing w:after="0"/>
              <w:ind w:left="318" w:hanging="284"/>
              <w:jc w:val="both"/>
              <w:rPr>
                <w:rFonts w:ascii="Times New Roman" w:hAnsi="Times New Roman" w:cs="Times New Roman"/>
                <w:b/>
              </w:rPr>
            </w:pPr>
            <w:r w:rsidRPr="00C023A8">
              <w:rPr>
                <w:rFonts w:ascii="Times New Roman" w:hAnsi="Times New Roman" w:cs="Times New Roman"/>
                <w:b/>
              </w:rPr>
              <w:t xml:space="preserve"> Zmiana obciążeń regulacyjnych (w tym obowiązków informacyjnych) wynikających z projektu</w:t>
            </w:r>
          </w:p>
        </w:tc>
      </w:tr>
      <w:tr w:rsidR="00DD4E3B" w:rsidRPr="00DD4E3B" w14:paraId="1165D565" w14:textId="77777777" w:rsidTr="00DD4E3B">
        <w:trPr>
          <w:gridAfter w:val="1"/>
          <w:wAfter w:w="10" w:type="dxa"/>
          <w:trHeight w:val="151"/>
        </w:trPr>
        <w:tc>
          <w:tcPr>
            <w:tcW w:w="10937" w:type="dxa"/>
            <w:gridSpan w:val="31"/>
            <w:shd w:val="clear" w:color="auto" w:fill="FFFFFF"/>
          </w:tcPr>
          <w:p w14:paraId="6D73E003" w14:textId="77777777" w:rsidR="00DD4E3B" w:rsidRPr="00C023A8" w:rsidRDefault="00DD4E3B" w:rsidP="00F363F2">
            <w:pPr>
              <w:spacing w:after="0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  <w:spacing w:val="-2"/>
              </w:rPr>
              <w:t>nie dotyczy</w:t>
            </w:r>
          </w:p>
        </w:tc>
      </w:tr>
      <w:tr w:rsidR="00DD4E3B" w:rsidRPr="00DD4E3B" w14:paraId="5995CE30" w14:textId="77777777" w:rsidTr="00DD4E3B">
        <w:trPr>
          <w:gridAfter w:val="1"/>
          <w:wAfter w:w="10" w:type="dxa"/>
          <w:trHeight w:val="946"/>
        </w:trPr>
        <w:tc>
          <w:tcPr>
            <w:tcW w:w="5111" w:type="dxa"/>
            <w:gridSpan w:val="14"/>
            <w:shd w:val="clear" w:color="auto" w:fill="FFFFFF"/>
          </w:tcPr>
          <w:p w14:paraId="0AB83260" w14:textId="77777777" w:rsidR="00DD4E3B" w:rsidRPr="00C023A8" w:rsidRDefault="00DD4E3B" w:rsidP="00F363F2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C023A8">
              <w:rPr>
                <w:rFonts w:ascii="Times New Roman" w:hAnsi="Times New Roman" w:cs="Times New Roman"/>
                <w:spacing w:val="-2"/>
              </w:rPr>
              <w:lastRenderedPageBreak/>
              <w:t xml:space="preserve">Wprowadzane są obciążenia poza bezwzględnie wymaganymi przez UE </w:t>
            </w:r>
            <w:r w:rsidRPr="00C023A8">
              <w:rPr>
                <w:rFonts w:ascii="Times New Roman" w:hAnsi="Times New Roman" w:cs="Times New Roman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7714692" w14:textId="77777777" w:rsidR="00DD4E3B" w:rsidRPr="00C023A8" w:rsidRDefault="00B86692" w:rsidP="00F363F2">
            <w:pPr>
              <w:spacing w:after="0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E3B" w:rsidRPr="00C023A8">
              <w:rPr>
                <w:rFonts w:ascii="Times New Roman" w:hAnsi="Times New Roman" w:cs="Times New Roman"/>
              </w:rPr>
              <w:instrText xml:space="preserve"> FORMCHECKBOX </w:instrText>
            </w:r>
            <w:r w:rsidR="00E81E55">
              <w:rPr>
                <w:rFonts w:ascii="Times New Roman" w:hAnsi="Times New Roman" w:cs="Times New Roman"/>
              </w:rPr>
            </w:r>
            <w:r w:rsidR="00E81E55">
              <w:rPr>
                <w:rFonts w:ascii="Times New Roman" w:hAnsi="Times New Roman" w:cs="Times New Roman"/>
              </w:rPr>
              <w:fldChar w:fldCharType="separate"/>
            </w:r>
            <w:r w:rsidRPr="00C023A8">
              <w:rPr>
                <w:rFonts w:ascii="Times New Roman" w:hAnsi="Times New Roman" w:cs="Times New Roman"/>
              </w:rPr>
              <w:fldChar w:fldCharType="end"/>
            </w:r>
            <w:r w:rsidR="00DD4E3B" w:rsidRPr="00C023A8">
              <w:rPr>
                <w:rFonts w:ascii="Times New Roman" w:hAnsi="Times New Roman" w:cs="Times New Roman"/>
              </w:rPr>
              <w:t xml:space="preserve"> tak</w:t>
            </w:r>
          </w:p>
          <w:p w14:paraId="2FAD23A2" w14:textId="77777777" w:rsidR="00DD4E3B" w:rsidRPr="00C023A8" w:rsidRDefault="00B86692" w:rsidP="00F363F2">
            <w:pPr>
              <w:spacing w:after="0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E3B" w:rsidRPr="00C023A8">
              <w:rPr>
                <w:rFonts w:ascii="Times New Roman" w:hAnsi="Times New Roman" w:cs="Times New Roman"/>
              </w:rPr>
              <w:instrText xml:space="preserve"> FORMCHECKBOX </w:instrText>
            </w:r>
            <w:r w:rsidR="00E81E55">
              <w:rPr>
                <w:rFonts w:ascii="Times New Roman" w:hAnsi="Times New Roman" w:cs="Times New Roman"/>
              </w:rPr>
            </w:r>
            <w:r w:rsidR="00E81E55">
              <w:rPr>
                <w:rFonts w:ascii="Times New Roman" w:hAnsi="Times New Roman" w:cs="Times New Roman"/>
              </w:rPr>
              <w:fldChar w:fldCharType="separate"/>
            </w:r>
            <w:r w:rsidRPr="00C023A8">
              <w:rPr>
                <w:rFonts w:ascii="Times New Roman" w:hAnsi="Times New Roman" w:cs="Times New Roman"/>
              </w:rPr>
              <w:fldChar w:fldCharType="end"/>
            </w:r>
            <w:r w:rsidR="00DD4E3B" w:rsidRPr="00C023A8">
              <w:rPr>
                <w:rFonts w:ascii="Times New Roman" w:hAnsi="Times New Roman" w:cs="Times New Roman"/>
              </w:rPr>
              <w:t xml:space="preserve"> nie</w:t>
            </w:r>
          </w:p>
          <w:p w14:paraId="203CDA77" w14:textId="77777777" w:rsidR="00DD4E3B" w:rsidRPr="00C023A8" w:rsidRDefault="006A439E" w:rsidP="00F363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E81E55">
              <w:rPr>
                <w:rFonts w:ascii="Times New Roman" w:hAnsi="Times New Roman" w:cs="Times New Roman"/>
              </w:rPr>
            </w:r>
            <w:r w:rsidR="00E81E5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DD4E3B" w:rsidRPr="00C023A8">
              <w:rPr>
                <w:rFonts w:ascii="Times New Roman" w:hAnsi="Times New Roman" w:cs="Times New Roman"/>
              </w:rPr>
              <w:t xml:space="preserve"> nie dotyczy</w:t>
            </w:r>
          </w:p>
        </w:tc>
      </w:tr>
      <w:tr w:rsidR="00DD4E3B" w:rsidRPr="00DD4E3B" w14:paraId="18D8A2BD" w14:textId="77777777" w:rsidTr="00DD4E3B">
        <w:trPr>
          <w:gridAfter w:val="1"/>
          <w:wAfter w:w="10" w:type="dxa"/>
          <w:trHeight w:val="1118"/>
        </w:trPr>
        <w:tc>
          <w:tcPr>
            <w:tcW w:w="5111" w:type="dxa"/>
            <w:gridSpan w:val="14"/>
            <w:shd w:val="clear" w:color="auto" w:fill="FFFFFF"/>
          </w:tcPr>
          <w:p w14:paraId="6313E1CD" w14:textId="77777777" w:rsidR="00DD4E3B" w:rsidRPr="00C023A8" w:rsidRDefault="00B86692" w:rsidP="00F363F2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C023A8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E3B" w:rsidRPr="00C023A8">
              <w:rPr>
                <w:rFonts w:ascii="Times New Roman" w:hAnsi="Times New Roman" w:cs="Times New Roman"/>
              </w:rPr>
              <w:instrText xml:space="preserve"> FORMCHECKBOX </w:instrText>
            </w:r>
            <w:r w:rsidR="00E81E55">
              <w:rPr>
                <w:rFonts w:ascii="Times New Roman" w:hAnsi="Times New Roman" w:cs="Times New Roman"/>
              </w:rPr>
            </w:r>
            <w:r w:rsidR="00E81E55">
              <w:rPr>
                <w:rFonts w:ascii="Times New Roman" w:hAnsi="Times New Roman" w:cs="Times New Roman"/>
              </w:rPr>
              <w:fldChar w:fldCharType="separate"/>
            </w:r>
            <w:r w:rsidRPr="00C023A8">
              <w:rPr>
                <w:rFonts w:ascii="Times New Roman" w:hAnsi="Times New Roman" w:cs="Times New Roman"/>
              </w:rPr>
              <w:fldChar w:fldCharType="end"/>
            </w:r>
            <w:r w:rsidR="00DD4E3B" w:rsidRPr="00C023A8">
              <w:rPr>
                <w:rFonts w:ascii="Times New Roman" w:hAnsi="Times New Roman" w:cs="Times New Roman"/>
                <w:spacing w:val="-2"/>
              </w:rPr>
              <w:t xml:space="preserve">zmniejszenie liczby dokumentów </w:t>
            </w:r>
          </w:p>
          <w:p w14:paraId="0CCA5190" w14:textId="77777777" w:rsidR="00DD4E3B" w:rsidRPr="00C023A8" w:rsidRDefault="00B86692" w:rsidP="00F363F2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C023A8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E3B" w:rsidRPr="00C023A8">
              <w:rPr>
                <w:rFonts w:ascii="Times New Roman" w:hAnsi="Times New Roman" w:cs="Times New Roman"/>
              </w:rPr>
              <w:instrText xml:space="preserve"> FORMCHECKBOX </w:instrText>
            </w:r>
            <w:r w:rsidR="00E81E55">
              <w:rPr>
                <w:rFonts w:ascii="Times New Roman" w:hAnsi="Times New Roman" w:cs="Times New Roman"/>
              </w:rPr>
            </w:r>
            <w:r w:rsidR="00E81E55">
              <w:rPr>
                <w:rFonts w:ascii="Times New Roman" w:hAnsi="Times New Roman" w:cs="Times New Roman"/>
              </w:rPr>
              <w:fldChar w:fldCharType="separate"/>
            </w:r>
            <w:r w:rsidRPr="00C023A8">
              <w:rPr>
                <w:rFonts w:ascii="Times New Roman" w:hAnsi="Times New Roman" w:cs="Times New Roman"/>
              </w:rPr>
              <w:fldChar w:fldCharType="end"/>
            </w:r>
            <w:r w:rsidR="00DD4E3B" w:rsidRPr="00C023A8">
              <w:rPr>
                <w:rFonts w:ascii="Times New Roman" w:hAnsi="Times New Roman" w:cs="Times New Roman"/>
                <w:spacing w:val="-2"/>
              </w:rPr>
              <w:t>zmniejszenie liczby procedur</w:t>
            </w:r>
          </w:p>
          <w:p w14:paraId="48A7BDDB" w14:textId="77777777" w:rsidR="00DD4E3B" w:rsidRPr="00C023A8" w:rsidRDefault="00B86692" w:rsidP="00F363F2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C023A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E3B" w:rsidRPr="00C023A8">
              <w:rPr>
                <w:rFonts w:ascii="Times New Roman" w:hAnsi="Times New Roman" w:cs="Times New Roman"/>
              </w:rPr>
              <w:instrText xml:space="preserve"> FORMCHECKBOX </w:instrText>
            </w:r>
            <w:r w:rsidR="00E81E55">
              <w:rPr>
                <w:rFonts w:ascii="Times New Roman" w:hAnsi="Times New Roman" w:cs="Times New Roman"/>
              </w:rPr>
            </w:r>
            <w:r w:rsidR="00E81E55">
              <w:rPr>
                <w:rFonts w:ascii="Times New Roman" w:hAnsi="Times New Roman" w:cs="Times New Roman"/>
              </w:rPr>
              <w:fldChar w:fldCharType="separate"/>
            </w:r>
            <w:r w:rsidRPr="00C023A8">
              <w:rPr>
                <w:rFonts w:ascii="Times New Roman" w:hAnsi="Times New Roman" w:cs="Times New Roman"/>
              </w:rPr>
              <w:fldChar w:fldCharType="end"/>
            </w:r>
            <w:r w:rsidR="00DD4E3B" w:rsidRPr="00C023A8">
              <w:rPr>
                <w:rFonts w:ascii="Times New Roman" w:hAnsi="Times New Roman" w:cs="Times New Roman"/>
                <w:spacing w:val="-2"/>
              </w:rPr>
              <w:t>skrócenie czasu na załatwienie sprawy</w:t>
            </w:r>
          </w:p>
          <w:p w14:paraId="662B4B67" w14:textId="77777777" w:rsidR="00DD4E3B" w:rsidRPr="00C023A8" w:rsidRDefault="00B86692" w:rsidP="00F363F2">
            <w:pPr>
              <w:spacing w:after="0"/>
              <w:rPr>
                <w:rFonts w:ascii="Times New Roman" w:hAnsi="Times New Roman" w:cs="Times New Roman"/>
                <w:b/>
                <w:spacing w:val="-2"/>
              </w:rPr>
            </w:pPr>
            <w:r w:rsidRPr="00C023A8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E3B" w:rsidRPr="00C023A8">
              <w:rPr>
                <w:rFonts w:ascii="Times New Roman" w:hAnsi="Times New Roman" w:cs="Times New Roman"/>
              </w:rPr>
              <w:instrText xml:space="preserve"> FORMCHECKBOX </w:instrText>
            </w:r>
            <w:r w:rsidR="00E81E55">
              <w:rPr>
                <w:rFonts w:ascii="Times New Roman" w:hAnsi="Times New Roman" w:cs="Times New Roman"/>
              </w:rPr>
            </w:r>
            <w:r w:rsidR="00E81E55">
              <w:rPr>
                <w:rFonts w:ascii="Times New Roman" w:hAnsi="Times New Roman" w:cs="Times New Roman"/>
              </w:rPr>
              <w:fldChar w:fldCharType="separate"/>
            </w:r>
            <w:r w:rsidRPr="00C023A8">
              <w:rPr>
                <w:rFonts w:ascii="Times New Roman" w:hAnsi="Times New Roman" w:cs="Times New Roman"/>
              </w:rPr>
              <w:fldChar w:fldCharType="end"/>
            </w:r>
            <w:r w:rsidR="00DD4E3B" w:rsidRPr="00C023A8">
              <w:rPr>
                <w:rFonts w:ascii="Times New Roman" w:hAnsi="Times New Roman" w:cs="Times New Roman"/>
                <w:spacing w:val="-2"/>
              </w:rPr>
              <w:t>inne:</w:t>
            </w:r>
            <w:r w:rsidRPr="00C023A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DD4E3B" w:rsidRPr="00C023A8">
              <w:rPr>
                <w:rFonts w:ascii="Times New Roman" w:hAnsi="Times New Roman" w:cs="Times New Roman"/>
              </w:rPr>
              <w:instrText xml:space="preserve"> FORMTEXT </w:instrText>
            </w:r>
            <w:r w:rsidRPr="00C023A8">
              <w:rPr>
                <w:rFonts w:ascii="Times New Roman" w:hAnsi="Times New Roman" w:cs="Times New Roman"/>
              </w:rPr>
            </w:r>
            <w:r w:rsidRPr="00C023A8">
              <w:rPr>
                <w:rFonts w:ascii="Times New Roman" w:hAnsi="Times New Roman" w:cs="Times New Roman"/>
              </w:rPr>
              <w:fldChar w:fldCharType="separate"/>
            </w:r>
            <w:r w:rsidR="00DD4E3B" w:rsidRPr="00C023A8">
              <w:rPr>
                <w:rFonts w:ascii="Times New Roman" w:hAnsi="Times New Roman" w:cs="Times New Roman"/>
                <w:noProof/>
              </w:rPr>
              <w:t> </w:t>
            </w:r>
            <w:r w:rsidR="00DD4E3B" w:rsidRPr="00C023A8">
              <w:rPr>
                <w:rFonts w:ascii="Times New Roman" w:hAnsi="Times New Roman" w:cs="Times New Roman"/>
                <w:noProof/>
              </w:rPr>
              <w:t> </w:t>
            </w:r>
            <w:r w:rsidR="00DD4E3B" w:rsidRPr="00C023A8">
              <w:rPr>
                <w:rFonts w:ascii="Times New Roman" w:hAnsi="Times New Roman" w:cs="Times New Roman"/>
                <w:noProof/>
              </w:rPr>
              <w:t> </w:t>
            </w:r>
            <w:r w:rsidR="00DD4E3B" w:rsidRPr="00C023A8">
              <w:rPr>
                <w:rFonts w:ascii="Times New Roman" w:hAnsi="Times New Roman" w:cs="Times New Roman"/>
                <w:noProof/>
              </w:rPr>
              <w:t> </w:t>
            </w:r>
            <w:r w:rsidR="00DD4E3B" w:rsidRPr="00C023A8">
              <w:rPr>
                <w:rFonts w:ascii="Times New Roman" w:hAnsi="Times New Roman" w:cs="Times New Roman"/>
                <w:noProof/>
              </w:rPr>
              <w:t> </w:t>
            </w:r>
            <w:r w:rsidRPr="00C023A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25F8AE3F" w14:textId="77777777" w:rsidR="00DD4E3B" w:rsidRPr="00C023A8" w:rsidRDefault="00B86692" w:rsidP="00F363F2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C023A8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E3B" w:rsidRPr="00C023A8">
              <w:rPr>
                <w:rFonts w:ascii="Times New Roman" w:hAnsi="Times New Roman" w:cs="Times New Roman"/>
              </w:rPr>
              <w:instrText xml:space="preserve"> FORMCHECKBOX </w:instrText>
            </w:r>
            <w:r w:rsidR="00E81E55">
              <w:rPr>
                <w:rFonts w:ascii="Times New Roman" w:hAnsi="Times New Roman" w:cs="Times New Roman"/>
              </w:rPr>
            </w:r>
            <w:r w:rsidR="00E81E55">
              <w:rPr>
                <w:rFonts w:ascii="Times New Roman" w:hAnsi="Times New Roman" w:cs="Times New Roman"/>
              </w:rPr>
              <w:fldChar w:fldCharType="separate"/>
            </w:r>
            <w:r w:rsidRPr="00C023A8">
              <w:rPr>
                <w:rFonts w:ascii="Times New Roman" w:hAnsi="Times New Roman" w:cs="Times New Roman"/>
              </w:rPr>
              <w:fldChar w:fldCharType="end"/>
            </w:r>
            <w:r w:rsidR="00DD4E3B" w:rsidRPr="00C023A8">
              <w:rPr>
                <w:rFonts w:ascii="Times New Roman" w:hAnsi="Times New Roman" w:cs="Times New Roman"/>
                <w:spacing w:val="-2"/>
              </w:rPr>
              <w:t>zwiększenie liczby dokumentów</w:t>
            </w:r>
          </w:p>
          <w:p w14:paraId="50417C14" w14:textId="77777777" w:rsidR="00DD4E3B" w:rsidRPr="00C023A8" w:rsidRDefault="00B86692" w:rsidP="00F363F2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C023A8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E3B" w:rsidRPr="00C023A8">
              <w:rPr>
                <w:rFonts w:ascii="Times New Roman" w:hAnsi="Times New Roman" w:cs="Times New Roman"/>
              </w:rPr>
              <w:instrText xml:space="preserve"> FORMCHECKBOX </w:instrText>
            </w:r>
            <w:r w:rsidR="00E81E55">
              <w:rPr>
                <w:rFonts w:ascii="Times New Roman" w:hAnsi="Times New Roman" w:cs="Times New Roman"/>
              </w:rPr>
            </w:r>
            <w:r w:rsidR="00E81E55">
              <w:rPr>
                <w:rFonts w:ascii="Times New Roman" w:hAnsi="Times New Roman" w:cs="Times New Roman"/>
              </w:rPr>
              <w:fldChar w:fldCharType="separate"/>
            </w:r>
            <w:r w:rsidRPr="00C023A8">
              <w:rPr>
                <w:rFonts w:ascii="Times New Roman" w:hAnsi="Times New Roman" w:cs="Times New Roman"/>
              </w:rPr>
              <w:fldChar w:fldCharType="end"/>
            </w:r>
            <w:r w:rsidR="00DD4E3B" w:rsidRPr="00C023A8">
              <w:rPr>
                <w:rFonts w:ascii="Times New Roman" w:hAnsi="Times New Roman" w:cs="Times New Roman"/>
                <w:spacing w:val="-2"/>
              </w:rPr>
              <w:t>zwiększenie liczby procedur</w:t>
            </w:r>
          </w:p>
          <w:p w14:paraId="7B41F942" w14:textId="77777777" w:rsidR="00DD4E3B" w:rsidRPr="00C023A8" w:rsidRDefault="00B86692" w:rsidP="00F363F2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C023A8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E3B" w:rsidRPr="00C023A8">
              <w:rPr>
                <w:rFonts w:ascii="Times New Roman" w:hAnsi="Times New Roman" w:cs="Times New Roman"/>
              </w:rPr>
              <w:instrText xml:space="preserve"> FORMCHECKBOX </w:instrText>
            </w:r>
            <w:r w:rsidR="00E81E55">
              <w:rPr>
                <w:rFonts w:ascii="Times New Roman" w:hAnsi="Times New Roman" w:cs="Times New Roman"/>
              </w:rPr>
            </w:r>
            <w:r w:rsidR="00E81E55">
              <w:rPr>
                <w:rFonts w:ascii="Times New Roman" w:hAnsi="Times New Roman" w:cs="Times New Roman"/>
              </w:rPr>
              <w:fldChar w:fldCharType="separate"/>
            </w:r>
            <w:r w:rsidRPr="00C023A8">
              <w:rPr>
                <w:rFonts w:ascii="Times New Roman" w:hAnsi="Times New Roman" w:cs="Times New Roman"/>
              </w:rPr>
              <w:fldChar w:fldCharType="end"/>
            </w:r>
            <w:r w:rsidR="00DD4E3B" w:rsidRPr="00C023A8">
              <w:rPr>
                <w:rFonts w:ascii="Times New Roman" w:hAnsi="Times New Roman" w:cs="Times New Roman"/>
                <w:spacing w:val="-2"/>
              </w:rPr>
              <w:t>wydłużenie czasu na załatwienie sprawy</w:t>
            </w:r>
          </w:p>
          <w:p w14:paraId="2D044BB1" w14:textId="77777777" w:rsidR="00DD4E3B" w:rsidRPr="00C023A8" w:rsidRDefault="00B86692" w:rsidP="00F363F2">
            <w:pPr>
              <w:spacing w:after="0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E3B" w:rsidRPr="00C023A8">
              <w:rPr>
                <w:rFonts w:ascii="Times New Roman" w:hAnsi="Times New Roman" w:cs="Times New Roman"/>
              </w:rPr>
              <w:instrText xml:space="preserve"> FORMCHECKBOX </w:instrText>
            </w:r>
            <w:r w:rsidR="00E81E55">
              <w:rPr>
                <w:rFonts w:ascii="Times New Roman" w:hAnsi="Times New Roman" w:cs="Times New Roman"/>
              </w:rPr>
            </w:r>
            <w:r w:rsidR="00E81E55">
              <w:rPr>
                <w:rFonts w:ascii="Times New Roman" w:hAnsi="Times New Roman" w:cs="Times New Roman"/>
              </w:rPr>
              <w:fldChar w:fldCharType="separate"/>
            </w:r>
            <w:r w:rsidRPr="00C023A8">
              <w:rPr>
                <w:rFonts w:ascii="Times New Roman" w:hAnsi="Times New Roman" w:cs="Times New Roman"/>
              </w:rPr>
              <w:fldChar w:fldCharType="end"/>
            </w:r>
            <w:r w:rsidR="00DD4E3B" w:rsidRPr="00C023A8">
              <w:rPr>
                <w:rFonts w:ascii="Times New Roman" w:hAnsi="Times New Roman" w:cs="Times New Roman"/>
                <w:spacing w:val="-2"/>
              </w:rPr>
              <w:t>inne:</w:t>
            </w:r>
            <w:r w:rsidRPr="00C023A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DD4E3B" w:rsidRPr="00C023A8">
              <w:rPr>
                <w:rFonts w:ascii="Times New Roman" w:hAnsi="Times New Roman" w:cs="Times New Roman"/>
              </w:rPr>
              <w:instrText xml:space="preserve"> FORMTEXT </w:instrText>
            </w:r>
            <w:r w:rsidRPr="00C023A8">
              <w:rPr>
                <w:rFonts w:ascii="Times New Roman" w:hAnsi="Times New Roman" w:cs="Times New Roman"/>
              </w:rPr>
            </w:r>
            <w:r w:rsidRPr="00C023A8">
              <w:rPr>
                <w:rFonts w:ascii="Times New Roman" w:hAnsi="Times New Roman" w:cs="Times New Roman"/>
              </w:rPr>
              <w:fldChar w:fldCharType="separate"/>
            </w:r>
            <w:r w:rsidR="00DD4E3B" w:rsidRPr="00C023A8">
              <w:rPr>
                <w:rFonts w:ascii="Times New Roman" w:hAnsi="Times New Roman" w:cs="Times New Roman"/>
                <w:noProof/>
              </w:rPr>
              <w:t> </w:t>
            </w:r>
            <w:r w:rsidR="00DD4E3B" w:rsidRPr="00C023A8">
              <w:rPr>
                <w:rFonts w:ascii="Times New Roman" w:hAnsi="Times New Roman" w:cs="Times New Roman"/>
                <w:noProof/>
              </w:rPr>
              <w:t> </w:t>
            </w:r>
            <w:r w:rsidR="00DD4E3B" w:rsidRPr="00C023A8">
              <w:rPr>
                <w:rFonts w:ascii="Times New Roman" w:hAnsi="Times New Roman" w:cs="Times New Roman"/>
                <w:noProof/>
              </w:rPr>
              <w:t> </w:t>
            </w:r>
            <w:r w:rsidR="00DD4E3B" w:rsidRPr="00C023A8">
              <w:rPr>
                <w:rFonts w:ascii="Times New Roman" w:hAnsi="Times New Roman" w:cs="Times New Roman"/>
                <w:noProof/>
              </w:rPr>
              <w:t> </w:t>
            </w:r>
            <w:r w:rsidR="00DD4E3B" w:rsidRPr="00C023A8">
              <w:rPr>
                <w:rFonts w:ascii="Times New Roman" w:hAnsi="Times New Roman" w:cs="Times New Roman"/>
                <w:noProof/>
              </w:rPr>
              <w:t> </w:t>
            </w:r>
            <w:r w:rsidRPr="00C023A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D4E3B" w:rsidRPr="00DD4E3B" w14:paraId="546A44D7" w14:textId="77777777" w:rsidTr="00DD4E3B">
        <w:trPr>
          <w:gridAfter w:val="1"/>
          <w:wAfter w:w="10" w:type="dxa"/>
          <w:trHeight w:val="870"/>
        </w:trPr>
        <w:tc>
          <w:tcPr>
            <w:tcW w:w="5111" w:type="dxa"/>
            <w:gridSpan w:val="14"/>
            <w:shd w:val="clear" w:color="auto" w:fill="FFFFFF"/>
          </w:tcPr>
          <w:p w14:paraId="49E7F38B" w14:textId="77777777" w:rsidR="00DD4E3B" w:rsidRPr="00C023A8" w:rsidRDefault="00DD4E3B" w:rsidP="00F363F2">
            <w:pPr>
              <w:spacing w:after="0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276EEE4" w14:textId="77777777" w:rsidR="00DD4E3B" w:rsidRPr="00C023A8" w:rsidRDefault="00B86692" w:rsidP="00F363F2">
            <w:pPr>
              <w:spacing w:after="0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E3B" w:rsidRPr="00C023A8">
              <w:rPr>
                <w:rFonts w:ascii="Times New Roman" w:hAnsi="Times New Roman" w:cs="Times New Roman"/>
              </w:rPr>
              <w:instrText xml:space="preserve"> FORMCHECKBOX </w:instrText>
            </w:r>
            <w:r w:rsidR="00E81E55">
              <w:rPr>
                <w:rFonts w:ascii="Times New Roman" w:hAnsi="Times New Roman" w:cs="Times New Roman"/>
              </w:rPr>
            </w:r>
            <w:r w:rsidR="00E81E55">
              <w:rPr>
                <w:rFonts w:ascii="Times New Roman" w:hAnsi="Times New Roman" w:cs="Times New Roman"/>
              </w:rPr>
              <w:fldChar w:fldCharType="separate"/>
            </w:r>
            <w:r w:rsidRPr="00C023A8">
              <w:rPr>
                <w:rFonts w:ascii="Times New Roman" w:hAnsi="Times New Roman" w:cs="Times New Roman"/>
              </w:rPr>
              <w:fldChar w:fldCharType="end"/>
            </w:r>
            <w:r w:rsidR="00DD4E3B" w:rsidRPr="00C023A8">
              <w:rPr>
                <w:rFonts w:ascii="Times New Roman" w:hAnsi="Times New Roman" w:cs="Times New Roman"/>
              </w:rPr>
              <w:t xml:space="preserve"> tak</w:t>
            </w:r>
          </w:p>
          <w:p w14:paraId="07B7810A" w14:textId="77777777" w:rsidR="00DD4E3B" w:rsidRPr="00C023A8" w:rsidRDefault="00B86692" w:rsidP="00F363F2">
            <w:pPr>
              <w:spacing w:after="0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E3B" w:rsidRPr="00C023A8">
              <w:rPr>
                <w:rFonts w:ascii="Times New Roman" w:hAnsi="Times New Roman" w:cs="Times New Roman"/>
              </w:rPr>
              <w:instrText xml:space="preserve"> FORMCHECKBOX </w:instrText>
            </w:r>
            <w:r w:rsidR="00E81E55">
              <w:rPr>
                <w:rFonts w:ascii="Times New Roman" w:hAnsi="Times New Roman" w:cs="Times New Roman"/>
              </w:rPr>
            </w:r>
            <w:r w:rsidR="00E81E55">
              <w:rPr>
                <w:rFonts w:ascii="Times New Roman" w:hAnsi="Times New Roman" w:cs="Times New Roman"/>
              </w:rPr>
              <w:fldChar w:fldCharType="separate"/>
            </w:r>
            <w:r w:rsidRPr="00C023A8">
              <w:rPr>
                <w:rFonts w:ascii="Times New Roman" w:hAnsi="Times New Roman" w:cs="Times New Roman"/>
              </w:rPr>
              <w:fldChar w:fldCharType="end"/>
            </w:r>
            <w:r w:rsidR="00DD4E3B" w:rsidRPr="00C023A8">
              <w:rPr>
                <w:rFonts w:ascii="Times New Roman" w:hAnsi="Times New Roman" w:cs="Times New Roman"/>
              </w:rPr>
              <w:t xml:space="preserve"> nie</w:t>
            </w:r>
          </w:p>
          <w:p w14:paraId="25DE18CD" w14:textId="77777777" w:rsidR="00DD4E3B" w:rsidRPr="00C023A8" w:rsidRDefault="006A439E" w:rsidP="00F363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E81E55">
              <w:rPr>
                <w:rFonts w:ascii="Times New Roman" w:hAnsi="Times New Roman" w:cs="Times New Roman"/>
              </w:rPr>
            </w:r>
            <w:r w:rsidR="00E81E5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DD4E3B" w:rsidRPr="00C023A8">
              <w:rPr>
                <w:rFonts w:ascii="Times New Roman" w:hAnsi="Times New Roman" w:cs="Times New Roman"/>
              </w:rPr>
              <w:t xml:space="preserve"> nie dotyczy</w:t>
            </w:r>
          </w:p>
        </w:tc>
      </w:tr>
      <w:tr w:rsidR="00DD4E3B" w:rsidRPr="00DD4E3B" w14:paraId="25C1C3AB" w14:textId="77777777" w:rsidTr="00DD4E3B">
        <w:trPr>
          <w:gridAfter w:val="1"/>
          <w:wAfter w:w="10" w:type="dxa"/>
          <w:trHeight w:val="243"/>
        </w:trPr>
        <w:tc>
          <w:tcPr>
            <w:tcW w:w="10937" w:type="dxa"/>
            <w:gridSpan w:val="31"/>
            <w:shd w:val="clear" w:color="auto" w:fill="FFFFFF"/>
          </w:tcPr>
          <w:p w14:paraId="0BDFDA2E" w14:textId="77777777" w:rsidR="00DD4E3B" w:rsidRPr="00C023A8" w:rsidRDefault="00DD4E3B" w:rsidP="00F363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 xml:space="preserve">Komentarz: </w:t>
            </w:r>
          </w:p>
        </w:tc>
      </w:tr>
      <w:tr w:rsidR="00DD4E3B" w:rsidRPr="00DD4E3B" w14:paraId="5D23C012" w14:textId="77777777" w:rsidTr="00DD4E3B">
        <w:trPr>
          <w:gridAfter w:val="1"/>
          <w:wAfter w:w="10" w:type="dxa"/>
          <w:trHeight w:val="142"/>
        </w:trPr>
        <w:tc>
          <w:tcPr>
            <w:tcW w:w="10937" w:type="dxa"/>
            <w:gridSpan w:val="31"/>
            <w:shd w:val="clear" w:color="auto" w:fill="99CCFF"/>
          </w:tcPr>
          <w:p w14:paraId="157C505D" w14:textId="77777777" w:rsidR="00DD4E3B" w:rsidRPr="00C023A8" w:rsidRDefault="00DD4E3B" w:rsidP="00F363F2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023A8">
              <w:rPr>
                <w:rFonts w:ascii="Times New Roman" w:hAnsi="Times New Roman" w:cs="Times New Roman"/>
                <w:b/>
              </w:rPr>
              <w:t xml:space="preserve">Wpływ na rynek pracy </w:t>
            </w:r>
          </w:p>
        </w:tc>
      </w:tr>
      <w:tr w:rsidR="00DD4E3B" w:rsidRPr="00DD4E3B" w14:paraId="093A7EC9" w14:textId="77777777" w:rsidTr="00DD4E3B">
        <w:trPr>
          <w:gridAfter w:val="1"/>
          <w:wAfter w:w="10" w:type="dxa"/>
          <w:trHeight w:val="142"/>
        </w:trPr>
        <w:tc>
          <w:tcPr>
            <w:tcW w:w="10937" w:type="dxa"/>
            <w:gridSpan w:val="31"/>
            <w:shd w:val="clear" w:color="auto" w:fill="auto"/>
          </w:tcPr>
          <w:p w14:paraId="3F8C6CE6" w14:textId="77777777" w:rsidR="00DD4E3B" w:rsidRPr="00C023A8" w:rsidRDefault="00DD4E3B" w:rsidP="00F363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Brak wpływu na rynek pracy.</w:t>
            </w:r>
          </w:p>
        </w:tc>
      </w:tr>
      <w:tr w:rsidR="00DD4E3B" w:rsidRPr="00DD4E3B" w14:paraId="46E9797F" w14:textId="77777777" w:rsidTr="00DD4E3B">
        <w:trPr>
          <w:gridAfter w:val="1"/>
          <w:wAfter w:w="10" w:type="dxa"/>
          <w:trHeight w:val="142"/>
        </w:trPr>
        <w:tc>
          <w:tcPr>
            <w:tcW w:w="10937" w:type="dxa"/>
            <w:gridSpan w:val="31"/>
            <w:shd w:val="clear" w:color="auto" w:fill="99CCFF"/>
          </w:tcPr>
          <w:p w14:paraId="241EA695" w14:textId="77777777" w:rsidR="00DD4E3B" w:rsidRPr="00C023A8" w:rsidRDefault="00DD4E3B" w:rsidP="00F363F2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023A8">
              <w:rPr>
                <w:rFonts w:ascii="Times New Roman" w:hAnsi="Times New Roman" w:cs="Times New Roman"/>
                <w:b/>
              </w:rPr>
              <w:t>Wpływ na pozostałe obszary</w:t>
            </w:r>
          </w:p>
        </w:tc>
      </w:tr>
      <w:tr w:rsidR="00DD4E3B" w:rsidRPr="00DD4E3B" w14:paraId="7C5B9172" w14:textId="77777777" w:rsidTr="00DD4E3B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05E6CF0A" w14:textId="0F4DAB20" w:rsidR="00DD4E3B" w:rsidRPr="00C023A8" w:rsidRDefault="00B86692" w:rsidP="00F363F2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C023A8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E3B" w:rsidRPr="00C023A8">
              <w:rPr>
                <w:rFonts w:ascii="Times New Roman" w:hAnsi="Times New Roman" w:cs="Times New Roman"/>
              </w:rPr>
              <w:instrText xml:space="preserve"> FORMCHECKBOX </w:instrText>
            </w:r>
            <w:r w:rsidR="00E81E55">
              <w:rPr>
                <w:rFonts w:ascii="Times New Roman" w:hAnsi="Times New Roman" w:cs="Times New Roman"/>
              </w:rPr>
            </w:r>
            <w:r w:rsidR="00E81E55">
              <w:rPr>
                <w:rFonts w:ascii="Times New Roman" w:hAnsi="Times New Roman" w:cs="Times New Roman"/>
              </w:rPr>
              <w:fldChar w:fldCharType="separate"/>
            </w:r>
            <w:r w:rsidRPr="00C023A8">
              <w:rPr>
                <w:rFonts w:ascii="Times New Roman" w:hAnsi="Times New Roman" w:cs="Times New Roman"/>
              </w:rPr>
              <w:fldChar w:fldCharType="end"/>
            </w:r>
            <w:r w:rsidR="00A42E22">
              <w:rPr>
                <w:rFonts w:ascii="Times New Roman" w:hAnsi="Times New Roman" w:cs="Times New Roman"/>
              </w:rPr>
              <w:t xml:space="preserve"> </w:t>
            </w:r>
            <w:r w:rsidR="00DD4E3B" w:rsidRPr="00C023A8">
              <w:rPr>
                <w:rFonts w:ascii="Times New Roman" w:hAnsi="Times New Roman" w:cs="Times New Roman"/>
                <w:spacing w:val="-2"/>
              </w:rPr>
              <w:t>środowisko naturalne</w:t>
            </w:r>
          </w:p>
          <w:p w14:paraId="02A15434" w14:textId="77777777" w:rsidR="00DD4E3B" w:rsidRPr="00C023A8" w:rsidRDefault="00B86692" w:rsidP="00F363F2">
            <w:pPr>
              <w:spacing w:after="0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E3B" w:rsidRPr="00C023A8">
              <w:rPr>
                <w:rFonts w:ascii="Times New Roman" w:hAnsi="Times New Roman" w:cs="Times New Roman"/>
              </w:rPr>
              <w:instrText xml:space="preserve"> FORMCHECKBOX </w:instrText>
            </w:r>
            <w:r w:rsidR="00E81E55">
              <w:rPr>
                <w:rFonts w:ascii="Times New Roman" w:hAnsi="Times New Roman" w:cs="Times New Roman"/>
              </w:rPr>
            </w:r>
            <w:r w:rsidR="00E81E55">
              <w:rPr>
                <w:rFonts w:ascii="Times New Roman" w:hAnsi="Times New Roman" w:cs="Times New Roman"/>
              </w:rPr>
              <w:fldChar w:fldCharType="separate"/>
            </w:r>
            <w:r w:rsidRPr="00C023A8">
              <w:rPr>
                <w:rFonts w:ascii="Times New Roman" w:hAnsi="Times New Roman" w:cs="Times New Roman"/>
              </w:rPr>
              <w:fldChar w:fldCharType="end"/>
            </w:r>
            <w:r w:rsidR="00DD4E3B" w:rsidRPr="00C023A8">
              <w:rPr>
                <w:rFonts w:ascii="Times New Roman" w:hAnsi="Times New Roman" w:cs="Times New Roman"/>
              </w:rPr>
              <w:t xml:space="preserve"> sytuacja i rozwój regionalny</w:t>
            </w:r>
          </w:p>
          <w:p w14:paraId="022810C2" w14:textId="020FD433" w:rsidR="00A42E22" w:rsidRPr="00C023A8" w:rsidRDefault="00A42E22" w:rsidP="00F363F2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797362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362">
              <w:rPr>
                <w:rFonts w:ascii="Times New Roman" w:hAnsi="Times New Roman"/>
              </w:rPr>
              <w:instrText xml:space="preserve"> FORMCHECKBOX </w:instrText>
            </w:r>
            <w:r w:rsidR="00E81E55">
              <w:rPr>
                <w:rFonts w:ascii="Times New Roman" w:hAnsi="Times New Roman"/>
              </w:rPr>
            </w:r>
            <w:r w:rsidR="00E81E55">
              <w:rPr>
                <w:rFonts w:ascii="Times New Roman" w:hAnsi="Times New Roman"/>
              </w:rPr>
              <w:fldChar w:fldCharType="separate"/>
            </w:r>
            <w:r w:rsidRPr="00797362">
              <w:rPr>
                <w:rFonts w:ascii="Times New Roman" w:hAnsi="Times New Roman"/>
              </w:rPr>
              <w:fldChar w:fldCharType="end"/>
            </w:r>
            <w:r w:rsidRPr="00797362">
              <w:rPr>
                <w:rFonts w:ascii="Times New Roman" w:hAnsi="Times New Roman"/>
              </w:rPr>
              <w:t xml:space="preserve"> </w:t>
            </w:r>
            <w:r w:rsidRPr="00797362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7"/>
            <w:shd w:val="clear" w:color="auto" w:fill="FFFFFF"/>
          </w:tcPr>
          <w:p w14:paraId="561788FE" w14:textId="77777777" w:rsidR="00DD4E3B" w:rsidRPr="00C023A8" w:rsidRDefault="00B86692" w:rsidP="00F363F2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C023A8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E3B" w:rsidRPr="00C023A8">
              <w:rPr>
                <w:rFonts w:ascii="Times New Roman" w:hAnsi="Times New Roman" w:cs="Times New Roman"/>
              </w:rPr>
              <w:instrText xml:space="preserve"> FORMCHECKBOX </w:instrText>
            </w:r>
            <w:r w:rsidR="00E81E55">
              <w:rPr>
                <w:rFonts w:ascii="Times New Roman" w:hAnsi="Times New Roman" w:cs="Times New Roman"/>
              </w:rPr>
            </w:r>
            <w:r w:rsidR="00E81E55">
              <w:rPr>
                <w:rFonts w:ascii="Times New Roman" w:hAnsi="Times New Roman" w:cs="Times New Roman"/>
              </w:rPr>
              <w:fldChar w:fldCharType="separate"/>
            </w:r>
            <w:r w:rsidRPr="00C023A8">
              <w:rPr>
                <w:rFonts w:ascii="Times New Roman" w:hAnsi="Times New Roman" w:cs="Times New Roman"/>
              </w:rPr>
              <w:fldChar w:fldCharType="end"/>
            </w:r>
            <w:r w:rsidR="00DD4E3B" w:rsidRPr="00C023A8">
              <w:rPr>
                <w:rFonts w:ascii="Times New Roman" w:hAnsi="Times New Roman" w:cs="Times New Roman"/>
                <w:spacing w:val="-2"/>
              </w:rPr>
              <w:t>demografia</w:t>
            </w:r>
          </w:p>
          <w:p w14:paraId="2D160B61" w14:textId="77777777" w:rsidR="00DD4E3B" w:rsidRDefault="00B86692" w:rsidP="00F363F2">
            <w:pPr>
              <w:spacing w:after="0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E3B" w:rsidRPr="00C023A8">
              <w:rPr>
                <w:rFonts w:ascii="Times New Roman" w:hAnsi="Times New Roman" w:cs="Times New Roman"/>
              </w:rPr>
              <w:instrText xml:space="preserve"> FORMCHECKBOX </w:instrText>
            </w:r>
            <w:r w:rsidR="00E81E55">
              <w:rPr>
                <w:rFonts w:ascii="Times New Roman" w:hAnsi="Times New Roman" w:cs="Times New Roman"/>
              </w:rPr>
            </w:r>
            <w:r w:rsidR="00E81E55">
              <w:rPr>
                <w:rFonts w:ascii="Times New Roman" w:hAnsi="Times New Roman" w:cs="Times New Roman"/>
              </w:rPr>
              <w:fldChar w:fldCharType="separate"/>
            </w:r>
            <w:r w:rsidRPr="00C023A8">
              <w:rPr>
                <w:rFonts w:ascii="Times New Roman" w:hAnsi="Times New Roman" w:cs="Times New Roman"/>
              </w:rPr>
              <w:fldChar w:fldCharType="end"/>
            </w:r>
            <w:r w:rsidR="00DD4E3B" w:rsidRPr="00C023A8">
              <w:rPr>
                <w:rFonts w:ascii="Times New Roman" w:hAnsi="Times New Roman" w:cs="Times New Roman"/>
              </w:rPr>
              <w:t xml:space="preserve"> mienie państwowe</w:t>
            </w:r>
          </w:p>
          <w:p w14:paraId="41BF40CF" w14:textId="7B8AAFB6" w:rsidR="00A42E22" w:rsidRDefault="002854AB" w:rsidP="00A42E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E81E55">
              <w:rPr>
                <w:rFonts w:ascii="Times New Roman" w:hAnsi="Times New Roman" w:cs="Times New Roman"/>
              </w:rPr>
            </w:r>
            <w:r w:rsidR="00E81E5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A42E22" w:rsidRPr="006C7C77">
              <w:rPr>
                <w:rFonts w:ascii="Times New Roman" w:hAnsi="Times New Roman" w:cs="Times New Roman"/>
              </w:rPr>
              <w:t xml:space="preserve"> </w:t>
            </w:r>
            <w:r w:rsidR="00A42E22" w:rsidRPr="00C023A8">
              <w:rPr>
                <w:rFonts w:ascii="Times New Roman" w:hAnsi="Times New Roman" w:cs="Times New Roman"/>
                <w:spacing w:val="-2"/>
              </w:rPr>
              <w:t xml:space="preserve">inne: </w:t>
            </w:r>
            <w:r>
              <w:rPr>
                <w:rFonts w:ascii="Times New Roman" w:hAnsi="Times New Roman" w:cs="Times New Roman"/>
                <w:spacing w:val="-2"/>
              </w:rPr>
              <w:t>bezpieczeństwo</w:t>
            </w:r>
          </w:p>
          <w:p w14:paraId="5FEF50AF" w14:textId="77777777" w:rsidR="00A42E22" w:rsidRPr="00C023A8" w:rsidRDefault="00A42E22" w:rsidP="00F363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gridSpan w:val="9"/>
            <w:shd w:val="clear" w:color="auto" w:fill="FFFFFF"/>
          </w:tcPr>
          <w:p w14:paraId="7AF728A8" w14:textId="77777777" w:rsidR="00DD4E3B" w:rsidRPr="00C023A8" w:rsidRDefault="00B86692" w:rsidP="00990E60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023A8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E3B" w:rsidRPr="00C023A8">
              <w:rPr>
                <w:rFonts w:ascii="Times New Roman" w:hAnsi="Times New Roman" w:cs="Times New Roman"/>
              </w:rPr>
              <w:instrText xml:space="preserve"> FORMCHECKBOX </w:instrText>
            </w:r>
            <w:r w:rsidR="00E81E55">
              <w:rPr>
                <w:rFonts w:ascii="Times New Roman" w:hAnsi="Times New Roman" w:cs="Times New Roman"/>
              </w:rPr>
            </w:r>
            <w:r w:rsidR="00E81E55">
              <w:rPr>
                <w:rFonts w:ascii="Times New Roman" w:hAnsi="Times New Roman" w:cs="Times New Roman"/>
              </w:rPr>
              <w:fldChar w:fldCharType="separate"/>
            </w:r>
            <w:r w:rsidRPr="00C023A8">
              <w:rPr>
                <w:rFonts w:ascii="Times New Roman" w:hAnsi="Times New Roman" w:cs="Times New Roman"/>
              </w:rPr>
              <w:fldChar w:fldCharType="end"/>
            </w:r>
            <w:r w:rsidR="00DD4E3B" w:rsidRPr="00C023A8">
              <w:rPr>
                <w:rFonts w:ascii="Times New Roman" w:hAnsi="Times New Roman" w:cs="Times New Roman"/>
                <w:spacing w:val="-2"/>
              </w:rPr>
              <w:t>informatyzacja</w:t>
            </w:r>
          </w:p>
          <w:p w14:paraId="76DFA220" w14:textId="77777777" w:rsidR="00DD4E3B" w:rsidRPr="00C023A8" w:rsidRDefault="00B86692" w:rsidP="00990E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E3B" w:rsidRPr="00C023A8">
              <w:rPr>
                <w:rFonts w:ascii="Times New Roman" w:hAnsi="Times New Roman" w:cs="Times New Roman"/>
              </w:rPr>
              <w:instrText xml:space="preserve"> FORMCHECKBOX </w:instrText>
            </w:r>
            <w:r w:rsidR="00E81E55">
              <w:rPr>
                <w:rFonts w:ascii="Times New Roman" w:hAnsi="Times New Roman" w:cs="Times New Roman"/>
              </w:rPr>
            </w:r>
            <w:r w:rsidR="00E81E55">
              <w:rPr>
                <w:rFonts w:ascii="Times New Roman" w:hAnsi="Times New Roman" w:cs="Times New Roman"/>
              </w:rPr>
              <w:fldChar w:fldCharType="separate"/>
            </w:r>
            <w:r w:rsidRPr="00C023A8">
              <w:rPr>
                <w:rFonts w:ascii="Times New Roman" w:hAnsi="Times New Roman" w:cs="Times New Roman"/>
              </w:rPr>
              <w:fldChar w:fldCharType="end"/>
            </w:r>
            <w:r w:rsidR="00DD4E3B" w:rsidRPr="00C023A8">
              <w:rPr>
                <w:rFonts w:ascii="Times New Roman" w:hAnsi="Times New Roman" w:cs="Times New Roman"/>
                <w:spacing w:val="-2"/>
              </w:rPr>
              <w:t>zdrowie</w:t>
            </w:r>
          </w:p>
        </w:tc>
      </w:tr>
      <w:tr w:rsidR="00DD4E3B" w:rsidRPr="00DD4E3B" w14:paraId="68752B59" w14:textId="77777777" w:rsidTr="00DD4E3B">
        <w:trPr>
          <w:gridAfter w:val="1"/>
          <w:wAfter w:w="10" w:type="dxa"/>
          <w:trHeight w:val="291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5FE7AAF0" w14:textId="77777777" w:rsidR="00DD4E3B" w:rsidRPr="00C023A8" w:rsidRDefault="00DD4E3B" w:rsidP="00F363F2">
            <w:pPr>
              <w:spacing w:after="0"/>
              <w:rPr>
                <w:rFonts w:ascii="Times New Roman" w:hAnsi="Times New Roman" w:cs="Times New Roman"/>
              </w:rPr>
            </w:pPr>
            <w:r w:rsidRPr="00C023A8">
              <w:rPr>
                <w:rFonts w:ascii="Times New Roman" w:hAnsi="Times New Roman" w:cs="Times New Roman"/>
              </w:rPr>
              <w:t>Omówienie wpływu</w:t>
            </w:r>
          </w:p>
        </w:tc>
        <w:tc>
          <w:tcPr>
            <w:tcW w:w="8694" w:type="dxa"/>
            <w:gridSpan w:val="29"/>
            <w:shd w:val="clear" w:color="auto" w:fill="FFFFFF"/>
            <w:vAlign w:val="center"/>
          </w:tcPr>
          <w:p w14:paraId="5595A203" w14:textId="56D44499" w:rsidR="00DD4E3B" w:rsidRPr="00C023A8" w:rsidRDefault="001E23A4" w:rsidP="00A42E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Przyjęte</w:t>
            </w:r>
            <w:r w:rsidR="002854AB">
              <w:rPr>
                <w:rFonts w:ascii="Times New Roman" w:hAnsi="Times New Roman" w:cs="Times New Roman"/>
              </w:rPr>
              <w:t xml:space="preserve"> rozwiązanie zapewni bezpieczeństwo w zakresie dostępu do gotówki osób znajdujących się na terytorium Polski. Zwiększone zapotrzebowanie na gotówkę wynika z trwającego obecnie konfliktu zbrojnego na Ukrainie. </w:t>
            </w:r>
          </w:p>
        </w:tc>
      </w:tr>
      <w:tr w:rsidR="00DD4E3B" w:rsidRPr="00DD4E3B" w14:paraId="735A3B4A" w14:textId="77777777" w:rsidTr="00DD4E3B">
        <w:trPr>
          <w:gridAfter w:val="1"/>
          <w:wAfter w:w="10" w:type="dxa"/>
          <w:trHeight w:val="142"/>
        </w:trPr>
        <w:tc>
          <w:tcPr>
            <w:tcW w:w="10937" w:type="dxa"/>
            <w:gridSpan w:val="31"/>
            <w:shd w:val="clear" w:color="auto" w:fill="99CCFF"/>
          </w:tcPr>
          <w:p w14:paraId="720CE280" w14:textId="77777777" w:rsidR="00DD4E3B" w:rsidRPr="00C023A8" w:rsidRDefault="00DD4E3B" w:rsidP="00F363F2">
            <w:pPr>
              <w:numPr>
                <w:ilvl w:val="0"/>
                <w:numId w:val="3"/>
              </w:numPr>
              <w:spacing w:after="0"/>
              <w:ind w:left="318" w:hanging="284"/>
              <w:jc w:val="both"/>
              <w:rPr>
                <w:rFonts w:ascii="Times New Roman" w:hAnsi="Times New Roman" w:cs="Times New Roman"/>
                <w:b/>
              </w:rPr>
            </w:pPr>
            <w:r w:rsidRPr="00C023A8">
              <w:rPr>
                <w:rFonts w:ascii="Times New Roman" w:hAnsi="Times New Roman" w:cs="Times New Roman"/>
                <w:b/>
                <w:spacing w:val="-2"/>
              </w:rPr>
              <w:t>Planowane wykonanie przepisów aktu prawnego</w:t>
            </w:r>
          </w:p>
        </w:tc>
      </w:tr>
      <w:tr w:rsidR="00DD4E3B" w:rsidRPr="00DD4E3B" w14:paraId="36747BD9" w14:textId="77777777" w:rsidTr="004029BA">
        <w:trPr>
          <w:gridAfter w:val="1"/>
          <w:wAfter w:w="10" w:type="dxa"/>
          <w:trHeight w:val="142"/>
        </w:trPr>
        <w:tc>
          <w:tcPr>
            <w:tcW w:w="10937" w:type="dxa"/>
            <w:gridSpan w:val="31"/>
            <w:shd w:val="clear" w:color="auto" w:fill="FFFFFF"/>
            <w:vAlign w:val="center"/>
          </w:tcPr>
          <w:p w14:paraId="67A16A36" w14:textId="3BEA6A1C" w:rsidR="00365436" w:rsidRPr="00C023A8" w:rsidRDefault="007264A1" w:rsidP="00043D37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</w:rPr>
              <w:t>Planowane wykonanie przepisów nastąpi</w:t>
            </w:r>
            <w:r w:rsidRPr="00C023A8">
              <w:rPr>
                <w:rFonts w:ascii="Times New Roman" w:eastAsia="Calibri" w:hAnsi="Times New Roman" w:cs="Times New Roman"/>
              </w:rPr>
              <w:t xml:space="preserve"> </w:t>
            </w:r>
            <w:r w:rsidR="00686040" w:rsidRPr="00C023A8">
              <w:rPr>
                <w:rFonts w:ascii="Times New Roman" w:eastAsia="Calibri" w:hAnsi="Times New Roman" w:cs="Times New Roman"/>
              </w:rPr>
              <w:t xml:space="preserve">z </w:t>
            </w:r>
            <w:r>
              <w:rPr>
                <w:rFonts w:ascii="Times New Roman" w:eastAsia="Calibri" w:hAnsi="Times New Roman" w:cs="Times New Roman"/>
              </w:rPr>
              <w:t xml:space="preserve">dniem </w:t>
            </w:r>
            <w:r w:rsidRPr="00C023A8">
              <w:rPr>
                <w:rFonts w:ascii="Times New Roman" w:eastAsia="Calibri" w:hAnsi="Times New Roman" w:cs="Times New Roman"/>
              </w:rPr>
              <w:t>wejści</w:t>
            </w:r>
            <w:r>
              <w:rPr>
                <w:rFonts w:ascii="Times New Roman" w:eastAsia="Calibri" w:hAnsi="Times New Roman" w:cs="Times New Roman"/>
              </w:rPr>
              <w:t xml:space="preserve">a </w:t>
            </w:r>
            <w:r w:rsidR="00686040" w:rsidRPr="00C023A8">
              <w:rPr>
                <w:rFonts w:ascii="Times New Roman" w:eastAsia="Calibri" w:hAnsi="Times New Roman" w:cs="Times New Roman"/>
              </w:rPr>
              <w:t>aktu prawnego w życie</w:t>
            </w:r>
            <w:r w:rsidR="006A439E">
              <w:rPr>
                <w:rFonts w:ascii="Times New Roman" w:eastAsia="Calibri" w:hAnsi="Times New Roman" w:cs="Times New Roman"/>
              </w:rPr>
              <w:t>, kt</w:t>
            </w:r>
            <w:r w:rsidR="0050199A">
              <w:rPr>
                <w:rFonts w:ascii="Times New Roman" w:eastAsia="Calibri" w:hAnsi="Times New Roman" w:cs="Times New Roman"/>
              </w:rPr>
              <w:t xml:space="preserve">óre przewiduje się </w:t>
            </w:r>
            <w:r w:rsidR="00D97112">
              <w:rPr>
                <w:rFonts w:ascii="Times New Roman" w:eastAsia="Calibri" w:hAnsi="Times New Roman" w:cs="Times New Roman"/>
              </w:rPr>
              <w:t xml:space="preserve">z dniem </w:t>
            </w:r>
            <w:r w:rsidR="00043D37">
              <w:rPr>
                <w:rFonts w:ascii="Times New Roman" w:eastAsia="Calibri" w:hAnsi="Times New Roman" w:cs="Times New Roman"/>
              </w:rPr>
              <w:t>16</w:t>
            </w:r>
            <w:r w:rsidR="00D97112">
              <w:rPr>
                <w:rFonts w:ascii="Times New Roman" w:eastAsia="Calibri" w:hAnsi="Times New Roman" w:cs="Times New Roman"/>
              </w:rPr>
              <w:t xml:space="preserve"> marca 2022 r.</w:t>
            </w:r>
          </w:p>
        </w:tc>
      </w:tr>
      <w:tr w:rsidR="00DD4E3B" w:rsidRPr="00DD4E3B" w14:paraId="3C99E87E" w14:textId="77777777" w:rsidTr="00DD4E3B">
        <w:trPr>
          <w:gridAfter w:val="1"/>
          <w:wAfter w:w="10" w:type="dxa"/>
          <w:trHeight w:val="142"/>
        </w:trPr>
        <w:tc>
          <w:tcPr>
            <w:tcW w:w="10937" w:type="dxa"/>
            <w:gridSpan w:val="31"/>
            <w:shd w:val="clear" w:color="auto" w:fill="99CCFF"/>
          </w:tcPr>
          <w:p w14:paraId="2DC012B1" w14:textId="77777777" w:rsidR="00DD4E3B" w:rsidRPr="00C023A8" w:rsidRDefault="00DD4E3B" w:rsidP="00F363F2">
            <w:pPr>
              <w:numPr>
                <w:ilvl w:val="0"/>
                <w:numId w:val="3"/>
              </w:numPr>
              <w:spacing w:after="0"/>
              <w:ind w:left="318" w:hanging="284"/>
              <w:jc w:val="both"/>
              <w:rPr>
                <w:rFonts w:ascii="Times New Roman" w:hAnsi="Times New Roman" w:cs="Times New Roman"/>
                <w:b/>
              </w:rPr>
            </w:pPr>
            <w:r w:rsidRPr="00C023A8">
              <w:rPr>
                <w:rFonts w:ascii="Times New Roman" w:hAnsi="Times New Roman" w:cs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DD4E3B" w:rsidRPr="00DD4E3B" w14:paraId="7758DD8B" w14:textId="77777777" w:rsidTr="00DD4E3B">
        <w:trPr>
          <w:gridAfter w:val="1"/>
          <w:wAfter w:w="10" w:type="dxa"/>
          <w:trHeight w:val="142"/>
        </w:trPr>
        <w:tc>
          <w:tcPr>
            <w:tcW w:w="10937" w:type="dxa"/>
            <w:gridSpan w:val="31"/>
            <w:shd w:val="clear" w:color="auto" w:fill="FFFFFF"/>
          </w:tcPr>
          <w:p w14:paraId="7778FB98" w14:textId="466FA4DF" w:rsidR="00D7222A" w:rsidRPr="00C023A8" w:rsidRDefault="00833D30" w:rsidP="0050199A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833D30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Ze względu na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epizodyczny </w:t>
            </w:r>
            <w:r w:rsidRPr="00833D30">
              <w:rPr>
                <w:rFonts w:ascii="Times New Roman" w:eastAsia="Calibri" w:hAnsi="Times New Roman" w:cs="Times New Roman"/>
                <w:color w:val="000000"/>
                <w:spacing w:val="-2"/>
              </w:rPr>
              <w:t>charakter wprowadzanej regulacji nie jest planowana ewaluacja efektów projektu, a tym samym nie przewiduje się stosowania mierników ewaluacji.</w:t>
            </w:r>
          </w:p>
        </w:tc>
      </w:tr>
      <w:tr w:rsidR="00DD4E3B" w:rsidRPr="00DD4E3B" w14:paraId="2BE14FEB" w14:textId="77777777" w:rsidTr="00DD4E3B">
        <w:trPr>
          <w:gridAfter w:val="1"/>
          <w:wAfter w:w="10" w:type="dxa"/>
          <w:trHeight w:val="142"/>
        </w:trPr>
        <w:tc>
          <w:tcPr>
            <w:tcW w:w="10937" w:type="dxa"/>
            <w:gridSpan w:val="31"/>
            <w:shd w:val="clear" w:color="auto" w:fill="99CCFF"/>
          </w:tcPr>
          <w:p w14:paraId="273809EB" w14:textId="77777777" w:rsidR="00DD4E3B" w:rsidRPr="00C023A8" w:rsidRDefault="00DD4E3B" w:rsidP="00F363F2">
            <w:pPr>
              <w:numPr>
                <w:ilvl w:val="0"/>
                <w:numId w:val="3"/>
              </w:numPr>
              <w:spacing w:after="0"/>
              <w:ind w:left="318" w:hanging="284"/>
              <w:jc w:val="both"/>
              <w:rPr>
                <w:rFonts w:ascii="Times New Roman" w:hAnsi="Times New Roman" w:cs="Times New Roman"/>
                <w:b/>
                <w:spacing w:val="-2"/>
              </w:rPr>
            </w:pPr>
            <w:r w:rsidRPr="00C023A8">
              <w:rPr>
                <w:rFonts w:ascii="Times New Roman" w:hAnsi="Times New Roman" w:cs="Times New Roman"/>
                <w:b/>
                <w:spacing w:val="-2"/>
              </w:rPr>
              <w:t xml:space="preserve">Załączniki (istotne dokumenty źródłowe, badania, analizy itp.) </w:t>
            </w:r>
          </w:p>
        </w:tc>
      </w:tr>
      <w:tr w:rsidR="00DD4E3B" w:rsidRPr="00DD4E3B" w14:paraId="3E65C9B3" w14:textId="77777777" w:rsidTr="00DD4E3B">
        <w:trPr>
          <w:gridAfter w:val="1"/>
          <w:wAfter w:w="10" w:type="dxa"/>
          <w:trHeight w:val="142"/>
        </w:trPr>
        <w:tc>
          <w:tcPr>
            <w:tcW w:w="10937" w:type="dxa"/>
            <w:gridSpan w:val="31"/>
            <w:shd w:val="clear" w:color="auto" w:fill="FFFFFF"/>
          </w:tcPr>
          <w:p w14:paraId="57965C75" w14:textId="777740C4" w:rsidR="00F059F7" w:rsidRPr="00C023A8" w:rsidRDefault="00334940" w:rsidP="00F53662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Brak.</w:t>
            </w:r>
          </w:p>
        </w:tc>
      </w:tr>
    </w:tbl>
    <w:p w14:paraId="61F79FA8" w14:textId="77777777" w:rsidR="00E57D28" w:rsidRDefault="00E57D28" w:rsidP="0039195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sectPr w:rsidR="00E57D28" w:rsidSect="00391954">
      <w:footerReference w:type="default" r:id="rId8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8F2EC" w14:textId="77777777" w:rsidR="00E81E55" w:rsidRDefault="00E81E55" w:rsidP="00EF1C1B">
      <w:pPr>
        <w:spacing w:after="0" w:line="240" w:lineRule="auto"/>
      </w:pPr>
      <w:r>
        <w:separator/>
      </w:r>
    </w:p>
  </w:endnote>
  <w:endnote w:type="continuationSeparator" w:id="0">
    <w:p w14:paraId="2D627CE0" w14:textId="77777777" w:rsidR="00E81E55" w:rsidRDefault="00E81E55" w:rsidP="00EF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4437981"/>
      <w:docPartObj>
        <w:docPartGallery w:val="Page Numbers (Bottom of Page)"/>
        <w:docPartUnique/>
      </w:docPartObj>
    </w:sdtPr>
    <w:sdtEndPr/>
    <w:sdtContent>
      <w:p w14:paraId="16559E9D" w14:textId="77777777" w:rsidR="00AE59A0" w:rsidRDefault="00AE59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CF0">
          <w:rPr>
            <w:noProof/>
          </w:rPr>
          <w:t>1</w:t>
        </w:r>
        <w:r>
          <w:fldChar w:fldCharType="end"/>
        </w:r>
      </w:p>
    </w:sdtContent>
  </w:sdt>
  <w:p w14:paraId="6DB29F9C" w14:textId="77777777" w:rsidR="00AE59A0" w:rsidRDefault="00AE59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B96A1" w14:textId="77777777" w:rsidR="00E81E55" w:rsidRDefault="00E81E55" w:rsidP="00EF1C1B">
      <w:pPr>
        <w:spacing w:after="0" w:line="240" w:lineRule="auto"/>
      </w:pPr>
      <w:r>
        <w:separator/>
      </w:r>
    </w:p>
  </w:footnote>
  <w:footnote w:type="continuationSeparator" w:id="0">
    <w:p w14:paraId="7F5EAD4D" w14:textId="77777777" w:rsidR="00E81E55" w:rsidRDefault="00E81E55" w:rsidP="00EF1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1F7404D"/>
    <w:multiLevelType w:val="multilevel"/>
    <w:tmpl w:val="E36C5638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91D9D"/>
    <w:multiLevelType w:val="hybridMultilevel"/>
    <w:tmpl w:val="63B216A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D2A75"/>
    <w:multiLevelType w:val="hybridMultilevel"/>
    <w:tmpl w:val="6136AC80"/>
    <w:lvl w:ilvl="0" w:tplc="04150011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4454B3"/>
    <w:multiLevelType w:val="hybridMultilevel"/>
    <w:tmpl w:val="22B6E8D6"/>
    <w:lvl w:ilvl="0" w:tplc="DA7A12A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B31DB"/>
    <w:multiLevelType w:val="hybridMultilevel"/>
    <w:tmpl w:val="CC08E59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754FED"/>
    <w:multiLevelType w:val="hybridMultilevel"/>
    <w:tmpl w:val="B21A1DD2"/>
    <w:lvl w:ilvl="0" w:tplc="720CC478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2B1C6E"/>
    <w:multiLevelType w:val="hybridMultilevel"/>
    <w:tmpl w:val="3586C27C"/>
    <w:lvl w:ilvl="0" w:tplc="8416D8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3A10"/>
    <w:multiLevelType w:val="hybridMultilevel"/>
    <w:tmpl w:val="873EC66E"/>
    <w:lvl w:ilvl="0" w:tplc="219CE1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3F4D81"/>
    <w:multiLevelType w:val="hybridMultilevel"/>
    <w:tmpl w:val="A0F8E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4283A"/>
    <w:multiLevelType w:val="hybridMultilevel"/>
    <w:tmpl w:val="39061D30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9442BA"/>
    <w:multiLevelType w:val="hybridMultilevel"/>
    <w:tmpl w:val="D3422E30"/>
    <w:lvl w:ilvl="0" w:tplc="5DA2663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4E57F5"/>
    <w:multiLevelType w:val="hybridMultilevel"/>
    <w:tmpl w:val="BC4E9F5C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65662"/>
    <w:multiLevelType w:val="hybridMultilevel"/>
    <w:tmpl w:val="D58E31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A6B4B"/>
    <w:multiLevelType w:val="hybridMultilevel"/>
    <w:tmpl w:val="770C6E2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230B7"/>
    <w:multiLevelType w:val="hybridMultilevel"/>
    <w:tmpl w:val="557E28D0"/>
    <w:lvl w:ilvl="0" w:tplc="1CF4FC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EEE72"/>
    <w:multiLevelType w:val="hybridMultilevel"/>
    <w:tmpl w:val="364C6D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6017F68"/>
    <w:multiLevelType w:val="hybridMultilevel"/>
    <w:tmpl w:val="FE664296"/>
    <w:lvl w:ilvl="0" w:tplc="A044BBD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756245A"/>
    <w:multiLevelType w:val="hybridMultilevel"/>
    <w:tmpl w:val="5002C55C"/>
    <w:lvl w:ilvl="0" w:tplc="FA3675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B83D6F"/>
    <w:multiLevelType w:val="hybridMultilevel"/>
    <w:tmpl w:val="66CAD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26C23"/>
    <w:multiLevelType w:val="hybridMultilevel"/>
    <w:tmpl w:val="9DC86B1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666E7"/>
    <w:multiLevelType w:val="hybridMultilevel"/>
    <w:tmpl w:val="E674A47A"/>
    <w:lvl w:ilvl="0" w:tplc="A044BB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7FCD52"/>
    <w:multiLevelType w:val="multilevel"/>
    <w:tmpl w:val="010EF4CE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B8B01C9"/>
    <w:multiLevelType w:val="hybridMultilevel"/>
    <w:tmpl w:val="6264F0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E65F8"/>
    <w:multiLevelType w:val="hybridMultilevel"/>
    <w:tmpl w:val="74462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125B4"/>
    <w:multiLevelType w:val="hybridMultilevel"/>
    <w:tmpl w:val="D32E2610"/>
    <w:lvl w:ilvl="0" w:tplc="BBD44B0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C6CD82"/>
    <w:multiLevelType w:val="hybridMultilevel"/>
    <w:tmpl w:val="0562E9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66945AF"/>
    <w:multiLevelType w:val="hybridMultilevel"/>
    <w:tmpl w:val="E1D2D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41309"/>
    <w:multiLevelType w:val="hybridMultilevel"/>
    <w:tmpl w:val="3F0C1BAC"/>
    <w:lvl w:ilvl="0" w:tplc="04150017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3971D1"/>
    <w:multiLevelType w:val="hybridMultilevel"/>
    <w:tmpl w:val="0430FA30"/>
    <w:lvl w:ilvl="0" w:tplc="E3E20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50B86"/>
    <w:multiLevelType w:val="hybridMultilevel"/>
    <w:tmpl w:val="6E42394E"/>
    <w:lvl w:ilvl="0" w:tplc="A044BB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150074B"/>
    <w:multiLevelType w:val="hybridMultilevel"/>
    <w:tmpl w:val="1BB6639E"/>
    <w:lvl w:ilvl="0" w:tplc="432C8168">
      <w:start w:val="1"/>
      <w:numFmt w:val="decimal"/>
      <w:lvlText w:val="%1"/>
      <w:lvlJc w:val="left"/>
      <w:pPr>
        <w:ind w:left="705" w:hanging="405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68805510"/>
    <w:multiLevelType w:val="hybridMultilevel"/>
    <w:tmpl w:val="161EB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E38E0"/>
    <w:multiLevelType w:val="hybridMultilevel"/>
    <w:tmpl w:val="4BDA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A6AD6"/>
    <w:multiLevelType w:val="hybridMultilevel"/>
    <w:tmpl w:val="89C84F48"/>
    <w:lvl w:ilvl="0" w:tplc="0052871C">
      <w:start w:val="1"/>
      <w:numFmt w:val="lowerLetter"/>
      <w:lvlText w:val="%1)"/>
      <w:lvlJc w:val="left"/>
      <w:pPr>
        <w:ind w:left="928" w:hanging="360"/>
      </w:pPr>
      <w:rPr>
        <w:rFonts w:ascii="Times New Roman" w:eastAsia="Calibr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EBCD807"/>
    <w:multiLevelType w:val="hybridMultilevel"/>
    <w:tmpl w:val="431B2513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5093738"/>
    <w:multiLevelType w:val="hybridMultilevel"/>
    <w:tmpl w:val="1C36CB08"/>
    <w:lvl w:ilvl="0" w:tplc="A044BB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5201FD3"/>
    <w:multiLevelType w:val="hybridMultilevel"/>
    <w:tmpl w:val="3A0AF402"/>
    <w:lvl w:ilvl="0" w:tplc="A044BB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D7B1AAA"/>
    <w:multiLevelType w:val="hybridMultilevel"/>
    <w:tmpl w:val="A7AE60F4"/>
    <w:lvl w:ilvl="0" w:tplc="FFEA4D26">
      <w:start w:val="1"/>
      <w:numFmt w:val="decimal"/>
      <w:lvlText w:val="%1)"/>
      <w:lvlJc w:val="left"/>
      <w:pPr>
        <w:ind w:left="1353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961A3"/>
    <w:multiLevelType w:val="hybridMultilevel"/>
    <w:tmpl w:val="6B22903A"/>
    <w:lvl w:ilvl="0" w:tplc="81B0BA36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33"/>
  </w:num>
  <w:num w:numId="3">
    <w:abstractNumId w:val="20"/>
  </w:num>
  <w:num w:numId="4">
    <w:abstractNumId w:val="22"/>
  </w:num>
  <w:num w:numId="5">
    <w:abstractNumId w:val="26"/>
  </w:num>
  <w:num w:numId="6">
    <w:abstractNumId w:val="17"/>
  </w:num>
  <w:num w:numId="7">
    <w:abstractNumId w:val="0"/>
  </w:num>
  <w:num w:numId="8">
    <w:abstractNumId w:val="35"/>
  </w:num>
  <w:num w:numId="9">
    <w:abstractNumId w:val="9"/>
  </w:num>
  <w:num w:numId="10">
    <w:abstractNumId w:val="29"/>
  </w:num>
  <w:num w:numId="11">
    <w:abstractNumId w:val="3"/>
  </w:num>
  <w:num w:numId="12">
    <w:abstractNumId w:val="1"/>
  </w:num>
  <w:num w:numId="13">
    <w:abstractNumId w:val="27"/>
  </w:num>
  <w:num w:numId="14">
    <w:abstractNumId w:val="12"/>
  </w:num>
  <w:num w:numId="15">
    <w:abstractNumId w:val="15"/>
  </w:num>
  <w:num w:numId="16">
    <w:abstractNumId w:val="13"/>
  </w:num>
  <w:num w:numId="17">
    <w:abstractNumId w:val="8"/>
  </w:num>
  <w:num w:numId="18">
    <w:abstractNumId w:val="24"/>
  </w:num>
  <w:num w:numId="19">
    <w:abstractNumId w:val="18"/>
  </w:num>
  <w:num w:numId="20">
    <w:abstractNumId w:val="6"/>
  </w:num>
  <w:num w:numId="21">
    <w:abstractNumId w:val="36"/>
  </w:num>
  <w:num w:numId="22">
    <w:abstractNumId w:val="21"/>
  </w:num>
  <w:num w:numId="23">
    <w:abstractNumId w:val="19"/>
  </w:num>
  <w:num w:numId="24">
    <w:abstractNumId w:val="4"/>
  </w:num>
  <w:num w:numId="25">
    <w:abstractNumId w:val="2"/>
  </w:num>
  <w:num w:numId="26">
    <w:abstractNumId w:val="7"/>
  </w:num>
  <w:num w:numId="27">
    <w:abstractNumId w:val="38"/>
  </w:num>
  <w:num w:numId="28">
    <w:abstractNumId w:val="28"/>
  </w:num>
  <w:num w:numId="29">
    <w:abstractNumId w:val="5"/>
  </w:num>
  <w:num w:numId="30">
    <w:abstractNumId w:val="30"/>
  </w:num>
  <w:num w:numId="31">
    <w:abstractNumId w:val="25"/>
  </w:num>
  <w:num w:numId="32">
    <w:abstractNumId w:val="39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7"/>
  </w:num>
  <w:num w:numId="37">
    <w:abstractNumId w:val="34"/>
  </w:num>
  <w:num w:numId="38">
    <w:abstractNumId w:val="16"/>
  </w:num>
  <w:num w:numId="39">
    <w:abstractNumId w:val="14"/>
  </w:num>
  <w:num w:numId="40">
    <w:abstractNumId w:val="32"/>
  </w:num>
  <w:num w:numId="41">
    <w:abstractNumId w:val="10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1B"/>
    <w:rsid w:val="00000254"/>
    <w:rsid w:val="00010D56"/>
    <w:rsid w:val="00014C8A"/>
    <w:rsid w:val="00022CB3"/>
    <w:rsid w:val="00023310"/>
    <w:rsid w:val="000237BA"/>
    <w:rsid w:val="0002561C"/>
    <w:rsid w:val="00026D71"/>
    <w:rsid w:val="00027A2E"/>
    <w:rsid w:val="0003532F"/>
    <w:rsid w:val="000360E6"/>
    <w:rsid w:val="000361F2"/>
    <w:rsid w:val="000406FB"/>
    <w:rsid w:val="000438DC"/>
    <w:rsid w:val="00043D37"/>
    <w:rsid w:val="00043E48"/>
    <w:rsid w:val="00044993"/>
    <w:rsid w:val="0005021C"/>
    <w:rsid w:val="00051025"/>
    <w:rsid w:val="000622CE"/>
    <w:rsid w:val="000636B4"/>
    <w:rsid w:val="00064954"/>
    <w:rsid w:val="000669EC"/>
    <w:rsid w:val="00066CB2"/>
    <w:rsid w:val="00072668"/>
    <w:rsid w:val="0007473A"/>
    <w:rsid w:val="00074D65"/>
    <w:rsid w:val="00077CCE"/>
    <w:rsid w:val="00080F84"/>
    <w:rsid w:val="00085A03"/>
    <w:rsid w:val="00090CE4"/>
    <w:rsid w:val="00091AF1"/>
    <w:rsid w:val="00091DA1"/>
    <w:rsid w:val="00095AC2"/>
    <w:rsid w:val="00095CF0"/>
    <w:rsid w:val="0009721A"/>
    <w:rsid w:val="000A18C6"/>
    <w:rsid w:val="000B7DAC"/>
    <w:rsid w:val="000C0B8D"/>
    <w:rsid w:val="000C1B85"/>
    <w:rsid w:val="000C2C99"/>
    <w:rsid w:val="000C396C"/>
    <w:rsid w:val="000C4065"/>
    <w:rsid w:val="000C76D4"/>
    <w:rsid w:val="000D1AD8"/>
    <w:rsid w:val="000D30ED"/>
    <w:rsid w:val="000D473B"/>
    <w:rsid w:val="000D76EB"/>
    <w:rsid w:val="000E17FA"/>
    <w:rsid w:val="000E49E4"/>
    <w:rsid w:val="000E6076"/>
    <w:rsid w:val="000F0F2A"/>
    <w:rsid w:val="000F2528"/>
    <w:rsid w:val="000F2623"/>
    <w:rsid w:val="000F2877"/>
    <w:rsid w:val="000F43CC"/>
    <w:rsid w:val="00106578"/>
    <w:rsid w:val="00111F29"/>
    <w:rsid w:val="00112CB9"/>
    <w:rsid w:val="00113C30"/>
    <w:rsid w:val="001149AD"/>
    <w:rsid w:val="001179EA"/>
    <w:rsid w:val="00126732"/>
    <w:rsid w:val="001277A7"/>
    <w:rsid w:val="001328D7"/>
    <w:rsid w:val="00132EC4"/>
    <w:rsid w:val="001407A2"/>
    <w:rsid w:val="00141CE5"/>
    <w:rsid w:val="0014724B"/>
    <w:rsid w:val="00147B2A"/>
    <w:rsid w:val="001519A0"/>
    <w:rsid w:val="001524CB"/>
    <w:rsid w:val="00152B32"/>
    <w:rsid w:val="00152C07"/>
    <w:rsid w:val="0015544B"/>
    <w:rsid w:val="00157C57"/>
    <w:rsid w:val="00157D19"/>
    <w:rsid w:val="001610CB"/>
    <w:rsid w:val="00165726"/>
    <w:rsid w:val="0017096E"/>
    <w:rsid w:val="001743C5"/>
    <w:rsid w:val="001749A3"/>
    <w:rsid w:val="00174B89"/>
    <w:rsid w:val="00174C5E"/>
    <w:rsid w:val="00175BB0"/>
    <w:rsid w:val="00176978"/>
    <w:rsid w:val="00177511"/>
    <w:rsid w:val="00181BD9"/>
    <w:rsid w:val="001825FD"/>
    <w:rsid w:val="00184480"/>
    <w:rsid w:val="001845F5"/>
    <w:rsid w:val="00186F1C"/>
    <w:rsid w:val="001874FD"/>
    <w:rsid w:val="00191113"/>
    <w:rsid w:val="001927CF"/>
    <w:rsid w:val="00192904"/>
    <w:rsid w:val="0019757E"/>
    <w:rsid w:val="00197924"/>
    <w:rsid w:val="001A1059"/>
    <w:rsid w:val="001A3B03"/>
    <w:rsid w:val="001B1391"/>
    <w:rsid w:val="001B303B"/>
    <w:rsid w:val="001B3877"/>
    <w:rsid w:val="001B4E40"/>
    <w:rsid w:val="001B66B4"/>
    <w:rsid w:val="001B7936"/>
    <w:rsid w:val="001C1D8C"/>
    <w:rsid w:val="001C216A"/>
    <w:rsid w:val="001C7D67"/>
    <w:rsid w:val="001C7DD6"/>
    <w:rsid w:val="001D2A57"/>
    <w:rsid w:val="001D3237"/>
    <w:rsid w:val="001D463F"/>
    <w:rsid w:val="001D5D23"/>
    <w:rsid w:val="001D7C56"/>
    <w:rsid w:val="001E06D9"/>
    <w:rsid w:val="001E23A4"/>
    <w:rsid w:val="001E27C6"/>
    <w:rsid w:val="001E45F8"/>
    <w:rsid w:val="001E4AD8"/>
    <w:rsid w:val="001E4E5D"/>
    <w:rsid w:val="001F2182"/>
    <w:rsid w:val="001F443C"/>
    <w:rsid w:val="001F56E1"/>
    <w:rsid w:val="001F5719"/>
    <w:rsid w:val="0020240B"/>
    <w:rsid w:val="00206D2F"/>
    <w:rsid w:val="00206FBF"/>
    <w:rsid w:val="00207653"/>
    <w:rsid w:val="00210B5A"/>
    <w:rsid w:val="00213694"/>
    <w:rsid w:val="002165DE"/>
    <w:rsid w:val="002205EB"/>
    <w:rsid w:val="002216FE"/>
    <w:rsid w:val="0022374D"/>
    <w:rsid w:val="00226088"/>
    <w:rsid w:val="002312AD"/>
    <w:rsid w:val="00231EA5"/>
    <w:rsid w:val="00234B3C"/>
    <w:rsid w:val="00236542"/>
    <w:rsid w:val="00242098"/>
    <w:rsid w:val="00242E0A"/>
    <w:rsid w:val="002471A3"/>
    <w:rsid w:val="0024722D"/>
    <w:rsid w:val="00251277"/>
    <w:rsid w:val="00251B0A"/>
    <w:rsid w:val="00253143"/>
    <w:rsid w:val="002531D3"/>
    <w:rsid w:val="00254DB3"/>
    <w:rsid w:val="00256B53"/>
    <w:rsid w:val="00257963"/>
    <w:rsid w:val="00261006"/>
    <w:rsid w:val="00263436"/>
    <w:rsid w:val="002664B2"/>
    <w:rsid w:val="002665EB"/>
    <w:rsid w:val="002666A1"/>
    <w:rsid w:val="00276B69"/>
    <w:rsid w:val="00276BB3"/>
    <w:rsid w:val="002773AF"/>
    <w:rsid w:val="00280608"/>
    <w:rsid w:val="00283B86"/>
    <w:rsid w:val="002850FC"/>
    <w:rsid w:val="002854AB"/>
    <w:rsid w:val="00285A07"/>
    <w:rsid w:val="00286567"/>
    <w:rsid w:val="00290576"/>
    <w:rsid w:val="002942D3"/>
    <w:rsid w:val="00294A36"/>
    <w:rsid w:val="00295388"/>
    <w:rsid w:val="002953DF"/>
    <w:rsid w:val="00297BB6"/>
    <w:rsid w:val="002A2B93"/>
    <w:rsid w:val="002A321A"/>
    <w:rsid w:val="002A3B41"/>
    <w:rsid w:val="002A5404"/>
    <w:rsid w:val="002A6B68"/>
    <w:rsid w:val="002B78DF"/>
    <w:rsid w:val="002C00F1"/>
    <w:rsid w:val="002C1457"/>
    <w:rsid w:val="002C3933"/>
    <w:rsid w:val="002C3F76"/>
    <w:rsid w:val="002C3FED"/>
    <w:rsid w:val="002C45DD"/>
    <w:rsid w:val="002C4624"/>
    <w:rsid w:val="002C6519"/>
    <w:rsid w:val="002D1887"/>
    <w:rsid w:val="002D20A9"/>
    <w:rsid w:val="002D4193"/>
    <w:rsid w:val="002D4B90"/>
    <w:rsid w:val="002D551B"/>
    <w:rsid w:val="002E0A38"/>
    <w:rsid w:val="002E1043"/>
    <w:rsid w:val="002E3C52"/>
    <w:rsid w:val="002F6B37"/>
    <w:rsid w:val="002F6D83"/>
    <w:rsid w:val="002F796A"/>
    <w:rsid w:val="002F7FBF"/>
    <w:rsid w:val="003000CF"/>
    <w:rsid w:val="003014D3"/>
    <w:rsid w:val="00304215"/>
    <w:rsid w:val="003112EE"/>
    <w:rsid w:val="00311680"/>
    <w:rsid w:val="00311F51"/>
    <w:rsid w:val="00312092"/>
    <w:rsid w:val="00312761"/>
    <w:rsid w:val="00313D2D"/>
    <w:rsid w:val="00314403"/>
    <w:rsid w:val="00317F3C"/>
    <w:rsid w:val="003201ED"/>
    <w:rsid w:val="003204FC"/>
    <w:rsid w:val="0033000C"/>
    <w:rsid w:val="00330D63"/>
    <w:rsid w:val="00331E7D"/>
    <w:rsid w:val="003321F2"/>
    <w:rsid w:val="00334940"/>
    <w:rsid w:val="003361D4"/>
    <w:rsid w:val="00336370"/>
    <w:rsid w:val="00336EB5"/>
    <w:rsid w:val="00346661"/>
    <w:rsid w:val="00347177"/>
    <w:rsid w:val="00347D9A"/>
    <w:rsid w:val="003515D8"/>
    <w:rsid w:val="003530D6"/>
    <w:rsid w:val="00354A81"/>
    <w:rsid w:val="00354CE9"/>
    <w:rsid w:val="00355AEA"/>
    <w:rsid w:val="00356662"/>
    <w:rsid w:val="00356F7A"/>
    <w:rsid w:val="0035725A"/>
    <w:rsid w:val="0036024F"/>
    <w:rsid w:val="00363A8F"/>
    <w:rsid w:val="00363FED"/>
    <w:rsid w:val="00365436"/>
    <w:rsid w:val="00367F2F"/>
    <w:rsid w:val="0037125C"/>
    <w:rsid w:val="0037191E"/>
    <w:rsid w:val="00376952"/>
    <w:rsid w:val="00381072"/>
    <w:rsid w:val="00384B5A"/>
    <w:rsid w:val="00391954"/>
    <w:rsid w:val="00392F46"/>
    <w:rsid w:val="00394385"/>
    <w:rsid w:val="00396110"/>
    <w:rsid w:val="00397B88"/>
    <w:rsid w:val="003A1817"/>
    <w:rsid w:val="003A192C"/>
    <w:rsid w:val="003A25D4"/>
    <w:rsid w:val="003A2622"/>
    <w:rsid w:val="003A36CA"/>
    <w:rsid w:val="003A4610"/>
    <w:rsid w:val="003A5252"/>
    <w:rsid w:val="003B0831"/>
    <w:rsid w:val="003B0BE0"/>
    <w:rsid w:val="003B3467"/>
    <w:rsid w:val="003B4EB0"/>
    <w:rsid w:val="003B592D"/>
    <w:rsid w:val="003B60DB"/>
    <w:rsid w:val="003B6DA4"/>
    <w:rsid w:val="003C3534"/>
    <w:rsid w:val="003C7269"/>
    <w:rsid w:val="003D0F8B"/>
    <w:rsid w:val="003D12E4"/>
    <w:rsid w:val="003D1F24"/>
    <w:rsid w:val="003D7AF5"/>
    <w:rsid w:val="003E6BEF"/>
    <w:rsid w:val="003E6FEE"/>
    <w:rsid w:val="003E71F7"/>
    <w:rsid w:val="003F0762"/>
    <w:rsid w:val="003F2C7A"/>
    <w:rsid w:val="003F68CD"/>
    <w:rsid w:val="003F721D"/>
    <w:rsid w:val="0040073E"/>
    <w:rsid w:val="004029BA"/>
    <w:rsid w:val="00402DCA"/>
    <w:rsid w:val="00404BAD"/>
    <w:rsid w:val="00406C4D"/>
    <w:rsid w:val="0040780D"/>
    <w:rsid w:val="00410293"/>
    <w:rsid w:val="004130B6"/>
    <w:rsid w:val="00414CD7"/>
    <w:rsid w:val="0041729C"/>
    <w:rsid w:val="0042111A"/>
    <w:rsid w:val="004217B8"/>
    <w:rsid w:val="0042368D"/>
    <w:rsid w:val="00423C3E"/>
    <w:rsid w:val="00425BA4"/>
    <w:rsid w:val="00427BEF"/>
    <w:rsid w:val="00433B77"/>
    <w:rsid w:val="00433C39"/>
    <w:rsid w:val="00434D9F"/>
    <w:rsid w:val="00434FC6"/>
    <w:rsid w:val="00435486"/>
    <w:rsid w:val="00435808"/>
    <w:rsid w:val="004363FE"/>
    <w:rsid w:val="0044033A"/>
    <w:rsid w:val="004417EA"/>
    <w:rsid w:val="0044358E"/>
    <w:rsid w:val="004474BB"/>
    <w:rsid w:val="00451595"/>
    <w:rsid w:val="004523F5"/>
    <w:rsid w:val="00453EF0"/>
    <w:rsid w:val="00455BB4"/>
    <w:rsid w:val="00456B85"/>
    <w:rsid w:val="00461FD7"/>
    <w:rsid w:val="00462D54"/>
    <w:rsid w:val="0046523E"/>
    <w:rsid w:val="00467E06"/>
    <w:rsid w:val="00470B5F"/>
    <w:rsid w:val="0047295A"/>
    <w:rsid w:val="0047334B"/>
    <w:rsid w:val="00474365"/>
    <w:rsid w:val="00474917"/>
    <w:rsid w:val="0048151B"/>
    <w:rsid w:val="0048270B"/>
    <w:rsid w:val="004848E8"/>
    <w:rsid w:val="00490109"/>
    <w:rsid w:val="004905A7"/>
    <w:rsid w:val="00492273"/>
    <w:rsid w:val="00492CD5"/>
    <w:rsid w:val="004A33DC"/>
    <w:rsid w:val="004A3693"/>
    <w:rsid w:val="004A36E8"/>
    <w:rsid w:val="004A3FA0"/>
    <w:rsid w:val="004A41F4"/>
    <w:rsid w:val="004B1550"/>
    <w:rsid w:val="004B1958"/>
    <w:rsid w:val="004B2214"/>
    <w:rsid w:val="004B44FD"/>
    <w:rsid w:val="004B6CA2"/>
    <w:rsid w:val="004B7B8B"/>
    <w:rsid w:val="004C1054"/>
    <w:rsid w:val="004C15C7"/>
    <w:rsid w:val="004C1C23"/>
    <w:rsid w:val="004C7D7C"/>
    <w:rsid w:val="004D18F6"/>
    <w:rsid w:val="004D48F3"/>
    <w:rsid w:val="004D5959"/>
    <w:rsid w:val="004D6B96"/>
    <w:rsid w:val="004D73C3"/>
    <w:rsid w:val="004E294C"/>
    <w:rsid w:val="004E52EC"/>
    <w:rsid w:val="004F0E98"/>
    <w:rsid w:val="004F16A5"/>
    <w:rsid w:val="004F1F84"/>
    <w:rsid w:val="004F490C"/>
    <w:rsid w:val="004F5FF5"/>
    <w:rsid w:val="004F6038"/>
    <w:rsid w:val="004F6F85"/>
    <w:rsid w:val="00500053"/>
    <w:rsid w:val="00500796"/>
    <w:rsid w:val="00500E39"/>
    <w:rsid w:val="0050199A"/>
    <w:rsid w:val="00501A92"/>
    <w:rsid w:val="0050313C"/>
    <w:rsid w:val="00503CA7"/>
    <w:rsid w:val="0050580B"/>
    <w:rsid w:val="00512A36"/>
    <w:rsid w:val="00515EBD"/>
    <w:rsid w:val="00516FBD"/>
    <w:rsid w:val="005171A5"/>
    <w:rsid w:val="005208EF"/>
    <w:rsid w:val="0052199F"/>
    <w:rsid w:val="00521D0C"/>
    <w:rsid w:val="00524188"/>
    <w:rsid w:val="005264E6"/>
    <w:rsid w:val="0053003F"/>
    <w:rsid w:val="005305FA"/>
    <w:rsid w:val="005315D3"/>
    <w:rsid w:val="00534339"/>
    <w:rsid w:val="00535F2F"/>
    <w:rsid w:val="0053644F"/>
    <w:rsid w:val="00536554"/>
    <w:rsid w:val="005369DF"/>
    <w:rsid w:val="00541F71"/>
    <w:rsid w:val="00541FA5"/>
    <w:rsid w:val="005423F6"/>
    <w:rsid w:val="00544328"/>
    <w:rsid w:val="00545173"/>
    <w:rsid w:val="0055012F"/>
    <w:rsid w:val="00552ACD"/>
    <w:rsid w:val="0055406C"/>
    <w:rsid w:val="005541F6"/>
    <w:rsid w:val="005558BF"/>
    <w:rsid w:val="00565FE6"/>
    <w:rsid w:val="005660DF"/>
    <w:rsid w:val="005711CE"/>
    <w:rsid w:val="0057145C"/>
    <w:rsid w:val="00571729"/>
    <w:rsid w:val="0057251A"/>
    <w:rsid w:val="0057302B"/>
    <w:rsid w:val="00573087"/>
    <w:rsid w:val="005735EA"/>
    <w:rsid w:val="00573BFE"/>
    <w:rsid w:val="0057579D"/>
    <w:rsid w:val="005803FC"/>
    <w:rsid w:val="0058244F"/>
    <w:rsid w:val="00582BC4"/>
    <w:rsid w:val="0058500A"/>
    <w:rsid w:val="00585602"/>
    <w:rsid w:val="0059222B"/>
    <w:rsid w:val="00593B9A"/>
    <w:rsid w:val="005942D3"/>
    <w:rsid w:val="00597753"/>
    <w:rsid w:val="005A0532"/>
    <w:rsid w:val="005A0AFB"/>
    <w:rsid w:val="005A1CEA"/>
    <w:rsid w:val="005A326A"/>
    <w:rsid w:val="005A3445"/>
    <w:rsid w:val="005A446F"/>
    <w:rsid w:val="005A6672"/>
    <w:rsid w:val="005A7177"/>
    <w:rsid w:val="005A7B03"/>
    <w:rsid w:val="005B1F85"/>
    <w:rsid w:val="005B3330"/>
    <w:rsid w:val="005C499D"/>
    <w:rsid w:val="005C5005"/>
    <w:rsid w:val="005C5664"/>
    <w:rsid w:val="005C59C8"/>
    <w:rsid w:val="005C7005"/>
    <w:rsid w:val="005C716C"/>
    <w:rsid w:val="005D1D9A"/>
    <w:rsid w:val="005D3912"/>
    <w:rsid w:val="005D59D9"/>
    <w:rsid w:val="005D6BD1"/>
    <w:rsid w:val="005D7C6D"/>
    <w:rsid w:val="005E465D"/>
    <w:rsid w:val="005F5F0E"/>
    <w:rsid w:val="005F6ED9"/>
    <w:rsid w:val="0060173C"/>
    <w:rsid w:val="00602012"/>
    <w:rsid w:val="006020CE"/>
    <w:rsid w:val="006029D6"/>
    <w:rsid w:val="00604462"/>
    <w:rsid w:val="00604495"/>
    <w:rsid w:val="0060463F"/>
    <w:rsid w:val="006075E4"/>
    <w:rsid w:val="00610047"/>
    <w:rsid w:val="00610836"/>
    <w:rsid w:val="00611043"/>
    <w:rsid w:val="00611568"/>
    <w:rsid w:val="00613B90"/>
    <w:rsid w:val="006157DC"/>
    <w:rsid w:val="006165FA"/>
    <w:rsid w:val="00616B95"/>
    <w:rsid w:val="00630185"/>
    <w:rsid w:val="006364BE"/>
    <w:rsid w:val="00642E2C"/>
    <w:rsid w:val="006478CA"/>
    <w:rsid w:val="00647999"/>
    <w:rsid w:val="00650421"/>
    <w:rsid w:val="006512AF"/>
    <w:rsid w:val="0065510B"/>
    <w:rsid w:val="006553F5"/>
    <w:rsid w:val="00655971"/>
    <w:rsid w:val="00655FDC"/>
    <w:rsid w:val="00660EAF"/>
    <w:rsid w:val="00661531"/>
    <w:rsid w:val="00664422"/>
    <w:rsid w:val="0066643E"/>
    <w:rsid w:val="00667B59"/>
    <w:rsid w:val="00671B6A"/>
    <w:rsid w:val="00673C4D"/>
    <w:rsid w:val="0067513B"/>
    <w:rsid w:val="006821E5"/>
    <w:rsid w:val="00682906"/>
    <w:rsid w:val="00683D1A"/>
    <w:rsid w:val="00685121"/>
    <w:rsid w:val="0068571D"/>
    <w:rsid w:val="0068588C"/>
    <w:rsid w:val="00686040"/>
    <w:rsid w:val="00686161"/>
    <w:rsid w:val="00692658"/>
    <w:rsid w:val="006A439E"/>
    <w:rsid w:val="006B0919"/>
    <w:rsid w:val="006B1697"/>
    <w:rsid w:val="006B5667"/>
    <w:rsid w:val="006C26EE"/>
    <w:rsid w:val="006C510B"/>
    <w:rsid w:val="006C7C77"/>
    <w:rsid w:val="006D096B"/>
    <w:rsid w:val="006E52F7"/>
    <w:rsid w:val="006E7A75"/>
    <w:rsid w:val="006E7B5C"/>
    <w:rsid w:val="006F03D7"/>
    <w:rsid w:val="006F10E6"/>
    <w:rsid w:val="006F57CC"/>
    <w:rsid w:val="006F5B68"/>
    <w:rsid w:val="006F7757"/>
    <w:rsid w:val="00700599"/>
    <w:rsid w:val="00703756"/>
    <w:rsid w:val="007054C0"/>
    <w:rsid w:val="00705FE4"/>
    <w:rsid w:val="007114D2"/>
    <w:rsid w:val="00712405"/>
    <w:rsid w:val="00715D8F"/>
    <w:rsid w:val="007179D5"/>
    <w:rsid w:val="00720A3B"/>
    <w:rsid w:val="00722DAE"/>
    <w:rsid w:val="007264A1"/>
    <w:rsid w:val="0072776C"/>
    <w:rsid w:val="0073109D"/>
    <w:rsid w:val="007330A3"/>
    <w:rsid w:val="00733A44"/>
    <w:rsid w:val="00741C4B"/>
    <w:rsid w:val="00743FFD"/>
    <w:rsid w:val="00744C72"/>
    <w:rsid w:val="0074512C"/>
    <w:rsid w:val="00746432"/>
    <w:rsid w:val="00750F0B"/>
    <w:rsid w:val="00751AFD"/>
    <w:rsid w:val="007542C3"/>
    <w:rsid w:val="00754A37"/>
    <w:rsid w:val="00757923"/>
    <w:rsid w:val="00760315"/>
    <w:rsid w:val="00763ED2"/>
    <w:rsid w:val="00764172"/>
    <w:rsid w:val="00765A82"/>
    <w:rsid w:val="00765BBB"/>
    <w:rsid w:val="0076704B"/>
    <w:rsid w:val="0076744C"/>
    <w:rsid w:val="007725CD"/>
    <w:rsid w:val="00774021"/>
    <w:rsid w:val="00774AC4"/>
    <w:rsid w:val="00775C7D"/>
    <w:rsid w:val="007804D1"/>
    <w:rsid w:val="0078233D"/>
    <w:rsid w:val="00784DDF"/>
    <w:rsid w:val="00791B20"/>
    <w:rsid w:val="00793A84"/>
    <w:rsid w:val="007942C7"/>
    <w:rsid w:val="00794ED3"/>
    <w:rsid w:val="00795582"/>
    <w:rsid w:val="00797646"/>
    <w:rsid w:val="0079781F"/>
    <w:rsid w:val="007A01D6"/>
    <w:rsid w:val="007A20DA"/>
    <w:rsid w:val="007A29CF"/>
    <w:rsid w:val="007A342B"/>
    <w:rsid w:val="007A4291"/>
    <w:rsid w:val="007A5069"/>
    <w:rsid w:val="007A5711"/>
    <w:rsid w:val="007A5AA2"/>
    <w:rsid w:val="007B2C1C"/>
    <w:rsid w:val="007B3D37"/>
    <w:rsid w:val="007C00EE"/>
    <w:rsid w:val="007C06CC"/>
    <w:rsid w:val="007C17C0"/>
    <w:rsid w:val="007C27BA"/>
    <w:rsid w:val="007C2972"/>
    <w:rsid w:val="007C5F28"/>
    <w:rsid w:val="007C6467"/>
    <w:rsid w:val="007D02CD"/>
    <w:rsid w:val="007D4CD4"/>
    <w:rsid w:val="007D6675"/>
    <w:rsid w:val="007D7BB8"/>
    <w:rsid w:val="007E358B"/>
    <w:rsid w:val="007F3403"/>
    <w:rsid w:val="007F6BE7"/>
    <w:rsid w:val="00800FD3"/>
    <w:rsid w:val="008028E6"/>
    <w:rsid w:val="008042C4"/>
    <w:rsid w:val="00805983"/>
    <w:rsid w:val="008065FD"/>
    <w:rsid w:val="00806A41"/>
    <w:rsid w:val="00810036"/>
    <w:rsid w:val="00811086"/>
    <w:rsid w:val="008123B3"/>
    <w:rsid w:val="0081548B"/>
    <w:rsid w:val="008154E0"/>
    <w:rsid w:val="00820670"/>
    <w:rsid w:val="008212EF"/>
    <w:rsid w:val="00821F9B"/>
    <w:rsid w:val="00823F1D"/>
    <w:rsid w:val="00824744"/>
    <w:rsid w:val="00825DF6"/>
    <w:rsid w:val="008318F8"/>
    <w:rsid w:val="00831BE5"/>
    <w:rsid w:val="00833D30"/>
    <w:rsid w:val="0083462F"/>
    <w:rsid w:val="00834DBE"/>
    <w:rsid w:val="00835862"/>
    <w:rsid w:val="00835B75"/>
    <w:rsid w:val="0083635A"/>
    <w:rsid w:val="00840411"/>
    <w:rsid w:val="00840720"/>
    <w:rsid w:val="00840F9F"/>
    <w:rsid w:val="00841B68"/>
    <w:rsid w:val="00843F06"/>
    <w:rsid w:val="008474A5"/>
    <w:rsid w:val="008477B4"/>
    <w:rsid w:val="00852BD5"/>
    <w:rsid w:val="00852EA9"/>
    <w:rsid w:val="00852EC5"/>
    <w:rsid w:val="00857576"/>
    <w:rsid w:val="00857ADE"/>
    <w:rsid w:val="00861117"/>
    <w:rsid w:val="00861726"/>
    <w:rsid w:val="0086621F"/>
    <w:rsid w:val="00872701"/>
    <w:rsid w:val="008729DB"/>
    <w:rsid w:val="00872AA7"/>
    <w:rsid w:val="00872B4D"/>
    <w:rsid w:val="00873814"/>
    <w:rsid w:val="00873A10"/>
    <w:rsid w:val="00874A6C"/>
    <w:rsid w:val="00876DEE"/>
    <w:rsid w:val="00877785"/>
    <w:rsid w:val="00881A6A"/>
    <w:rsid w:val="00882098"/>
    <w:rsid w:val="00890417"/>
    <w:rsid w:val="00893B8A"/>
    <w:rsid w:val="00893DFA"/>
    <w:rsid w:val="008959A1"/>
    <w:rsid w:val="008A4E4B"/>
    <w:rsid w:val="008B0575"/>
    <w:rsid w:val="008B18C4"/>
    <w:rsid w:val="008B3006"/>
    <w:rsid w:val="008B62B7"/>
    <w:rsid w:val="008C051A"/>
    <w:rsid w:val="008C0730"/>
    <w:rsid w:val="008C07D6"/>
    <w:rsid w:val="008C2E58"/>
    <w:rsid w:val="008C3156"/>
    <w:rsid w:val="008C6643"/>
    <w:rsid w:val="008C68DC"/>
    <w:rsid w:val="008D56E3"/>
    <w:rsid w:val="008E2157"/>
    <w:rsid w:val="008E35B1"/>
    <w:rsid w:val="008E3CE9"/>
    <w:rsid w:val="008E3E1F"/>
    <w:rsid w:val="008E5306"/>
    <w:rsid w:val="008E5D80"/>
    <w:rsid w:val="008E7A48"/>
    <w:rsid w:val="008F0DD7"/>
    <w:rsid w:val="008F153B"/>
    <w:rsid w:val="008F342C"/>
    <w:rsid w:val="008F365D"/>
    <w:rsid w:val="008F50B7"/>
    <w:rsid w:val="008F5E56"/>
    <w:rsid w:val="00900D8E"/>
    <w:rsid w:val="0090506A"/>
    <w:rsid w:val="009064EE"/>
    <w:rsid w:val="0091288F"/>
    <w:rsid w:val="00912E74"/>
    <w:rsid w:val="00926CC2"/>
    <w:rsid w:val="00930BE9"/>
    <w:rsid w:val="00931BCA"/>
    <w:rsid w:val="00933042"/>
    <w:rsid w:val="009334D2"/>
    <w:rsid w:val="00934CBE"/>
    <w:rsid w:val="0093580A"/>
    <w:rsid w:val="00940976"/>
    <w:rsid w:val="00941212"/>
    <w:rsid w:val="00942002"/>
    <w:rsid w:val="00943308"/>
    <w:rsid w:val="0094345B"/>
    <w:rsid w:val="009466E0"/>
    <w:rsid w:val="00947CE9"/>
    <w:rsid w:val="00951087"/>
    <w:rsid w:val="00955935"/>
    <w:rsid w:val="00956604"/>
    <w:rsid w:val="009577AD"/>
    <w:rsid w:val="00961B80"/>
    <w:rsid w:val="00961EA1"/>
    <w:rsid w:val="0096207F"/>
    <w:rsid w:val="00963710"/>
    <w:rsid w:val="009714D1"/>
    <w:rsid w:val="00975408"/>
    <w:rsid w:val="009755F8"/>
    <w:rsid w:val="00976A8D"/>
    <w:rsid w:val="00981F86"/>
    <w:rsid w:val="00982620"/>
    <w:rsid w:val="00983BEF"/>
    <w:rsid w:val="00984FBF"/>
    <w:rsid w:val="00986786"/>
    <w:rsid w:val="00990E60"/>
    <w:rsid w:val="009915EA"/>
    <w:rsid w:val="00991A49"/>
    <w:rsid w:val="00993D59"/>
    <w:rsid w:val="0099657C"/>
    <w:rsid w:val="009A2A4B"/>
    <w:rsid w:val="009A561D"/>
    <w:rsid w:val="009A5B25"/>
    <w:rsid w:val="009A62C1"/>
    <w:rsid w:val="009B0F40"/>
    <w:rsid w:val="009B43A6"/>
    <w:rsid w:val="009B6019"/>
    <w:rsid w:val="009B6B00"/>
    <w:rsid w:val="009C2CC1"/>
    <w:rsid w:val="009C3092"/>
    <w:rsid w:val="009C4372"/>
    <w:rsid w:val="009D647A"/>
    <w:rsid w:val="009E07AD"/>
    <w:rsid w:val="009E1D09"/>
    <w:rsid w:val="009E22BD"/>
    <w:rsid w:val="009E2E62"/>
    <w:rsid w:val="009E379D"/>
    <w:rsid w:val="009E3855"/>
    <w:rsid w:val="009E53D9"/>
    <w:rsid w:val="009F4DF1"/>
    <w:rsid w:val="009F68E3"/>
    <w:rsid w:val="00A00A49"/>
    <w:rsid w:val="00A01854"/>
    <w:rsid w:val="00A055CF"/>
    <w:rsid w:val="00A059C0"/>
    <w:rsid w:val="00A1074D"/>
    <w:rsid w:val="00A13BC5"/>
    <w:rsid w:val="00A20CDA"/>
    <w:rsid w:val="00A21566"/>
    <w:rsid w:val="00A232A9"/>
    <w:rsid w:val="00A23618"/>
    <w:rsid w:val="00A23692"/>
    <w:rsid w:val="00A23E95"/>
    <w:rsid w:val="00A24B00"/>
    <w:rsid w:val="00A300CA"/>
    <w:rsid w:val="00A3089D"/>
    <w:rsid w:val="00A31FA0"/>
    <w:rsid w:val="00A35484"/>
    <w:rsid w:val="00A365CB"/>
    <w:rsid w:val="00A41D33"/>
    <w:rsid w:val="00A42E22"/>
    <w:rsid w:val="00A4364A"/>
    <w:rsid w:val="00A4550A"/>
    <w:rsid w:val="00A466C1"/>
    <w:rsid w:val="00A4688B"/>
    <w:rsid w:val="00A504F3"/>
    <w:rsid w:val="00A53497"/>
    <w:rsid w:val="00A559A6"/>
    <w:rsid w:val="00A6070C"/>
    <w:rsid w:val="00A64BF3"/>
    <w:rsid w:val="00A657EC"/>
    <w:rsid w:val="00A65F45"/>
    <w:rsid w:val="00A676A4"/>
    <w:rsid w:val="00A70B12"/>
    <w:rsid w:val="00A71394"/>
    <w:rsid w:val="00A71DC4"/>
    <w:rsid w:val="00A7253B"/>
    <w:rsid w:val="00A72CF7"/>
    <w:rsid w:val="00A7442B"/>
    <w:rsid w:val="00A74BA9"/>
    <w:rsid w:val="00A81950"/>
    <w:rsid w:val="00A83794"/>
    <w:rsid w:val="00A8527F"/>
    <w:rsid w:val="00A8712F"/>
    <w:rsid w:val="00A90853"/>
    <w:rsid w:val="00A91114"/>
    <w:rsid w:val="00A931B0"/>
    <w:rsid w:val="00A93DA2"/>
    <w:rsid w:val="00A97021"/>
    <w:rsid w:val="00A972FD"/>
    <w:rsid w:val="00AA028F"/>
    <w:rsid w:val="00AA23B7"/>
    <w:rsid w:val="00AA570B"/>
    <w:rsid w:val="00AB6017"/>
    <w:rsid w:val="00AC1272"/>
    <w:rsid w:val="00AC20AB"/>
    <w:rsid w:val="00AD3B3B"/>
    <w:rsid w:val="00AD4044"/>
    <w:rsid w:val="00AD4159"/>
    <w:rsid w:val="00AD746A"/>
    <w:rsid w:val="00AD7844"/>
    <w:rsid w:val="00AE2FAF"/>
    <w:rsid w:val="00AE4E82"/>
    <w:rsid w:val="00AE591D"/>
    <w:rsid w:val="00AE59A0"/>
    <w:rsid w:val="00AE67D6"/>
    <w:rsid w:val="00AF1C36"/>
    <w:rsid w:val="00AF261E"/>
    <w:rsid w:val="00AF3BD9"/>
    <w:rsid w:val="00AF51FC"/>
    <w:rsid w:val="00B0013F"/>
    <w:rsid w:val="00B01053"/>
    <w:rsid w:val="00B0113C"/>
    <w:rsid w:val="00B06357"/>
    <w:rsid w:val="00B0651A"/>
    <w:rsid w:val="00B16BFC"/>
    <w:rsid w:val="00B2223D"/>
    <w:rsid w:val="00B2373C"/>
    <w:rsid w:val="00B316DC"/>
    <w:rsid w:val="00B34C28"/>
    <w:rsid w:val="00B364F0"/>
    <w:rsid w:val="00B375FE"/>
    <w:rsid w:val="00B377E4"/>
    <w:rsid w:val="00B37D9A"/>
    <w:rsid w:val="00B40A84"/>
    <w:rsid w:val="00B416C5"/>
    <w:rsid w:val="00B41DD2"/>
    <w:rsid w:val="00B43DEC"/>
    <w:rsid w:val="00B47528"/>
    <w:rsid w:val="00B50476"/>
    <w:rsid w:val="00B51244"/>
    <w:rsid w:val="00B52912"/>
    <w:rsid w:val="00B63659"/>
    <w:rsid w:val="00B640B6"/>
    <w:rsid w:val="00B6553B"/>
    <w:rsid w:val="00B73A18"/>
    <w:rsid w:val="00B75DBB"/>
    <w:rsid w:val="00B761E8"/>
    <w:rsid w:val="00B77943"/>
    <w:rsid w:val="00B80A6A"/>
    <w:rsid w:val="00B8400C"/>
    <w:rsid w:val="00B84D42"/>
    <w:rsid w:val="00B86692"/>
    <w:rsid w:val="00B905D8"/>
    <w:rsid w:val="00B91ABB"/>
    <w:rsid w:val="00B9437A"/>
    <w:rsid w:val="00B95F2B"/>
    <w:rsid w:val="00BA03BF"/>
    <w:rsid w:val="00BA1182"/>
    <w:rsid w:val="00BA24A6"/>
    <w:rsid w:val="00BA2CC2"/>
    <w:rsid w:val="00BB08FB"/>
    <w:rsid w:val="00BB6ECA"/>
    <w:rsid w:val="00BB7CA7"/>
    <w:rsid w:val="00BC2595"/>
    <w:rsid w:val="00BC34F0"/>
    <w:rsid w:val="00BC6A7B"/>
    <w:rsid w:val="00BD0E1D"/>
    <w:rsid w:val="00BD7132"/>
    <w:rsid w:val="00BE091B"/>
    <w:rsid w:val="00BE1139"/>
    <w:rsid w:val="00BE12F3"/>
    <w:rsid w:val="00BE2BF3"/>
    <w:rsid w:val="00BE4F1D"/>
    <w:rsid w:val="00BE5565"/>
    <w:rsid w:val="00BE7ED5"/>
    <w:rsid w:val="00BF0FEC"/>
    <w:rsid w:val="00BF2C70"/>
    <w:rsid w:val="00BF3415"/>
    <w:rsid w:val="00BF4E76"/>
    <w:rsid w:val="00C011C9"/>
    <w:rsid w:val="00C01A58"/>
    <w:rsid w:val="00C01B15"/>
    <w:rsid w:val="00C023A8"/>
    <w:rsid w:val="00C11115"/>
    <w:rsid w:val="00C1136D"/>
    <w:rsid w:val="00C11E2C"/>
    <w:rsid w:val="00C13F90"/>
    <w:rsid w:val="00C14875"/>
    <w:rsid w:val="00C1487B"/>
    <w:rsid w:val="00C15FB2"/>
    <w:rsid w:val="00C21AE0"/>
    <w:rsid w:val="00C233C9"/>
    <w:rsid w:val="00C23E13"/>
    <w:rsid w:val="00C2563E"/>
    <w:rsid w:val="00C2637B"/>
    <w:rsid w:val="00C31E3D"/>
    <w:rsid w:val="00C32E28"/>
    <w:rsid w:val="00C410B5"/>
    <w:rsid w:val="00C426BC"/>
    <w:rsid w:val="00C44203"/>
    <w:rsid w:val="00C44F12"/>
    <w:rsid w:val="00C44F30"/>
    <w:rsid w:val="00C460DD"/>
    <w:rsid w:val="00C53FF2"/>
    <w:rsid w:val="00C54F65"/>
    <w:rsid w:val="00C5786B"/>
    <w:rsid w:val="00C62FC4"/>
    <w:rsid w:val="00C66160"/>
    <w:rsid w:val="00C66501"/>
    <w:rsid w:val="00C67492"/>
    <w:rsid w:val="00C70660"/>
    <w:rsid w:val="00C7287D"/>
    <w:rsid w:val="00C73E63"/>
    <w:rsid w:val="00C73F1F"/>
    <w:rsid w:val="00C74435"/>
    <w:rsid w:val="00C74972"/>
    <w:rsid w:val="00C768FE"/>
    <w:rsid w:val="00C76C47"/>
    <w:rsid w:val="00C8292B"/>
    <w:rsid w:val="00C82BAB"/>
    <w:rsid w:val="00C8630A"/>
    <w:rsid w:val="00C90170"/>
    <w:rsid w:val="00C9390A"/>
    <w:rsid w:val="00C93D5E"/>
    <w:rsid w:val="00C94BEB"/>
    <w:rsid w:val="00C95562"/>
    <w:rsid w:val="00C9598B"/>
    <w:rsid w:val="00CA0660"/>
    <w:rsid w:val="00CA2237"/>
    <w:rsid w:val="00CA4638"/>
    <w:rsid w:val="00CA60FF"/>
    <w:rsid w:val="00CA6E9E"/>
    <w:rsid w:val="00CB1610"/>
    <w:rsid w:val="00CB1763"/>
    <w:rsid w:val="00CB27E6"/>
    <w:rsid w:val="00CB4175"/>
    <w:rsid w:val="00CB5548"/>
    <w:rsid w:val="00CC2DFD"/>
    <w:rsid w:val="00CC3BBE"/>
    <w:rsid w:val="00CC3E12"/>
    <w:rsid w:val="00CC4567"/>
    <w:rsid w:val="00CC49A5"/>
    <w:rsid w:val="00CC7D46"/>
    <w:rsid w:val="00CD159E"/>
    <w:rsid w:val="00CD3058"/>
    <w:rsid w:val="00CD3DF2"/>
    <w:rsid w:val="00CD3FF4"/>
    <w:rsid w:val="00CD7CB4"/>
    <w:rsid w:val="00CE0557"/>
    <w:rsid w:val="00CF2D77"/>
    <w:rsid w:val="00CF565F"/>
    <w:rsid w:val="00CF5A98"/>
    <w:rsid w:val="00CF6176"/>
    <w:rsid w:val="00CF6EBE"/>
    <w:rsid w:val="00D040B7"/>
    <w:rsid w:val="00D044B9"/>
    <w:rsid w:val="00D048D3"/>
    <w:rsid w:val="00D07C52"/>
    <w:rsid w:val="00D10EA4"/>
    <w:rsid w:val="00D12B4C"/>
    <w:rsid w:val="00D1317E"/>
    <w:rsid w:val="00D146F9"/>
    <w:rsid w:val="00D2319E"/>
    <w:rsid w:val="00D25511"/>
    <w:rsid w:val="00D269F1"/>
    <w:rsid w:val="00D30695"/>
    <w:rsid w:val="00D3275F"/>
    <w:rsid w:val="00D35152"/>
    <w:rsid w:val="00D37BF7"/>
    <w:rsid w:val="00D4173B"/>
    <w:rsid w:val="00D43B13"/>
    <w:rsid w:val="00D44B5C"/>
    <w:rsid w:val="00D463AB"/>
    <w:rsid w:val="00D522A4"/>
    <w:rsid w:val="00D528B7"/>
    <w:rsid w:val="00D52F69"/>
    <w:rsid w:val="00D5388C"/>
    <w:rsid w:val="00D5482D"/>
    <w:rsid w:val="00D5576B"/>
    <w:rsid w:val="00D55DAD"/>
    <w:rsid w:val="00D57452"/>
    <w:rsid w:val="00D579BF"/>
    <w:rsid w:val="00D6205E"/>
    <w:rsid w:val="00D66484"/>
    <w:rsid w:val="00D71794"/>
    <w:rsid w:val="00D71F67"/>
    <w:rsid w:val="00D7222A"/>
    <w:rsid w:val="00D72736"/>
    <w:rsid w:val="00D73E4D"/>
    <w:rsid w:val="00D7531C"/>
    <w:rsid w:val="00D75AF3"/>
    <w:rsid w:val="00D7791F"/>
    <w:rsid w:val="00D804CB"/>
    <w:rsid w:val="00D80664"/>
    <w:rsid w:val="00D8113C"/>
    <w:rsid w:val="00D85EF1"/>
    <w:rsid w:val="00D86707"/>
    <w:rsid w:val="00D87A0E"/>
    <w:rsid w:val="00D87CF6"/>
    <w:rsid w:val="00D92F55"/>
    <w:rsid w:val="00D9562C"/>
    <w:rsid w:val="00D97112"/>
    <w:rsid w:val="00D97EA1"/>
    <w:rsid w:val="00DA04E7"/>
    <w:rsid w:val="00DA0707"/>
    <w:rsid w:val="00DA77DB"/>
    <w:rsid w:val="00DB0700"/>
    <w:rsid w:val="00DB0BD7"/>
    <w:rsid w:val="00DB20E9"/>
    <w:rsid w:val="00DB22AF"/>
    <w:rsid w:val="00DB4A0B"/>
    <w:rsid w:val="00DC0E89"/>
    <w:rsid w:val="00DC1C7B"/>
    <w:rsid w:val="00DC1E3F"/>
    <w:rsid w:val="00DC31DA"/>
    <w:rsid w:val="00DC4FDD"/>
    <w:rsid w:val="00DC749A"/>
    <w:rsid w:val="00DD027F"/>
    <w:rsid w:val="00DD1E32"/>
    <w:rsid w:val="00DD4E3B"/>
    <w:rsid w:val="00DD6455"/>
    <w:rsid w:val="00DE0FD8"/>
    <w:rsid w:val="00DE3C58"/>
    <w:rsid w:val="00DE5A91"/>
    <w:rsid w:val="00DE6C7F"/>
    <w:rsid w:val="00DF0EEF"/>
    <w:rsid w:val="00DF4FBA"/>
    <w:rsid w:val="00E03303"/>
    <w:rsid w:val="00E04E7E"/>
    <w:rsid w:val="00E07FC0"/>
    <w:rsid w:val="00E10E3F"/>
    <w:rsid w:val="00E14D2D"/>
    <w:rsid w:val="00E16836"/>
    <w:rsid w:val="00E16BD7"/>
    <w:rsid w:val="00E22E26"/>
    <w:rsid w:val="00E22FEE"/>
    <w:rsid w:val="00E23592"/>
    <w:rsid w:val="00E24481"/>
    <w:rsid w:val="00E24EF3"/>
    <w:rsid w:val="00E25CAA"/>
    <w:rsid w:val="00E26DB5"/>
    <w:rsid w:val="00E31558"/>
    <w:rsid w:val="00E32255"/>
    <w:rsid w:val="00E32EE2"/>
    <w:rsid w:val="00E42D00"/>
    <w:rsid w:val="00E47375"/>
    <w:rsid w:val="00E5552E"/>
    <w:rsid w:val="00E565B4"/>
    <w:rsid w:val="00E569E7"/>
    <w:rsid w:val="00E577FB"/>
    <w:rsid w:val="00E57D28"/>
    <w:rsid w:val="00E60A69"/>
    <w:rsid w:val="00E62A2B"/>
    <w:rsid w:val="00E63CE5"/>
    <w:rsid w:val="00E727D4"/>
    <w:rsid w:val="00E746FD"/>
    <w:rsid w:val="00E74D57"/>
    <w:rsid w:val="00E75F1E"/>
    <w:rsid w:val="00E77544"/>
    <w:rsid w:val="00E81309"/>
    <w:rsid w:val="00E81562"/>
    <w:rsid w:val="00E81B4A"/>
    <w:rsid w:val="00E81CF0"/>
    <w:rsid w:val="00E81E55"/>
    <w:rsid w:val="00E84D14"/>
    <w:rsid w:val="00E871DA"/>
    <w:rsid w:val="00E93C42"/>
    <w:rsid w:val="00E9451D"/>
    <w:rsid w:val="00E95E94"/>
    <w:rsid w:val="00E96C8D"/>
    <w:rsid w:val="00E97A80"/>
    <w:rsid w:val="00EA06F1"/>
    <w:rsid w:val="00EA53C6"/>
    <w:rsid w:val="00EA6832"/>
    <w:rsid w:val="00EB2FA7"/>
    <w:rsid w:val="00EB34BB"/>
    <w:rsid w:val="00EC178A"/>
    <w:rsid w:val="00EC19E1"/>
    <w:rsid w:val="00EC1BC4"/>
    <w:rsid w:val="00EC3418"/>
    <w:rsid w:val="00EC3F69"/>
    <w:rsid w:val="00EC44BF"/>
    <w:rsid w:val="00EC7A20"/>
    <w:rsid w:val="00ED175E"/>
    <w:rsid w:val="00ED27D8"/>
    <w:rsid w:val="00ED3D2D"/>
    <w:rsid w:val="00ED4487"/>
    <w:rsid w:val="00EE0667"/>
    <w:rsid w:val="00EE30E4"/>
    <w:rsid w:val="00EF195F"/>
    <w:rsid w:val="00EF1C1B"/>
    <w:rsid w:val="00F0149D"/>
    <w:rsid w:val="00F0404D"/>
    <w:rsid w:val="00F04A0C"/>
    <w:rsid w:val="00F059F7"/>
    <w:rsid w:val="00F06DB7"/>
    <w:rsid w:val="00F105B7"/>
    <w:rsid w:val="00F10C66"/>
    <w:rsid w:val="00F1263D"/>
    <w:rsid w:val="00F12A51"/>
    <w:rsid w:val="00F138C6"/>
    <w:rsid w:val="00F13C6D"/>
    <w:rsid w:val="00F15A90"/>
    <w:rsid w:val="00F1750C"/>
    <w:rsid w:val="00F17AC9"/>
    <w:rsid w:val="00F23583"/>
    <w:rsid w:val="00F25A7A"/>
    <w:rsid w:val="00F25EA1"/>
    <w:rsid w:val="00F26276"/>
    <w:rsid w:val="00F27CC3"/>
    <w:rsid w:val="00F33090"/>
    <w:rsid w:val="00F340DC"/>
    <w:rsid w:val="00F363F2"/>
    <w:rsid w:val="00F44226"/>
    <w:rsid w:val="00F4700A"/>
    <w:rsid w:val="00F53662"/>
    <w:rsid w:val="00F537C8"/>
    <w:rsid w:val="00F545AA"/>
    <w:rsid w:val="00F55627"/>
    <w:rsid w:val="00F57EE7"/>
    <w:rsid w:val="00F60FC4"/>
    <w:rsid w:val="00F611EE"/>
    <w:rsid w:val="00F63F1B"/>
    <w:rsid w:val="00F650F7"/>
    <w:rsid w:val="00F6626D"/>
    <w:rsid w:val="00F679FC"/>
    <w:rsid w:val="00F67A0C"/>
    <w:rsid w:val="00F70ED5"/>
    <w:rsid w:val="00F73FEB"/>
    <w:rsid w:val="00F75853"/>
    <w:rsid w:val="00F75A81"/>
    <w:rsid w:val="00F7663D"/>
    <w:rsid w:val="00F80136"/>
    <w:rsid w:val="00F8254B"/>
    <w:rsid w:val="00F82D8F"/>
    <w:rsid w:val="00F8335B"/>
    <w:rsid w:val="00F85C51"/>
    <w:rsid w:val="00F86C44"/>
    <w:rsid w:val="00F94C15"/>
    <w:rsid w:val="00F97898"/>
    <w:rsid w:val="00FA0482"/>
    <w:rsid w:val="00FA39E7"/>
    <w:rsid w:val="00FA67A9"/>
    <w:rsid w:val="00FB399D"/>
    <w:rsid w:val="00FB45C7"/>
    <w:rsid w:val="00FB4634"/>
    <w:rsid w:val="00FB52C2"/>
    <w:rsid w:val="00FC0141"/>
    <w:rsid w:val="00FC20EE"/>
    <w:rsid w:val="00FC2E4F"/>
    <w:rsid w:val="00FC442F"/>
    <w:rsid w:val="00FC4E7C"/>
    <w:rsid w:val="00FC58A9"/>
    <w:rsid w:val="00FC67B5"/>
    <w:rsid w:val="00FD3C7A"/>
    <w:rsid w:val="00FD42FF"/>
    <w:rsid w:val="00FD4D13"/>
    <w:rsid w:val="00FD60AF"/>
    <w:rsid w:val="00FD6B1A"/>
    <w:rsid w:val="00FD6BF0"/>
    <w:rsid w:val="00FE266D"/>
    <w:rsid w:val="00FE3730"/>
    <w:rsid w:val="00FE4741"/>
    <w:rsid w:val="00FF1984"/>
    <w:rsid w:val="00FF1A11"/>
    <w:rsid w:val="00FF33B6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A9F2"/>
  <w15:docId w15:val="{9D33353F-6736-4566-9DC5-EDF0986C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C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1C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1C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1C1B"/>
    <w:rPr>
      <w:vertAlign w:val="superscript"/>
    </w:rPr>
  </w:style>
  <w:style w:type="paragraph" w:customStyle="1" w:styleId="CM1">
    <w:name w:val="CM1"/>
    <w:basedOn w:val="Normalny"/>
    <w:next w:val="Normalny"/>
    <w:uiPriority w:val="99"/>
    <w:rsid w:val="00C21AE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C21AE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ny"/>
    <w:next w:val="Normalny"/>
    <w:uiPriority w:val="99"/>
    <w:rsid w:val="00C21AE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tn">
    <w:name w:val="dtn"/>
    <w:basedOn w:val="Normalny"/>
    <w:rsid w:val="00A9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A9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A9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A9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2">
    <w:name w:val="q2"/>
    <w:basedOn w:val="Normalny"/>
    <w:rsid w:val="00A9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A9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A9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94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3A10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C44F12"/>
  </w:style>
  <w:style w:type="character" w:styleId="Pogrubienie">
    <w:name w:val="Strong"/>
    <w:basedOn w:val="Domylnaczcionkaakapitu"/>
    <w:uiPriority w:val="22"/>
    <w:qFormat/>
    <w:rsid w:val="000636B4"/>
    <w:rPr>
      <w:b/>
      <w:bCs/>
    </w:rPr>
  </w:style>
  <w:style w:type="table" w:styleId="Tabela-Siatka">
    <w:name w:val="Table Grid"/>
    <w:basedOn w:val="Standardowy"/>
    <w:uiPriority w:val="59"/>
    <w:rsid w:val="003E6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73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73BFE"/>
    <w:rPr>
      <w:i/>
      <w:iCs/>
    </w:rPr>
  </w:style>
  <w:style w:type="paragraph" w:customStyle="1" w:styleId="Default">
    <w:name w:val="Default"/>
    <w:rsid w:val="000237BA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237BA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237B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semiHidden/>
    <w:rsid w:val="000237B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457"/>
    <w:rPr>
      <w:rFonts w:ascii="Tahoma" w:hAnsi="Tahoma" w:cs="Tahoma"/>
      <w:sz w:val="16"/>
      <w:szCs w:val="16"/>
    </w:rPr>
  </w:style>
  <w:style w:type="paragraph" w:customStyle="1" w:styleId="divpoint">
    <w:name w:val="div.point"/>
    <w:uiPriority w:val="99"/>
    <w:rsid w:val="002C145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2C1457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145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8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8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8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8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87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4688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15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A90"/>
  </w:style>
  <w:style w:type="paragraph" w:styleId="Stopka">
    <w:name w:val="footer"/>
    <w:basedOn w:val="Normalny"/>
    <w:link w:val="StopkaZnak"/>
    <w:uiPriority w:val="99"/>
    <w:unhideWhenUsed/>
    <w:rsid w:val="00F15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5AA675-CB3A-4750-93B2-E64B65A5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1659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</dc:creator>
  <cp:lastModifiedBy>Świątkowski Piotr</cp:lastModifiedBy>
  <cp:revision>2</cp:revision>
  <cp:lastPrinted>2020-05-04T09:09:00Z</cp:lastPrinted>
  <dcterms:created xsi:type="dcterms:W3CDTF">2022-03-14T14:15:00Z</dcterms:created>
  <dcterms:modified xsi:type="dcterms:W3CDTF">2022-03-14T14:15:00Z</dcterms:modified>
</cp:coreProperties>
</file>