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AE4" w14:textId="0DB01072" w:rsidR="00C6011F" w:rsidRDefault="003E54AA" w:rsidP="000A3936">
      <w:pPr>
        <w:pStyle w:val="OZNPROJEKTUwskazaniedatylubwersjiprojektu"/>
      </w:pPr>
      <w:r w:rsidRPr="003E54AA">
        <w:t xml:space="preserve">Projekt z dnia </w:t>
      </w:r>
      <w:r w:rsidR="00124303">
        <w:t>22 marca</w:t>
      </w:r>
      <w:r w:rsidRPr="003E54AA">
        <w:t xml:space="preserve"> 2022 r.</w:t>
      </w:r>
    </w:p>
    <w:p w14:paraId="36739C0A" w14:textId="77777777" w:rsidR="000A3936" w:rsidRPr="000A3936" w:rsidRDefault="000A3936" w:rsidP="000A3936">
      <w:pPr>
        <w:pStyle w:val="OZNRODZAKTUtznustawalubrozporzdzenieiorganwydajcy"/>
      </w:pPr>
    </w:p>
    <w:p w14:paraId="64601A2B" w14:textId="37D2FC25" w:rsidR="003E54AA" w:rsidRPr="003E54AA" w:rsidRDefault="003E54AA" w:rsidP="003E54AA">
      <w:pPr>
        <w:pStyle w:val="OZNRODZAKTUtznustawalubrozporzdzenieiorganwydajcy"/>
      </w:pPr>
      <w:r w:rsidRPr="003E54AA">
        <w:t>ROZPORZĄDZENIE</w:t>
      </w:r>
    </w:p>
    <w:p w14:paraId="21C9F28F" w14:textId="39177852" w:rsidR="003E54AA" w:rsidRPr="000D320C" w:rsidRDefault="003E54AA" w:rsidP="003E54AA">
      <w:pPr>
        <w:pStyle w:val="OZNRODZAKTUtznustawalubrozporzdzenieiorganwydajcy"/>
        <w:rPr>
          <w:rStyle w:val="IGPindeksgrnyipogrubienie"/>
        </w:rPr>
      </w:pPr>
      <w:r w:rsidRPr="003E54AA">
        <w:t>MINISTRA KLIMATU I ŚRODOWISKA</w:t>
      </w:r>
      <w:r w:rsidRPr="00F71F5D">
        <w:rPr>
          <w:rStyle w:val="IGPindeksgrnyipogrubienie"/>
        </w:rPr>
        <w:footnoteReference w:id="1"/>
      </w:r>
      <w:r w:rsidRPr="00F71F5D">
        <w:rPr>
          <w:rStyle w:val="IGPindeksgrnyipogrubienie"/>
        </w:rPr>
        <w:t>)</w:t>
      </w:r>
    </w:p>
    <w:p w14:paraId="76E369CB" w14:textId="77777777" w:rsidR="003E54AA" w:rsidRPr="00650187" w:rsidRDefault="003E54AA" w:rsidP="00650187">
      <w:pPr>
        <w:pStyle w:val="DATAAKTUdatauchwalenialubwydaniaaktu"/>
      </w:pPr>
      <w:r w:rsidRPr="00650187">
        <w:t>z dnia …………………………</w:t>
      </w:r>
    </w:p>
    <w:p w14:paraId="0D5E98BF" w14:textId="2C8DC209" w:rsidR="003E54AA" w:rsidRPr="003E54AA" w:rsidRDefault="003E54AA" w:rsidP="003E54AA">
      <w:pPr>
        <w:pStyle w:val="TYTUAKTUprzedmiotregulacjiustawylubrozporzdzenia"/>
      </w:pPr>
      <w:r w:rsidRPr="003E54AA">
        <w:t>w sprawie określenia metod analizy ekonomicznej kosztów i korzyści oraz danych lub źródeł danych do celów tej analizy</w:t>
      </w:r>
      <w:r w:rsidR="00BE20CD">
        <w:t xml:space="preserve"> </w:t>
      </w:r>
      <w:r w:rsidRPr="00F71F5D">
        <w:rPr>
          <w:rStyle w:val="IGPindeksgrnyipogrubienie"/>
        </w:rPr>
        <w:footnoteReference w:id="2"/>
      </w:r>
      <w:r w:rsidRPr="00F71F5D">
        <w:rPr>
          <w:rStyle w:val="IGPindeksgrnyipogrubienie"/>
        </w:rPr>
        <w:t>)</w:t>
      </w:r>
    </w:p>
    <w:p w14:paraId="01167E94" w14:textId="3ACFEFB7" w:rsidR="003E54AA" w:rsidRPr="003E54AA" w:rsidRDefault="003E54AA" w:rsidP="00F71F5D">
      <w:pPr>
        <w:pStyle w:val="NIEARTTEKSTtekstnieartykuowanynppodstprawnarozplubpreambua"/>
      </w:pPr>
      <w:r w:rsidRPr="003E54AA">
        <w:t xml:space="preserve">Na podstawie art. 10a ust. 6 ustawy z dnia </w:t>
      </w:r>
      <w:r w:rsidR="00B41F11">
        <w:t>10</w:t>
      </w:r>
      <w:r w:rsidRPr="003E54AA">
        <w:t xml:space="preserve"> kwietnia 1997 r. </w:t>
      </w:r>
      <w:bookmarkStart w:id="0" w:name="_Hlk94521742"/>
      <w:r w:rsidRPr="003E54AA">
        <w:t xml:space="preserve">– </w:t>
      </w:r>
      <w:bookmarkEnd w:id="0"/>
      <w:r w:rsidRPr="003E54AA">
        <w:t xml:space="preserve">Prawo energetyczne (Dz. U. z 2021 r. poz. 716, z </w:t>
      </w:r>
      <w:proofErr w:type="spellStart"/>
      <w:r w:rsidRPr="003E54AA">
        <w:t>późn</w:t>
      </w:r>
      <w:proofErr w:type="spellEnd"/>
      <w:r w:rsidRPr="003E54AA">
        <w:t>. zm.</w:t>
      </w:r>
      <w:r w:rsidR="00FC720E" w:rsidRPr="00FC720E">
        <w:rPr>
          <w:rStyle w:val="IGindeksgrny"/>
        </w:rPr>
        <w:footnoteReference w:id="3"/>
      </w:r>
      <w:r w:rsidR="00FC720E" w:rsidRPr="00FC720E">
        <w:rPr>
          <w:rStyle w:val="IGindeksgrny"/>
        </w:rPr>
        <w:t>)</w:t>
      </w:r>
      <w:r w:rsidRPr="003E54AA">
        <w:t>) zarządza się, co następuje:</w:t>
      </w:r>
    </w:p>
    <w:p w14:paraId="5702A72A" w14:textId="7CAF3C2E" w:rsidR="003E54AA" w:rsidRPr="003E54AA" w:rsidRDefault="003E54AA" w:rsidP="003E54AA">
      <w:pPr>
        <w:pStyle w:val="ARTartustawynprozporzdzenia"/>
        <w:keepNext/>
      </w:pPr>
      <w:r w:rsidRPr="003E54AA">
        <w:rPr>
          <w:rStyle w:val="Ppogrubienie"/>
        </w:rPr>
        <w:t>§ 1.</w:t>
      </w:r>
      <w:r>
        <w:t> </w:t>
      </w:r>
      <w:r w:rsidRPr="003E54AA">
        <w:t>Rozporządzenie określa:</w:t>
      </w:r>
    </w:p>
    <w:p w14:paraId="1BD3E754" w14:textId="6FC8B5EA" w:rsidR="003E54AA" w:rsidRPr="003E54AA" w:rsidRDefault="003E54AA" w:rsidP="003E54AA">
      <w:pPr>
        <w:pStyle w:val="PKTpunkt"/>
      </w:pPr>
      <w:r w:rsidRPr="003E54AA">
        <w:t>1)</w:t>
      </w:r>
      <w:r>
        <w:tab/>
      </w:r>
      <w:r w:rsidRPr="003E54AA">
        <w:t xml:space="preserve">metody analizy ekonomicznej </w:t>
      </w:r>
      <w:bookmarkStart w:id="1" w:name="_Hlk96672953"/>
      <w:r w:rsidRPr="003E54AA">
        <w:t xml:space="preserve">kosztów i korzyści </w:t>
      </w:r>
      <w:bookmarkStart w:id="2" w:name="_Hlk95401995"/>
      <w:r w:rsidRPr="003E54AA">
        <w:t xml:space="preserve">budowy, przebudowy lub znacznej modernizacji </w:t>
      </w:r>
      <w:bookmarkStart w:id="3" w:name="_Hlk95403428"/>
      <w:r w:rsidRPr="003E54AA">
        <w:t xml:space="preserve">jednostki wytwórczej </w:t>
      </w:r>
      <w:bookmarkStart w:id="4" w:name="_Hlk97104179"/>
      <w:r w:rsidRPr="003E54AA">
        <w:t>o mocy nominalnej cieplnej powyżej 20 MW, sieci ciepłowniczej lub sieci chłodniczej</w:t>
      </w:r>
      <w:r w:rsidR="00F6149E">
        <w:t xml:space="preserve">, </w:t>
      </w:r>
      <w:bookmarkEnd w:id="4"/>
      <w:r w:rsidR="00F6149E">
        <w:t>o których mowa w art. 10a ust.</w:t>
      </w:r>
      <w:r w:rsidR="000D6448">
        <w:t xml:space="preserve"> </w:t>
      </w:r>
      <w:r w:rsidR="00F6149E">
        <w:t xml:space="preserve">1 </w:t>
      </w:r>
      <w:bookmarkStart w:id="5" w:name="_Hlk98921874"/>
      <w:bookmarkEnd w:id="3"/>
      <w:r w:rsidR="00F6149E">
        <w:t xml:space="preserve">ustawy z dnia </w:t>
      </w:r>
      <w:r w:rsidR="00B41F11">
        <w:t>10</w:t>
      </w:r>
      <w:r w:rsidR="00F6149E">
        <w:t xml:space="preserve"> kwietnia 1997 r.</w:t>
      </w:r>
      <w:r w:rsidR="0023331E" w:rsidRPr="0023331E">
        <w:t xml:space="preserve"> </w:t>
      </w:r>
      <w:bookmarkEnd w:id="2"/>
      <w:r w:rsidR="0023331E" w:rsidRPr="003E54AA">
        <w:t xml:space="preserve">– </w:t>
      </w:r>
      <w:r w:rsidR="00F6149E">
        <w:t>Prawo energetyczne</w:t>
      </w:r>
      <w:bookmarkEnd w:id="1"/>
      <w:bookmarkEnd w:id="5"/>
      <w:r w:rsidR="000D5554">
        <w:t>,</w:t>
      </w:r>
      <w:r w:rsidR="000F48C6">
        <w:t xml:space="preserve"> </w:t>
      </w:r>
      <w:r w:rsidR="000D5554">
        <w:t>zwany</w:t>
      </w:r>
      <w:r w:rsidR="00B65A5B">
        <w:t>ch</w:t>
      </w:r>
      <w:r w:rsidR="000D5554">
        <w:t xml:space="preserve"> dalej </w:t>
      </w:r>
      <w:r w:rsidR="00831A09" w:rsidRPr="00831A09">
        <w:t>„</w:t>
      </w:r>
      <w:bookmarkStart w:id="6" w:name="_Hlk95402257"/>
      <w:r w:rsidR="000D5554">
        <w:t>przedsięwzięciami</w:t>
      </w:r>
      <w:r w:rsidR="00CE6C18" w:rsidRPr="00CE6C18">
        <w:t>”</w:t>
      </w:r>
      <w:r w:rsidR="00BB5B2D">
        <w:t>;</w:t>
      </w:r>
      <w:bookmarkEnd w:id="6"/>
    </w:p>
    <w:p w14:paraId="2B5E4421" w14:textId="1827DEBF" w:rsidR="003E54AA" w:rsidRPr="003E54AA" w:rsidRDefault="003E54AA" w:rsidP="003E54AA">
      <w:pPr>
        <w:pStyle w:val="PKTpunkt"/>
      </w:pPr>
      <w:r w:rsidRPr="003E54AA">
        <w:t>2)</w:t>
      </w:r>
      <w:r>
        <w:tab/>
      </w:r>
      <w:r w:rsidRPr="003E54AA">
        <w:t>dane lub źródła danych do celów analizy, o której mowa w pkt 1.</w:t>
      </w:r>
    </w:p>
    <w:p w14:paraId="60994588" w14:textId="7670CFE6" w:rsidR="0084520D" w:rsidRPr="0084520D" w:rsidRDefault="003E54AA" w:rsidP="0084520D">
      <w:pPr>
        <w:pStyle w:val="ARTartustawynprozporzdzenia"/>
      </w:pPr>
      <w:r w:rsidRPr="003E54AA">
        <w:rPr>
          <w:rStyle w:val="Ppogrubienie"/>
        </w:rPr>
        <w:t>§ </w:t>
      </w:r>
      <w:r w:rsidR="0052586D">
        <w:rPr>
          <w:rStyle w:val="Ppogrubienie"/>
        </w:rPr>
        <w:t>2</w:t>
      </w:r>
      <w:r w:rsidRPr="003E54AA">
        <w:rPr>
          <w:rStyle w:val="Ppogrubienie"/>
        </w:rPr>
        <w:t>.</w:t>
      </w:r>
      <w:r>
        <w:t> </w:t>
      </w:r>
      <w:r w:rsidRPr="003E54AA">
        <w:t>Analizę ekonomiczną kosztów i korzyści przeprowadza się</w:t>
      </w:r>
      <w:r w:rsidR="00055E4A">
        <w:t xml:space="preserve"> z wykorzystaniem</w:t>
      </w:r>
      <w:r w:rsidR="00530C0B">
        <w:t>:</w:t>
      </w:r>
    </w:p>
    <w:p w14:paraId="08D0FB5B" w14:textId="55598FF6" w:rsidR="003E54AA" w:rsidRPr="0084520D" w:rsidRDefault="0084520D" w:rsidP="0084520D">
      <w:pPr>
        <w:pStyle w:val="PKTpunkt"/>
      </w:pPr>
      <w:r w:rsidRPr="0084520D">
        <w:t>1)</w:t>
      </w:r>
      <w:r>
        <w:tab/>
      </w:r>
      <w:r w:rsidR="003E54AA" w:rsidRPr="0084520D">
        <w:t>analizy finansowej;</w:t>
      </w:r>
    </w:p>
    <w:p w14:paraId="4100A4D3" w14:textId="67F4AF26" w:rsidR="0084520D" w:rsidRPr="003E54AA" w:rsidRDefault="0084520D" w:rsidP="0084520D">
      <w:pPr>
        <w:pStyle w:val="PKTpunkt"/>
      </w:pPr>
      <w:r w:rsidRPr="0084520D">
        <w:t>2)</w:t>
      </w:r>
      <w:r>
        <w:tab/>
      </w:r>
      <w:r w:rsidR="003E54AA" w:rsidRPr="0084520D">
        <w:t>analizy ekonomicznej.</w:t>
      </w:r>
    </w:p>
    <w:p w14:paraId="5539DD31" w14:textId="7E261D51" w:rsidR="003E54AA" w:rsidRDefault="003E54AA" w:rsidP="00031A7D">
      <w:pPr>
        <w:pStyle w:val="ARTartustawynprozporzdzenia"/>
      </w:pPr>
      <w:bookmarkStart w:id="7" w:name="_Hlk94534550"/>
      <w:r w:rsidRPr="003E54AA">
        <w:rPr>
          <w:rStyle w:val="Ppogrubienie"/>
        </w:rPr>
        <w:t>§ </w:t>
      </w:r>
      <w:r w:rsidR="0052586D">
        <w:rPr>
          <w:rStyle w:val="Ppogrubienie"/>
        </w:rPr>
        <w:t>3</w:t>
      </w:r>
      <w:r w:rsidRPr="003E54AA">
        <w:rPr>
          <w:rStyle w:val="Ppogrubienie"/>
        </w:rPr>
        <w:t>.</w:t>
      </w:r>
      <w:r>
        <w:t> </w:t>
      </w:r>
      <w:bookmarkEnd w:id="7"/>
      <w:r w:rsidR="004914C0">
        <w:t>1.</w:t>
      </w:r>
      <w:r w:rsidR="00BB5B2D">
        <w:t xml:space="preserve"> </w:t>
      </w:r>
      <w:r w:rsidR="00C50200">
        <w:t>A</w:t>
      </w:r>
      <w:r w:rsidRPr="003E54AA">
        <w:t>naliz</w:t>
      </w:r>
      <w:r w:rsidR="00C50200">
        <w:t>ę</w:t>
      </w:r>
      <w:r w:rsidRPr="003E54AA">
        <w:t xml:space="preserve"> finansow</w:t>
      </w:r>
      <w:r w:rsidR="00C50200">
        <w:t>ą</w:t>
      </w:r>
      <w:r w:rsidRPr="003E54AA">
        <w:t>, o kt</w:t>
      </w:r>
      <w:r w:rsidR="00A606AC">
        <w:t>órej</w:t>
      </w:r>
      <w:r w:rsidRPr="003E54AA">
        <w:t xml:space="preserve"> mowa w § </w:t>
      </w:r>
      <w:r w:rsidR="00BD6F5C">
        <w:t>2</w:t>
      </w:r>
      <w:r w:rsidRPr="003E54AA">
        <w:t xml:space="preserve"> pkt 1,</w:t>
      </w:r>
      <w:r w:rsidR="00C50200">
        <w:t xml:space="preserve"> przeprowadza się stosując następujące metody:</w:t>
      </w:r>
    </w:p>
    <w:p w14:paraId="547478DB" w14:textId="531313AD" w:rsidR="00AD5EE0" w:rsidRPr="00EC4E4D" w:rsidRDefault="00A2065E" w:rsidP="000F749F">
      <w:pPr>
        <w:pStyle w:val="PKTpunkt"/>
      </w:pPr>
      <w:r w:rsidRPr="00EC4E4D">
        <w:t>1)</w:t>
      </w:r>
      <w:r w:rsidR="00EC4E4D">
        <w:tab/>
      </w:r>
      <w:r w:rsidR="005404A7">
        <w:t>analiz</w:t>
      </w:r>
      <w:r w:rsidR="00494FC4">
        <w:t>ę</w:t>
      </w:r>
      <w:r w:rsidR="005404A7">
        <w:t xml:space="preserve"> </w:t>
      </w:r>
      <w:r w:rsidR="005404A7" w:rsidRPr="005404A7">
        <w:t xml:space="preserve">przepływów pieniężnych generowanych przez </w:t>
      </w:r>
      <w:r w:rsidR="00F57726" w:rsidRPr="00F57726">
        <w:t>przedsięwzięci</w:t>
      </w:r>
      <w:r w:rsidR="00F57726">
        <w:t>e</w:t>
      </w:r>
      <w:r w:rsidR="004018AD">
        <w:t xml:space="preserve"> </w:t>
      </w:r>
      <w:r w:rsidR="005404A7" w:rsidRPr="005404A7">
        <w:t>w</w:t>
      </w:r>
      <w:r w:rsidR="000E0C21">
        <w:t> </w:t>
      </w:r>
      <w:r w:rsidR="005404A7" w:rsidRPr="005404A7">
        <w:t>poszczególnych latach okresu odniesienia</w:t>
      </w:r>
      <w:bookmarkStart w:id="8" w:name="_Hlk97028062"/>
      <w:r w:rsidR="00BE20CD">
        <w:t>, o którym mowa w ust. 2</w:t>
      </w:r>
      <w:bookmarkEnd w:id="8"/>
      <w:r w:rsidR="00B74DBF">
        <w:t>;</w:t>
      </w:r>
    </w:p>
    <w:p w14:paraId="27E7904C" w14:textId="7BA7163F" w:rsidR="003E54AA" w:rsidRPr="00EC4E4D" w:rsidRDefault="00A2065E" w:rsidP="00EC4E4D">
      <w:pPr>
        <w:pStyle w:val="PKTpunkt"/>
      </w:pPr>
      <w:r w:rsidRPr="00EC4E4D">
        <w:lastRenderedPageBreak/>
        <w:t>2</w:t>
      </w:r>
      <w:r w:rsidR="003E54AA" w:rsidRPr="00EC4E4D">
        <w:t>)</w:t>
      </w:r>
      <w:r w:rsidR="003E54AA" w:rsidRPr="00EC4E4D">
        <w:tab/>
        <w:t xml:space="preserve">analizę kwoty całkowitych kosztów </w:t>
      </w:r>
      <w:r w:rsidR="009C7ECD" w:rsidRPr="009C7ECD">
        <w:t>przedsięwzięcia</w:t>
      </w:r>
      <w:r w:rsidR="004914C0">
        <w:t xml:space="preserve"> </w:t>
      </w:r>
      <w:r w:rsidR="003E54AA" w:rsidRPr="00EC4E4D">
        <w:t>i ich podziału na poszczególne lata</w:t>
      </w:r>
      <w:r w:rsidR="00E258F9">
        <w:t xml:space="preserve"> okresu odniesienia</w:t>
      </w:r>
      <w:r w:rsidR="00BE20CD">
        <w:t>, o którym mowa w ust. 2</w:t>
      </w:r>
      <w:r w:rsidR="003E54AA" w:rsidRPr="00EC4E4D">
        <w:t>;</w:t>
      </w:r>
    </w:p>
    <w:p w14:paraId="799771DF" w14:textId="0488C342" w:rsidR="003E54AA" w:rsidRPr="00EC4E4D" w:rsidRDefault="00A2065E" w:rsidP="00EC4E4D">
      <w:pPr>
        <w:pStyle w:val="PKTpunkt"/>
      </w:pPr>
      <w:r w:rsidRPr="00EC4E4D">
        <w:t>3</w:t>
      </w:r>
      <w:r w:rsidR="003E54AA" w:rsidRPr="00EC4E4D">
        <w:t>)</w:t>
      </w:r>
      <w:r w:rsidR="003E54AA" w:rsidRPr="00EC4E4D">
        <w:tab/>
        <w:t>analizę całkowitych kosztów i przychodów operacyjnych</w:t>
      </w:r>
      <w:r w:rsidR="00087268">
        <w:t xml:space="preserve"> przedsięwzięcia</w:t>
      </w:r>
      <w:r w:rsidR="003E54AA" w:rsidRPr="00EC4E4D">
        <w:t>;</w:t>
      </w:r>
    </w:p>
    <w:p w14:paraId="41F8760B" w14:textId="1836F159" w:rsidR="003E54AA" w:rsidRDefault="00A2065E" w:rsidP="00EC4E4D">
      <w:pPr>
        <w:pStyle w:val="PKTpunkt"/>
      </w:pPr>
      <w:r w:rsidRPr="00EC4E4D">
        <w:t>4</w:t>
      </w:r>
      <w:r w:rsidR="003E54AA" w:rsidRPr="00EC4E4D">
        <w:t>)</w:t>
      </w:r>
      <w:r w:rsidR="003E54AA" w:rsidRPr="00EC4E4D">
        <w:tab/>
        <w:t xml:space="preserve">identyfikację źródeł finansowania pokrywających koszty </w:t>
      </w:r>
      <w:r w:rsidR="009C7ECD" w:rsidRPr="009C7ECD">
        <w:t>przedsięwzięcia</w:t>
      </w:r>
      <w:r w:rsidR="003E54AA" w:rsidRPr="00EC4E4D">
        <w:t>;</w:t>
      </w:r>
    </w:p>
    <w:p w14:paraId="729906A4" w14:textId="1960157E" w:rsidR="00227D13" w:rsidRDefault="00A2065E" w:rsidP="00227D13">
      <w:pPr>
        <w:pStyle w:val="PKTpunkt"/>
      </w:pPr>
      <w:r w:rsidRPr="00EC4E4D">
        <w:t>5</w:t>
      </w:r>
      <w:r w:rsidR="003E54AA" w:rsidRPr="00EC4E4D">
        <w:t>)</w:t>
      </w:r>
      <w:r w:rsidR="003E54AA" w:rsidRPr="00EC4E4D">
        <w:tab/>
        <w:t xml:space="preserve">analizę rentowności </w:t>
      </w:r>
      <w:r w:rsidR="00F57726" w:rsidRPr="00F57726">
        <w:t>przedsięwzięcia</w:t>
      </w:r>
      <w:r w:rsidR="003E54AA" w:rsidRPr="00EC4E4D">
        <w:t xml:space="preserve"> z uwzględnieniem wskaźnik</w:t>
      </w:r>
      <w:r w:rsidR="00172305">
        <w:t>a</w:t>
      </w:r>
      <w:r w:rsidR="003E54AA" w:rsidRPr="00EC4E4D">
        <w:t xml:space="preserve"> finansow</w:t>
      </w:r>
      <w:r w:rsidR="005404A7">
        <w:t>ej</w:t>
      </w:r>
      <w:r w:rsidR="003E54AA" w:rsidRPr="00EC4E4D">
        <w:t xml:space="preserve"> wartości bieżącej netto</w:t>
      </w:r>
      <w:r w:rsidR="00227D13">
        <w:t xml:space="preserve"> z </w:t>
      </w:r>
      <w:r w:rsidR="00E00C72">
        <w:t>przedsięwzięcia</w:t>
      </w:r>
      <w:r w:rsidR="00227D13">
        <w:t xml:space="preserve"> (FNPV/C),</w:t>
      </w:r>
      <w:r w:rsidR="00BE20CD">
        <w:t xml:space="preserve"> </w:t>
      </w:r>
      <w:bookmarkStart w:id="9" w:name="_Hlk97028661"/>
      <w:r w:rsidR="00BE20CD" w:rsidRPr="00BE20CD">
        <w:t>o który</w:t>
      </w:r>
      <w:r w:rsidR="00172305">
        <w:t>m</w:t>
      </w:r>
      <w:r w:rsidR="00BE20CD" w:rsidRPr="00BE20CD">
        <w:t xml:space="preserve"> mowa w ust. </w:t>
      </w:r>
      <w:bookmarkEnd w:id="9"/>
      <w:r w:rsidR="00BE20CD">
        <w:t>3,</w:t>
      </w:r>
      <w:r w:rsidR="00227D13">
        <w:t xml:space="preserve"> </w:t>
      </w:r>
      <w:r w:rsidR="0074353B">
        <w:t xml:space="preserve">wskaźnika </w:t>
      </w:r>
      <w:r w:rsidR="003E54AA" w:rsidRPr="00EC4E4D">
        <w:t>finansowej</w:t>
      </w:r>
      <w:r w:rsidR="005404A7">
        <w:t xml:space="preserve"> wewnętrznej</w:t>
      </w:r>
      <w:r w:rsidR="003E54AA" w:rsidRPr="00EC4E4D">
        <w:t xml:space="preserve"> stopy zwrotu z</w:t>
      </w:r>
      <w:r w:rsidR="00CE6DF5">
        <w:t xml:space="preserve"> </w:t>
      </w:r>
      <w:r w:rsidR="00E00C72">
        <w:t>przedsięwzięcia</w:t>
      </w:r>
      <w:r w:rsidR="00227D13">
        <w:t xml:space="preserve"> (FRR/C), </w:t>
      </w:r>
      <w:r w:rsidR="0074353B">
        <w:t xml:space="preserve">o którym mowa w ust. 4, wskaźnika </w:t>
      </w:r>
      <w:r w:rsidR="00227D13">
        <w:t>finansowej bieżącej wartości netto z kapitału</w:t>
      </w:r>
      <w:r w:rsidR="00BD48EF">
        <w:t xml:space="preserve"> własnego</w:t>
      </w:r>
      <w:r w:rsidR="00227D13">
        <w:t xml:space="preserve"> (FNPV/K)</w:t>
      </w:r>
      <w:r w:rsidR="004018AD">
        <w:t xml:space="preserve">, o którym mowa w ust. </w:t>
      </w:r>
      <w:r w:rsidR="0074353B">
        <w:t>5</w:t>
      </w:r>
      <w:r w:rsidR="00B41F11">
        <w:t>,</w:t>
      </w:r>
      <w:r w:rsidR="00227D13">
        <w:t xml:space="preserve"> oraz </w:t>
      </w:r>
      <w:r w:rsidR="009517E9">
        <w:t xml:space="preserve">wskaźnika </w:t>
      </w:r>
      <w:r w:rsidR="00227D13">
        <w:t>finansowej wewnętrznej stopy zwrotu z kapitału</w:t>
      </w:r>
      <w:r w:rsidR="00BD48EF">
        <w:t xml:space="preserve"> własnego</w:t>
      </w:r>
      <w:r w:rsidR="00227D13">
        <w:t xml:space="preserve"> (FRR/K)</w:t>
      </w:r>
      <w:r w:rsidR="0074353B">
        <w:t>, o którym mowa w ust. 6</w:t>
      </w:r>
      <w:r w:rsidR="003E54AA" w:rsidRPr="00EC4E4D">
        <w:t>;</w:t>
      </w:r>
    </w:p>
    <w:p w14:paraId="698EF922" w14:textId="243D8E22" w:rsidR="00FA295B" w:rsidRPr="00EC4E4D" w:rsidRDefault="00FA295B" w:rsidP="00EC4E4D">
      <w:pPr>
        <w:pStyle w:val="PKTpunkt"/>
      </w:pPr>
      <w:r>
        <w:t>6)</w:t>
      </w:r>
      <w:r>
        <w:tab/>
        <w:t>określenie o</w:t>
      </w:r>
      <w:r w:rsidRPr="00FA295B">
        <w:t>kres</w:t>
      </w:r>
      <w:r>
        <w:t>u</w:t>
      </w:r>
      <w:r w:rsidRPr="00FA295B">
        <w:t xml:space="preserve"> zwrotu nakładów inwestycyjnych</w:t>
      </w:r>
      <w:r w:rsidR="00E258F9">
        <w:t xml:space="preserve"> przedsięwzięcia</w:t>
      </w:r>
      <w:r w:rsidR="004E7D0A">
        <w:t>;</w:t>
      </w:r>
    </w:p>
    <w:p w14:paraId="58C04BF8" w14:textId="7B11C83F" w:rsidR="003E54AA" w:rsidRDefault="00FA295B" w:rsidP="00EC4E4D">
      <w:pPr>
        <w:pStyle w:val="PKTpunkt"/>
      </w:pPr>
      <w:r>
        <w:t>7</w:t>
      </w:r>
      <w:r w:rsidR="003E54AA" w:rsidRPr="00EC4E4D">
        <w:t>)</w:t>
      </w:r>
      <w:r w:rsidR="003E54AA" w:rsidRPr="00EC4E4D">
        <w:tab/>
        <w:t>analizę trwałości finansowej</w:t>
      </w:r>
      <w:r w:rsidR="00616111">
        <w:t xml:space="preserve"> </w:t>
      </w:r>
      <w:r w:rsidR="00616111" w:rsidRPr="00616111">
        <w:t>przedsięwzięcia</w:t>
      </w:r>
      <w:r w:rsidR="004018AD">
        <w:t xml:space="preserve">, o której mowa w ust. </w:t>
      </w:r>
      <w:r w:rsidR="005E62C7">
        <w:t>7</w:t>
      </w:r>
      <w:r w:rsidR="003E54AA" w:rsidRPr="00EC4E4D">
        <w:t>.</w:t>
      </w:r>
    </w:p>
    <w:p w14:paraId="3460C10C" w14:textId="30733AD3" w:rsidR="0052586D" w:rsidRDefault="0052586D" w:rsidP="00176562">
      <w:pPr>
        <w:pStyle w:val="USTustnpkodeksu"/>
      </w:pPr>
      <w:r>
        <w:t>2. O</w:t>
      </w:r>
      <w:r w:rsidRPr="0052586D">
        <w:t>kres odniesienia</w:t>
      </w:r>
      <w:r w:rsidR="00BE20CD">
        <w:t xml:space="preserve"> o</w:t>
      </w:r>
      <w:r>
        <w:t>kreśla się jako</w:t>
      </w:r>
      <w:r w:rsidRPr="0052586D">
        <w:t xml:space="preserve"> okres</w:t>
      </w:r>
      <w:r w:rsidR="00B41F11">
        <w:t>,</w:t>
      </w:r>
      <w:r w:rsidR="00BF0390">
        <w:t xml:space="preserve"> </w:t>
      </w:r>
      <w:r w:rsidRPr="0052586D">
        <w:t>za który sporządz</w:t>
      </w:r>
      <w:r w:rsidR="00D905E1">
        <w:t>a</w:t>
      </w:r>
      <w:r w:rsidR="00A729BD">
        <w:t xml:space="preserve"> </w:t>
      </w:r>
      <w:r w:rsidR="00D905E1">
        <w:t>się</w:t>
      </w:r>
      <w:r w:rsidRPr="0052586D">
        <w:t xml:space="preserve"> prognozę przepływów pieniężnych generowanych przez analizowane przedsięwzięcie, uwzględniający zarówno okres realizacji przedsięwzięcia, jak i okres po jego ukończeniu, to jest fazę inwestycyjną i operacyjną.</w:t>
      </w:r>
    </w:p>
    <w:p w14:paraId="01F23266" w14:textId="45C1E33C" w:rsidR="00481519" w:rsidRDefault="0052586D" w:rsidP="00031A7D">
      <w:pPr>
        <w:pStyle w:val="USTustnpkodeksu"/>
      </w:pPr>
      <w:r>
        <w:t>3</w:t>
      </w:r>
      <w:r w:rsidR="000B6800">
        <w:t xml:space="preserve">. </w:t>
      </w:r>
      <w:bookmarkStart w:id="10" w:name="_Hlk97045883"/>
      <w:r w:rsidR="006A237E">
        <w:t xml:space="preserve">Wskaźnik finansowej </w:t>
      </w:r>
      <w:r w:rsidR="000B6800" w:rsidRPr="000B6800">
        <w:t xml:space="preserve">wartości bieżącej netto z </w:t>
      </w:r>
      <w:r w:rsidR="006A237E">
        <w:t>przedsięwzięcia</w:t>
      </w:r>
      <w:r w:rsidR="000B6800" w:rsidRPr="000B6800">
        <w:t xml:space="preserve"> </w:t>
      </w:r>
      <w:bookmarkEnd w:id="10"/>
      <w:r w:rsidR="000B6800" w:rsidRPr="000B6800">
        <w:t>(FNPV/C)</w:t>
      </w:r>
      <w:r w:rsidR="00BE20CD" w:rsidDel="00BE20CD">
        <w:t xml:space="preserve"> </w:t>
      </w:r>
      <w:r w:rsidR="00BE20CD">
        <w:t>o</w:t>
      </w:r>
      <w:r w:rsidR="005C319A">
        <w:t>blicza się</w:t>
      </w:r>
      <w:r w:rsidR="006A237E">
        <w:t xml:space="preserve"> jako</w:t>
      </w:r>
      <w:r w:rsidR="006A237E" w:rsidRPr="006A237E">
        <w:t xml:space="preserve"> sum</w:t>
      </w:r>
      <w:r w:rsidR="006A237E">
        <w:t>ę</w:t>
      </w:r>
      <w:r w:rsidR="006A237E" w:rsidRPr="006A237E">
        <w:t xml:space="preserve"> zdyskontowanych strumieni pieniężnych netto generowanych przez przedsięwzięcie</w:t>
      </w:r>
      <w:r w:rsidR="006A237E">
        <w:t xml:space="preserve">, </w:t>
      </w:r>
      <w:r w:rsidR="006A237E" w:rsidRPr="006A237E">
        <w:t>bez względu na strukturę finansowania przedsięwzięcia oraz finansową bieżącą wartość netto kapitału</w:t>
      </w:r>
      <w:r w:rsidR="0074353B">
        <w:t xml:space="preserve"> własnego (FNPV/K)</w:t>
      </w:r>
      <w:r w:rsidR="00CE6DF5">
        <w:t>,</w:t>
      </w:r>
      <w:r w:rsidR="00CE6DF5" w:rsidRPr="00CE6DF5">
        <w:t xml:space="preserve"> o którym mowa w ust. 5</w:t>
      </w:r>
      <w:r w:rsidR="00481519">
        <w:t>.</w:t>
      </w:r>
    </w:p>
    <w:p w14:paraId="61BFD4AB" w14:textId="0B3793E0" w:rsidR="00A56A9C" w:rsidRDefault="00A56A9C" w:rsidP="00031A7D">
      <w:pPr>
        <w:pStyle w:val="USTustnpkodeksu"/>
      </w:pPr>
      <w:r>
        <w:t>4. Wskaźnik f</w:t>
      </w:r>
      <w:r w:rsidRPr="00A56A9C">
        <w:t>inansow</w:t>
      </w:r>
      <w:r>
        <w:t>ej</w:t>
      </w:r>
      <w:r w:rsidRPr="00A56A9C">
        <w:t xml:space="preserve"> wewnętrzn</w:t>
      </w:r>
      <w:r>
        <w:t>ej</w:t>
      </w:r>
      <w:r w:rsidRPr="00A56A9C">
        <w:t xml:space="preserve"> stop</w:t>
      </w:r>
      <w:r>
        <w:t>y</w:t>
      </w:r>
      <w:r w:rsidRPr="00A56A9C">
        <w:t xml:space="preserve"> zwrotu z </w:t>
      </w:r>
      <w:r>
        <w:t>przedsięwzięcia</w:t>
      </w:r>
      <w:r w:rsidRPr="00A56A9C">
        <w:t xml:space="preserve"> (FRR/C) jest</w:t>
      </w:r>
      <w:r>
        <w:t xml:space="preserve"> równy</w:t>
      </w:r>
      <w:r w:rsidRPr="00A56A9C">
        <w:t xml:space="preserve"> stop</w:t>
      </w:r>
      <w:r>
        <w:t>ie</w:t>
      </w:r>
      <w:r w:rsidRPr="00A56A9C">
        <w:t xml:space="preserve"> dyskontow</w:t>
      </w:r>
      <w:r>
        <w:t>ej</w:t>
      </w:r>
      <w:r w:rsidRPr="00A56A9C">
        <w:t xml:space="preserve">, </w:t>
      </w:r>
      <w:r>
        <w:t>dla</w:t>
      </w:r>
      <w:r w:rsidRPr="00A56A9C">
        <w:t xml:space="preserve"> której wartość </w:t>
      </w:r>
      <w:r>
        <w:t>w</w:t>
      </w:r>
      <w:r w:rsidRPr="00A56A9C">
        <w:t>skaźnik</w:t>
      </w:r>
      <w:r>
        <w:t>a</w:t>
      </w:r>
      <w:r w:rsidRPr="00A56A9C">
        <w:t xml:space="preserve"> finansowej wartości bieżącej netto z przedsięwzięcia</w:t>
      </w:r>
      <w:r>
        <w:t xml:space="preserve"> (</w:t>
      </w:r>
      <w:r w:rsidRPr="00A56A9C">
        <w:t>FNPV/C</w:t>
      </w:r>
      <w:r>
        <w:t>)</w:t>
      </w:r>
      <w:r w:rsidR="00CE6DF5">
        <w:t xml:space="preserve">, </w:t>
      </w:r>
      <w:r w:rsidR="00CE6DF5" w:rsidRPr="00CE6DF5">
        <w:t>o którym mowa w ust.</w:t>
      </w:r>
      <w:r w:rsidR="00CE6DF5">
        <w:t xml:space="preserve"> 3,</w:t>
      </w:r>
      <w:r w:rsidRPr="00A56A9C">
        <w:t xml:space="preserve"> wynosi zero</w:t>
      </w:r>
      <w:r>
        <w:t>.</w:t>
      </w:r>
    </w:p>
    <w:p w14:paraId="08A2ACB9" w14:textId="199A2B7F" w:rsidR="000B6800" w:rsidRDefault="00A56A9C" w:rsidP="00031A7D">
      <w:pPr>
        <w:pStyle w:val="USTustnpkodeksu"/>
      </w:pPr>
      <w:r>
        <w:t>5</w:t>
      </w:r>
      <w:r w:rsidR="000B6800">
        <w:t xml:space="preserve">. </w:t>
      </w:r>
      <w:r w:rsidR="006A237E">
        <w:t xml:space="preserve">Wskaźnik </w:t>
      </w:r>
      <w:r w:rsidR="000B6800">
        <w:t>finansowej bieżącej wartości netto z kapitału</w:t>
      </w:r>
      <w:r w:rsidR="00BD48EF">
        <w:t xml:space="preserve"> własnego</w:t>
      </w:r>
      <w:r w:rsidR="000B6800">
        <w:t xml:space="preserve"> (FNPV/K)</w:t>
      </w:r>
      <w:r w:rsidR="004018AD">
        <w:t xml:space="preserve"> </w:t>
      </w:r>
      <w:r w:rsidR="000174AA">
        <w:t>oblicza się</w:t>
      </w:r>
      <w:r w:rsidR="006A237E">
        <w:t xml:space="preserve"> jako </w:t>
      </w:r>
      <w:r w:rsidR="006A237E" w:rsidRPr="006A237E">
        <w:t>sum</w:t>
      </w:r>
      <w:r w:rsidR="006A237E">
        <w:t>ę</w:t>
      </w:r>
      <w:r w:rsidR="006A237E" w:rsidRPr="006A237E">
        <w:t xml:space="preserve"> zdyskontowanych strumieni pieniężnych netto wygenerowanych</w:t>
      </w:r>
      <w:r w:rsidR="00745243">
        <w:t xml:space="preserve"> dla przedsiębiorstwa</w:t>
      </w:r>
      <w:r w:rsidR="006A237E" w:rsidRPr="006A237E">
        <w:t xml:space="preserve"> w wyniku realizacji rozważanego przedsięwzięcia</w:t>
      </w:r>
      <w:r w:rsidR="00BD48EF">
        <w:t>.</w:t>
      </w:r>
    </w:p>
    <w:p w14:paraId="4F5D92FF" w14:textId="4B4E2513" w:rsidR="00A56A9C" w:rsidRDefault="00A56A9C" w:rsidP="00031A7D">
      <w:pPr>
        <w:pStyle w:val="USTustnpkodeksu"/>
      </w:pPr>
      <w:r>
        <w:t>6. Wskaźnik f</w:t>
      </w:r>
      <w:r w:rsidRPr="00A56A9C">
        <w:t>inansow</w:t>
      </w:r>
      <w:r>
        <w:t>ej</w:t>
      </w:r>
      <w:r w:rsidRPr="00A56A9C">
        <w:t xml:space="preserve"> wewnętrzn</w:t>
      </w:r>
      <w:r>
        <w:t>ej</w:t>
      </w:r>
      <w:r w:rsidRPr="00A56A9C">
        <w:t xml:space="preserve"> stop</w:t>
      </w:r>
      <w:r>
        <w:t>y</w:t>
      </w:r>
      <w:r w:rsidRPr="00A56A9C">
        <w:t xml:space="preserve"> zwrotu z kapitału </w:t>
      </w:r>
      <w:r>
        <w:t>własnego</w:t>
      </w:r>
      <w:r w:rsidRPr="00A56A9C">
        <w:t xml:space="preserve"> (FRR/K) jest równ</w:t>
      </w:r>
      <w:r>
        <w:t>y</w:t>
      </w:r>
      <w:r w:rsidRPr="00A56A9C">
        <w:t xml:space="preserve"> stopie dyskontowej, dla której wartość</w:t>
      </w:r>
      <w:r>
        <w:t xml:space="preserve"> wskaźnika</w:t>
      </w:r>
      <w:r w:rsidRPr="00A56A9C">
        <w:t xml:space="preserve"> finansowej bieżącej wartości netto z kapitału własnego </w:t>
      </w:r>
      <w:r>
        <w:t>(</w:t>
      </w:r>
      <w:r w:rsidRPr="00A56A9C">
        <w:t>FNPV/K</w:t>
      </w:r>
      <w:r>
        <w:t>)</w:t>
      </w:r>
      <w:r w:rsidR="00CE6DF5">
        <w:t>,</w:t>
      </w:r>
      <w:r w:rsidR="00CE6DF5" w:rsidRPr="00CE6DF5">
        <w:t xml:space="preserve"> o którym mowa w ust. 5</w:t>
      </w:r>
      <w:r w:rsidR="00CE6DF5">
        <w:t>,</w:t>
      </w:r>
      <w:r w:rsidRPr="00A56A9C">
        <w:t xml:space="preserve"> wynosi zero.</w:t>
      </w:r>
    </w:p>
    <w:p w14:paraId="66564354" w14:textId="303FFC48" w:rsidR="000B6800" w:rsidRPr="00EC4E4D" w:rsidRDefault="00A56A9C" w:rsidP="00031A7D">
      <w:pPr>
        <w:pStyle w:val="USTustnpkodeksu"/>
      </w:pPr>
      <w:r>
        <w:t>7</w:t>
      </w:r>
      <w:r w:rsidR="000B6800">
        <w:t>. W ramach analizy trwałości finansowej przedsięwzięcia</w:t>
      </w:r>
      <w:r w:rsidR="004018AD">
        <w:t xml:space="preserve"> </w:t>
      </w:r>
      <w:r w:rsidR="004A0B14">
        <w:t xml:space="preserve">ocenia się, czy zasoby </w:t>
      </w:r>
      <w:r w:rsidR="000B6800" w:rsidRPr="000B6800">
        <w:t xml:space="preserve">finansowe na realizację </w:t>
      </w:r>
      <w:r w:rsidR="000B6800">
        <w:t>przedsięwzięcia</w:t>
      </w:r>
      <w:r w:rsidR="000B6800" w:rsidRPr="000B6800">
        <w:t xml:space="preserve"> zostały zapewnione i są one wystarczające do sfinansowania kosztów </w:t>
      </w:r>
      <w:r w:rsidR="000B6800">
        <w:t>przedsięwzięcia</w:t>
      </w:r>
      <w:r w:rsidR="000B6800" w:rsidRPr="000B6800">
        <w:t xml:space="preserve"> podczas jego realizacji, a następnie eksploatacji.</w:t>
      </w:r>
    </w:p>
    <w:p w14:paraId="642F4AB9" w14:textId="21BE19E5" w:rsidR="003E54AA" w:rsidRDefault="003E54AA" w:rsidP="003E54AA">
      <w:pPr>
        <w:pStyle w:val="ARTartustawynprozporzdzenia"/>
        <w:keepNext/>
      </w:pPr>
      <w:r w:rsidRPr="003E54AA">
        <w:rPr>
          <w:rStyle w:val="Ppogrubienie"/>
        </w:rPr>
        <w:lastRenderedPageBreak/>
        <w:t>§ </w:t>
      </w:r>
      <w:r w:rsidR="0052586D">
        <w:rPr>
          <w:rStyle w:val="Ppogrubienie"/>
        </w:rPr>
        <w:t>4</w:t>
      </w:r>
      <w:r w:rsidRPr="003E54AA">
        <w:rPr>
          <w:rStyle w:val="Ppogrubienie"/>
        </w:rPr>
        <w:t>.</w:t>
      </w:r>
      <w:r>
        <w:t> </w:t>
      </w:r>
      <w:r w:rsidR="00481519">
        <w:t xml:space="preserve">1. </w:t>
      </w:r>
      <w:r w:rsidR="00116FA9">
        <w:t>A</w:t>
      </w:r>
      <w:r w:rsidRPr="003E54AA">
        <w:t>naliz</w:t>
      </w:r>
      <w:r w:rsidR="00116FA9">
        <w:t>ę</w:t>
      </w:r>
      <w:r w:rsidRPr="003E54AA">
        <w:t xml:space="preserve"> ekonomic</w:t>
      </w:r>
      <w:r w:rsidR="00EC4E4D">
        <w:t>zn</w:t>
      </w:r>
      <w:r w:rsidR="00116FA9">
        <w:t>ą</w:t>
      </w:r>
      <w:r w:rsidRPr="003E54AA">
        <w:t>, o któ</w:t>
      </w:r>
      <w:r w:rsidR="005E7119">
        <w:t>rej</w:t>
      </w:r>
      <w:r w:rsidRPr="003E54AA">
        <w:t xml:space="preserve"> mowa w § </w:t>
      </w:r>
      <w:r w:rsidR="00BD6F5C">
        <w:t>2</w:t>
      </w:r>
      <w:r w:rsidRPr="003E54AA">
        <w:t xml:space="preserve"> pkt 2, </w:t>
      </w:r>
      <w:r w:rsidR="00116FA9">
        <w:t xml:space="preserve">przeprowadza się stosując następujące metody: </w:t>
      </w:r>
    </w:p>
    <w:p w14:paraId="3A22D483" w14:textId="74B47957" w:rsidR="00AD5EE0" w:rsidRPr="00EC4E4D" w:rsidRDefault="00A2065E" w:rsidP="000F749F">
      <w:pPr>
        <w:pStyle w:val="PKTpunkt"/>
      </w:pPr>
      <w:r w:rsidRPr="00EC4E4D">
        <w:t>1)</w:t>
      </w:r>
      <w:r w:rsidR="00EC4E4D">
        <w:tab/>
      </w:r>
      <w:r w:rsidR="00BA50DF">
        <w:t>analiz</w:t>
      </w:r>
      <w:r w:rsidR="00DD2519">
        <w:t>ę</w:t>
      </w:r>
      <w:r w:rsidR="00BA50DF">
        <w:t xml:space="preserve"> </w:t>
      </w:r>
      <w:r w:rsidR="00BA50DF" w:rsidRPr="00BA50DF">
        <w:t>strumieni ekonomicznych kosztów i korzyści generowanych w</w:t>
      </w:r>
      <w:r w:rsidR="00BA50DF">
        <w:t xml:space="preserve"> </w:t>
      </w:r>
      <w:r w:rsidR="00BA50DF" w:rsidRPr="00BA50DF">
        <w:t xml:space="preserve">wyniku realizacji </w:t>
      </w:r>
      <w:r w:rsidR="009C7ECD" w:rsidRPr="009C7ECD">
        <w:t>przedsięwzięcia,</w:t>
      </w:r>
      <w:r w:rsidR="00116FA9">
        <w:t xml:space="preserve"> </w:t>
      </w:r>
      <w:r w:rsidR="00BA50DF" w:rsidRPr="00BA50DF">
        <w:t>w poszczególnych latach okresu</w:t>
      </w:r>
      <w:r w:rsidR="00BA50DF">
        <w:t xml:space="preserve"> </w:t>
      </w:r>
      <w:r w:rsidR="00BA50DF" w:rsidRPr="00BA50DF">
        <w:t>odniesienia</w:t>
      </w:r>
      <w:r w:rsidR="0052586D">
        <w:t xml:space="preserve">, o którym mowa w </w:t>
      </w:r>
      <w:r w:rsidR="0052586D">
        <w:rPr>
          <w:rFonts w:cs="Times"/>
        </w:rPr>
        <w:t>§</w:t>
      </w:r>
      <w:r w:rsidR="003322D6">
        <w:t xml:space="preserve"> </w:t>
      </w:r>
      <w:r w:rsidR="0052586D">
        <w:t>3 ust.</w:t>
      </w:r>
      <w:r w:rsidR="000E0C21">
        <w:t> </w:t>
      </w:r>
      <w:r w:rsidR="0052586D">
        <w:t>2</w:t>
      </w:r>
      <w:r w:rsidR="00B74DBF">
        <w:t>;</w:t>
      </w:r>
    </w:p>
    <w:p w14:paraId="05528F0D" w14:textId="01F7C913" w:rsidR="003E54AA" w:rsidRPr="00EC4E4D" w:rsidRDefault="00A2065E" w:rsidP="00EC4E4D">
      <w:pPr>
        <w:pStyle w:val="PKTpunkt"/>
      </w:pPr>
      <w:r w:rsidRPr="00EC4E4D">
        <w:t>2</w:t>
      </w:r>
      <w:r w:rsidR="003E54AA" w:rsidRPr="00EC4E4D">
        <w:t>)</w:t>
      </w:r>
      <w:r w:rsidR="003E54AA" w:rsidRPr="00EC4E4D">
        <w:tab/>
        <w:t>skorygo</w:t>
      </w:r>
      <w:r w:rsidR="00B74DBF">
        <w:t>wani</w:t>
      </w:r>
      <w:r w:rsidR="002D14E7">
        <w:t>e</w:t>
      </w:r>
      <w:r w:rsidR="003E54AA" w:rsidRPr="00EC4E4D">
        <w:t xml:space="preserve"> wynik</w:t>
      </w:r>
      <w:r w:rsidR="00B74DBF">
        <w:t>ów</w:t>
      </w:r>
      <w:r w:rsidR="003E54AA" w:rsidRPr="00EC4E4D">
        <w:t xml:space="preserve"> analizy finansowej</w:t>
      </w:r>
      <w:r w:rsidR="00DE68A1">
        <w:t xml:space="preserve">, o której mowa w </w:t>
      </w:r>
      <w:r w:rsidR="00DE68A1">
        <w:rPr>
          <w:rFonts w:cs="Times"/>
        </w:rPr>
        <w:t>§</w:t>
      </w:r>
      <w:r w:rsidR="007152AE">
        <w:t xml:space="preserve"> 2</w:t>
      </w:r>
      <w:r w:rsidR="00DE68A1">
        <w:t xml:space="preserve"> pkt 1, </w:t>
      </w:r>
      <w:r w:rsidR="003E54AA" w:rsidRPr="00EC4E4D">
        <w:t>o efekty fiskalne,</w:t>
      </w:r>
      <w:r w:rsidR="002D69B6">
        <w:t xml:space="preserve"> o których mowa w ust. 2,</w:t>
      </w:r>
      <w:r w:rsidR="003E54AA" w:rsidRPr="00EC4E4D">
        <w:t xml:space="preserve"> efekty zewnętrzne</w:t>
      </w:r>
      <w:r w:rsidR="002033D3">
        <w:t>, o których mowa w ust. 3</w:t>
      </w:r>
      <w:r w:rsidR="003E54AA" w:rsidRPr="00EC4E4D">
        <w:t xml:space="preserve"> oraz przekształcenie cen rynkowych na ceny rozrachunkowe;</w:t>
      </w:r>
    </w:p>
    <w:p w14:paraId="6D61D75A" w14:textId="4A9FF7C4" w:rsidR="003E54AA" w:rsidRPr="00EC4E4D" w:rsidRDefault="00DE7653" w:rsidP="00EC4E4D">
      <w:pPr>
        <w:pStyle w:val="PKTpunkt"/>
      </w:pPr>
      <w:r>
        <w:t>3</w:t>
      </w:r>
      <w:r w:rsidR="003E54AA" w:rsidRPr="00EC4E4D">
        <w:t>)</w:t>
      </w:r>
      <w:r w:rsidR="003E54AA" w:rsidRPr="00EC4E4D">
        <w:tab/>
        <w:t>zastosowa</w:t>
      </w:r>
      <w:r w:rsidR="00353F03">
        <w:t>nie</w:t>
      </w:r>
      <w:r w:rsidR="003E54AA" w:rsidRPr="00EC4E4D">
        <w:t xml:space="preserve"> współczynnik</w:t>
      </w:r>
      <w:r w:rsidR="00353F03">
        <w:t>a</w:t>
      </w:r>
      <w:r w:rsidR="003E54AA" w:rsidRPr="00EC4E4D">
        <w:t xml:space="preserve"> konwersji</w:t>
      </w:r>
      <w:r w:rsidR="002033D3">
        <w:t>, o którym mowa w ust. 4</w:t>
      </w:r>
      <w:r w:rsidR="003E54AA" w:rsidRPr="00EC4E4D">
        <w:t xml:space="preserve"> do nakładów</w:t>
      </w:r>
      <w:r w:rsidR="009517E9">
        <w:t xml:space="preserve"> </w:t>
      </w:r>
      <w:r w:rsidR="009517E9" w:rsidRPr="00FA295B">
        <w:t>inwestycyjnych</w:t>
      </w:r>
      <w:r w:rsidR="003E54AA" w:rsidRPr="00EC4E4D">
        <w:t xml:space="preserve"> w ramach </w:t>
      </w:r>
      <w:bookmarkStart w:id="11" w:name="_Hlk95402604"/>
      <w:r w:rsidR="00616111" w:rsidRPr="00616111">
        <w:t>przedsięwzi</w:t>
      </w:r>
      <w:r w:rsidR="00616111">
        <w:t>ęcia</w:t>
      </w:r>
      <w:r w:rsidR="00116FA9" w:rsidRPr="00EC4E4D" w:rsidDel="00616111">
        <w:t xml:space="preserve"> </w:t>
      </w:r>
      <w:bookmarkEnd w:id="11"/>
      <w:r w:rsidR="003E54AA" w:rsidRPr="00EC4E4D">
        <w:t>i</w:t>
      </w:r>
      <w:r w:rsidR="000E0C21">
        <w:t> </w:t>
      </w:r>
      <w:r w:rsidR="003E54AA" w:rsidRPr="00EC4E4D">
        <w:t>obliczenia wynagrodzeń ukrytych;</w:t>
      </w:r>
    </w:p>
    <w:p w14:paraId="5D8F9B31" w14:textId="4F906AE7" w:rsidR="003E54AA" w:rsidRPr="00EC4E4D" w:rsidRDefault="00DE7653" w:rsidP="00EC4E4D">
      <w:pPr>
        <w:pStyle w:val="PKTpunkt"/>
      </w:pPr>
      <w:r>
        <w:t>4</w:t>
      </w:r>
      <w:r w:rsidR="003E54AA" w:rsidRPr="00EC4E4D">
        <w:t>)</w:t>
      </w:r>
      <w:r w:rsidR="003E54AA" w:rsidRPr="00EC4E4D">
        <w:tab/>
        <w:t>ocen</w:t>
      </w:r>
      <w:r w:rsidR="00E6284E">
        <w:t>ę</w:t>
      </w:r>
      <w:r w:rsidR="003E54AA" w:rsidRPr="00EC4E4D">
        <w:t xml:space="preserve"> poziom</w:t>
      </w:r>
      <w:r w:rsidR="00353F03">
        <w:t>u</w:t>
      </w:r>
      <w:r w:rsidR="003E54AA" w:rsidRPr="00EC4E4D">
        <w:t xml:space="preserve"> emisji gazów cieplarnianych;</w:t>
      </w:r>
    </w:p>
    <w:p w14:paraId="69419E9C" w14:textId="362B6E8D" w:rsidR="003E54AA" w:rsidRDefault="00DE7653" w:rsidP="00EC4E4D">
      <w:pPr>
        <w:pStyle w:val="PKTpunkt"/>
      </w:pPr>
      <w:r>
        <w:t>5</w:t>
      </w:r>
      <w:r w:rsidR="003E54AA" w:rsidRPr="00EC4E4D">
        <w:t>)</w:t>
      </w:r>
      <w:r w:rsidR="003E54AA" w:rsidRPr="00EC4E4D">
        <w:tab/>
        <w:t>przeprowadz</w:t>
      </w:r>
      <w:r w:rsidR="00353F03">
        <w:t>enie</w:t>
      </w:r>
      <w:r w:rsidR="003E54AA" w:rsidRPr="00EC4E4D">
        <w:t xml:space="preserve"> analiz</w:t>
      </w:r>
      <w:r w:rsidR="00353F03">
        <w:t>y</w:t>
      </w:r>
      <w:r w:rsidR="003E54AA" w:rsidRPr="00EC4E4D">
        <w:t xml:space="preserve"> efektywności ekonomicznej </w:t>
      </w:r>
      <w:r w:rsidR="00616111" w:rsidRPr="00616111">
        <w:t>przedsięwzięcia</w:t>
      </w:r>
      <w:r w:rsidR="003E54AA" w:rsidRPr="00EC4E4D">
        <w:t xml:space="preserve"> na podstawie</w:t>
      </w:r>
      <w:r w:rsidR="00BB5B2D">
        <w:t xml:space="preserve"> wskaźnik</w:t>
      </w:r>
      <w:r w:rsidR="00E04341">
        <w:t>a</w:t>
      </w:r>
      <w:r w:rsidR="003E54AA" w:rsidRPr="00EC4E4D">
        <w:t xml:space="preserve"> ekonomicznej wartoś</w:t>
      </w:r>
      <w:r w:rsidR="00C72D30">
        <w:t>ci bieżącej</w:t>
      </w:r>
      <w:r w:rsidR="003E54AA" w:rsidRPr="00EC4E4D">
        <w:t xml:space="preserve"> netto (ENPV)</w:t>
      </w:r>
      <w:r w:rsidR="00033E10" w:rsidRPr="00EC4E4D">
        <w:t>,</w:t>
      </w:r>
      <w:r w:rsidR="00EC602A">
        <w:t xml:space="preserve"> o który</w:t>
      </w:r>
      <w:r w:rsidR="00E04341">
        <w:t>m</w:t>
      </w:r>
      <w:r w:rsidR="00EC602A">
        <w:t xml:space="preserve"> mowa w </w:t>
      </w:r>
      <w:r w:rsidR="00DD5BA8">
        <w:t>ust. 5,</w:t>
      </w:r>
      <w:r w:rsidR="003E54AA" w:rsidRPr="00EC4E4D">
        <w:t xml:space="preserve"> ekonomicznej stopy zwrotu (ERR)</w:t>
      </w:r>
      <w:r w:rsidR="00DD5BA8">
        <w:t>, o któr</w:t>
      </w:r>
      <w:r w:rsidR="00172305">
        <w:t>ej</w:t>
      </w:r>
      <w:r w:rsidR="00DD5BA8">
        <w:t xml:space="preserve"> mowa w ust. 6</w:t>
      </w:r>
      <w:r w:rsidR="00033E10" w:rsidRPr="00EC4E4D">
        <w:t xml:space="preserve"> oraz</w:t>
      </w:r>
      <w:r w:rsidR="003E54AA" w:rsidRPr="00EC4E4D">
        <w:t xml:space="preserve"> wskaźnik</w:t>
      </w:r>
      <w:r w:rsidR="00033E10" w:rsidRPr="00EC4E4D">
        <w:t>a</w:t>
      </w:r>
      <w:r w:rsidR="003E54AA" w:rsidRPr="00EC4E4D">
        <w:t xml:space="preserve"> korzyści i kosztów (B/C)</w:t>
      </w:r>
      <w:r w:rsidR="00DD5BA8">
        <w:t>, o którym mowa w ust. 7</w:t>
      </w:r>
      <w:r w:rsidR="003E54AA" w:rsidRPr="00EC4E4D">
        <w:t>.</w:t>
      </w:r>
    </w:p>
    <w:p w14:paraId="2D48BB40" w14:textId="236124CF" w:rsidR="00353CC9" w:rsidRDefault="000B6800" w:rsidP="00031A7D">
      <w:pPr>
        <w:pStyle w:val="USTustnpkodeksu"/>
      </w:pPr>
      <w:r>
        <w:t xml:space="preserve">2. </w:t>
      </w:r>
      <w:r w:rsidR="00DB45E6">
        <w:t>W ramach</w:t>
      </w:r>
      <w:r w:rsidR="00353CC9">
        <w:t xml:space="preserve"> </w:t>
      </w:r>
      <w:r w:rsidR="00B16901">
        <w:t>korekty</w:t>
      </w:r>
      <w:r w:rsidR="00353CC9">
        <w:t xml:space="preserve"> </w:t>
      </w:r>
      <w:r w:rsidR="00155039">
        <w:t xml:space="preserve">wyników </w:t>
      </w:r>
      <w:r w:rsidR="00353CC9">
        <w:t>analizy finansowej</w:t>
      </w:r>
      <w:r w:rsidR="00B16901">
        <w:t xml:space="preserve"> </w:t>
      </w:r>
      <w:r w:rsidR="00353CC9">
        <w:t>o e</w:t>
      </w:r>
      <w:r>
        <w:t>fekty fiskalne</w:t>
      </w:r>
      <w:r w:rsidR="00D905E1">
        <w:t>:</w:t>
      </w:r>
    </w:p>
    <w:p w14:paraId="45937026" w14:textId="528536C5" w:rsidR="00353CC9" w:rsidRPr="00353CC9" w:rsidRDefault="00BB5B2D" w:rsidP="00031A7D">
      <w:pPr>
        <w:pStyle w:val="LITlitera"/>
      </w:pPr>
      <w:r>
        <w:t>a</w:t>
      </w:r>
      <w:r w:rsidR="00353CC9">
        <w:t>)</w:t>
      </w:r>
      <w:r w:rsidR="00FE6AD1">
        <w:tab/>
      </w:r>
      <w:r w:rsidR="00353CC9" w:rsidRPr="00353CC9">
        <w:t>po</w:t>
      </w:r>
      <w:r w:rsidR="00D905E1">
        <w:t>mija się</w:t>
      </w:r>
      <w:r w:rsidR="00353CC9" w:rsidRPr="00353CC9">
        <w:t xml:space="preserve"> </w:t>
      </w:r>
      <w:r w:rsidR="00B81EB8" w:rsidRPr="00B81EB8">
        <w:t xml:space="preserve">wartości </w:t>
      </w:r>
      <w:r w:rsidR="00353CC9" w:rsidRPr="00353CC9">
        <w:t>w kwotach netto, bez podatków pośrednich</w:t>
      </w:r>
      <w:r>
        <w:t>;</w:t>
      </w:r>
    </w:p>
    <w:p w14:paraId="44422CF5" w14:textId="65DAEB61" w:rsidR="00353CC9" w:rsidRPr="00353CC9" w:rsidRDefault="00BB5B2D" w:rsidP="00031A7D">
      <w:pPr>
        <w:pStyle w:val="LITlitera"/>
      </w:pPr>
      <w:r>
        <w:t>b</w:t>
      </w:r>
      <w:r w:rsidR="00353CC9">
        <w:t>)</w:t>
      </w:r>
      <w:r w:rsidR="00FE6AD1">
        <w:tab/>
      </w:r>
      <w:r w:rsidR="00353CC9" w:rsidRPr="00353CC9">
        <w:t>pomi</w:t>
      </w:r>
      <w:r w:rsidR="00D905E1">
        <w:t>ja się</w:t>
      </w:r>
      <w:r w:rsidR="00353CC9" w:rsidRPr="00353CC9">
        <w:t xml:space="preserve"> podatki bezpośrednie</w:t>
      </w:r>
      <w:r>
        <w:t>;</w:t>
      </w:r>
    </w:p>
    <w:p w14:paraId="39C393F6" w14:textId="5B92F889" w:rsidR="00353CC9" w:rsidRPr="00353CC9" w:rsidRDefault="00BB5B2D" w:rsidP="00031A7D">
      <w:pPr>
        <w:pStyle w:val="LITlitera"/>
      </w:pPr>
      <w:r>
        <w:t>c</w:t>
      </w:r>
      <w:r w:rsidR="00353CC9">
        <w:t>)</w:t>
      </w:r>
      <w:r w:rsidR="00FE6AD1">
        <w:tab/>
      </w:r>
      <w:r w:rsidR="00353CC9" w:rsidRPr="00353CC9">
        <w:t>pom</w:t>
      </w:r>
      <w:r w:rsidR="00D905E1">
        <w:t>ija się</w:t>
      </w:r>
      <w:r w:rsidR="00353CC9" w:rsidRPr="00353CC9">
        <w:t xml:space="preserve"> subwencje i dopłaty ze środków publicznych, mające charakter przekazu pieniężnego</w:t>
      </w:r>
      <w:r>
        <w:t>;</w:t>
      </w:r>
    </w:p>
    <w:p w14:paraId="16F3886D" w14:textId="305578DC" w:rsidR="000B6800" w:rsidRDefault="00BB5B2D" w:rsidP="00031A7D">
      <w:pPr>
        <w:pStyle w:val="LITlitera"/>
      </w:pPr>
      <w:r>
        <w:t>d</w:t>
      </w:r>
      <w:r w:rsidR="00353CC9">
        <w:t>)</w:t>
      </w:r>
      <w:r w:rsidR="00FE6AD1">
        <w:tab/>
      </w:r>
      <w:r w:rsidR="00353CC9" w:rsidRPr="00353CC9">
        <w:t>w kosztach wynagrodzeń uwzg</w:t>
      </w:r>
      <w:r w:rsidR="00D905E1">
        <w:t>lędnia się</w:t>
      </w:r>
      <w:r w:rsidR="00353CC9" w:rsidRPr="00353CC9">
        <w:t xml:space="preserve"> wydatki na ubezpieczenia społeczne</w:t>
      </w:r>
      <w:r w:rsidR="00353CC9">
        <w:t xml:space="preserve">, jako </w:t>
      </w:r>
      <w:r w:rsidR="00353CC9" w:rsidRPr="00353CC9">
        <w:t>wynagrodze</w:t>
      </w:r>
      <w:r w:rsidR="00353CC9">
        <w:t>ń</w:t>
      </w:r>
      <w:r w:rsidR="00353CC9" w:rsidRPr="00353CC9">
        <w:t xml:space="preserve"> odłożon</w:t>
      </w:r>
      <w:r w:rsidR="00353CC9">
        <w:t>ych</w:t>
      </w:r>
      <w:r w:rsidR="00353CC9" w:rsidRPr="00353CC9">
        <w:t xml:space="preserve"> w czasie</w:t>
      </w:r>
      <w:r w:rsidR="00353CC9">
        <w:t xml:space="preserve">. </w:t>
      </w:r>
    </w:p>
    <w:p w14:paraId="62B3AF22" w14:textId="7973599E" w:rsidR="001C3F3A" w:rsidRDefault="000B6800" w:rsidP="00031A7D">
      <w:pPr>
        <w:pStyle w:val="USTustnpkodeksu"/>
      </w:pPr>
      <w:r>
        <w:t>3.</w:t>
      </w:r>
      <w:r w:rsidR="007344E0">
        <w:t xml:space="preserve"> </w:t>
      </w:r>
      <w:r w:rsidR="00A956A6">
        <w:t>E</w:t>
      </w:r>
      <w:r>
        <w:t>fekty zewnętrzne</w:t>
      </w:r>
      <w:r w:rsidR="002033D3">
        <w:t xml:space="preserve"> </w:t>
      </w:r>
      <w:r w:rsidR="00155039">
        <w:t>określa się</w:t>
      </w:r>
      <w:r w:rsidR="00172D75">
        <w:t xml:space="preserve"> jako </w:t>
      </w:r>
      <w:r w:rsidR="00172D75" w:rsidRPr="00172D75">
        <w:t>oddziaływania</w:t>
      </w:r>
      <w:r w:rsidR="001C3F3A">
        <w:t xml:space="preserve"> generowane przez przedsięwzięcie</w:t>
      </w:r>
      <w:r w:rsidR="00172D75">
        <w:t>, które</w:t>
      </w:r>
      <w:r w:rsidR="00172D75" w:rsidRPr="00172D75">
        <w:t xml:space="preserve"> mają wpływ na </w:t>
      </w:r>
      <w:r w:rsidR="004A0B14">
        <w:t>podmioty z</w:t>
      </w:r>
      <w:r w:rsidR="00455E18">
        <w:t>e</w:t>
      </w:r>
      <w:r w:rsidR="004A0B14">
        <w:t>wn</w:t>
      </w:r>
      <w:r w:rsidR="00455E18">
        <w:t>ę</w:t>
      </w:r>
      <w:r w:rsidR="004A0B14">
        <w:t>trzne,</w:t>
      </w:r>
      <w:r w:rsidR="00172D75" w:rsidRPr="00172D75">
        <w:t xml:space="preserve"> </w:t>
      </w:r>
      <w:r w:rsidR="001C3F3A" w:rsidRPr="001C3F3A">
        <w:t xml:space="preserve">którym bezpośrednio nie towarzyszą przepływy </w:t>
      </w:r>
      <w:r w:rsidR="00D905E1">
        <w:t>pieniężne</w:t>
      </w:r>
      <w:r w:rsidR="001C3F3A" w:rsidRPr="001C3F3A">
        <w:t>.</w:t>
      </w:r>
    </w:p>
    <w:p w14:paraId="2C32ECF3" w14:textId="7B23F3DC" w:rsidR="008701D4" w:rsidRDefault="008701D4" w:rsidP="00031A7D">
      <w:pPr>
        <w:pStyle w:val="USTustnpkodeksu"/>
      </w:pPr>
      <w:r>
        <w:t xml:space="preserve">4. </w:t>
      </w:r>
      <w:r w:rsidR="000573AE">
        <w:t>Współczynnik konwersji</w:t>
      </w:r>
      <w:r w:rsidR="002033D3">
        <w:t xml:space="preserve"> </w:t>
      </w:r>
      <w:r w:rsidR="000573AE">
        <w:t>określ</w:t>
      </w:r>
      <w:r w:rsidR="00155039">
        <w:t xml:space="preserve">a się </w:t>
      </w:r>
      <w:r w:rsidR="000573AE">
        <w:t xml:space="preserve">jako stosunek cen </w:t>
      </w:r>
      <w:r w:rsidR="000573AE" w:rsidRPr="00C35621">
        <w:t>rozrachunkowych do cen rynkowych</w:t>
      </w:r>
      <w:r w:rsidR="000573AE">
        <w:t>.</w:t>
      </w:r>
    </w:p>
    <w:p w14:paraId="5CDD360D" w14:textId="52CE309D" w:rsidR="008701D4" w:rsidRDefault="008701D4" w:rsidP="00031A7D">
      <w:pPr>
        <w:pStyle w:val="USTustnpkodeksu"/>
      </w:pPr>
      <w:r>
        <w:t xml:space="preserve">5. </w:t>
      </w:r>
      <w:r w:rsidR="00C72D30">
        <w:t xml:space="preserve">Wskaźnik </w:t>
      </w:r>
      <w:r w:rsidRPr="00EC4E4D">
        <w:t>ekonomiczn</w:t>
      </w:r>
      <w:r w:rsidR="00C72D30">
        <w:t xml:space="preserve">ej </w:t>
      </w:r>
      <w:r w:rsidRPr="00EC4E4D">
        <w:t>wartość</w:t>
      </w:r>
      <w:r w:rsidR="00C72D30">
        <w:t xml:space="preserve"> bieżącej</w:t>
      </w:r>
      <w:r w:rsidRPr="00EC4E4D">
        <w:t xml:space="preserve"> netto (ENPV)</w:t>
      </w:r>
      <w:r w:rsidR="00DD5BA8">
        <w:t xml:space="preserve"> </w:t>
      </w:r>
      <w:r w:rsidR="00C72D30">
        <w:t>określ</w:t>
      </w:r>
      <w:r w:rsidR="00155039">
        <w:t>a się</w:t>
      </w:r>
      <w:r w:rsidR="00C72D30">
        <w:t xml:space="preserve"> jako</w:t>
      </w:r>
      <w:r w:rsidR="00232FCD">
        <w:t xml:space="preserve"> </w:t>
      </w:r>
      <w:r w:rsidR="00232FCD" w:rsidRPr="00AB369F">
        <w:t>różnic</w:t>
      </w:r>
      <w:r w:rsidR="00C72D30">
        <w:t>e</w:t>
      </w:r>
      <w:r w:rsidR="00232FCD" w:rsidRPr="00AB369F">
        <w:t xml:space="preserve"> między zdyskontowanymi całkowitymi korzyściami społecznymi</w:t>
      </w:r>
      <w:r w:rsidR="00B81EB8">
        <w:t>,</w:t>
      </w:r>
      <w:r w:rsidR="00232FCD" w:rsidRPr="00AB369F">
        <w:t xml:space="preserve"> a</w:t>
      </w:r>
      <w:r w:rsidR="000E0C21">
        <w:t> </w:t>
      </w:r>
      <w:r w:rsidR="00232FCD" w:rsidRPr="00AB369F">
        <w:t>kosztami</w:t>
      </w:r>
      <w:r w:rsidR="00232FCD">
        <w:t xml:space="preserve"> </w:t>
      </w:r>
      <w:r w:rsidR="00232FCD" w:rsidRPr="00AB369F">
        <w:t>społecznymi związanymi z przedsięwzięciem</w:t>
      </w:r>
      <w:r w:rsidR="003F6414">
        <w:t>.</w:t>
      </w:r>
    </w:p>
    <w:p w14:paraId="655D05E6" w14:textId="3F24E4E0" w:rsidR="008701D4" w:rsidRDefault="008701D4" w:rsidP="00031A7D">
      <w:pPr>
        <w:pStyle w:val="USTustnpkodeksu"/>
      </w:pPr>
      <w:r>
        <w:t xml:space="preserve">6. </w:t>
      </w:r>
      <w:r w:rsidR="00232FCD">
        <w:t xml:space="preserve">Wskaźnik </w:t>
      </w:r>
      <w:r w:rsidRPr="00EC4E4D">
        <w:t>ekonomicznej stopy zwrotu (ERR)</w:t>
      </w:r>
      <w:r w:rsidR="00232FCD">
        <w:t xml:space="preserve"> </w:t>
      </w:r>
      <w:r w:rsidR="00C72D30">
        <w:t>określ</w:t>
      </w:r>
      <w:r w:rsidR="00155039">
        <w:t>a się</w:t>
      </w:r>
      <w:r w:rsidR="00C72D30">
        <w:t xml:space="preserve"> jako s</w:t>
      </w:r>
      <w:r w:rsidR="00C72D30" w:rsidRPr="00C72D30">
        <w:t>top</w:t>
      </w:r>
      <w:r w:rsidR="00C72D30">
        <w:t>ę</w:t>
      </w:r>
      <w:r w:rsidR="00C72D30" w:rsidRPr="00C72D30">
        <w:t xml:space="preserve"> dyskontow</w:t>
      </w:r>
      <w:r w:rsidR="00C72D30">
        <w:t>ą</w:t>
      </w:r>
      <w:r w:rsidR="00DD5BA8">
        <w:t xml:space="preserve">, </w:t>
      </w:r>
      <w:r w:rsidR="00C72D30" w:rsidRPr="00C72D30">
        <w:t>dla której ekonomiczna wartość bieżąca netto</w:t>
      </w:r>
      <w:r w:rsidR="00DD5BA8">
        <w:t xml:space="preserve"> </w:t>
      </w:r>
      <w:r w:rsidR="00C72D30" w:rsidRPr="00C72D30">
        <w:t>jest równa zero</w:t>
      </w:r>
      <w:r w:rsidR="00BB5B2D">
        <w:t>.</w:t>
      </w:r>
    </w:p>
    <w:p w14:paraId="1AE72DF0" w14:textId="056D4BF5" w:rsidR="008701D4" w:rsidRPr="00EC4E4D" w:rsidRDefault="008701D4" w:rsidP="00031A7D">
      <w:pPr>
        <w:pStyle w:val="USTustnpkodeksu"/>
      </w:pPr>
      <w:r>
        <w:lastRenderedPageBreak/>
        <w:t xml:space="preserve">7. </w:t>
      </w:r>
      <w:r w:rsidR="00C72D30">
        <w:t>W</w:t>
      </w:r>
      <w:r w:rsidRPr="00EC4E4D">
        <w:t>skaźnik korzyści i kosztów (B/C)</w:t>
      </w:r>
      <w:r w:rsidR="00DD5BA8">
        <w:t xml:space="preserve"> </w:t>
      </w:r>
      <w:r w:rsidR="00C72D30">
        <w:t>określ</w:t>
      </w:r>
      <w:r w:rsidR="00155039">
        <w:t>a się</w:t>
      </w:r>
      <w:r w:rsidR="00C72D30">
        <w:t xml:space="preserve"> jako</w:t>
      </w:r>
      <w:r w:rsidR="00232FCD">
        <w:t xml:space="preserve"> </w:t>
      </w:r>
      <w:r w:rsidR="00232FCD" w:rsidRPr="00D309CA">
        <w:t>zaktualizowan</w:t>
      </w:r>
      <w:r w:rsidR="00C72D30">
        <w:t>ą</w:t>
      </w:r>
      <w:r w:rsidR="00232FCD" w:rsidRPr="00D309CA">
        <w:t xml:space="preserve"> wartość netto korzyści wynikających z p</w:t>
      </w:r>
      <w:r w:rsidR="00232FCD">
        <w:t>rzedsięwzięcia</w:t>
      </w:r>
      <w:r w:rsidR="00232FCD" w:rsidRPr="00D309CA">
        <w:t xml:space="preserve"> dzieloną przez zaktualizowaną wartość netto kosztów związanych z pr</w:t>
      </w:r>
      <w:r w:rsidR="00232FCD">
        <w:t>zedsięwzięciem.</w:t>
      </w:r>
    </w:p>
    <w:p w14:paraId="156EB186" w14:textId="4D079CAB" w:rsidR="003E54AA" w:rsidRPr="003E54AA" w:rsidRDefault="003E54AA" w:rsidP="003E54AA">
      <w:pPr>
        <w:pStyle w:val="ARTartustawynprozporzdzenia"/>
        <w:keepNext/>
      </w:pPr>
      <w:r w:rsidRPr="003E54AA">
        <w:rPr>
          <w:rStyle w:val="Ppogrubienie"/>
        </w:rPr>
        <w:t>§ </w:t>
      </w:r>
      <w:r w:rsidR="0052586D">
        <w:rPr>
          <w:rStyle w:val="Ppogrubienie"/>
        </w:rPr>
        <w:t>5</w:t>
      </w:r>
      <w:r w:rsidRPr="003E54AA">
        <w:rPr>
          <w:rStyle w:val="Ppogrubienie"/>
        </w:rPr>
        <w:t>.</w:t>
      </w:r>
      <w:r>
        <w:t> </w:t>
      </w:r>
      <w:r w:rsidR="0018102A">
        <w:t xml:space="preserve">1. </w:t>
      </w:r>
      <w:r w:rsidRPr="003E54AA">
        <w:t>Analiza ekonomiczna kosztów i korzyści uwzględnia następujące dane</w:t>
      </w:r>
      <w:r w:rsidR="00EC4E4D">
        <w:t>:</w:t>
      </w:r>
    </w:p>
    <w:p w14:paraId="6F5E2FE8" w14:textId="09332A38" w:rsidR="003E54AA" w:rsidRPr="003E54AA" w:rsidRDefault="005F2302" w:rsidP="003E54AA">
      <w:pPr>
        <w:pStyle w:val="PKTpunkt"/>
      </w:pPr>
      <w:r>
        <w:t>1</w:t>
      </w:r>
      <w:r w:rsidR="003E54AA" w:rsidRPr="003E54AA">
        <w:t>)</w:t>
      </w:r>
      <w:r w:rsidR="003E54AA">
        <w:tab/>
      </w:r>
      <w:r w:rsidR="003E54AA" w:rsidRPr="003E54AA">
        <w:t xml:space="preserve">uśrednione koszty </w:t>
      </w:r>
      <w:bookmarkStart w:id="12" w:name="_Hlk96603275"/>
      <w:r w:rsidR="003E54AA" w:rsidRPr="003E54AA">
        <w:t xml:space="preserve">wytworzenia energii elektrycznej, ciepła lub chłodu </w:t>
      </w:r>
      <w:bookmarkEnd w:id="12"/>
      <w:r w:rsidR="003E54AA" w:rsidRPr="003E54AA">
        <w:t>w</w:t>
      </w:r>
      <w:r w:rsidR="00C677C2">
        <w:t xml:space="preserve"> jednostce wytwórczej,</w:t>
      </w:r>
      <w:r w:rsidR="009517E9" w:rsidRPr="009517E9">
        <w:t xml:space="preserve"> o mocy nominalnej cieplnej powyżej 20 MW, sieci ciepłowniczej lub sieci chłodniczej,</w:t>
      </w:r>
      <w:r w:rsidR="005E62C7">
        <w:t xml:space="preserve"> </w:t>
      </w:r>
      <w:r w:rsidR="00C677C2">
        <w:t xml:space="preserve">o której mowa w </w:t>
      </w:r>
      <w:r w:rsidR="007152AE">
        <w:t>a</w:t>
      </w:r>
      <w:r w:rsidR="0052586D">
        <w:t>rt.</w:t>
      </w:r>
      <w:r w:rsidR="00C677C2" w:rsidRPr="00C677C2">
        <w:t xml:space="preserve"> 10a ust.</w:t>
      </w:r>
      <w:r w:rsidR="00856624">
        <w:t xml:space="preserve"> </w:t>
      </w:r>
      <w:r w:rsidR="00C677C2" w:rsidRPr="00C677C2">
        <w:t xml:space="preserve">1 </w:t>
      </w:r>
      <w:r w:rsidR="001C5B0B" w:rsidRPr="001C5B0B">
        <w:t>ustawy z dnia 10 kwietnia 1997 r. – Prawo energetyczne</w:t>
      </w:r>
      <w:r w:rsidR="00C677C2">
        <w:t xml:space="preserve">, </w:t>
      </w:r>
      <w:r w:rsidR="003E54AA" w:rsidRPr="003E54AA">
        <w:t>umożliwiające wiarygodne porównanie ekonomiczne różnych pr</w:t>
      </w:r>
      <w:r w:rsidR="004A3B7F">
        <w:t>zedsięwzięć</w:t>
      </w:r>
      <w:r w:rsidR="003E54AA" w:rsidRPr="003E54AA">
        <w:t>;</w:t>
      </w:r>
    </w:p>
    <w:p w14:paraId="0B60D431" w14:textId="17AB174A" w:rsidR="003E54AA" w:rsidRPr="003E54AA" w:rsidRDefault="005F2302" w:rsidP="003E54AA">
      <w:pPr>
        <w:pStyle w:val="PKTpunkt"/>
      </w:pPr>
      <w:r>
        <w:t>2</w:t>
      </w:r>
      <w:r w:rsidR="003E54AA" w:rsidRPr="003E54AA">
        <w:t>)</w:t>
      </w:r>
      <w:r w:rsidR="003E54AA">
        <w:tab/>
      </w:r>
      <w:r w:rsidR="003E54AA" w:rsidRPr="003E54AA">
        <w:t>oszacowany przeciętny koszt całkowity</w:t>
      </w:r>
      <w:r w:rsidR="00BE1CA3" w:rsidRPr="00BE1CA3">
        <w:t xml:space="preserve"> </w:t>
      </w:r>
      <w:r w:rsidR="0018102A">
        <w:t>przedsięwzięcia</w:t>
      </w:r>
      <w:r w:rsidR="00BE1CA3">
        <w:t>;</w:t>
      </w:r>
    </w:p>
    <w:p w14:paraId="1CB9077D" w14:textId="640B4A91" w:rsidR="003E54AA" w:rsidRPr="003E54AA" w:rsidRDefault="005F2302" w:rsidP="003E54AA">
      <w:pPr>
        <w:pStyle w:val="PKTpunkt"/>
      </w:pPr>
      <w:r>
        <w:t>3</w:t>
      </w:r>
      <w:r w:rsidR="003E54AA" w:rsidRPr="003E54AA">
        <w:t>)</w:t>
      </w:r>
      <w:r w:rsidR="003E54AA">
        <w:tab/>
      </w:r>
      <w:r w:rsidR="003E54AA" w:rsidRPr="003E54AA">
        <w:t>określenie minimalnej ceny</w:t>
      </w:r>
      <w:r w:rsidR="00065B5F">
        <w:t>,</w:t>
      </w:r>
      <w:r w:rsidR="003E54AA" w:rsidRPr="003E54AA">
        <w:t xml:space="preserve"> </w:t>
      </w:r>
      <w:r w:rsidR="00065B5F">
        <w:t>za jaką</w:t>
      </w:r>
      <w:r w:rsidR="003E54AA" w:rsidRPr="003E54AA">
        <w:t xml:space="preserve"> energia elektryczna, ciepło lub chłód muszą być sprzedane dla osiągnięcia dodatnie</w:t>
      </w:r>
      <w:r w:rsidR="00FB10F5">
        <w:t>j wartości</w:t>
      </w:r>
      <w:r w:rsidR="00B97FDB">
        <w:t xml:space="preserve"> wskaźnika</w:t>
      </w:r>
      <w:r w:rsidR="003E54AA" w:rsidRPr="003E54AA">
        <w:t xml:space="preserve"> rentowności </w:t>
      </w:r>
      <w:r w:rsidR="00F57726" w:rsidRPr="00616111">
        <w:t>przedsięwzi</w:t>
      </w:r>
      <w:r w:rsidR="00F57726">
        <w:t>ęcia</w:t>
      </w:r>
      <w:r w:rsidR="0018102A">
        <w:t>;</w:t>
      </w:r>
    </w:p>
    <w:p w14:paraId="0160F5EB" w14:textId="6EC8287D" w:rsidR="003E54AA" w:rsidRPr="003E54AA" w:rsidRDefault="005F2302" w:rsidP="003E54AA">
      <w:pPr>
        <w:pStyle w:val="PKTpunkt"/>
      </w:pPr>
      <w:r>
        <w:t>4</w:t>
      </w:r>
      <w:r w:rsidR="003E54AA" w:rsidRPr="003E54AA">
        <w:t>)</w:t>
      </w:r>
      <w:r w:rsidR="003E54AA">
        <w:tab/>
      </w:r>
      <w:r w:rsidR="003E54AA" w:rsidRPr="003E54AA">
        <w:t>określenie planowanego zapotrzebowania na energię elektryczną, ciepło lub chłód, uwzględniając w szczególności zapotrzebowanie na ciepło lub chłód na poziomie regionalnym oraz cele określone w aktualnych rządowych dokumentach strategicznych dotyczących sektora paliwowo-energetycznego;</w:t>
      </w:r>
    </w:p>
    <w:p w14:paraId="7FC6F1FD" w14:textId="29B4B225" w:rsidR="003E54AA" w:rsidRPr="003E54AA" w:rsidRDefault="005F2302" w:rsidP="003E54AA">
      <w:pPr>
        <w:pStyle w:val="PKTpunkt"/>
      </w:pPr>
      <w:r>
        <w:t>5</w:t>
      </w:r>
      <w:r w:rsidR="003E54AA" w:rsidRPr="003E54AA">
        <w:t>)</w:t>
      </w:r>
      <w:r w:rsidR="003E54AA">
        <w:tab/>
      </w:r>
      <w:r w:rsidR="003E54AA" w:rsidRPr="003E54AA">
        <w:t>prognozy cen paliw i energii oraz opłat, należnych podatków, kosztów pracy i innych opłat, oraz pozostałych danych ekonomiczno-finansowych, statystycznych użytych w</w:t>
      </w:r>
      <w:r w:rsidR="000E0C21">
        <w:t> </w:t>
      </w:r>
      <w:r w:rsidR="003E54AA" w:rsidRPr="003E54AA">
        <w:t>analizie kosztów i korzyści, opublikowan</w:t>
      </w:r>
      <w:r w:rsidR="00360F4F">
        <w:t>ych</w:t>
      </w:r>
      <w:r w:rsidR="003E54AA" w:rsidRPr="003E54AA">
        <w:t xml:space="preserve"> przez agencję ratingową o zasięgu międzynarodowym;</w:t>
      </w:r>
    </w:p>
    <w:p w14:paraId="5D03C0B0" w14:textId="14231055" w:rsidR="00CA3191" w:rsidRDefault="0049006D" w:rsidP="000F749F">
      <w:pPr>
        <w:pStyle w:val="PKTpunkt"/>
      </w:pPr>
      <w:r>
        <w:t>6)</w:t>
      </w:r>
      <w:r>
        <w:tab/>
      </w:r>
      <w:r w:rsidR="003E54AA" w:rsidRPr="00A70FA2">
        <w:t>okres odniesienia</w:t>
      </w:r>
      <w:r w:rsidR="00CA3191">
        <w:t>,</w:t>
      </w:r>
      <w:r w:rsidR="0052586D">
        <w:t xml:space="preserve"> o którym mowa w </w:t>
      </w:r>
      <w:r w:rsidR="0052586D">
        <w:rPr>
          <w:rFonts w:cs="Times"/>
        </w:rPr>
        <w:t>§</w:t>
      </w:r>
      <w:r w:rsidR="0052586D">
        <w:t xml:space="preserve"> 3 ust. 2,</w:t>
      </w:r>
      <w:r w:rsidR="00CA3191">
        <w:t xml:space="preserve"> który</w:t>
      </w:r>
      <w:r w:rsidR="003E54AA" w:rsidRPr="00A70FA2">
        <w:t xml:space="preserve"> wynosi</w:t>
      </w:r>
      <w:r w:rsidR="00CA3191">
        <w:t xml:space="preserve"> </w:t>
      </w:r>
      <w:r w:rsidR="003E54AA" w:rsidRPr="00A70FA2">
        <w:t>15 lat;</w:t>
      </w:r>
    </w:p>
    <w:p w14:paraId="4B674FA7" w14:textId="1B41EC43" w:rsidR="0049006D" w:rsidRDefault="002B6D39" w:rsidP="00CA3191">
      <w:pPr>
        <w:pStyle w:val="PKTpunkt"/>
      </w:pPr>
      <w:r>
        <w:t>7)</w:t>
      </w:r>
      <w:r w:rsidR="00CA3191">
        <w:tab/>
      </w:r>
      <w:r w:rsidRPr="002B6D39">
        <w:t>okres cyklu życia</w:t>
      </w:r>
      <w:r>
        <w:t>, o którym mowa w art. 10a</w:t>
      </w:r>
      <w:r w:rsidRPr="002B6D39">
        <w:t xml:space="preserve"> ust. 5</w:t>
      </w:r>
      <w:r>
        <w:t xml:space="preserve"> </w:t>
      </w:r>
      <w:r w:rsidR="001C5B0B" w:rsidRPr="001C5B0B">
        <w:t>ustawy z dnia 10 kwietnia 1997 r. – Prawo energetyczne</w:t>
      </w:r>
      <w:r w:rsidRPr="002B6D39">
        <w:t>,</w:t>
      </w:r>
      <w:r>
        <w:t xml:space="preserve"> </w:t>
      </w:r>
      <w:r w:rsidR="00CA3191">
        <w:t xml:space="preserve">który </w:t>
      </w:r>
      <w:r>
        <w:t>wynosi</w:t>
      </w:r>
      <w:r w:rsidR="00CA3191">
        <w:t xml:space="preserve"> </w:t>
      </w:r>
      <w:r w:rsidR="00FE4B1B">
        <w:t xml:space="preserve">co najmniej </w:t>
      </w:r>
      <w:r w:rsidR="00C2015A">
        <w:t>2</w:t>
      </w:r>
      <w:r w:rsidR="00CA3191">
        <w:t>5 lat;</w:t>
      </w:r>
    </w:p>
    <w:p w14:paraId="7D298297" w14:textId="179832E0" w:rsidR="0008794E" w:rsidRPr="00A70FA2" w:rsidRDefault="0008794E" w:rsidP="00CA3191">
      <w:pPr>
        <w:pStyle w:val="PKTpunkt"/>
      </w:pPr>
      <w:r>
        <w:t>8)</w:t>
      </w:r>
      <w:r>
        <w:tab/>
        <w:t>finansową stopę dyskontową na poziomie 4%;</w:t>
      </w:r>
    </w:p>
    <w:p w14:paraId="13950653" w14:textId="45512AD8" w:rsidR="0008794E" w:rsidRPr="00A70FA2" w:rsidRDefault="0008794E" w:rsidP="00F71F5D">
      <w:pPr>
        <w:pStyle w:val="PKTpunkt"/>
      </w:pPr>
      <w:r>
        <w:t>9</w:t>
      </w:r>
      <w:r w:rsidR="0049006D">
        <w:t>)</w:t>
      </w:r>
      <w:r w:rsidR="0049006D">
        <w:tab/>
      </w:r>
      <w:r w:rsidR="003E54AA" w:rsidRPr="00A70FA2">
        <w:t>społeczną stopę dyskontową na poziomie 5%</w:t>
      </w:r>
      <w:r w:rsidR="0052586D">
        <w:t>.</w:t>
      </w:r>
    </w:p>
    <w:p w14:paraId="04EC16DC" w14:textId="55E587A5" w:rsidR="00A2065E" w:rsidRDefault="00A2065E" w:rsidP="00A2065E">
      <w:pPr>
        <w:pStyle w:val="ARTartustawynprozporzdzenia"/>
      </w:pPr>
      <w:r w:rsidRPr="003E54AA">
        <w:rPr>
          <w:rStyle w:val="Ppogrubienie"/>
        </w:rPr>
        <w:t>§ </w:t>
      </w:r>
      <w:r w:rsidR="0052586D">
        <w:rPr>
          <w:rStyle w:val="Ppogrubienie"/>
        </w:rPr>
        <w:t>6</w:t>
      </w:r>
      <w:r w:rsidRPr="003E54AA">
        <w:rPr>
          <w:rStyle w:val="Ppogrubienie"/>
        </w:rPr>
        <w:t>.</w:t>
      </w:r>
      <w:r w:rsidRPr="00A2065E">
        <w:t> Analiza ekonomiczna kosztów i korzyści uwzględnia następujące źródła danych:</w:t>
      </w:r>
    </w:p>
    <w:p w14:paraId="45F8132B" w14:textId="5ABFBB53" w:rsidR="00EC4E4D" w:rsidRPr="00A2065E" w:rsidRDefault="00EC4E4D" w:rsidP="00E50F99">
      <w:pPr>
        <w:pStyle w:val="PKTpunkt"/>
      </w:pPr>
      <w:r>
        <w:t>1</w:t>
      </w:r>
      <w:r w:rsidRPr="003E54AA">
        <w:t>)</w:t>
      </w:r>
      <w:r>
        <w:tab/>
      </w:r>
      <w:r w:rsidR="00E50F99">
        <w:t xml:space="preserve">informacje o </w:t>
      </w:r>
      <w:r w:rsidRPr="003E54AA">
        <w:t>dostępn</w:t>
      </w:r>
      <w:r w:rsidR="00E50F99">
        <w:t>ych</w:t>
      </w:r>
      <w:r w:rsidRPr="003E54AA">
        <w:t xml:space="preserve"> mechanizm</w:t>
      </w:r>
      <w:r w:rsidR="00E50F99">
        <w:t>ach wsparcia</w:t>
      </w:r>
      <w:r w:rsidR="00B97FDB">
        <w:t xml:space="preserve"> </w:t>
      </w:r>
      <w:r w:rsidR="000E7689">
        <w:t>przedsięwzięć ze środków publicznych</w:t>
      </w:r>
      <w:r w:rsidRPr="003E54AA">
        <w:t xml:space="preserve"> w</w:t>
      </w:r>
      <w:r w:rsidR="000E0C21">
        <w:t> </w:t>
      </w:r>
      <w:r w:rsidRPr="003E54AA">
        <w:t>formie dotacji</w:t>
      </w:r>
      <w:r w:rsidR="000E7689">
        <w:t xml:space="preserve">, </w:t>
      </w:r>
      <w:r w:rsidRPr="003E54AA">
        <w:t>pożyczek</w:t>
      </w:r>
      <w:r w:rsidR="000E7689">
        <w:t xml:space="preserve"> </w:t>
      </w:r>
      <w:r w:rsidRPr="003E54AA">
        <w:t>na zasadach preferencyjnych i</w:t>
      </w:r>
      <w:r w:rsidR="000E7689">
        <w:t xml:space="preserve"> premii</w:t>
      </w:r>
      <w:r w:rsidR="00E50F99">
        <w:t xml:space="preserve"> oraz poziomach tego wsparcia</w:t>
      </w:r>
      <w:r w:rsidR="000E7689">
        <w:t>,</w:t>
      </w:r>
      <w:r w:rsidRPr="003E54AA">
        <w:t xml:space="preserve"> </w:t>
      </w:r>
      <w:r w:rsidR="00E50F99">
        <w:t>zawarte w</w:t>
      </w:r>
      <w:r w:rsidRPr="003E54AA">
        <w:t xml:space="preserve"> dokument</w:t>
      </w:r>
      <w:r w:rsidR="00E50F99">
        <w:t xml:space="preserve">ach określających zasady udzielania wsparcia </w:t>
      </w:r>
      <w:r w:rsidRPr="003E54AA">
        <w:t xml:space="preserve">publikowanych na stronach </w:t>
      </w:r>
      <w:r w:rsidR="00155039">
        <w:t>podmiotowych urzędów obsługujących organy</w:t>
      </w:r>
      <w:r w:rsidRPr="003E54AA">
        <w:t xml:space="preserve"> administracji rządowej;</w:t>
      </w:r>
    </w:p>
    <w:p w14:paraId="75800ECF" w14:textId="47C3A589" w:rsidR="00EC4E4D" w:rsidRPr="003E54AA" w:rsidRDefault="00EC4E4D" w:rsidP="00EC4E4D">
      <w:pPr>
        <w:pStyle w:val="PKTpunkt"/>
      </w:pPr>
      <w:r>
        <w:lastRenderedPageBreak/>
        <w:t>2</w:t>
      </w:r>
      <w:r w:rsidRPr="003E54AA">
        <w:t>)</w:t>
      </w:r>
      <w:r>
        <w:tab/>
      </w:r>
      <w:r w:rsidR="0035750E">
        <w:t xml:space="preserve">wytyczne </w:t>
      </w:r>
      <w:r w:rsidR="0035750E" w:rsidRPr="0035750E">
        <w:t xml:space="preserve">zapewniające stosowanie jednolitych </w:t>
      </w:r>
      <w:r w:rsidRPr="003E54AA">
        <w:t>wskaźnik</w:t>
      </w:r>
      <w:r w:rsidR="0035750E">
        <w:t>ów</w:t>
      </w:r>
      <w:r w:rsidRPr="003E54AA">
        <w:t xml:space="preserve"> makroekonomiczn</w:t>
      </w:r>
      <w:r w:rsidR="0035750E">
        <w:t>ych</w:t>
      </w:r>
      <w:r w:rsidRPr="003E54AA">
        <w:t xml:space="preserve"> publikowan</w:t>
      </w:r>
      <w:r w:rsidR="0050297E">
        <w:t>e</w:t>
      </w:r>
      <w:r w:rsidRPr="003E54AA">
        <w:t xml:space="preserve"> na podstawie art. 50a ustawy z dnia 27</w:t>
      </w:r>
      <w:r w:rsidR="000E0C21">
        <w:t> </w:t>
      </w:r>
      <w:r w:rsidRPr="003E54AA">
        <w:t>sierpnia 2009 r. o finansach publicznych (Dz. U. z 2021 r. poz. 305</w:t>
      </w:r>
      <w:r w:rsidR="0050297E">
        <w:t xml:space="preserve"> </w:t>
      </w:r>
      <w:r w:rsidR="0050297E" w:rsidRPr="00F71F5D">
        <w:rPr>
          <w:rStyle w:val="IGindeksgrny"/>
        </w:rPr>
        <w:footnoteReference w:id="4"/>
      </w:r>
      <w:r w:rsidR="0050297E" w:rsidRPr="00F71F5D">
        <w:rPr>
          <w:rStyle w:val="IGindeksgrny"/>
        </w:rPr>
        <w:t>)</w:t>
      </w:r>
      <w:r w:rsidRPr="003E54AA">
        <w:t>);</w:t>
      </w:r>
    </w:p>
    <w:p w14:paraId="0630967D" w14:textId="44D64603" w:rsidR="00A2065E" w:rsidRPr="003E54AA" w:rsidRDefault="00EC4E4D" w:rsidP="00EC4E4D">
      <w:pPr>
        <w:pStyle w:val="PKTpunkt"/>
      </w:pPr>
      <w:r>
        <w:t>3</w:t>
      </w:r>
      <w:r w:rsidRPr="003E54AA">
        <w:t>)</w:t>
      </w:r>
      <w:r>
        <w:tab/>
      </w:r>
      <w:r w:rsidR="00CE4BF0">
        <w:t>informacje</w:t>
      </w:r>
      <w:r w:rsidR="00CE4BF0" w:rsidRPr="003E54AA">
        <w:t xml:space="preserve"> </w:t>
      </w:r>
      <w:r w:rsidRPr="003E54AA">
        <w:t>ogłaszane przez Prezesa U</w:t>
      </w:r>
      <w:r>
        <w:t>rzędu Regulacji Energetyki</w:t>
      </w:r>
      <w:r w:rsidRPr="003E54AA">
        <w:t xml:space="preserve"> na podstawie art. 31 </w:t>
      </w:r>
      <w:r w:rsidR="001C5B0B" w:rsidRPr="001C5B0B">
        <w:t>ustawy z dnia 10 kwietnia 1997 r. – Prawo energetyczne</w:t>
      </w:r>
      <w:r w:rsidRPr="003E54AA">
        <w:t>.</w:t>
      </w:r>
    </w:p>
    <w:p w14:paraId="4A651474" w14:textId="672D29D3" w:rsidR="004A0B14" w:rsidRDefault="00344927" w:rsidP="000F749F">
      <w:pPr>
        <w:pStyle w:val="ARTartustawynprozporzdzenia"/>
      </w:pPr>
      <w:r w:rsidRPr="003E54AA">
        <w:rPr>
          <w:rStyle w:val="Ppogrubienie"/>
        </w:rPr>
        <w:t>§ </w:t>
      </w:r>
      <w:r w:rsidR="0052586D">
        <w:rPr>
          <w:rStyle w:val="Ppogrubienie"/>
        </w:rPr>
        <w:t>7</w:t>
      </w:r>
      <w:r w:rsidRPr="003E54AA">
        <w:rPr>
          <w:rStyle w:val="Ppogrubienie"/>
        </w:rPr>
        <w:t>.</w:t>
      </w:r>
      <w:r>
        <w:t> Przepisów rozporządzenia nie stosuje się</w:t>
      </w:r>
      <w:r w:rsidR="004A0B14">
        <w:t xml:space="preserve"> do przedsięwzięcia:</w:t>
      </w:r>
    </w:p>
    <w:p w14:paraId="27F7F4FB" w14:textId="4EA50184" w:rsidR="004A0B14" w:rsidRPr="004A0B14" w:rsidRDefault="004A0B14" w:rsidP="0052586D">
      <w:pPr>
        <w:pStyle w:val="PKTpunkt"/>
      </w:pPr>
      <w:r w:rsidRPr="004A0B14">
        <w:t>1)</w:t>
      </w:r>
      <w:r>
        <w:tab/>
      </w:r>
      <w:r w:rsidRPr="004A0B14">
        <w:t>będącego w trakcie realizacji;</w:t>
      </w:r>
    </w:p>
    <w:p w14:paraId="6E7DFE3F" w14:textId="1A3366E0" w:rsidR="004A0B14" w:rsidRPr="004A0B14" w:rsidRDefault="004A0B14" w:rsidP="0052586D">
      <w:pPr>
        <w:pStyle w:val="PKTpunkt"/>
      </w:pPr>
      <w:r w:rsidRPr="004A0B14">
        <w:t>2)</w:t>
      </w:r>
      <w:r>
        <w:tab/>
      </w:r>
      <w:r w:rsidRPr="004A0B14">
        <w:t xml:space="preserve">będącego na etapie uzyskiwania decyzji administracyjnych niezbędnych do </w:t>
      </w:r>
      <w:r w:rsidR="00B41F11">
        <w:t>jego</w:t>
      </w:r>
      <w:r w:rsidR="00E143DC">
        <w:t xml:space="preserve">  </w:t>
      </w:r>
      <w:r w:rsidRPr="004A0B14">
        <w:t xml:space="preserve"> realizacji</w:t>
      </w:r>
      <w:r>
        <w:t>;</w:t>
      </w:r>
    </w:p>
    <w:p w14:paraId="728FB883" w14:textId="0281CF49" w:rsidR="004A0B14" w:rsidRPr="004A0B14" w:rsidRDefault="004A0B14" w:rsidP="0052586D">
      <w:pPr>
        <w:pStyle w:val="PKTpunkt"/>
      </w:pPr>
      <w:r w:rsidRPr="004A0B14">
        <w:t>2)</w:t>
      </w:r>
      <w:r>
        <w:tab/>
      </w:r>
      <w:r w:rsidRPr="004A0B14">
        <w:t>planowanego, w stosunku do którego organ uprawniony do reprezentowania</w:t>
      </w:r>
      <w:r>
        <w:t xml:space="preserve"> </w:t>
      </w:r>
      <w:r w:rsidRPr="004A0B14">
        <w:t xml:space="preserve">przedsiębiorstwa planującego to przedsięwzięcie </w:t>
      </w:r>
      <w:bookmarkStart w:id="13" w:name="_Hlk96592548"/>
      <w:r w:rsidRPr="004A0B14">
        <w:t xml:space="preserve">podjął decyzję </w:t>
      </w:r>
      <w:r w:rsidR="003A574C" w:rsidRPr="003A574C">
        <w:t xml:space="preserve">o jego realizacji </w:t>
      </w:r>
      <w:r>
        <w:t xml:space="preserve">w formie uchwały lub </w:t>
      </w:r>
      <w:r w:rsidR="003A574C">
        <w:t xml:space="preserve">w formie </w:t>
      </w:r>
      <w:r>
        <w:t>pisemnej.</w:t>
      </w:r>
    </w:p>
    <w:bookmarkEnd w:id="13"/>
    <w:p w14:paraId="7434189D" w14:textId="4AAA6EB9" w:rsidR="003E54AA" w:rsidRDefault="003E54AA" w:rsidP="000F749F">
      <w:pPr>
        <w:pStyle w:val="ARTartustawynprozporzdzenia"/>
      </w:pPr>
      <w:r w:rsidRPr="003E54AA">
        <w:rPr>
          <w:rStyle w:val="Ppogrubienie"/>
        </w:rPr>
        <w:t>§ </w:t>
      </w:r>
      <w:r w:rsidR="0052586D">
        <w:rPr>
          <w:rStyle w:val="Ppogrubienie"/>
        </w:rPr>
        <w:t>8</w:t>
      </w:r>
      <w:r w:rsidRPr="003E54AA">
        <w:rPr>
          <w:rStyle w:val="Ppogrubienie"/>
        </w:rPr>
        <w:t>.</w:t>
      </w:r>
      <w:r>
        <w:t> </w:t>
      </w:r>
      <w:r w:rsidRPr="003E54AA">
        <w:t>Rozporządzenie wchodzi w życie po upływie 14 dni od dnia ogłoszenia.</w:t>
      </w:r>
    </w:p>
    <w:p w14:paraId="5135C533" w14:textId="77777777" w:rsidR="00CD4DEB" w:rsidRDefault="00CD4DEB" w:rsidP="005E34A4">
      <w:pPr>
        <w:pStyle w:val="NAZORGWYDnazwaorganuwydajcegoprojektowanyakt"/>
        <w:ind w:left="0"/>
        <w:jc w:val="left"/>
      </w:pPr>
    </w:p>
    <w:p w14:paraId="7548A114" w14:textId="76E0AE42" w:rsidR="003E54AA" w:rsidRDefault="003E54AA" w:rsidP="000F749F">
      <w:pPr>
        <w:pStyle w:val="NAZORGWYDnazwaorganuwydajcegoprojektowanyakt"/>
      </w:pPr>
      <w:r w:rsidRPr="003E54AA">
        <w:t>MINISTER KLIMATU I</w:t>
      </w:r>
      <w:r w:rsidR="000E0C21">
        <w:t> </w:t>
      </w:r>
      <w:r w:rsidRPr="003E54AA">
        <w:t>ŚRODOWISKA</w:t>
      </w:r>
    </w:p>
    <w:p w14:paraId="73EAD99B" w14:textId="2513DB9D" w:rsidR="00CA59DC" w:rsidRDefault="00CA59DC" w:rsidP="00B83044">
      <w:pPr>
        <w:pStyle w:val="NAZORGWYDnazwaorganuwydajcegoprojektowanyakt"/>
        <w:ind w:left="0"/>
        <w:jc w:val="left"/>
      </w:pPr>
    </w:p>
    <w:p w14:paraId="03F6F53B" w14:textId="77777777" w:rsidR="009C174D" w:rsidRPr="003E54AA" w:rsidRDefault="009C174D" w:rsidP="009C174D">
      <w:pPr>
        <w:pStyle w:val="NAZORGWYDnazwaorganuwydajcegoprojektowanyakt"/>
        <w:ind w:left="0"/>
        <w:jc w:val="left"/>
      </w:pPr>
    </w:p>
    <w:p w14:paraId="3F0704BB" w14:textId="20A93D74" w:rsidR="00261A16" w:rsidRPr="00737F6A" w:rsidRDefault="00BA79EA" w:rsidP="00737F6A">
      <w:r w:rsidRPr="00BA79EA">
        <w:rPr>
          <w:noProof/>
        </w:rPr>
        <w:drawing>
          <wp:inline distT="0" distB="0" distL="0" distR="0" wp14:anchorId="17A73D9C" wp14:editId="05F336D2">
            <wp:extent cx="5746750" cy="1314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7393" w14:textId="77777777" w:rsidR="001A2F6B" w:rsidRDefault="001A2F6B">
      <w:r>
        <w:separator/>
      </w:r>
    </w:p>
  </w:endnote>
  <w:endnote w:type="continuationSeparator" w:id="0">
    <w:p w14:paraId="3D3B9B97" w14:textId="77777777" w:rsidR="001A2F6B" w:rsidRDefault="001A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345D4" w14:textId="77777777" w:rsidR="001A2F6B" w:rsidRDefault="001A2F6B">
      <w:r>
        <w:separator/>
      </w:r>
    </w:p>
  </w:footnote>
  <w:footnote w:type="continuationSeparator" w:id="0">
    <w:p w14:paraId="458142C2" w14:textId="77777777" w:rsidR="001A2F6B" w:rsidRDefault="001A2F6B">
      <w:r>
        <w:continuationSeparator/>
      </w:r>
    </w:p>
  </w:footnote>
  <w:footnote w:id="1">
    <w:p w14:paraId="375CA6D8" w14:textId="3796DFA8" w:rsidR="003E54AA" w:rsidRDefault="003E54AA" w:rsidP="003E54AA">
      <w:pPr>
        <w:pStyle w:val="ODNONIKtreodnonika"/>
      </w:pPr>
      <w:r w:rsidRPr="003E54AA">
        <w:rPr>
          <w:rStyle w:val="IGindeksgrny"/>
        </w:rPr>
        <w:footnoteRef/>
      </w:r>
      <w:r w:rsidRPr="003E54AA">
        <w:rPr>
          <w:rStyle w:val="IGindeksgrny"/>
        </w:rPr>
        <w:t>)</w:t>
      </w:r>
      <w:r>
        <w:rPr>
          <w:vertAlign w:val="superscript"/>
        </w:rPr>
        <w:tab/>
      </w:r>
      <w:r>
        <w:t xml:space="preserve">Minister Klimatu i Środowiska kieruje działem administracji rządowej </w:t>
      </w:r>
      <w:r w:rsidRPr="003E54AA">
        <w:t xml:space="preserve">– </w:t>
      </w:r>
      <w:r>
        <w:t xml:space="preserve">energia, na podstawie § 1 ust. 2 pkt 1 rozporządzenia Prezesa Rady Ministrów z </w:t>
      </w:r>
      <w:r w:rsidR="0023331E" w:rsidRPr="0023331E">
        <w:t>27 października 2021</w:t>
      </w:r>
      <w:r w:rsidR="0023331E">
        <w:t xml:space="preserve"> r. </w:t>
      </w:r>
      <w:r>
        <w:t>w sprawie szczegółowego zakresu działania Ministra Klimatu i Środowiska (Dz. U. poz. 941).</w:t>
      </w:r>
    </w:p>
  </w:footnote>
  <w:footnote w:id="2">
    <w:p w14:paraId="5E5733C0" w14:textId="39C3D798" w:rsidR="003E54AA" w:rsidRPr="00C17FC4" w:rsidRDefault="003E54AA" w:rsidP="003E54AA">
      <w:pPr>
        <w:pStyle w:val="ODNONIKtreodnonika"/>
        <w:rPr>
          <w:rFonts w:eastAsiaTheme="minorHAnsi"/>
          <w:lang w:eastAsia="en-US"/>
        </w:rPr>
      </w:pPr>
      <w:r w:rsidRPr="003E54AA">
        <w:rPr>
          <w:rStyle w:val="IGindeksgrny"/>
        </w:rPr>
        <w:footnoteRef/>
      </w:r>
      <w:r w:rsidRPr="003E54AA">
        <w:rPr>
          <w:rStyle w:val="IGindeksgrny"/>
        </w:rPr>
        <w:t>)</w:t>
      </w:r>
      <w:r>
        <w:rPr>
          <w:rFonts w:cs="Times New Roman"/>
        </w:rPr>
        <w:tab/>
      </w:r>
      <w:r w:rsidRPr="00C17FC4">
        <w:rPr>
          <w:rStyle w:val="Odwoanieprzypisudolnego"/>
        </w:rPr>
        <w:t xml:space="preserve"> </w:t>
      </w:r>
      <w:r w:rsidRPr="00F01AD0">
        <w:t>Niniejsze rozporządzenie w zakresie swojej regulacji wdraża dyrektywę Parlamentu Europejskiego i Rady 2012/27/UE z dnia 25 października 2012 r. w sprawie efektywności energetycznej, zmiany dyrektyw 2009/125/WE i 2010/30/UE oraz uchylenia dyrektyw 2004/8/WE i 2006/32/WE (Dz. Urz. UE L 315 z</w:t>
      </w:r>
      <w:r w:rsidR="000E0C21">
        <w:t> </w:t>
      </w:r>
      <w:r w:rsidRPr="00F01AD0">
        <w:t>14.11.2012, str. 1, Dz. Urz. UE L 113 z 25.04.2013, str. 24, Dz. Urz. UE L 141 z 28.05.2013, str. 28, Dz.</w:t>
      </w:r>
      <w:r w:rsidR="000D320C">
        <w:t> </w:t>
      </w:r>
      <w:r w:rsidRPr="00F01AD0">
        <w:t>Urz. UE L 156 z 19.06.2018, str. 75, Dz. Urz. UE L 328 z 21.12.2018, str. 1 i 210, Dz. Urz. UE L 85 I z</w:t>
      </w:r>
      <w:r w:rsidR="000D320C">
        <w:t> </w:t>
      </w:r>
      <w:r w:rsidRPr="00F01AD0">
        <w:t>27.03.2019, str. 66, Dz. Urz. UE L 137 z 23.05.2019, str. 3 oraz Dz. Urz. UE L 158 z 14.06.2019, str. 125).</w:t>
      </w:r>
    </w:p>
  </w:footnote>
  <w:footnote w:id="3">
    <w:p w14:paraId="4DC7AF09" w14:textId="66604997" w:rsidR="00FC720E" w:rsidRPr="00D16DDA" w:rsidRDefault="00FC720E" w:rsidP="00D16495">
      <w:pPr>
        <w:pStyle w:val="ODNONIKtreodnonika"/>
      </w:pPr>
      <w:r w:rsidRPr="00D16495">
        <w:rPr>
          <w:rStyle w:val="IGindeksgrny"/>
        </w:rPr>
        <w:footnoteRef/>
      </w:r>
      <w:r w:rsidRPr="00D16495">
        <w:rPr>
          <w:rStyle w:val="IGindeksgrny"/>
        </w:rPr>
        <w:t>)</w:t>
      </w:r>
      <w:r w:rsidR="00D16DDA">
        <w:tab/>
      </w:r>
      <w:r w:rsidRPr="00D16495">
        <w:t>Zmiany tekstu jednolitego wymienionej ustawy zostały ogłoszone w Dz. U. z 2021 r. poz. 868, 1093, 1505, 1642, 1873, 2269 i 2271</w:t>
      </w:r>
      <w:r w:rsidR="008E0C3F" w:rsidRPr="00D16495">
        <w:t xml:space="preserve"> 2376 i 2490 oraz z 2022 r. poz. 1</w:t>
      </w:r>
      <w:r w:rsidR="00124303">
        <w:t xml:space="preserve">, </w:t>
      </w:r>
      <w:r w:rsidR="008E0C3F" w:rsidRPr="00D16495">
        <w:t>200</w:t>
      </w:r>
      <w:r w:rsidR="000A3936">
        <w:t xml:space="preserve">, </w:t>
      </w:r>
      <w:r w:rsidR="00124303">
        <w:t>202</w:t>
      </w:r>
      <w:r w:rsidR="000A3936">
        <w:t>i 631</w:t>
      </w:r>
      <w:r w:rsidR="008E0C3F" w:rsidRPr="00D16495">
        <w:t>.</w:t>
      </w:r>
    </w:p>
  </w:footnote>
  <w:footnote w:id="4">
    <w:p w14:paraId="4F5017D2" w14:textId="16F40FA8" w:rsidR="0050297E" w:rsidRDefault="0050297E" w:rsidP="00F71F5D">
      <w:pPr>
        <w:pStyle w:val="ODNONIKtreodnonika"/>
      </w:pPr>
      <w:r w:rsidRPr="00F71F5D">
        <w:rPr>
          <w:rStyle w:val="IGindeksgrny"/>
        </w:rPr>
        <w:footnoteRef/>
      </w:r>
      <w:r w:rsidRPr="00F71F5D">
        <w:rPr>
          <w:rStyle w:val="IGindeksgrny"/>
        </w:rPr>
        <w:t>)</w:t>
      </w:r>
      <w:r>
        <w:t xml:space="preserve"> </w:t>
      </w:r>
      <w:r w:rsidR="000A3936">
        <w:tab/>
      </w:r>
      <w:r w:rsidRPr="0050297E">
        <w:t>Zmiany tekstu jednolitego wymienionej ustawy zostały ogłoszone w Dz. U. z 2021 r. poz</w:t>
      </w:r>
      <w:r>
        <w:t xml:space="preserve">. </w:t>
      </w:r>
      <w:r w:rsidRPr="0050297E">
        <w:t>1236, 1535, 1773, 1927, 1981, 2054</w:t>
      </w:r>
      <w:r>
        <w:t xml:space="preserve"> i </w:t>
      </w:r>
      <w:r w:rsidRPr="0050297E">
        <w:t>2270</w:t>
      </w:r>
      <w:r w:rsidR="00CA59DC">
        <w:t xml:space="preserve"> oraz Dz.U. z 2022 r. poz. 583)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5425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B6"/>
    <w:rsid w:val="000012DA"/>
    <w:rsid w:val="0000246E"/>
    <w:rsid w:val="00003862"/>
    <w:rsid w:val="00007739"/>
    <w:rsid w:val="00012A35"/>
    <w:rsid w:val="00016099"/>
    <w:rsid w:val="000174AA"/>
    <w:rsid w:val="0001773E"/>
    <w:rsid w:val="00017DC2"/>
    <w:rsid w:val="0002103C"/>
    <w:rsid w:val="00021522"/>
    <w:rsid w:val="00023471"/>
    <w:rsid w:val="00023F13"/>
    <w:rsid w:val="00030634"/>
    <w:rsid w:val="000319C1"/>
    <w:rsid w:val="00031A7D"/>
    <w:rsid w:val="00031A8B"/>
    <w:rsid w:val="00031BCA"/>
    <w:rsid w:val="0003289A"/>
    <w:rsid w:val="000330FA"/>
    <w:rsid w:val="0003362F"/>
    <w:rsid w:val="00033E10"/>
    <w:rsid w:val="00036B63"/>
    <w:rsid w:val="00037E1A"/>
    <w:rsid w:val="00037FFD"/>
    <w:rsid w:val="00043495"/>
    <w:rsid w:val="00046A75"/>
    <w:rsid w:val="00047312"/>
    <w:rsid w:val="00047B8D"/>
    <w:rsid w:val="000508BD"/>
    <w:rsid w:val="000517AB"/>
    <w:rsid w:val="0005339C"/>
    <w:rsid w:val="0005571B"/>
    <w:rsid w:val="00055E4A"/>
    <w:rsid w:val="000573AE"/>
    <w:rsid w:val="00057AB3"/>
    <w:rsid w:val="00060076"/>
    <w:rsid w:val="00060432"/>
    <w:rsid w:val="00060447"/>
    <w:rsid w:val="00060D87"/>
    <w:rsid w:val="000615A5"/>
    <w:rsid w:val="00064E4C"/>
    <w:rsid w:val="00065B5F"/>
    <w:rsid w:val="0006661A"/>
    <w:rsid w:val="00066901"/>
    <w:rsid w:val="00071BEE"/>
    <w:rsid w:val="0007297D"/>
    <w:rsid w:val="000736CD"/>
    <w:rsid w:val="000742CD"/>
    <w:rsid w:val="0007533B"/>
    <w:rsid w:val="0007545D"/>
    <w:rsid w:val="000760BF"/>
    <w:rsid w:val="0007613E"/>
    <w:rsid w:val="00076BFC"/>
    <w:rsid w:val="00080441"/>
    <w:rsid w:val="000814A7"/>
    <w:rsid w:val="00081F35"/>
    <w:rsid w:val="0008557B"/>
    <w:rsid w:val="00085CE7"/>
    <w:rsid w:val="00087268"/>
    <w:rsid w:val="0008794E"/>
    <w:rsid w:val="000906EE"/>
    <w:rsid w:val="00091BA2"/>
    <w:rsid w:val="000944EF"/>
    <w:rsid w:val="000950F7"/>
    <w:rsid w:val="0009732D"/>
    <w:rsid w:val="000973F0"/>
    <w:rsid w:val="000A1296"/>
    <w:rsid w:val="000A1C27"/>
    <w:rsid w:val="000A1DAD"/>
    <w:rsid w:val="000A2649"/>
    <w:rsid w:val="000A323B"/>
    <w:rsid w:val="000A3936"/>
    <w:rsid w:val="000A58E1"/>
    <w:rsid w:val="000A77B4"/>
    <w:rsid w:val="000B298D"/>
    <w:rsid w:val="000B2E16"/>
    <w:rsid w:val="000B5B2D"/>
    <w:rsid w:val="000B5DCE"/>
    <w:rsid w:val="000B63BC"/>
    <w:rsid w:val="000B6800"/>
    <w:rsid w:val="000B7FA4"/>
    <w:rsid w:val="000C05BA"/>
    <w:rsid w:val="000C0E8F"/>
    <w:rsid w:val="000C4BC4"/>
    <w:rsid w:val="000D0110"/>
    <w:rsid w:val="000D2468"/>
    <w:rsid w:val="000D318A"/>
    <w:rsid w:val="000D320C"/>
    <w:rsid w:val="000D5554"/>
    <w:rsid w:val="000D6173"/>
    <w:rsid w:val="000D6448"/>
    <w:rsid w:val="000D6F83"/>
    <w:rsid w:val="000E06D1"/>
    <w:rsid w:val="000E0C21"/>
    <w:rsid w:val="000E10FB"/>
    <w:rsid w:val="000E25CC"/>
    <w:rsid w:val="000E3694"/>
    <w:rsid w:val="000E490F"/>
    <w:rsid w:val="000E6241"/>
    <w:rsid w:val="000E7689"/>
    <w:rsid w:val="000F2BE3"/>
    <w:rsid w:val="000F3D0D"/>
    <w:rsid w:val="000F48C6"/>
    <w:rsid w:val="000F6ED4"/>
    <w:rsid w:val="000F719C"/>
    <w:rsid w:val="000F749F"/>
    <w:rsid w:val="000F7A6E"/>
    <w:rsid w:val="00103859"/>
    <w:rsid w:val="001042BA"/>
    <w:rsid w:val="00106D03"/>
    <w:rsid w:val="00110465"/>
    <w:rsid w:val="00110628"/>
    <w:rsid w:val="0011245A"/>
    <w:rsid w:val="00112946"/>
    <w:rsid w:val="0011493E"/>
    <w:rsid w:val="00115B72"/>
    <w:rsid w:val="00116FA9"/>
    <w:rsid w:val="00120814"/>
    <w:rsid w:val="001209EC"/>
    <w:rsid w:val="00120A9E"/>
    <w:rsid w:val="00124303"/>
    <w:rsid w:val="00125A9C"/>
    <w:rsid w:val="001270A2"/>
    <w:rsid w:val="00131237"/>
    <w:rsid w:val="001329AC"/>
    <w:rsid w:val="00132A6E"/>
    <w:rsid w:val="00134CA0"/>
    <w:rsid w:val="0014026F"/>
    <w:rsid w:val="0014590B"/>
    <w:rsid w:val="00147A47"/>
    <w:rsid w:val="00147AA1"/>
    <w:rsid w:val="001520CF"/>
    <w:rsid w:val="00153AB4"/>
    <w:rsid w:val="00155039"/>
    <w:rsid w:val="0015667C"/>
    <w:rsid w:val="00157110"/>
    <w:rsid w:val="0015742A"/>
    <w:rsid w:val="001578EE"/>
    <w:rsid w:val="00157DA1"/>
    <w:rsid w:val="00160DF4"/>
    <w:rsid w:val="00162B1D"/>
    <w:rsid w:val="00163147"/>
    <w:rsid w:val="00164C57"/>
    <w:rsid w:val="00164C9D"/>
    <w:rsid w:val="00172178"/>
    <w:rsid w:val="00172305"/>
    <w:rsid w:val="00172D75"/>
    <w:rsid w:val="00172F7A"/>
    <w:rsid w:val="00173150"/>
    <w:rsid w:val="00173390"/>
    <w:rsid w:val="001736F0"/>
    <w:rsid w:val="00173BB3"/>
    <w:rsid w:val="001740D0"/>
    <w:rsid w:val="00174F2C"/>
    <w:rsid w:val="00175B41"/>
    <w:rsid w:val="00176562"/>
    <w:rsid w:val="00180F2A"/>
    <w:rsid w:val="0018102A"/>
    <w:rsid w:val="00183657"/>
    <w:rsid w:val="00184B91"/>
    <w:rsid w:val="00184D4A"/>
    <w:rsid w:val="00185E12"/>
    <w:rsid w:val="00186EC1"/>
    <w:rsid w:val="00191E1F"/>
    <w:rsid w:val="00194101"/>
    <w:rsid w:val="0019473B"/>
    <w:rsid w:val="00194FCD"/>
    <w:rsid w:val="001952B1"/>
    <w:rsid w:val="00196E39"/>
    <w:rsid w:val="00197649"/>
    <w:rsid w:val="001A01FB"/>
    <w:rsid w:val="001A10E9"/>
    <w:rsid w:val="001A1458"/>
    <w:rsid w:val="001A183D"/>
    <w:rsid w:val="001A2B65"/>
    <w:rsid w:val="001A2F6B"/>
    <w:rsid w:val="001A3CD3"/>
    <w:rsid w:val="001A5BEF"/>
    <w:rsid w:val="001A69B4"/>
    <w:rsid w:val="001A7F15"/>
    <w:rsid w:val="001B342E"/>
    <w:rsid w:val="001B414D"/>
    <w:rsid w:val="001C0B97"/>
    <w:rsid w:val="001C1832"/>
    <w:rsid w:val="001C188C"/>
    <w:rsid w:val="001C3F3A"/>
    <w:rsid w:val="001C5B0B"/>
    <w:rsid w:val="001D1783"/>
    <w:rsid w:val="001D53CD"/>
    <w:rsid w:val="001D55A3"/>
    <w:rsid w:val="001D5AF5"/>
    <w:rsid w:val="001D6DEA"/>
    <w:rsid w:val="001E12EF"/>
    <w:rsid w:val="001E1E73"/>
    <w:rsid w:val="001E4E0C"/>
    <w:rsid w:val="001E526D"/>
    <w:rsid w:val="001E5655"/>
    <w:rsid w:val="001E5FAC"/>
    <w:rsid w:val="001F1832"/>
    <w:rsid w:val="001F220F"/>
    <w:rsid w:val="001F25B3"/>
    <w:rsid w:val="001F33AF"/>
    <w:rsid w:val="001F6616"/>
    <w:rsid w:val="00202BD4"/>
    <w:rsid w:val="002033D3"/>
    <w:rsid w:val="00203D58"/>
    <w:rsid w:val="00204A97"/>
    <w:rsid w:val="002114EF"/>
    <w:rsid w:val="002152B2"/>
    <w:rsid w:val="002166AD"/>
    <w:rsid w:val="00216F2D"/>
    <w:rsid w:val="00217871"/>
    <w:rsid w:val="00220B61"/>
    <w:rsid w:val="00221ED8"/>
    <w:rsid w:val="002231EA"/>
    <w:rsid w:val="00223FDF"/>
    <w:rsid w:val="002279C0"/>
    <w:rsid w:val="00227D13"/>
    <w:rsid w:val="00232FCD"/>
    <w:rsid w:val="0023331E"/>
    <w:rsid w:val="00233534"/>
    <w:rsid w:val="002335F4"/>
    <w:rsid w:val="00234E53"/>
    <w:rsid w:val="0023727E"/>
    <w:rsid w:val="002416BC"/>
    <w:rsid w:val="00242081"/>
    <w:rsid w:val="00242F7C"/>
    <w:rsid w:val="00243199"/>
    <w:rsid w:val="00243777"/>
    <w:rsid w:val="002441CD"/>
    <w:rsid w:val="002501A3"/>
    <w:rsid w:val="00251294"/>
    <w:rsid w:val="0025166C"/>
    <w:rsid w:val="002555D4"/>
    <w:rsid w:val="00261A16"/>
    <w:rsid w:val="002630A4"/>
    <w:rsid w:val="00263522"/>
    <w:rsid w:val="00264EC6"/>
    <w:rsid w:val="00271013"/>
    <w:rsid w:val="00273FE4"/>
    <w:rsid w:val="00275752"/>
    <w:rsid w:val="002765B4"/>
    <w:rsid w:val="00276A94"/>
    <w:rsid w:val="00286EA6"/>
    <w:rsid w:val="00287297"/>
    <w:rsid w:val="0029130B"/>
    <w:rsid w:val="0029405D"/>
    <w:rsid w:val="00294FA6"/>
    <w:rsid w:val="00295A6F"/>
    <w:rsid w:val="00297586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6D39"/>
    <w:rsid w:val="002B7FAF"/>
    <w:rsid w:val="002C3D66"/>
    <w:rsid w:val="002C3EE0"/>
    <w:rsid w:val="002D0C4F"/>
    <w:rsid w:val="002D1364"/>
    <w:rsid w:val="002D14E7"/>
    <w:rsid w:val="002D4D30"/>
    <w:rsid w:val="002D5000"/>
    <w:rsid w:val="002D598D"/>
    <w:rsid w:val="002D69B6"/>
    <w:rsid w:val="002D6C96"/>
    <w:rsid w:val="002D7188"/>
    <w:rsid w:val="002E0544"/>
    <w:rsid w:val="002E1DE3"/>
    <w:rsid w:val="002E2AB6"/>
    <w:rsid w:val="002E3F34"/>
    <w:rsid w:val="002E44F3"/>
    <w:rsid w:val="002E5F79"/>
    <w:rsid w:val="002E64FA"/>
    <w:rsid w:val="002F0A00"/>
    <w:rsid w:val="002F0CFA"/>
    <w:rsid w:val="002F5585"/>
    <w:rsid w:val="002F669F"/>
    <w:rsid w:val="002F674A"/>
    <w:rsid w:val="00301C97"/>
    <w:rsid w:val="00305DAE"/>
    <w:rsid w:val="003074CE"/>
    <w:rsid w:val="0031004C"/>
    <w:rsid w:val="003105F6"/>
    <w:rsid w:val="00311297"/>
    <w:rsid w:val="003113BE"/>
    <w:rsid w:val="003122CA"/>
    <w:rsid w:val="003148FD"/>
    <w:rsid w:val="00321080"/>
    <w:rsid w:val="0032207C"/>
    <w:rsid w:val="00322D45"/>
    <w:rsid w:val="0032569A"/>
    <w:rsid w:val="003257B7"/>
    <w:rsid w:val="00325A1F"/>
    <w:rsid w:val="003268F9"/>
    <w:rsid w:val="00330BAF"/>
    <w:rsid w:val="00331C6F"/>
    <w:rsid w:val="003322D6"/>
    <w:rsid w:val="00334E3A"/>
    <w:rsid w:val="003361DD"/>
    <w:rsid w:val="00340C53"/>
    <w:rsid w:val="00341A6A"/>
    <w:rsid w:val="00344927"/>
    <w:rsid w:val="00345B9C"/>
    <w:rsid w:val="003506B3"/>
    <w:rsid w:val="00352DAE"/>
    <w:rsid w:val="00353CC9"/>
    <w:rsid w:val="00353F03"/>
    <w:rsid w:val="00354EB9"/>
    <w:rsid w:val="00357336"/>
    <w:rsid w:val="0035750E"/>
    <w:rsid w:val="003602AE"/>
    <w:rsid w:val="00360929"/>
    <w:rsid w:val="00360F4F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87C28"/>
    <w:rsid w:val="00390E89"/>
    <w:rsid w:val="00391B1A"/>
    <w:rsid w:val="00392350"/>
    <w:rsid w:val="00394423"/>
    <w:rsid w:val="00396942"/>
    <w:rsid w:val="00396B49"/>
    <w:rsid w:val="00396E3E"/>
    <w:rsid w:val="003A2CCC"/>
    <w:rsid w:val="003A306E"/>
    <w:rsid w:val="003A43BB"/>
    <w:rsid w:val="003A54B9"/>
    <w:rsid w:val="003A574C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C6316"/>
    <w:rsid w:val="003C6EAE"/>
    <w:rsid w:val="003D12C2"/>
    <w:rsid w:val="003D31B9"/>
    <w:rsid w:val="003D3867"/>
    <w:rsid w:val="003E0D1A"/>
    <w:rsid w:val="003E2DA3"/>
    <w:rsid w:val="003E54AA"/>
    <w:rsid w:val="003F020D"/>
    <w:rsid w:val="003F03D9"/>
    <w:rsid w:val="003F1417"/>
    <w:rsid w:val="003F2F67"/>
    <w:rsid w:val="003F2FBE"/>
    <w:rsid w:val="003F318D"/>
    <w:rsid w:val="003F5BAE"/>
    <w:rsid w:val="003F6414"/>
    <w:rsid w:val="003F656D"/>
    <w:rsid w:val="003F6ED7"/>
    <w:rsid w:val="004018AD"/>
    <w:rsid w:val="00401C84"/>
    <w:rsid w:val="00403210"/>
    <w:rsid w:val="004035BB"/>
    <w:rsid w:val="004035EB"/>
    <w:rsid w:val="00407186"/>
    <w:rsid w:val="00407332"/>
    <w:rsid w:val="00407828"/>
    <w:rsid w:val="00413D8E"/>
    <w:rsid w:val="004140F2"/>
    <w:rsid w:val="00414F50"/>
    <w:rsid w:val="0041712B"/>
    <w:rsid w:val="00417B22"/>
    <w:rsid w:val="00421085"/>
    <w:rsid w:val="0042465E"/>
    <w:rsid w:val="00424DF7"/>
    <w:rsid w:val="00432B76"/>
    <w:rsid w:val="00433817"/>
    <w:rsid w:val="00434D01"/>
    <w:rsid w:val="00435D26"/>
    <w:rsid w:val="00440C99"/>
    <w:rsid w:val="0044175C"/>
    <w:rsid w:val="00445F4D"/>
    <w:rsid w:val="00447256"/>
    <w:rsid w:val="004504C0"/>
    <w:rsid w:val="004504DA"/>
    <w:rsid w:val="0045170F"/>
    <w:rsid w:val="004550FB"/>
    <w:rsid w:val="00455E18"/>
    <w:rsid w:val="0046111A"/>
    <w:rsid w:val="00462946"/>
    <w:rsid w:val="004631DD"/>
    <w:rsid w:val="00463F43"/>
    <w:rsid w:val="00464B94"/>
    <w:rsid w:val="00464F49"/>
    <w:rsid w:val="004653A8"/>
    <w:rsid w:val="00465A0B"/>
    <w:rsid w:val="0047077C"/>
    <w:rsid w:val="00470B05"/>
    <w:rsid w:val="0047207C"/>
    <w:rsid w:val="00472CD6"/>
    <w:rsid w:val="00474E3C"/>
    <w:rsid w:val="00476FDF"/>
    <w:rsid w:val="00480A58"/>
    <w:rsid w:val="00481519"/>
    <w:rsid w:val="00482151"/>
    <w:rsid w:val="00485FAD"/>
    <w:rsid w:val="00487AED"/>
    <w:rsid w:val="00487F84"/>
    <w:rsid w:val="0049006D"/>
    <w:rsid w:val="004914C0"/>
    <w:rsid w:val="004917AD"/>
    <w:rsid w:val="00491EDF"/>
    <w:rsid w:val="00492A3F"/>
    <w:rsid w:val="00493C6A"/>
    <w:rsid w:val="00494F62"/>
    <w:rsid w:val="00494FA9"/>
    <w:rsid w:val="00494FC4"/>
    <w:rsid w:val="00496CAE"/>
    <w:rsid w:val="0049719F"/>
    <w:rsid w:val="004A0960"/>
    <w:rsid w:val="004A0B14"/>
    <w:rsid w:val="004A2001"/>
    <w:rsid w:val="004A3590"/>
    <w:rsid w:val="004A3B7F"/>
    <w:rsid w:val="004A3C7F"/>
    <w:rsid w:val="004B00A7"/>
    <w:rsid w:val="004B25E2"/>
    <w:rsid w:val="004B34D7"/>
    <w:rsid w:val="004B35A5"/>
    <w:rsid w:val="004B5037"/>
    <w:rsid w:val="004B5B2F"/>
    <w:rsid w:val="004B61C8"/>
    <w:rsid w:val="004B626A"/>
    <w:rsid w:val="004B660E"/>
    <w:rsid w:val="004C05BD"/>
    <w:rsid w:val="004C3B06"/>
    <w:rsid w:val="004C3F97"/>
    <w:rsid w:val="004C7EE7"/>
    <w:rsid w:val="004D1CAD"/>
    <w:rsid w:val="004D2DEE"/>
    <w:rsid w:val="004D2E1F"/>
    <w:rsid w:val="004D310F"/>
    <w:rsid w:val="004D7FD9"/>
    <w:rsid w:val="004E1324"/>
    <w:rsid w:val="004E19A5"/>
    <w:rsid w:val="004E37E5"/>
    <w:rsid w:val="004E3FDB"/>
    <w:rsid w:val="004E7D0A"/>
    <w:rsid w:val="004F1F4A"/>
    <w:rsid w:val="004F296D"/>
    <w:rsid w:val="004F2B32"/>
    <w:rsid w:val="004F508B"/>
    <w:rsid w:val="004F695F"/>
    <w:rsid w:val="004F6CA4"/>
    <w:rsid w:val="00500752"/>
    <w:rsid w:val="0050127A"/>
    <w:rsid w:val="00501A50"/>
    <w:rsid w:val="0050222D"/>
    <w:rsid w:val="0050297E"/>
    <w:rsid w:val="00502FDE"/>
    <w:rsid w:val="00503AF3"/>
    <w:rsid w:val="0050696D"/>
    <w:rsid w:val="0051094B"/>
    <w:rsid w:val="005110D7"/>
    <w:rsid w:val="00511D99"/>
    <w:rsid w:val="005128D3"/>
    <w:rsid w:val="005147E8"/>
    <w:rsid w:val="005158F2"/>
    <w:rsid w:val="005160F5"/>
    <w:rsid w:val="00516996"/>
    <w:rsid w:val="00517E0C"/>
    <w:rsid w:val="0052586D"/>
    <w:rsid w:val="00526DFC"/>
    <w:rsid w:val="00526F43"/>
    <w:rsid w:val="00527651"/>
    <w:rsid w:val="00530C0B"/>
    <w:rsid w:val="00532A98"/>
    <w:rsid w:val="005363AB"/>
    <w:rsid w:val="005404A7"/>
    <w:rsid w:val="00544EF4"/>
    <w:rsid w:val="00545021"/>
    <w:rsid w:val="00545E53"/>
    <w:rsid w:val="005475AF"/>
    <w:rsid w:val="005479D9"/>
    <w:rsid w:val="005502F8"/>
    <w:rsid w:val="00552190"/>
    <w:rsid w:val="005572BD"/>
    <w:rsid w:val="00557A12"/>
    <w:rsid w:val="0056057E"/>
    <w:rsid w:val="00560AC7"/>
    <w:rsid w:val="00561AFB"/>
    <w:rsid w:val="00561FA8"/>
    <w:rsid w:val="005635ED"/>
    <w:rsid w:val="0056389E"/>
    <w:rsid w:val="00565253"/>
    <w:rsid w:val="00565904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6AC"/>
    <w:rsid w:val="00585F33"/>
    <w:rsid w:val="00591124"/>
    <w:rsid w:val="0059163F"/>
    <w:rsid w:val="0059291B"/>
    <w:rsid w:val="005969A7"/>
    <w:rsid w:val="00597024"/>
    <w:rsid w:val="005A0274"/>
    <w:rsid w:val="005A095C"/>
    <w:rsid w:val="005A669D"/>
    <w:rsid w:val="005A75D8"/>
    <w:rsid w:val="005B379D"/>
    <w:rsid w:val="005B713E"/>
    <w:rsid w:val="005C03B6"/>
    <w:rsid w:val="005C0E04"/>
    <w:rsid w:val="005C153A"/>
    <w:rsid w:val="005C319A"/>
    <w:rsid w:val="005C348E"/>
    <w:rsid w:val="005C38D1"/>
    <w:rsid w:val="005C68E1"/>
    <w:rsid w:val="005D3763"/>
    <w:rsid w:val="005D4DF8"/>
    <w:rsid w:val="005D55E1"/>
    <w:rsid w:val="005D619A"/>
    <w:rsid w:val="005E19F7"/>
    <w:rsid w:val="005E34A4"/>
    <w:rsid w:val="005E4F04"/>
    <w:rsid w:val="005E6105"/>
    <w:rsid w:val="005E62C2"/>
    <w:rsid w:val="005E62C7"/>
    <w:rsid w:val="005E6C71"/>
    <w:rsid w:val="005E7119"/>
    <w:rsid w:val="005F016F"/>
    <w:rsid w:val="005F0963"/>
    <w:rsid w:val="005F1DA0"/>
    <w:rsid w:val="005F2302"/>
    <w:rsid w:val="005F2824"/>
    <w:rsid w:val="005F2EBA"/>
    <w:rsid w:val="005F35ED"/>
    <w:rsid w:val="005F7812"/>
    <w:rsid w:val="005F7A88"/>
    <w:rsid w:val="00603A1A"/>
    <w:rsid w:val="006046D5"/>
    <w:rsid w:val="006076C4"/>
    <w:rsid w:val="006077FF"/>
    <w:rsid w:val="00607A93"/>
    <w:rsid w:val="00610C08"/>
    <w:rsid w:val="00611F74"/>
    <w:rsid w:val="00615772"/>
    <w:rsid w:val="00616111"/>
    <w:rsid w:val="00621256"/>
    <w:rsid w:val="00621625"/>
    <w:rsid w:val="00621FCC"/>
    <w:rsid w:val="00622E4B"/>
    <w:rsid w:val="006333DA"/>
    <w:rsid w:val="00635134"/>
    <w:rsid w:val="006356E2"/>
    <w:rsid w:val="00642A65"/>
    <w:rsid w:val="00645DCE"/>
    <w:rsid w:val="006462AB"/>
    <w:rsid w:val="006465AC"/>
    <w:rsid w:val="006465BF"/>
    <w:rsid w:val="0065004B"/>
    <w:rsid w:val="00650187"/>
    <w:rsid w:val="00653B22"/>
    <w:rsid w:val="006554FE"/>
    <w:rsid w:val="00656166"/>
    <w:rsid w:val="00657BF4"/>
    <w:rsid w:val="006602ED"/>
    <w:rsid w:val="006603FB"/>
    <w:rsid w:val="006608DF"/>
    <w:rsid w:val="006623AC"/>
    <w:rsid w:val="00663967"/>
    <w:rsid w:val="00665D5A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0D2"/>
    <w:rsid w:val="006969FA"/>
    <w:rsid w:val="006A237E"/>
    <w:rsid w:val="006A35D5"/>
    <w:rsid w:val="006A748A"/>
    <w:rsid w:val="006B08AE"/>
    <w:rsid w:val="006B3C51"/>
    <w:rsid w:val="006B6B66"/>
    <w:rsid w:val="006C041E"/>
    <w:rsid w:val="006C419E"/>
    <w:rsid w:val="006C446C"/>
    <w:rsid w:val="006C4A31"/>
    <w:rsid w:val="006C5AC2"/>
    <w:rsid w:val="006C6AFB"/>
    <w:rsid w:val="006C7C5F"/>
    <w:rsid w:val="006D2735"/>
    <w:rsid w:val="006D45B2"/>
    <w:rsid w:val="006E0BCB"/>
    <w:rsid w:val="006E0FCC"/>
    <w:rsid w:val="006E1E96"/>
    <w:rsid w:val="006E200D"/>
    <w:rsid w:val="006E5E21"/>
    <w:rsid w:val="006E7B97"/>
    <w:rsid w:val="006F2629"/>
    <w:rsid w:val="006F2648"/>
    <w:rsid w:val="006F2F10"/>
    <w:rsid w:val="006F482B"/>
    <w:rsid w:val="006F6311"/>
    <w:rsid w:val="006F7304"/>
    <w:rsid w:val="00701952"/>
    <w:rsid w:val="00701E70"/>
    <w:rsid w:val="00702556"/>
    <w:rsid w:val="0070277E"/>
    <w:rsid w:val="00704156"/>
    <w:rsid w:val="007069FC"/>
    <w:rsid w:val="0070713B"/>
    <w:rsid w:val="00711221"/>
    <w:rsid w:val="00712675"/>
    <w:rsid w:val="00713808"/>
    <w:rsid w:val="007151B6"/>
    <w:rsid w:val="0071520D"/>
    <w:rsid w:val="007152AE"/>
    <w:rsid w:val="00715EDB"/>
    <w:rsid w:val="007160D5"/>
    <w:rsid w:val="007163FB"/>
    <w:rsid w:val="00717C2E"/>
    <w:rsid w:val="007204FA"/>
    <w:rsid w:val="00720606"/>
    <w:rsid w:val="007213B3"/>
    <w:rsid w:val="0072457F"/>
    <w:rsid w:val="00725406"/>
    <w:rsid w:val="0072621B"/>
    <w:rsid w:val="00730555"/>
    <w:rsid w:val="007312CC"/>
    <w:rsid w:val="007321BB"/>
    <w:rsid w:val="00732DDD"/>
    <w:rsid w:val="00734134"/>
    <w:rsid w:val="007344E0"/>
    <w:rsid w:val="00736A64"/>
    <w:rsid w:val="00737EB3"/>
    <w:rsid w:val="00737F6A"/>
    <w:rsid w:val="00737F78"/>
    <w:rsid w:val="007410B6"/>
    <w:rsid w:val="0074353B"/>
    <w:rsid w:val="00744C6F"/>
    <w:rsid w:val="00745243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7E96"/>
    <w:rsid w:val="00770F6B"/>
    <w:rsid w:val="00771883"/>
    <w:rsid w:val="00776DC2"/>
    <w:rsid w:val="00780122"/>
    <w:rsid w:val="00781722"/>
    <w:rsid w:val="0078214B"/>
    <w:rsid w:val="00782FAE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15"/>
    <w:rsid w:val="007B75BC"/>
    <w:rsid w:val="007C0045"/>
    <w:rsid w:val="007C0BD6"/>
    <w:rsid w:val="007C3806"/>
    <w:rsid w:val="007C5BB7"/>
    <w:rsid w:val="007D07D5"/>
    <w:rsid w:val="007D1C64"/>
    <w:rsid w:val="007D32DD"/>
    <w:rsid w:val="007D4E72"/>
    <w:rsid w:val="007D6DCE"/>
    <w:rsid w:val="007D72C4"/>
    <w:rsid w:val="007E0E5A"/>
    <w:rsid w:val="007E2CFE"/>
    <w:rsid w:val="007E4D38"/>
    <w:rsid w:val="007E59C9"/>
    <w:rsid w:val="007F0072"/>
    <w:rsid w:val="007F11EA"/>
    <w:rsid w:val="007F2EB6"/>
    <w:rsid w:val="007F54C3"/>
    <w:rsid w:val="00802949"/>
    <w:rsid w:val="0080301E"/>
    <w:rsid w:val="0080365F"/>
    <w:rsid w:val="00811182"/>
    <w:rsid w:val="00812BE5"/>
    <w:rsid w:val="00816F56"/>
    <w:rsid w:val="00817429"/>
    <w:rsid w:val="00821514"/>
    <w:rsid w:val="00821E35"/>
    <w:rsid w:val="00822957"/>
    <w:rsid w:val="00823D79"/>
    <w:rsid w:val="00824591"/>
    <w:rsid w:val="00824AED"/>
    <w:rsid w:val="00827820"/>
    <w:rsid w:val="00831A09"/>
    <w:rsid w:val="00831B8B"/>
    <w:rsid w:val="0083405D"/>
    <w:rsid w:val="008352D4"/>
    <w:rsid w:val="00836DB9"/>
    <w:rsid w:val="00837C67"/>
    <w:rsid w:val="008415B0"/>
    <w:rsid w:val="00842028"/>
    <w:rsid w:val="008436B8"/>
    <w:rsid w:val="0084520D"/>
    <w:rsid w:val="008460B6"/>
    <w:rsid w:val="00850C9D"/>
    <w:rsid w:val="00852B59"/>
    <w:rsid w:val="00854F64"/>
    <w:rsid w:val="00856272"/>
    <w:rsid w:val="008563FF"/>
    <w:rsid w:val="00856624"/>
    <w:rsid w:val="0086018B"/>
    <w:rsid w:val="008611DD"/>
    <w:rsid w:val="00861D15"/>
    <w:rsid w:val="008620DE"/>
    <w:rsid w:val="00866867"/>
    <w:rsid w:val="008701D4"/>
    <w:rsid w:val="00872257"/>
    <w:rsid w:val="00873089"/>
    <w:rsid w:val="00873E6F"/>
    <w:rsid w:val="008753E6"/>
    <w:rsid w:val="00875673"/>
    <w:rsid w:val="008759E3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3C5"/>
    <w:rsid w:val="00896A10"/>
    <w:rsid w:val="008971B5"/>
    <w:rsid w:val="00897432"/>
    <w:rsid w:val="008A04D1"/>
    <w:rsid w:val="008A34FC"/>
    <w:rsid w:val="008A39C5"/>
    <w:rsid w:val="008A5D26"/>
    <w:rsid w:val="008A6B13"/>
    <w:rsid w:val="008A6ECB"/>
    <w:rsid w:val="008B0BF9"/>
    <w:rsid w:val="008B2866"/>
    <w:rsid w:val="008B3859"/>
    <w:rsid w:val="008B436D"/>
    <w:rsid w:val="008B4E49"/>
    <w:rsid w:val="008B62C0"/>
    <w:rsid w:val="008B7712"/>
    <w:rsid w:val="008B7B26"/>
    <w:rsid w:val="008C1315"/>
    <w:rsid w:val="008C3524"/>
    <w:rsid w:val="008C4061"/>
    <w:rsid w:val="008C4229"/>
    <w:rsid w:val="008C4547"/>
    <w:rsid w:val="008C5BE0"/>
    <w:rsid w:val="008C7233"/>
    <w:rsid w:val="008D2434"/>
    <w:rsid w:val="008D56B6"/>
    <w:rsid w:val="008D7869"/>
    <w:rsid w:val="008E0C3F"/>
    <w:rsid w:val="008E171D"/>
    <w:rsid w:val="008E2785"/>
    <w:rsid w:val="008E2E6F"/>
    <w:rsid w:val="008E39AD"/>
    <w:rsid w:val="008E78A3"/>
    <w:rsid w:val="008F0654"/>
    <w:rsid w:val="008F06CB"/>
    <w:rsid w:val="008F2E83"/>
    <w:rsid w:val="008F612A"/>
    <w:rsid w:val="0090293D"/>
    <w:rsid w:val="009034DE"/>
    <w:rsid w:val="00904187"/>
    <w:rsid w:val="00905396"/>
    <w:rsid w:val="00906031"/>
    <w:rsid w:val="0090605D"/>
    <w:rsid w:val="00906419"/>
    <w:rsid w:val="00912889"/>
    <w:rsid w:val="00913A42"/>
    <w:rsid w:val="00914167"/>
    <w:rsid w:val="009143DB"/>
    <w:rsid w:val="00915065"/>
    <w:rsid w:val="00917CE5"/>
    <w:rsid w:val="00920DC4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4C71"/>
    <w:rsid w:val="00946DD0"/>
    <w:rsid w:val="009509E6"/>
    <w:rsid w:val="009517E9"/>
    <w:rsid w:val="00952018"/>
    <w:rsid w:val="00952800"/>
    <w:rsid w:val="0095300D"/>
    <w:rsid w:val="0095638C"/>
    <w:rsid w:val="00956812"/>
    <w:rsid w:val="0095719A"/>
    <w:rsid w:val="0095753A"/>
    <w:rsid w:val="00960028"/>
    <w:rsid w:val="009623E9"/>
    <w:rsid w:val="009624E0"/>
    <w:rsid w:val="00963EEB"/>
    <w:rsid w:val="009648BC"/>
    <w:rsid w:val="00964C2F"/>
    <w:rsid w:val="00965F88"/>
    <w:rsid w:val="00967CEF"/>
    <w:rsid w:val="00971C11"/>
    <w:rsid w:val="00973D81"/>
    <w:rsid w:val="00984E03"/>
    <w:rsid w:val="00987E85"/>
    <w:rsid w:val="0099735D"/>
    <w:rsid w:val="009A0D12"/>
    <w:rsid w:val="009A1987"/>
    <w:rsid w:val="009A1AE2"/>
    <w:rsid w:val="009A2BEE"/>
    <w:rsid w:val="009A5289"/>
    <w:rsid w:val="009A7A53"/>
    <w:rsid w:val="009B0402"/>
    <w:rsid w:val="009B0B75"/>
    <w:rsid w:val="009B1391"/>
    <w:rsid w:val="009B16DF"/>
    <w:rsid w:val="009B4CB2"/>
    <w:rsid w:val="009B6701"/>
    <w:rsid w:val="009B6EF7"/>
    <w:rsid w:val="009B7000"/>
    <w:rsid w:val="009B727D"/>
    <w:rsid w:val="009B739C"/>
    <w:rsid w:val="009C04EC"/>
    <w:rsid w:val="009C0F16"/>
    <w:rsid w:val="009C174D"/>
    <w:rsid w:val="009C328C"/>
    <w:rsid w:val="009C4444"/>
    <w:rsid w:val="009C4959"/>
    <w:rsid w:val="009C79AD"/>
    <w:rsid w:val="009C7CA6"/>
    <w:rsid w:val="009C7ECD"/>
    <w:rsid w:val="009D0E76"/>
    <w:rsid w:val="009D30E0"/>
    <w:rsid w:val="009D3316"/>
    <w:rsid w:val="009D55AA"/>
    <w:rsid w:val="009E3E77"/>
    <w:rsid w:val="009E3FAB"/>
    <w:rsid w:val="009E5B3F"/>
    <w:rsid w:val="009E7D90"/>
    <w:rsid w:val="009F1AB0"/>
    <w:rsid w:val="009F501D"/>
    <w:rsid w:val="009F62F9"/>
    <w:rsid w:val="00A039D5"/>
    <w:rsid w:val="00A046AD"/>
    <w:rsid w:val="00A06AF7"/>
    <w:rsid w:val="00A079C1"/>
    <w:rsid w:val="00A10554"/>
    <w:rsid w:val="00A12520"/>
    <w:rsid w:val="00A130FD"/>
    <w:rsid w:val="00A13D6D"/>
    <w:rsid w:val="00A14769"/>
    <w:rsid w:val="00A16151"/>
    <w:rsid w:val="00A16ACC"/>
    <w:rsid w:val="00A16EC6"/>
    <w:rsid w:val="00A17C06"/>
    <w:rsid w:val="00A2065E"/>
    <w:rsid w:val="00A2126E"/>
    <w:rsid w:val="00A21706"/>
    <w:rsid w:val="00A21853"/>
    <w:rsid w:val="00A225DB"/>
    <w:rsid w:val="00A24B57"/>
    <w:rsid w:val="00A24FCC"/>
    <w:rsid w:val="00A26A90"/>
    <w:rsid w:val="00A26B27"/>
    <w:rsid w:val="00A301E2"/>
    <w:rsid w:val="00A30E4F"/>
    <w:rsid w:val="00A32253"/>
    <w:rsid w:val="00A3310E"/>
    <w:rsid w:val="00A333A0"/>
    <w:rsid w:val="00A34F9E"/>
    <w:rsid w:val="00A37E70"/>
    <w:rsid w:val="00A437E1"/>
    <w:rsid w:val="00A4685E"/>
    <w:rsid w:val="00A50933"/>
    <w:rsid w:val="00A50CD4"/>
    <w:rsid w:val="00A51191"/>
    <w:rsid w:val="00A543EA"/>
    <w:rsid w:val="00A56A9C"/>
    <w:rsid w:val="00A56D62"/>
    <w:rsid w:val="00A56F07"/>
    <w:rsid w:val="00A575E4"/>
    <w:rsid w:val="00A5762C"/>
    <w:rsid w:val="00A600FC"/>
    <w:rsid w:val="00A606AC"/>
    <w:rsid w:val="00A60BCA"/>
    <w:rsid w:val="00A638DA"/>
    <w:rsid w:val="00A65B41"/>
    <w:rsid w:val="00A65E00"/>
    <w:rsid w:val="00A66A78"/>
    <w:rsid w:val="00A70FA2"/>
    <w:rsid w:val="00A729BD"/>
    <w:rsid w:val="00A73E6C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0F76"/>
    <w:rsid w:val="00A94574"/>
    <w:rsid w:val="00A956A6"/>
    <w:rsid w:val="00A95936"/>
    <w:rsid w:val="00A96265"/>
    <w:rsid w:val="00A97084"/>
    <w:rsid w:val="00AA11E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69F"/>
    <w:rsid w:val="00AB676D"/>
    <w:rsid w:val="00AB67FC"/>
    <w:rsid w:val="00AC00F2"/>
    <w:rsid w:val="00AC02B0"/>
    <w:rsid w:val="00AC31B5"/>
    <w:rsid w:val="00AC4EA1"/>
    <w:rsid w:val="00AC5381"/>
    <w:rsid w:val="00AC5920"/>
    <w:rsid w:val="00AD08F3"/>
    <w:rsid w:val="00AD0E65"/>
    <w:rsid w:val="00AD291B"/>
    <w:rsid w:val="00AD2BF2"/>
    <w:rsid w:val="00AD4E90"/>
    <w:rsid w:val="00AD5422"/>
    <w:rsid w:val="00AD5EE0"/>
    <w:rsid w:val="00AE035C"/>
    <w:rsid w:val="00AE3F8A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54F8"/>
    <w:rsid w:val="00B16901"/>
    <w:rsid w:val="00B16ACD"/>
    <w:rsid w:val="00B21487"/>
    <w:rsid w:val="00B232D1"/>
    <w:rsid w:val="00B24DB5"/>
    <w:rsid w:val="00B25AB3"/>
    <w:rsid w:val="00B261BA"/>
    <w:rsid w:val="00B31F9E"/>
    <w:rsid w:val="00B3268F"/>
    <w:rsid w:val="00B32C2C"/>
    <w:rsid w:val="00B33A1A"/>
    <w:rsid w:val="00B33E6C"/>
    <w:rsid w:val="00B371CC"/>
    <w:rsid w:val="00B41CD9"/>
    <w:rsid w:val="00B41F11"/>
    <w:rsid w:val="00B4223B"/>
    <w:rsid w:val="00B427E6"/>
    <w:rsid w:val="00B428A6"/>
    <w:rsid w:val="00B43E1F"/>
    <w:rsid w:val="00B45FBC"/>
    <w:rsid w:val="00B51A7D"/>
    <w:rsid w:val="00B51CEA"/>
    <w:rsid w:val="00B535C2"/>
    <w:rsid w:val="00B55544"/>
    <w:rsid w:val="00B557E0"/>
    <w:rsid w:val="00B642FC"/>
    <w:rsid w:val="00B64D26"/>
    <w:rsid w:val="00B64FBB"/>
    <w:rsid w:val="00B65A5B"/>
    <w:rsid w:val="00B70494"/>
    <w:rsid w:val="00B70E22"/>
    <w:rsid w:val="00B74DBF"/>
    <w:rsid w:val="00B74ECD"/>
    <w:rsid w:val="00B774CB"/>
    <w:rsid w:val="00B80402"/>
    <w:rsid w:val="00B80B2E"/>
    <w:rsid w:val="00B80B9A"/>
    <w:rsid w:val="00B81EB8"/>
    <w:rsid w:val="00B83044"/>
    <w:rsid w:val="00B830B7"/>
    <w:rsid w:val="00B848EA"/>
    <w:rsid w:val="00B84A36"/>
    <w:rsid w:val="00B84B2B"/>
    <w:rsid w:val="00B851AC"/>
    <w:rsid w:val="00B86A31"/>
    <w:rsid w:val="00B90500"/>
    <w:rsid w:val="00B9176C"/>
    <w:rsid w:val="00B935A4"/>
    <w:rsid w:val="00B95D83"/>
    <w:rsid w:val="00B97FDB"/>
    <w:rsid w:val="00BA50DF"/>
    <w:rsid w:val="00BA561A"/>
    <w:rsid w:val="00BA6508"/>
    <w:rsid w:val="00BA79EA"/>
    <w:rsid w:val="00BB01CF"/>
    <w:rsid w:val="00BB0DC6"/>
    <w:rsid w:val="00BB15E4"/>
    <w:rsid w:val="00BB1E19"/>
    <w:rsid w:val="00BB21D1"/>
    <w:rsid w:val="00BB32F2"/>
    <w:rsid w:val="00BB4338"/>
    <w:rsid w:val="00BB5B2D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9CE"/>
    <w:rsid w:val="00BD34AA"/>
    <w:rsid w:val="00BD48EF"/>
    <w:rsid w:val="00BD5260"/>
    <w:rsid w:val="00BD6118"/>
    <w:rsid w:val="00BD6F5C"/>
    <w:rsid w:val="00BE0C44"/>
    <w:rsid w:val="00BE1B8B"/>
    <w:rsid w:val="00BE1CA3"/>
    <w:rsid w:val="00BE20CD"/>
    <w:rsid w:val="00BE2A18"/>
    <w:rsid w:val="00BE2C01"/>
    <w:rsid w:val="00BE41EC"/>
    <w:rsid w:val="00BE56FB"/>
    <w:rsid w:val="00BF0390"/>
    <w:rsid w:val="00BF3DDE"/>
    <w:rsid w:val="00BF4B6A"/>
    <w:rsid w:val="00BF6589"/>
    <w:rsid w:val="00BF6F7F"/>
    <w:rsid w:val="00C00647"/>
    <w:rsid w:val="00C00E66"/>
    <w:rsid w:val="00C02764"/>
    <w:rsid w:val="00C029EA"/>
    <w:rsid w:val="00C04CEF"/>
    <w:rsid w:val="00C0662F"/>
    <w:rsid w:val="00C11943"/>
    <w:rsid w:val="00C12E96"/>
    <w:rsid w:val="00C14763"/>
    <w:rsid w:val="00C16141"/>
    <w:rsid w:val="00C2015A"/>
    <w:rsid w:val="00C2363F"/>
    <w:rsid w:val="00C236C8"/>
    <w:rsid w:val="00C259E3"/>
    <w:rsid w:val="00C260B1"/>
    <w:rsid w:val="00C26E56"/>
    <w:rsid w:val="00C31406"/>
    <w:rsid w:val="00C351C1"/>
    <w:rsid w:val="00C35621"/>
    <w:rsid w:val="00C37194"/>
    <w:rsid w:val="00C40637"/>
    <w:rsid w:val="00C40F6C"/>
    <w:rsid w:val="00C44426"/>
    <w:rsid w:val="00C445F3"/>
    <w:rsid w:val="00C4469B"/>
    <w:rsid w:val="00C44AAF"/>
    <w:rsid w:val="00C451F4"/>
    <w:rsid w:val="00C45EB1"/>
    <w:rsid w:val="00C50200"/>
    <w:rsid w:val="00C52DDB"/>
    <w:rsid w:val="00C54A3A"/>
    <w:rsid w:val="00C55566"/>
    <w:rsid w:val="00C56448"/>
    <w:rsid w:val="00C6011F"/>
    <w:rsid w:val="00C61E1D"/>
    <w:rsid w:val="00C667BE"/>
    <w:rsid w:val="00C6766B"/>
    <w:rsid w:val="00C677C2"/>
    <w:rsid w:val="00C72223"/>
    <w:rsid w:val="00C72D30"/>
    <w:rsid w:val="00C76417"/>
    <w:rsid w:val="00C7726F"/>
    <w:rsid w:val="00C823DA"/>
    <w:rsid w:val="00C8259F"/>
    <w:rsid w:val="00C82746"/>
    <w:rsid w:val="00C8312F"/>
    <w:rsid w:val="00C843EC"/>
    <w:rsid w:val="00C84C47"/>
    <w:rsid w:val="00C858A4"/>
    <w:rsid w:val="00C86AFA"/>
    <w:rsid w:val="00CA3191"/>
    <w:rsid w:val="00CA59DC"/>
    <w:rsid w:val="00CA6374"/>
    <w:rsid w:val="00CB18D0"/>
    <w:rsid w:val="00CB1C8A"/>
    <w:rsid w:val="00CB203B"/>
    <w:rsid w:val="00CB24F5"/>
    <w:rsid w:val="00CB2663"/>
    <w:rsid w:val="00CB3BBE"/>
    <w:rsid w:val="00CB425F"/>
    <w:rsid w:val="00CB59E9"/>
    <w:rsid w:val="00CC0D6A"/>
    <w:rsid w:val="00CC3831"/>
    <w:rsid w:val="00CC3E3D"/>
    <w:rsid w:val="00CC519B"/>
    <w:rsid w:val="00CD0B88"/>
    <w:rsid w:val="00CD12C1"/>
    <w:rsid w:val="00CD214E"/>
    <w:rsid w:val="00CD46FA"/>
    <w:rsid w:val="00CD4DEB"/>
    <w:rsid w:val="00CD5973"/>
    <w:rsid w:val="00CE2616"/>
    <w:rsid w:val="00CE31A6"/>
    <w:rsid w:val="00CE4BF0"/>
    <w:rsid w:val="00CE6C18"/>
    <w:rsid w:val="00CE6DF5"/>
    <w:rsid w:val="00CF09AA"/>
    <w:rsid w:val="00CF1A65"/>
    <w:rsid w:val="00CF4813"/>
    <w:rsid w:val="00CF5233"/>
    <w:rsid w:val="00D029B8"/>
    <w:rsid w:val="00D02F60"/>
    <w:rsid w:val="00D0464E"/>
    <w:rsid w:val="00D04A96"/>
    <w:rsid w:val="00D07A7B"/>
    <w:rsid w:val="00D10E06"/>
    <w:rsid w:val="00D13FF5"/>
    <w:rsid w:val="00D145CC"/>
    <w:rsid w:val="00D15197"/>
    <w:rsid w:val="00D16495"/>
    <w:rsid w:val="00D16820"/>
    <w:rsid w:val="00D169C8"/>
    <w:rsid w:val="00D16DDA"/>
    <w:rsid w:val="00D1793F"/>
    <w:rsid w:val="00D2043A"/>
    <w:rsid w:val="00D22AF5"/>
    <w:rsid w:val="00D235EA"/>
    <w:rsid w:val="00D247A9"/>
    <w:rsid w:val="00D26C93"/>
    <w:rsid w:val="00D309CA"/>
    <w:rsid w:val="00D32721"/>
    <w:rsid w:val="00D328DC"/>
    <w:rsid w:val="00D33387"/>
    <w:rsid w:val="00D3498B"/>
    <w:rsid w:val="00D374C1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B53"/>
    <w:rsid w:val="00D80E7D"/>
    <w:rsid w:val="00D81397"/>
    <w:rsid w:val="00D848B9"/>
    <w:rsid w:val="00D905E1"/>
    <w:rsid w:val="00D90E69"/>
    <w:rsid w:val="00D91368"/>
    <w:rsid w:val="00D93106"/>
    <w:rsid w:val="00D933E9"/>
    <w:rsid w:val="00D9505D"/>
    <w:rsid w:val="00D953D0"/>
    <w:rsid w:val="00D959F5"/>
    <w:rsid w:val="00D96884"/>
    <w:rsid w:val="00D97D55"/>
    <w:rsid w:val="00DA3FDD"/>
    <w:rsid w:val="00DA6175"/>
    <w:rsid w:val="00DA7017"/>
    <w:rsid w:val="00DA7028"/>
    <w:rsid w:val="00DB0F30"/>
    <w:rsid w:val="00DB1AD2"/>
    <w:rsid w:val="00DB2B58"/>
    <w:rsid w:val="00DB45E6"/>
    <w:rsid w:val="00DB5206"/>
    <w:rsid w:val="00DB570D"/>
    <w:rsid w:val="00DB5CDD"/>
    <w:rsid w:val="00DB6276"/>
    <w:rsid w:val="00DB63F5"/>
    <w:rsid w:val="00DC1C6B"/>
    <w:rsid w:val="00DC2C2E"/>
    <w:rsid w:val="00DC4AF0"/>
    <w:rsid w:val="00DC7886"/>
    <w:rsid w:val="00DD0BA8"/>
    <w:rsid w:val="00DD0CF2"/>
    <w:rsid w:val="00DD20F8"/>
    <w:rsid w:val="00DD2519"/>
    <w:rsid w:val="00DD308A"/>
    <w:rsid w:val="00DD5BA8"/>
    <w:rsid w:val="00DE02A9"/>
    <w:rsid w:val="00DE1554"/>
    <w:rsid w:val="00DE2901"/>
    <w:rsid w:val="00DE44B0"/>
    <w:rsid w:val="00DE590F"/>
    <w:rsid w:val="00DE68A1"/>
    <w:rsid w:val="00DE7653"/>
    <w:rsid w:val="00DE7DC1"/>
    <w:rsid w:val="00DF3F7E"/>
    <w:rsid w:val="00DF4397"/>
    <w:rsid w:val="00DF7648"/>
    <w:rsid w:val="00E00C72"/>
    <w:rsid w:val="00E00E29"/>
    <w:rsid w:val="00E02BAB"/>
    <w:rsid w:val="00E04341"/>
    <w:rsid w:val="00E04CEB"/>
    <w:rsid w:val="00E060BC"/>
    <w:rsid w:val="00E1122D"/>
    <w:rsid w:val="00E11420"/>
    <w:rsid w:val="00E132FB"/>
    <w:rsid w:val="00E143DC"/>
    <w:rsid w:val="00E170B7"/>
    <w:rsid w:val="00E177DD"/>
    <w:rsid w:val="00E20900"/>
    <w:rsid w:val="00E20C7F"/>
    <w:rsid w:val="00E2396E"/>
    <w:rsid w:val="00E24728"/>
    <w:rsid w:val="00E2535A"/>
    <w:rsid w:val="00E258F9"/>
    <w:rsid w:val="00E25FAC"/>
    <w:rsid w:val="00E276AC"/>
    <w:rsid w:val="00E276D3"/>
    <w:rsid w:val="00E3350D"/>
    <w:rsid w:val="00E34450"/>
    <w:rsid w:val="00E34A35"/>
    <w:rsid w:val="00E37C2F"/>
    <w:rsid w:val="00E41C28"/>
    <w:rsid w:val="00E44A46"/>
    <w:rsid w:val="00E46308"/>
    <w:rsid w:val="00E50F99"/>
    <w:rsid w:val="00E51E17"/>
    <w:rsid w:val="00E52DAB"/>
    <w:rsid w:val="00E539B0"/>
    <w:rsid w:val="00E55994"/>
    <w:rsid w:val="00E570BC"/>
    <w:rsid w:val="00E60606"/>
    <w:rsid w:val="00E60C66"/>
    <w:rsid w:val="00E6127B"/>
    <w:rsid w:val="00E6164D"/>
    <w:rsid w:val="00E618C9"/>
    <w:rsid w:val="00E62774"/>
    <w:rsid w:val="00E6284E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1F64"/>
    <w:rsid w:val="00E83ADD"/>
    <w:rsid w:val="00E84F38"/>
    <w:rsid w:val="00E85362"/>
    <w:rsid w:val="00E85623"/>
    <w:rsid w:val="00E87441"/>
    <w:rsid w:val="00E91FAE"/>
    <w:rsid w:val="00E952FB"/>
    <w:rsid w:val="00E96C88"/>
    <w:rsid w:val="00E96E3F"/>
    <w:rsid w:val="00E97951"/>
    <w:rsid w:val="00EA0B88"/>
    <w:rsid w:val="00EA270C"/>
    <w:rsid w:val="00EA4974"/>
    <w:rsid w:val="00EA4F1F"/>
    <w:rsid w:val="00EA532E"/>
    <w:rsid w:val="00EB06D9"/>
    <w:rsid w:val="00EB192B"/>
    <w:rsid w:val="00EB19ED"/>
    <w:rsid w:val="00EB1CAB"/>
    <w:rsid w:val="00EB3709"/>
    <w:rsid w:val="00EB6D84"/>
    <w:rsid w:val="00EC00A1"/>
    <w:rsid w:val="00EC0F5A"/>
    <w:rsid w:val="00EC4265"/>
    <w:rsid w:val="00EC4CEB"/>
    <w:rsid w:val="00EC4E4D"/>
    <w:rsid w:val="00EC602A"/>
    <w:rsid w:val="00EC659E"/>
    <w:rsid w:val="00ED0006"/>
    <w:rsid w:val="00ED0E7C"/>
    <w:rsid w:val="00ED2072"/>
    <w:rsid w:val="00ED2AE0"/>
    <w:rsid w:val="00ED5553"/>
    <w:rsid w:val="00ED5E36"/>
    <w:rsid w:val="00ED6280"/>
    <w:rsid w:val="00ED6961"/>
    <w:rsid w:val="00EE2F44"/>
    <w:rsid w:val="00EF0B96"/>
    <w:rsid w:val="00EF3486"/>
    <w:rsid w:val="00EF3D75"/>
    <w:rsid w:val="00EF4013"/>
    <w:rsid w:val="00EF47AF"/>
    <w:rsid w:val="00EF53B6"/>
    <w:rsid w:val="00EF7A6A"/>
    <w:rsid w:val="00F00B73"/>
    <w:rsid w:val="00F1116C"/>
    <w:rsid w:val="00F115CA"/>
    <w:rsid w:val="00F14817"/>
    <w:rsid w:val="00F14EBA"/>
    <w:rsid w:val="00F1510F"/>
    <w:rsid w:val="00F1533A"/>
    <w:rsid w:val="00F15E5A"/>
    <w:rsid w:val="00F17F0A"/>
    <w:rsid w:val="00F2602D"/>
    <w:rsid w:val="00F263BD"/>
    <w:rsid w:val="00F26464"/>
    <w:rsid w:val="00F2668F"/>
    <w:rsid w:val="00F2742F"/>
    <w:rsid w:val="00F2753B"/>
    <w:rsid w:val="00F32A6A"/>
    <w:rsid w:val="00F33F8B"/>
    <w:rsid w:val="00F340B2"/>
    <w:rsid w:val="00F35003"/>
    <w:rsid w:val="00F43390"/>
    <w:rsid w:val="00F443B2"/>
    <w:rsid w:val="00F44643"/>
    <w:rsid w:val="00F458D8"/>
    <w:rsid w:val="00F50128"/>
    <w:rsid w:val="00F50237"/>
    <w:rsid w:val="00F53596"/>
    <w:rsid w:val="00F55BA8"/>
    <w:rsid w:val="00F55DB1"/>
    <w:rsid w:val="00F56ACA"/>
    <w:rsid w:val="00F57726"/>
    <w:rsid w:val="00F600FE"/>
    <w:rsid w:val="00F6149E"/>
    <w:rsid w:val="00F62E4D"/>
    <w:rsid w:val="00F63778"/>
    <w:rsid w:val="00F638E6"/>
    <w:rsid w:val="00F66B34"/>
    <w:rsid w:val="00F675B9"/>
    <w:rsid w:val="00F711C9"/>
    <w:rsid w:val="00F71F5D"/>
    <w:rsid w:val="00F74C59"/>
    <w:rsid w:val="00F75C3A"/>
    <w:rsid w:val="00F82D7E"/>
    <w:rsid w:val="00F82E30"/>
    <w:rsid w:val="00F831CB"/>
    <w:rsid w:val="00F848A3"/>
    <w:rsid w:val="00F84ACF"/>
    <w:rsid w:val="00F85742"/>
    <w:rsid w:val="00F85BF8"/>
    <w:rsid w:val="00F86794"/>
    <w:rsid w:val="00F871CE"/>
    <w:rsid w:val="00F8745E"/>
    <w:rsid w:val="00F87802"/>
    <w:rsid w:val="00F91783"/>
    <w:rsid w:val="00F92C0A"/>
    <w:rsid w:val="00F9415B"/>
    <w:rsid w:val="00F94211"/>
    <w:rsid w:val="00FA13C2"/>
    <w:rsid w:val="00FA295B"/>
    <w:rsid w:val="00FA60C8"/>
    <w:rsid w:val="00FA7F91"/>
    <w:rsid w:val="00FB10F5"/>
    <w:rsid w:val="00FB121C"/>
    <w:rsid w:val="00FB1CDD"/>
    <w:rsid w:val="00FB1FBF"/>
    <w:rsid w:val="00FB2C2F"/>
    <w:rsid w:val="00FB305C"/>
    <w:rsid w:val="00FB7C8A"/>
    <w:rsid w:val="00FC2E3D"/>
    <w:rsid w:val="00FC3BDE"/>
    <w:rsid w:val="00FC3E72"/>
    <w:rsid w:val="00FC720E"/>
    <w:rsid w:val="00FD1DBE"/>
    <w:rsid w:val="00FD25A7"/>
    <w:rsid w:val="00FD27B6"/>
    <w:rsid w:val="00FD3689"/>
    <w:rsid w:val="00FD42A3"/>
    <w:rsid w:val="00FD4B6B"/>
    <w:rsid w:val="00FD5324"/>
    <w:rsid w:val="00FD5DB6"/>
    <w:rsid w:val="00FD7468"/>
    <w:rsid w:val="00FD7CE0"/>
    <w:rsid w:val="00FE0B3B"/>
    <w:rsid w:val="00FE1BE2"/>
    <w:rsid w:val="00FE4B1B"/>
    <w:rsid w:val="00FE645A"/>
    <w:rsid w:val="00FE6AD1"/>
    <w:rsid w:val="00FE730A"/>
    <w:rsid w:val="00FF0966"/>
    <w:rsid w:val="00FF1DD7"/>
    <w:rsid w:val="00FF31B9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AD8A9"/>
  <w15:docId w15:val="{AD044F6F-D6EA-411F-AAB6-5D656617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3E54A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4A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1783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NormalnyWeb">
    <w:name w:val="Normal (Web)"/>
    <w:basedOn w:val="Normalny"/>
    <w:uiPriority w:val="99"/>
    <w:semiHidden/>
    <w:unhideWhenUsed/>
    <w:rsid w:val="004A0B14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66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6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9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0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6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34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zodkie\AppData\Roaming\Microsoft\Templates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5</Pages>
  <Words>1216</Words>
  <Characters>7301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Kistowska Aleksandra</dc:creator>
  <cp:lastModifiedBy>Banaszak Wojciech</cp:lastModifiedBy>
  <cp:revision>17</cp:revision>
  <cp:lastPrinted>2012-04-23T06:39:00Z</cp:lastPrinted>
  <dcterms:created xsi:type="dcterms:W3CDTF">2022-03-23T12:45:00Z</dcterms:created>
  <dcterms:modified xsi:type="dcterms:W3CDTF">2022-03-24T11:47:00Z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