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6351" w14:textId="1E1D6586" w:rsidR="00CF6144" w:rsidRPr="00B162E7" w:rsidRDefault="00AB54BB" w:rsidP="0046367B">
      <w:pPr>
        <w:pStyle w:val="TYTUAKTUprzedmiotregulacjiustawylubrozporzdzenia"/>
        <w:rPr>
          <w:rFonts w:ascii="Times New Roman" w:hAnsi="Times New Roman" w:cs="Times New Roman"/>
        </w:rPr>
      </w:pPr>
      <w:r w:rsidRPr="00B162E7">
        <w:rPr>
          <w:rFonts w:ascii="Times New Roman" w:hAnsi="Times New Roman" w:cs="Times New Roman"/>
          <w:b w:val="0"/>
          <w:bCs w:val="0"/>
        </w:rPr>
        <w:t>UZASADNIENIE</w:t>
      </w:r>
    </w:p>
    <w:p w14:paraId="1FC761F0" w14:textId="40D3EFA0" w:rsidR="00CF6144" w:rsidRPr="00B162E7" w:rsidRDefault="00CF6144" w:rsidP="00D57E5F">
      <w:pPr>
        <w:pStyle w:val="USTustnpkodeksu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 xml:space="preserve">Projekt rozporządzenia </w:t>
      </w:r>
      <w:r w:rsidR="003849C8" w:rsidRPr="00B162E7">
        <w:rPr>
          <w:rFonts w:ascii="Times New Roman" w:hAnsi="Times New Roman" w:cs="Times New Roman"/>
          <w:bCs w:val="0"/>
          <w:szCs w:val="24"/>
        </w:rPr>
        <w:t xml:space="preserve">stanowi transpozycję </w:t>
      </w:r>
      <w:r w:rsidR="001F5216" w:rsidRPr="00B162E7">
        <w:rPr>
          <w:rFonts w:ascii="Times New Roman" w:hAnsi="Times New Roman" w:cs="Times New Roman"/>
          <w:bCs w:val="0"/>
          <w:szCs w:val="24"/>
        </w:rPr>
        <w:t xml:space="preserve">obowiązku nałożonego na </w:t>
      </w:r>
      <w:r w:rsidR="00565FA5" w:rsidRPr="00B162E7">
        <w:rPr>
          <w:rFonts w:ascii="Times New Roman" w:hAnsi="Times New Roman" w:cs="Times New Roman"/>
          <w:bCs w:val="0"/>
          <w:szCs w:val="24"/>
        </w:rPr>
        <w:t>p</w:t>
      </w:r>
      <w:r w:rsidR="001F5216" w:rsidRPr="00B162E7">
        <w:rPr>
          <w:rFonts w:ascii="Times New Roman" w:hAnsi="Times New Roman" w:cs="Times New Roman"/>
          <w:bCs w:val="0"/>
          <w:szCs w:val="24"/>
        </w:rPr>
        <w:t xml:space="preserve">aństwa </w:t>
      </w:r>
      <w:r w:rsidR="00565FA5" w:rsidRPr="00B162E7">
        <w:rPr>
          <w:rFonts w:ascii="Times New Roman" w:hAnsi="Times New Roman" w:cs="Times New Roman"/>
          <w:bCs w:val="0"/>
          <w:szCs w:val="24"/>
        </w:rPr>
        <w:t>c</w:t>
      </w:r>
      <w:r w:rsidR="001F5216" w:rsidRPr="00B162E7">
        <w:rPr>
          <w:rFonts w:ascii="Times New Roman" w:hAnsi="Times New Roman" w:cs="Times New Roman"/>
          <w:bCs w:val="0"/>
          <w:szCs w:val="24"/>
        </w:rPr>
        <w:t xml:space="preserve">złonkowskie w przedostatnim akapicie części </w:t>
      </w:r>
      <w:r w:rsidR="003849C8" w:rsidRPr="00B162E7">
        <w:rPr>
          <w:rFonts w:ascii="Times New Roman" w:hAnsi="Times New Roman" w:cs="Times New Roman"/>
          <w:bCs w:val="0"/>
          <w:szCs w:val="24"/>
        </w:rPr>
        <w:t>2 załącznika IX do</w:t>
      </w:r>
      <w:r w:rsidR="00A4068F" w:rsidRPr="00B162E7">
        <w:rPr>
          <w:rFonts w:ascii="Times New Roman" w:hAnsi="Times New Roman" w:cs="Times New Roman"/>
          <w:bCs w:val="0"/>
          <w:szCs w:val="24"/>
        </w:rPr>
        <w:t xml:space="preserve"> dyrektywy Parlamentu Europejskiego i Rady (UE) 2012/27/UE</w:t>
      </w:r>
      <w:r w:rsidR="00C72EC5" w:rsidRPr="00B162E7">
        <w:rPr>
          <w:rFonts w:ascii="Times New Roman" w:hAnsi="Times New Roman" w:cs="Times New Roman"/>
          <w:bCs w:val="0"/>
          <w:szCs w:val="24"/>
        </w:rPr>
        <w:t xml:space="preserve"> z dnia 25 października 2012 r.</w:t>
      </w:r>
      <w:r w:rsidR="00A4068F" w:rsidRPr="00B162E7">
        <w:rPr>
          <w:rFonts w:ascii="Times New Roman" w:hAnsi="Times New Roman" w:cs="Times New Roman"/>
          <w:bCs w:val="0"/>
          <w:szCs w:val="24"/>
        </w:rPr>
        <w:t xml:space="preserve"> w sprawie efektywności energetycznej (Dz.</w:t>
      </w:r>
      <w:r w:rsidR="00880F10"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A4068F" w:rsidRPr="00B162E7">
        <w:rPr>
          <w:rFonts w:ascii="Times New Roman" w:hAnsi="Times New Roman" w:cs="Times New Roman"/>
          <w:bCs w:val="0"/>
          <w:szCs w:val="24"/>
        </w:rPr>
        <w:t>U</w:t>
      </w:r>
      <w:r w:rsidR="00570E9E" w:rsidRPr="00B162E7">
        <w:rPr>
          <w:rFonts w:ascii="Times New Roman" w:hAnsi="Times New Roman" w:cs="Times New Roman"/>
          <w:bCs w:val="0"/>
          <w:szCs w:val="24"/>
        </w:rPr>
        <w:t>rz</w:t>
      </w:r>
      <w:r w:rsidR="00A4068F" w:rsidRPr="00B162E7">
        <w:rPr>
          <w:rFonts w:ascii="Times New Roman" w:hAnsi="Times New Roman" w:cs="Times New Roman"/>
          <w:bCs w:val="0"/>
          <w:szCs w:val="24"/>
        </w:rPr>
        <w:t xml:space="preserve">. UE </w:t>
      </w:r>
      <w:r w:rsidR="00A2730A" w:rsidRPr="00B162E7">
        <w:rPr>
          <w:rFonts w:ascii="Times New Roman" w:hAnsi="Times New Roman" w:cs="Times New Roman"/>
          <w:bCs w:val="0"/>
          <w:szCs w:val="24"/>
        </w:rPr>
        <w:t>L 315</w:t>
      </w:r>
      <w:r w:rsidR="00A4068F" w:rsidRPr="00B162E7">
        <w:rPr>
          <w:rFonts w:ascii="Times New Roman" w:hAnsi="Times New Roman" w:cs="Times New Roman"/>
          <w:bCs w:val="0"/>
          <w:szCs w:val="24"/>
        </w:rPr>
        <w:t xml:space="preserve"> z </w:t>
      </w:r>
      <w:r w:rsidR="00A2730A" w:rsidRPr="00B162E7">
        <w:rPr>
          <w:rFonts w:ascii="Times New Roman" w:hAnsi="Times New Roman" w:cs="Times New Roman"/>
          <w:bCs w:val="0"/>
          <w:szCs w:val="24"/>
        </w:rPr>
        <w:t>14</w:t>
      </w:r>
      <w:r w:rsidR="00A4068F" w:rsidRPr="00B162E7">
        <w:rPr>
          <w:rFonts w:ascii="Times New Roman" w:hAnsi="Times New Roman" w:cs="Times New Roman"/>
          <w:bCs w:val="0"/>
          <w:szCs w:val="24"/>
        </w:rPr>
        <w:t>.</w:t>
      </w:r>
      <w:r w:rsidR="00A2730A" w:rsidRPr="00B162E7">
        <w:rPr>
          <w:rFonts w:ascii="Times New Roman" w:hAnsi="Times New Roman" w:cs="Times New Roman"/>
          <w:bCs w:val="0"/>
          <w:szCs w:val="24"/>
        </w:rPr>
        <w:t>11</w:t>
      </w:r>
      <w:r w:rsidR="00A4068F" w:rsidRPr="00B162E7">
        <w:rPr>
          <w:rFonts w:ascii="Times New Roman" w:hAnsi="Times New Roman" w:cs="Times New Roman"/>
          <w:bCs w:val="0"/>
          <w:szCs w:val="24"/>
        </w:rPr>
        <w:t>.201</w:t>
      </w:r>
      <w:r w:rsidR="00A2730A" w:rsidRPr="00B162E7">
        <w:rPr>
          <w:rFonts w:ascii="Times New Roman" w:hAnsi="Times New Roman" w:cs="Times New Roman"/>
          <w:bCs w:val="0"/>
          <w:szCs w:val="24"/>
        </w:rPr>
        <w:t>2</w:t>
      </w:r>
      <w:r w:rsidR="00A4068F" w:rsidRPr="00B162E7">
        <w:rPr>
          <w:rFonts w:ascii="Times New Roman" w:hAnsi="Times New Roman" w:cs="Times New Roman"/>
          <w:bCs w:val="0"/>
          <w:szCs w:val="24"/>
        </w:rPr>
        <w:t>, s</w:t>
      </w:r>
      <w:r w:rsidR="005E7702" w:rsidRPr="00B162E7">
        <w:rPr>
          <w:rFonts w:ascii="Times New Roman" w:hAnsi="Times New Roman" w:cs="Times New Roman"/>
          <w:bCs w:val="0"/>
          <w:szCs w:val="24"/>
        </w:rPr>
        <w:t>tr</w:t>
      </w:r>
      <w:r w:rsidR="00A4068F" w:rsidRPr="00B162E7">
        <w:rPr>
          <w:rFonts w:ascii="Times New Roman" w:hAnsi="Times New Roman" w:cs="Times New Roman"/>
          <w:bCs w:val="0"/>
          <w:szCs w:val="24"/>
        </w:rPr>
        <w:t>. 1)</w:t>
      </w:r>
      <w:r w:rsidR="004D7762" w:rsidRPr="00B162E7">
        <w:rPr>
          <w:rFonts w:ascii="Times New Roman" w:hAnsi="Times New Roman" w:cs="Times New Roman"/>
          <w:bCs w:val="0"/>
          <w:szCs w:val="24"/>
        </w:rPr>
        <w:t>,</w:t>
      </w:r>
      <w:r w:rsidR="003849C8"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F564EC" w:rsidRPr="00B162E7">
        <w:rPr>
          <w:rFonts w:ascii="Times New Roman" w:hAnsi="Times New Roman" w:cs="Times New Roman"/>
          <w:bCs w:val="0"/>
          <w:szCs w:val="24"/>
        </w:rPr>
        <w:t>zwa</w:t>
      </w:r>
      <w:r w:rsidR="00C72EC5" w:rsidRPr="00B162E7">
        <w:rPr>
          <w:rFonts w:ascii="Times New Roman" w:hAnsi="Times New Roman" w:cs="Times New Roman"/>
          <w:bCs w:val="0"/>
          <w:szCs w:val="24"/>
        </w:rPr>
        <w:t>nej</w:t>
      </w:r>
      <w:r w:rsidR="00F564EC" w:rsidRPr="00B162E7">
        <w:rPr>
          <w:rFonts w:ascii="Times New Roman" w:hAnsi="Times New Roman" w:cs="Times New Roman"/>
          <w:bCs w:val="0"/>
          <w:szCs w:val="24"/>
        </w:rPr>
        <w:t xml:space="preserve"> dalej „dyrektywą 2012/27/UE”</w:t>
      </w:r>
      <w:r w:rsidR="006A3E60" w:rsidRPr="00B162E7">
        <w:rPr>
          <w:rFonts w:ascii="Times New Roman" w:hAnsi="Times New Roman" w:cs="Times New Roman"/>
          <w:bCs w:val="0"/>
          <w:szCs w:val="24"/>
        </w:rPr>
        <w:t xml:space="preserve">. Projekt rozporządzenia </w:t>
      </w:r>
      <w:r w:rsidR="0092294F" w:rsidRPr="00B162E7">
        <w:rPr>
          <w:rFonts w:ascii="Times New Roman" w:hAnsi="Times New Roman" w:cs="Times New Roman"/>
          <w:bCs w:val="0"/>
          <w:szCs w:val="24"/>
        </w:rPr>
        <w:t xml:space="preserve">jest wykonaniem zobowiązania do usunięcia naruszenia wskazanego w części D </w:t>
      </w:r>
      <w:r w:rsidR="0071523F" w:rsidRPr="00B162E7">
        <w:rPr>
          <w:rFonts w:ascii="Times New Roman" w:hAnsi="Times New Roman" w:cs="Times New Roman"/>
          <w:bCs w:val="0"/>
          <w:szCs w:val="24"/>
        </w:rPr>
        <w:t>U</w:t>
      </w:r>
      <w:r w:rsidR="0092294F" w:rsidRPr="00B162E7">
        <w:rPr>
          <w:rFonts w:ascii="Times New Roman" w:hAnsi="Times New Roman" w:cs="Times New Roman"/>
          <w:bCs w:val="0"/>
          <w:szCs w:val="24"/>
        </w:rPr>
        <w:t xml:space="preserve">zasadnionej </w:t>
      </w:r>
      <w:r w:rsidR="0071523F" w:rsidRPr="00B162E7">
        <w:rPr>
          <w:rFonts w:ascii="Times New Roman" w:hAnsi="Times New Roman" w:cs="Times New Roman"/>
          <w:bCs w:val="0"/>
          <w:szCs w:val="24"/>
        </w:rPr>
        <w:t>O</w:t>
      </w:r>
      <w:r w:rsidR="0092294F" w:rsidRPr="00B162E7">
        <w:rPr>
          <w:rFonts w:ascii="Times New Roman" w:hAnsi="Times New Roman" w:cs="Times New Roman"/>
          <w:bCs w:val="0"/>
          <w:szCs w:val="24"/>
        </w:rPr>
        <w:t>pinii</w:t>
      </w:r>
      <w:r w:rsidR="0071523F" w:rsidRPr="00B162E7">
        <w:rPr>
          <w:rFonts w:ascii="Times New Roman" w:hAnsi="Times New Roman" w:cs="Times New Roman"/>
          <w:bCs w:val="0"/>
          <w:szCs w:val="24"/>
        </w:rPr>
        <w:t xml:space="preserve"> Komisji Europejskiej</w:t>
      </w:r>
      <w:r w:rsidR="00C72EC5" w:rsidRPr="00B162E7">
        <w:rPr>
          <w:rFonts w:ascii="Times New Roman" w:hAnsi="Times New Roman" w:cs="Times New Roman"/>
          <w:bCs w:val="0"/>
          <w:szCs w:val="24"/>
        </w:rPr>
        <w:t xml:space="preserve"> z dnia 02.07.2020 r.</w:t>
      </w:r>
      <w:r w:rsidR="00CA7F4E" w:rsidRPr="00B162E7">
        <w:rPr>
          <w:rFonts w:ascii="Times New Roman" w:hAnsi="Times New Roman" w:cs="Times New Roman"/>
          <w:bCs w:val="0"/>
          <w:szCs w:val="24"/>
        </w:rPr>
        <w:t xml:space="preserve"> (naruszenie nr 2018/2345)</w:t>
      </w:r>
      <w:r w:rsidR="006A3E60"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C72EC5" w:rsidRPr="00B162E7">
        <w:rPr>
          <w:rFonts w:ascii="Times New Roman" w:hAnsi="Times New Roman" w:cs="Times New Roman"/>
          <w:bCs w:val="0"/>
          <w:szCs w:val="24"/>
        </w:rPr>
        <w:t>s</w:t>
      </w:r>
      <w:r w:rsidR="00F564EC" w:rsidRPr="00B162E7">
        <w:rPr>
          <w:rFonts w:ascii="Times New Roman" w:hAnsi="Times New Roman" w:cs="Times New Roman"/>
          <w:bCs w:val="0"/>
          <w:szCs w:val="24"/>
        </w:rPr>
        <w:t>kierowan</w:t>
      </w:r>
      <w:r w:rsidR="00C72EC5" w:rsidRPr="00B162E7">
        <w:rPr>
          <w:rFonts w:ascii="Times New Roman" w:hAnsi="Times New Roman" w:cs="Times New Roman"/>
          <w:bCs w:val="0"/>
          <w:szCs w:val="24"/>
        </w:rPr>
        <w:t>ej</w:t>
      </w:r>
      <w:r w:rsidR="00F564EC" w:rsidRPr="00B162E7">
        <w:rPr>
          <w:rFonts w:ascii="Times New Roman" w:hAnsi="Times New Roman" w:cs="Times New Roman"/>
          <w:bCs w:val="0"/>
          <w:szCs w:val="24"/>
        </w:rPr>
        <w:t xml:space="preserve"> do Polski </w:t>
      </w:r>
      <w:r w:rsidR="0092294F" w:rsidRPr="00B162E7">
        <w:rPr>
          <w:rFonts w:ascii="Times New Roman" w:hAnsi="Times New Roman" w:cs="Times New Roman"/>
          <w:bCs w:val="0"/>
          <w:szCs w:val="24"/>
        </w:rPr>
        <w:t>na podstawie art. 258 Traktatu o funkcjonowaniu Unii Europejskiej</w:t>
      </w:r>
      <w:r w:rsidR="00570E9E"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D57E5F" w:rsidRPr="00B162E7">
        <w:rPr>
          <w:rFonts w:ascii="Times New Roman" w:hAnsi="Times New Roman" w:cs="Times New Roman"/>
          <w:szCs w:val="24"/>
        </w:rPr>
        <w:t>(Dz. Urz. UE C 326 z 26.10.2012, str. 47</w:t>
      </w:r>
      <w:r w:rsidR="00570E9E" w:rsidRPr="00B162E7">
        <w:rPr>
          <w:rFonts w:ascii="Times New Roman" w:hAnsi="Times New Roman" w:cs="Times New Roman"/>
          <w:bCs w:val="0"/>
          <w:szCs w:val="24"/>
        </w:rPr>
        <w:t>)</w:t>
      </w:r>
      <w:r w:rsidR="006A3E60" w:rsidRPr="00B162E7">
        <w:rPr>
          <w:rFonts w:ascii="Times New Roman" w:hAnsi="Times New Roman" w:cs="Times New Roman"/>
          <w:bCs w:val="0"/>
          <w:szCs w:val="24"/>
        </w:rPr>
        <w:t xml:space="preserve">, która dotyczyła </w:t>
      </w:r>
      <w:r w:rsidR="0092294F" w:rsidRPr="00B162E7">
        <w:rPr>
          <w:rFonts w:ascii="Times New Roman" w:hAnsi="Times New Roman" w:cs="Times New Roman"/>
          <w:bCs w:val="0"/>
          <w:szCs w:val="24"/>
        </w:rPr>
        <w:t>nieprawidłowego stosowania oraz nieprawidłowej transpozycji dyrektywy 2012/27/UE w sprawie efektywności energetycznej</w:t>
      </w:r>
      <w:bookmarkStart w:id="0" w:name="_Hlk90616404"/>
      <w:r w:rsidR="0092294F" w:rsidRPr="00B162E7">
        <w:rPr>
          <w:rFonts w:ascii="Times New Roman" w:hAnsi="Times New Roman" w:cs="Times New Roman"/>
          <w:bCs w:val="0"/>
          <w:szCs w:val="24"/>
        </w:rPr>
        <w:t xml:space="preserve">, zmiany dyrektyw 2009/125/WE i 2010/30/UE oraz uchylenia dyrektyw 2004/8/WE i 2006/32/WE </w:t>
      </w:r>
      <w:r w:rsidR="00E44057" w:rsidRPr="00B162E7">
        <w:rPr>
          <w:rFonts w:ascii="Times New Roman" w:hAnsi="Times New Roman" w:cs="Times New Roman"/>
          <w:bCs w:val="0"/>
          <w:szCs w:val="24"/>
        </w:rPr>
        <w:t>(Dz. Urz. UE L 315 z 14.11.2012, str. 1</w:t>
      </w:r>
      <w:r w:rsidR="00FC2656">
        <w:rPr>
          <w:rFonts w:ascii="Times New Roman" w:hAnsi="Times New Roman" w:cs="Times New Roman"/>
          <w:bCs w:val="0"/>
          <w:szCs w:val="24"/>
        </w:rPr>
        <w:t>,</w:t>
      </w:r>
      <w:r w:rsidR="005E7702" w:rsidRPr="00B162E7">
        <w:rPr>
          <w:rFonts w:ascii="Times New Roman" w:hAnsi="Times New Roman" w:cs="Times New Roman"/>
          <w:bCs w:val="0"/>
          <w:szCs w:val="24"/>
        </w:rPr>
        <w:t xml:space="preserve"> z </w:t>
      </w:r>
      <w:proofErr w:type="spellStart"/>
      <w:r w:rsidR="005E7702" w:rsidRPr="00B162E7">
        <w:rPr>
          <w:rFonts w:ascii="Times New Roman" w:hAnsi="Times New Roman" w:cs="Times New Roman"/>
          <w:bCs w:val="0"/>
          <w:szCs w:val="24"/>
        </w:rPr>
        <w:t>późn</w:t>
      </w:r>
      <w:proofErr w:type="spellEnd"/>
      <w:r w:rsidR="005E7702" w:rsidRPr="00B162E7">
        <w:rPr>
          <w:rFonts w:ascii="Times New Roman" w:hAnsi="Times New Roman" w:cs="Times New Roman"/>
          <w:bCs w:val="0"/>
          <w:szCs w:val="24"/>
        </w:rPr>
        <w:t xml:space="preserve">. </w:t>
      </w:r>
      <w:proofErr w:type="spellStart"/>
      <w:r w:rsidR="005E7702" w:rsidRPr="00B162E7">
        <w:rPr>
          <w:rFonts w:ascii="Times New Roman" w:hAnsi="Times New Roman" w:cs="Times New Roman"/>
          <w:bCs w:val="0"/>
          <w:szCs w:val="24"/>
        </w:rPr>
        <w:t>zm</w:t>
      </w:r>
      <w:proofErr w:type="spellEnd"/>
      <w:r w:rsidR="00E44057" w:rsidRPr="00B162E7">
        <w:rPr>
          <w:rFonts w:ascii="Times New Roman" w:hAnsi="Times New Roman" w:cs="Times New Roman"/>
          <w:bCs w:val="0"/>
          <w:szCs w:val="24"/>
        </w:rPr>
        <w:t>).</w:t>
      </w:r>
    </w:p>
    <w:bookmarkEnd w:id="0"/>
    <w:p w14:paraId="447C92B8" w14:textId="70806C92" w:rsidR="00CF6144" w:rsidRPr="00B162E7" w:rsidRDefault="0092294F" w:rsidP="0046367B">
      <w:pPr>
        <w:pStyle w:val="USTustnpkodeksu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 xml:space="preserve">Zarzut Komisji Europejskiej odnosi się do braku określenia zasad przewodnich dotyczących metod i założeń do celów analizy ekonomicznej. Obowiązek sporządzania  analizy ekonomicznej </w:t>
      </w:r>
      <w:r w:rsidR="005867E7" w:rsidRPr="00B162E7">
        <w:rPr>
          <w:rFonts w:ascii="Times New Roman" w:hAnsi="Times New Roman" w:cs="Times New Roman"/>
          <w:bCs w:val="0"/>
          <w:szCs w:val="24"/>
        </w:rPr>
        <w:t xml:space="preserve">kosztów i korzyści </w:t>
      </w:r>
      <w:r w:rsidRPr="00B162E7">
        <w:rPr>
          <w:rFonts w:ascii="Times New Roman" w:hAnsi="Times New Roman" w:cs="Times New Roman"/>
          <w:bCs w:val="0"/>
          <w:szCs w:val="24"/>
        </w:rPr>
        <w:t>został nałożony na przedsiębiorstwa energetyczne</w:t>
      </w:r>
      <w:r w:rsidR="005867E7" w:rsidRPr="00B162E7">
        <w:rPr>
          <w:rFonts w:ascii="Times New Roman" w:hAnsi="Times New Roman" w:cs="Times New Roman"/>
          <w:bCs w:val="0"/>
          <w:szCs w:val="24"/>
        </w:rPr>
        <w:t xml:space="preserve"> oraz inne przedsiębiorstwa</w:t>
      </w:r>
      <w:r w:rsidRPr="00B162E7">
        <w:rPr>
          <w:rFonts w:ascii="Times New Roman" w:hAnsi="Times New Roman" w:cs="Times New Roman"/>
          <w:bCs w:val="0"/>
          <w:szCs w:val="24"/>
        </w:rPr>
        <w:t xml:space="preserve"> planujące </w:t>
      </w:r>
      <w:r w:rsidR="005867E7" w:rsidRPr="00B162E7">
        <w:rPr>
          <w:rFonts w:ascii="Times New Roman" w:hAnsi="Times New Roman" w:cs="Times New Roman"/>
          <w:bCs w:val="0"/>
          <w:szCs w:val="24"/>
        </w:rPr>
        <w:t xml:space="preserve">przedsięwzięcia </w:t>
      </w:r>
      <w:r w:rsidRPr="00B162E7">
        <w:rPr>
          <w:rFonts w:ascii="Times New Roman" w:hAnsi="Times New Roman" w:cs="Times New Roman"/>
          <w:bCs w:val="0"/>
          <w:szCs w:val="24"/>
        </w:rPr>
        <w:t>określone w art. 10a</w:t>
      </w:r>
      <w:r w:rsidR="005867E7" w:rsidRPr="00B162E7">
        <w:rPr>
          <w:rFonts w:ascii="Times New Roman" w:hAnsi="Times New Roman" w:cs="Times New Roman"/>
          <w:bCs w:val="0"/>
          <w:szCs w:val="24"/>
        </w:rPr>
        <w:t xml:space="preserve"> ust. 1</w:t>
      </w:r>
      <w:r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255F91" w:rsidRPr="00B162E7">
        <w:rPr>
          <w:rFonts w:ascii="Times New Roman" w:hAnsi="Times New Roman" w:cs="Times New Roman"/>
          <w:bCs w:val="0"/>
          <w:szCs w:val="24"/>
        </w:rPr>
        <w:t xml:space="preserve"> ustawy z dnia 10 kwietnia 1997 r. – Prawo energetyczne (Dz. U. z 2021 r. poz. 716, z </w:t>
      </w:r>
      <w:proofErr w:type="spellStart"/>
      <w:r w:rsidR="00255F91" w:rsidRPr="00B162E7">
        <w:rPr>
          <w:rFonts w:ascii="Times New Roman" w:hAnsi="Times New Roman" w:cs="Times New Roman"/>
          <w:bCs w:val="0"/>
          <w:szCs w:val="24"/>
        </w:rPr>
        <w:t>późn</w:t>
      </w:r>
      <w:proofErr w:type="spellEnd"/>
      <w:r w:rsidR="00255F91" w:rsidRPr="00B162E7">
        <w:rPr>
          <w:rFonts w:ascii="Times New Roman" w:hAnsi="Times New Roman" w:cs="Times New Roman"/>
          <w:bCs w:val="0"/>
          <w:szCs w:val="24"/>
        </w:rPr>
        <w:t>. zm.)</w:t>
      </w:r>
      <w:r w:rsidR="00B162E7">
        <w:rPr>
          <w:rFonts w:ascii="Times New Roman" w:hAnsi="Times New Roman" w:cs="Times New Roman"/>
          <w:bCs w:val="0"/>
          <w:szCs w:val="24"/>
        </w:rPr>
        <w:t>,</w:t>
      </w:r>
      <w:r w:rsidR="00255F91" w:rsidRPr="00B162E7">
        <w:rPr>
          <w:rFonts w:ascii="Times New Roman" w:hAnsi="Times New Roman" w:cs="Times New Roman"/>
          <w:bCs w:val="0"/>
          <w:szCs w:val="24"/>
        </w:rPr>
        <w:t xml:space="preserve"> zwanej dalej „Praw</w:t>
      </w:r>
      <w:r w:rsidR="00880F10" w:rsidRPr="00B162E7">
        <w:rPr>
          <w:rFonts w:ascii="Times New Roman" w:hAnsi="Times New Roman" w:cs="Times New Roman"/>
          <w:bCs w:val="0"/>
          <w:szCs w:val="24"/>
        </w:rPr>
        <w:t>em</w:t>
      </w:r>
      <w:r w:rsidR="00255F91" w:rsidRPr="00B162E7">
        <w:rPr>
          <w:rFonts w:ascii="Times New Roman" w:hAnsi="Times New Roman" w:cs="Times New Roman"/>
          <w:bCs w:val="0"/>
          <w:szCs w:val="24"/>
        </w:rPr>
        <w:t xml:space="preserve"> en</w:t>
      </w:r>
      <w:r w:rsidR="00744C83" w:rsidRPr="00B162E7">
        <w:rPr>
          <w:rFonts w:ascii="Times New Roman" w:hAnsi="Times New Roman" w:cs="Times New Roman"/>
          <w:bCs w:val="0"/>
          <w:szCs w:val="24"/>
        </w:rPr>
        <w:t>e</w:t>
      </w:r>
      <w:r w:rsidR="00255F91" w:rsidRPr="00B162E7">
        <w:rPr>
          <w:rFonts w:ascii="Times New Roman" w:hAnsi="Times New Roman" w:cs="Times New Roman"/>
          <w:bCs w:val="0"/>
          <w:szCs w:val="24"/>
        </w:rPr>
        <w:t>rgetyczn</w:t>
      </w:r>
      <w:r w:rsidR="00880F10" w:rsidRPr="00B162E7">
        <w:rPr>
          <w:rFonts w:ascii="Times New Roman" w:hAnsi="Times New Roman" w:cs="Times New Roman"/>
          <w:bCs w:val="0"/>
          <w:szCs w:val="24"/>
        </w:rPr>
        <w:t>ym</w:t>
      </w:r>
      <w:r w:rsidR="00255F91" w:rsidRPr="00B162E7">
        <w:rPr>
          <w:rFonts w:ascii="Times New Roman" w:hAnsi="Times New Roman" w:cs="Times New Roman"/>
          <w:bCs w:val="0"/>
          <w:szCs w:val="24"/>
        </w:rPr>
        <w:t xml:space="preserve">”, </w:t>
      </w:r>
      <w:r w:rsidR="005867E7" w:rsidRPr="00B162E7">
        <w:rPr>
          <w:rFonts w:ascii="Times New Roman" w:hAnsi="Times New Roman" w:cs="Times New Roman"/>
          <w:bCs w:val="0"/>
          <w:szCs w:val="24"/>
        </w:rPr>
        <w:t>w związku z art. 10a ust. 4 tej ustawy.</w:t>
      </w:r>
      <w:r w:rsidR="001E39F2"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5867E7" w:rsidRPr="00B162E7">
        <w:rPr>
          <w:rFonts w:ascii="Times New Roman" w:hAnsi="Times New Roman" w:cs="Times New Roman"/>
          <w:bCs w:val="0"/>
          <w:szCs w:val="24"/>
        </w:rPr>
        <w:t>N</w:t>
      </w:r>
      <w:r w:rsidR="001E39F2" w:rsidRPr="00B162E7">
        <w:rPr>
          <w:rFonts w:ascii="Times New Roman" w:hAnsi="Times New Roman" w:cs="Times New Roman"/>
          <w:bCs w:val="0"/>
          <w:szCs w:val="24"/>
        </w:rPr>
        <w:t xml:space="preserve">ie mniej </w:t>
      </w:r>
      <w:r w:rsidR="005867E7" w:rsidRPr="00B162E7">
        <w:rPr>
          <w:rFonts w:ascii="Times New Roman" w:hAnsi="Times New Roman" w:cs="Times New Roman"/>
          <w:bCs w:val="0"/>
          <w:szCs w:val="24"/>
        </w:rPr>
        <w:t xml:space="preserve">jednak, </w:t>
      </w:r>
      <w:r w:rsidR="001E39F2" w:rsidRPr="00B162E7">
        <w:rPr>
          <w:rFonts w:ascii="Times New Roman" w:hAnsi="Times New Roman" w:cs="Times New Roman"/>
          <w:bCs w:val="0"/>
          <w:szCs w:val="24"/>
        </w:rPr>
        <w:t xml:space="preserve">z </w:t>
      </w:r>
      <w:r w:rsidR="005867E7" w:rsidRPr="00B162E7">
        <w:rPr>
          <w:rFonts w:ascii="Times New Roman" w:hAnsi="Times New Roman" w:cs="Times New Roman"/>
          <w:bCs w:val="0"/>
          <w:szCs w:val="24"/>
        </w:rPr>
        <w:t xml:space="preserve">powodu </w:t>
      </w:r>
      <w:r w:rsidR="001E39F2" w:rsidRPr="00B162E7">
        <w:rPr>
          <w:rFonts w:ascii="Times New Roman" w:hAnsi="Times New Roman" w:cs="Times New Roman"/>
          <w:bCs w:val="0"/>
          <w:szCs w:val="24"/>
        </w:rPr>
        <w:t>braku określenia</w:t>
      </w:r>
      <w:r w:rsidR="002F6F76" w:rsidRPr="00B162E7">
        <w:rPr>
          <w:rFonts w:ascii="Times New Roman" w:hAnsi="Times New Roman" w:cs="Times New Roman"/>
          <w:szCs w:val="24"/>
        </w:rPr>
        <w:t xml:space="preserve"> metod i założeń do celów analizy ekonomicznej</w:t>
      </w:r>
      <w:r w:rsidR="0052520A" w:rsidRPr="00B162E7">
        <w:rPr>
          <w:rFonts w:ascii="Times New Roman" w:hAnsi="Times New Roman" w:cs="Times New Roman"/>
          <w:szCs w:val="24"/>
        </w:rPr>
        <w:t>,</w:t>
      </w:r>
      <w:r w:rsidR="001E39F2" w:rsidRPr="00B162E7">
        <w:rPr>
          <w:rFonts w:ascii="Times New Roman" w:hAnsi="Times New Roman" w:cs="Times New Roman"/>
          <w:bCs w:val="0"/>
          <w:szCs w:val="24"/>
        </w:rPr>
        <w:t xml:space="preserve"> Komisja</w:t>
      </w:r>
      <w:r w:rsidR="00017489" w:rsidRPr="00B162E7">
        <w:rPr>
          <w:rFonts w:ascii="Times New Roman" w:hAnsi="Times New Roman" w:cs="Times New Roman"/>
          <w:bCs w:val="0"/>
          <w:szCs w:val="24"/>
        </w:rPr>
        <w:t xml:space="preserve"> Europejska</w:t>
      </w:r>
      <w:r w:rsidR="001E39F2" w:rsidRPr="00B162E7">
        <w:rPr>
          <w:rFonts w:ascii="Times New Roman" w:hAnsi="Times New Roman" w:cs="Times New Roman"/>
          <w:bCs w:val="0"/>
          <w:szCs w:val="24"/>
        </w:rPr>
        <w:t xml:space="preserve"> uznała </w:t>
      </w:r>
      <w:r w:rsidR="005867E7" w:rsidRPr="00B162E7">
        <w:rPr>
          <w:rFonts w:ascii="Times New Roman" w:hAnsi="Times New Roman" w:cs="Times New Roman"/>
          <w:bCs w:val="0"/>
          <w:szCs w:val="24"/>
        </w:rPr>
        <w:t xml:space="preserve">polską </w:t>
      </w:r>
      <w:r w:rsidR="006E51D1" w:rsidRPr="00B162E7">
        <w:rPr>
          <w:rFonts w:ascii="Times New Roman" w:hAnsi="Times New Roman" w:cs="Times New Roman"/>
          <w:bCs w:val="0"/>
          <w:szCs w:val="24"/>
        </w:rPr>
        <w:t>transpozycję za niewystarczając</w:t>
      </w:r>
      <w:r w:rsidR="0071523F" w:rsidRPr="00B162E7">
        <w:rPr>
          <w:rFonts w:ascii="Times New Roman" w:hAnsi="Times New Roman" w:cs="Times New Roman"/>
          <w:bCs w:val="0"/>
          <w:szCs w:val="24"/>
        </w:rPr>
        <w:t>ą</w:t>
      </w:r>
      <w:r w:rsidRPr="00B162E7">
        <w:rPr>
          <w:rFonts w:ascii="Times New Roman" w:hAnsi="Times New Roman" w:cs="Times New Roman"/>
          <w:bCs w:val="0"/>
          <w:szCs w:val="24"/>
        </w:rPr>
        <w:t>.</w:t>
      </w:r>
    </w:p>
    <w:p w14:paraId="5206E72D" w14:textId="7991BD28" w:rsidR="003849C8" w:rsidRPr="00B162E7" w:rsidRDefault="0092294F" w:rsidP="0046367B">
      <w:pPr>
        <w:pStyle w:val="USTustnpkodeksu"/>
        <w:rPr>
          <w:rFonts w:ascii="Times New Roman" w:hAnsi="Times New Roman" w:cs="Times New Roman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 xml:space="preserve">W celu usunięcia </w:t>
      </w:r>
      <w:r w:rsidR="00880F10" w:rsidRPr="00B162E7">
        <w:rPr>
          <w:rFonts w:ascii="Times New Roman" w:hAnsi="Times New Roman" w:cs="Times New Roman"/>
          <w:bCs w:val="0"/>
          <w:szCs w:val="24"/>
        </w:rPr>
        <w:t xml:space="preserve">wskazanego </w:t>
      </w:r>
      <w:r w:rsidRPr="00B162E7">
        <w:rPr>
          <w:rFonts w:ascii="Times New Roman" w:hAnsi="Times New Roman" w:cs="Times New Roman"/>
          <w:bCs w:val="0"/>
          <w:szCs w:val="24"/>
        </w:rPr>
        <w:t xml:space="preserve">naruszenia, </w:t>
      </w:r>
      <w:r w:rsidR="002C3402" w:rsidRPr="00B162E7">
        <w:rPr>
          <w:rFonts w:ascii="Times New Roman" w:hAnsi="Times New Roman" w:cs="Times New Roman"/>
          <w:bCs w:val="0"/>
          <w:szCs w:val="24"/>
        </w:rPr>
        <w:t xml:space="preserve">w drodze </w:t>
      </w:r>
      <w:r w:rsidR="00744C83" w:rsidRPr="00B162E7">
        <w:rPr>
          <w:rFonts w:ascii="Times New Roman" w:hAnsi="Times New Roman" w:cs="Times New Roman"/>
          <w:bCs w:val="0"/>
          <w:szCs w:val="24"/>
        </w:rPr>
        <w:t>ustawy o zmianie ustawy o odnawialnych źródłach energii oraz niektórych innych ustaw</w:t>
      </w:r>
      <w:r w:rsidR="002C3402"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744C83" w:rsidRPr="00B162E7">
        <w:rPr>
          <w:rFonts w:ascii="Times New Roman" w:hAnsi="Times New Roman" w:cs="Times New Roman"/>
          <w:bCs w:val="0"/>
          <w:szCs w:val="24"/>
        </w:rPr>
        <w:t>z dnia 17</w:t>
      </w:r>
      <w:r w:rsidR="0014143D" w:rsidRPr="00B162E7">
        <w:rPr>
          <w:rFonts w:ascii="Times New Roman" w:hAnsi="Times New Roman" w:cs="Times New Roman"/>
          <w:bCs w:val="0"/>
          <w:szCs w:val="24"/>
        </w:rPr>
        <w:t xml:space="preserve"> września </w:t>
      </w:r>
      <w:r w:rsidR="00744C83" w:rsidRPr="00B162E7">
        <w:rPr>
          <w:rFonts w:ascii="Times New Roman" w:hAnsi="Times New Roman" w:cs="Times New Roman"/>
          <w:bCs w:val="0"/>
          <w:szCs w:val="24"/>
        </w:rPr>
        <w:t xml:space="preserve">2021 r. </w:t>
      </w:r>
      <w:r w:rsidR="00B223C2">
        <w:rPr>
          <w:rFonts w:ascii="Times New Roman" w:hAnsi="Times New Roman" w:cs="Times New Roman"/>
          <w:bCs w:val="0"/>
          <w:szCs w:val="24"/>
        </w:rPr>
        <w:br/>
      </w:r>
      <w:r w:rsidR="00744C83" w:rsidRPr="00B162E7">
        <w:rPr>
          <w:rFonts w:ascii="Times New Roman" w:hAnsi="Times New Roman" w:cs="Times New Roman"/>
          <w:bCs w:val="0"/>
          <w:szCs w:val="24"/>
        </w:rPr>
        <w:t xml:space="preserve">(Dz.U. z 2021 r. poz. 1873), </w:t>
      </w:r>
      <w:r w:rsidR="00CF6144" w:rsidRPr="00B162E7">
        <w:rPr>
          <w:rFonts w:ascii="Times New Roman" w:hAnsi="Times New Roman" w:cs="Times New Roman"/>
          <w:bCs w:val="0"/>
          <w:szCs w:val="24"/>
        </w:rPr>
        <w:t>w art. 10a ust. 6</w:t>
      </w:r>
      <w:r w:rsidR="00C250A9" w:rsidRPr="00B162E7">
        <w:rPr>
          <w:rFonts w:ascii="Times New Roman" w:hAnsi="Times New Roman" w:cs="Times New Roman"/>
          <w:bCs w:val="0"/>
          <w:szCs w:val="24"/>
        </w:rPr>
        <w:t xml:space="preserve"> Prawa energetycznego została wprowadzona </w:t>
      </w:r>
      <w:r w:rsidR="002C3402" w:rsidRPr="00B162E7">
        <w:rPr>
          <w:rFonts w:ascii="Times New Roman" w:hAnsi="Times New Roman" w:cs="Times New Roman"/>
          <w:bCs w:val="0"/>
          <w:szCs w:val="24"/>
        </w:rPr>
        <w:t xml:space="preserve">delegacja dla ministra właściwego do spraw energii do </w:t>
      </w:r>
      <w:r w:rsidRPr="00B162E7">
        <w:rPr>
          <w:rFonts w:ascii="Times New Roman" w:hAnsi="Times New Roman" w:cs="Times New Roman"/>
          <w:bCs w:val="0"/>
          <w:szCs w:val="24"/>
        </w:rPr>
        <w:t>wydan</w:t>
      </w:r>
      <w:r w:rsidR="002C3402" w:rsidRPr="00B162E7">
        <w:rPr>
          <w:rFonts w:ascii="Times New Roman" w:hAnsi="Times New Roman" w:cs="Times New Roman"/>
          <w:bCs w:val="0"/>
          <w:szCs w:val="24"/>
        </w:rPr>
        <w:t>ia</w:t>
      </w:r>
      <w:r w:rsidRPr="00B162E7">
        <w:rPr>
          <w:rFonts w:ascii="Times New Roman" w:hAnsi="Times New Roman" w:cs="Times New Roman"/>
          <w:bCs w:val="0"/>
          <w:szCs w:val="24"/>
        </w:rPr>
        <w:t xml:space="preserve"> rozporządzeni</w:t>
      </w:r>
      <w:r w:rsidR="002C3402" w:rsidRPr="00B162E7">
        <w:rPr>
          <w:rFonts w:ascii="Times New Roman" w:hAnsi="Times New Roman" w:cs="Times New Roman"/>
          <w:bCs w:val="0"/>
          <w:szCs w:val="24"/>
        </w:rPr>
        <w:t>a</w:t>
      </w:r>
      <w:r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EB2067" w:rsidRPr="00B162E7">
        <w:rPr>
          <w:rFonts w:ascii="Times New Roman" w:hAnsi="Times New Roman" w:cs="Times New Roman"/>
          <w:bCs w:val="0"/>
          <w:szCs w:val="24"/>
        </w:rPr>
        <w:t>w sprawie określenia metod analizy ekonomicznej kosztów i korzyści</w:t>
      </w:r>
      <w:r w:rsidR="00CA7F4E"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EB2067" w:rsidRPr="00B162E7">
        <w:rPr>
          <w:rFonts w:ascii="Times New Roman" w:hAnsi="Times New Roman" w:cs="Times New Roman"/>
          <w:bCs w:val="0"/>
          <w:szCs w:val="24"/>
        </w:rPr>
        <w:t>oraz danych lub źródeł danych do celów tej analizy</w:t>
      </w:r>
      <w:r w:rsidRPr="00B162E7">
        <w:rPr>
          <w:rFonts w:ascii="Times New Roman" w:hAnsi="Times New Roman" w:cs="Times New Roman"/>
          <w:bCs w:val="0"/>
          <w:szCs w:val="24"/>
        </w:rPr>
        <w:t>.</w:t>
      </w:r>
      <w:r w:rsidR="002C3402" w:rsidRPr="00B162E7">
        <w:rPr>
          <w:rFonts w:ascii="Times New Roman" w:hAnsi="Times New Roman" w:cs="Times New Roman"/>
          <w:bCs w:val="0"/>
          <w:szCs w:val="24"/>
        </w:rPr>
        <w:t xml:space="preserve"> </w:t>
      </w:r>
    </w:p>
    <w:p w14:paraId="443C3E8C" w14:textId="2E07CFDE" w:rsidR="0045101C" w:rsidRPr="00B162E7" w:rsidRDefault="0045101C">
      <w:pPr>
        <w:pStyle w:val="USTustnpkodeksu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 xml:space="preserve">Celem wydania </w:t>
      </w:r>
      <w:r w:rsidR="00880F10" w:rsidRPr="00B162E7">
        <w:rPr>
          <w:rFonts w:ascii="Times New Roman" w:hAnsi="Times New Roman" w:cs="Times New Roman"/>
          <w:bCs w:val="0"/>
          <w:szCs w:val="24"/>
        </w:rPr>
        <w:t xml:space="preserve">projektowanego </w:t>
      </w:r>
      <w:r w:rsidRPr="00B162E7">
        <w:rPr>
          <w:rFonts w:ascii="Times New Roman" w:hAnsi="Times New Roman" w:cs="Times New Roman"/>
          <w:bCs w:val="0"/>
          <w:szCs w:val="24"/>
        </w:rPr>
        <w:t xml:space="preserve">rozporządzenia jest </w:t>
      </w:r>
      <w:r w:rsidR="00A35893" w:rsidRPr="00B162E7">
        <w:rPr>
          <w:rFonts w:ascii="Times New Roman" w:hAnsi="Times New Roman" w:cs="Times New Roman"/>
          <w:bCs w:val="0"/>
          <w:szCs w:val="24"/>
        </w:rPr>
        <w:t xml:space="preserve">wprowadzenie przejrzystych i znormalizowanych metod określających analizę ekonomiczną kosztów i korzyści </w:t>
      </w:r>
      <w:r w:rsidRPr="00B162E7">
        <w:rPr>
          <w:rFonts w:ascii="Times New Roman" w:hAnsi="Times New Roman" w:cs="Times New Roman"/>
          <w:bCs w:val="0"/>
          <w:szCs w:val="24"/>
        </w:rPr>
        <w:t>pr</w:t>
      </w:r>
      <w:r w:rsidR="00002904" w:rsidRPr="00B162E7">
        <w:rPr>
          <w:rFonts w:ascii="Times New Roman" w:hAnsi="Times New Roman" w:cs="Times New Roman"/>
          <w:bCs w:val="0"/>
          <w:szCs w:val="24"/>
        </w:rPr>
        <w:t>zedsięwzięć</w:t>
      </w:r>
      <w:r w:rsidR="00A35893" w:rsidRPr="00B162E7">
        <w:rPr>
          <w:rFonts w:ascii="Times New Roman" w:hAnsi="Times New Roman" w:cs="Times New Roman"/>
          <w:bCs w:val="0"/>
          <w:szCs w:val="24"/>
        </w:rPr>
        <w:t>,</w:t>
      </w:r>
      <w:r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A35893" w:rsidRPr="00B162E7">
        <w:rPr>
          <w:rFonts w:ascii="Times New Roman" w:hAnsi="Times New Roman" w:cs="Times New Roman"/>
          <w:bCs w:val="0"/>
          <w:szCs w:val="24"/>
        </w:rPr>
        <w:t xml:space="preserve">o których mowa w art. 10a ust. 1 Prawa energetycznego, zwanych dalej: „przedsięwzięciami”, </w:t>
      </w:r>
      <w:r w:rsidRPr="00B162E7">
        <w:rPr>
          <w:rFonts w:ascii="Times New Roman" w:hAnsi="Times New Roman" w:cs="Times New Roman"/>
          <w:bCs w:val="0"/>
          <w:szCs w:val="24"/>
        </w:rPr>
        <w:t>pozwalających ocenić i porównać pr</w:t>
      </w:r>
      <w:r w:rsidR="00002904" w:rsidRPr="00B162E7">
        <w:rPr>
          <w:rFonts w:ascii="Times New Roman" w:hAnsi="Times New Roman" w:cs="Times New Roman"/>
          <w:bCs w:val="0"/>
          <w:szCs w:val="24"/>
        </w:rPr>
        <w:t>zedsięwzięcia</w:t>
      </w:r>
      <w:r w:rsidR="00A35893" w:rsidRPr="00B162E7">
        <w:rPr>
          <w:rFonts w:ascii="Times New Roman" w:hAnsi="Times New Roman" w:cs="Times New Roman"/>
          <w:bCs w:val="0"/>
          <w:szCs w:val="24"/>
        </w:rPr>
        <w:t xml:space="preserve">, </w:t>
      </w:r>
      <w:r w:rsidRPr="00B162E7">
        <w:rPr>
          <w:rFonts w:ascii="Times New Roman" w:hAnsi="Times New Roman" w:cs="Times New Roman"/>
          <w:bCs w:val="0"/>
          <w:szCs w:val="24"/>
        </w:rPr>
        <w:t>pod względem ich efektywności kosztowej.</w:t>
      </w:r>
      <w:r w:rsidR="00A35893" w:rsidRPr="00B162E7">
        <w:rPr>
          <w:rFonts w:ascii="Times New Roman" w:hAnsi="Times New Roman" w:cs="Times New Roman"/>
          <w:bCs w:val="0"/>
          <w:szCs w:val="24"/>
        </w:rPr>
        <w:t xml:space="preserve"> W drodze projektowanej regulacji zostanie zapewniona adekwatność i lepsza porównywalność analiz energetycznych przedsięwzięć, co umożliwi dokonywanie ich oceny w sposób bardziej obiektywny.</w:t>
      </w:r>
    </w:p>
    <w:p w14:paraId="56386AE2" w14:textId="7CBE4499" w:rsidR="0045101C" w:rsidRPr="00B162E7" w:rsidRDefault="0045101C" w:rsidP="0045101C">
      <w:pPr>
        <w:pStyle w:val="USTustnpkodeksu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lastRenderedPageBreak/>
        <w:t>Analiza ekonomiczna kosztów i korzyści to narzędzie analityczne wykorzystywane do oceny decyzji inwestycyjnej celem ustalenia jej wpływu na dobrobyt</w:t>
      </w:r>
      <w:r w:rsidR="00E44057" w:rsidRPr="00B162E7">
        <w:rPr>
          <w:rFonts w:ascii="Times New Roman" w:hAnsi="Times New Roman" w:cs="Times New Roman"/>
          <w:bCs w:val="0"/>
          <w:szCs w:val="24"/>
        </w:rPr>
        <w:t xml:space="preserve"> społeczny</w:t>
      </w:r>
      <w:r w:rsidRPr="00B162E7">
        <w:rPr>
          <w:rFonts w:ascii="Times New Roman" w:hAnsi="Times New Roman" w:cs="Times New Roman"/>
          <w:bCs w:val="0"/>
          <w:szCs w:val="24"/>
        </w:rPr>
        <w:t>, a także na osiągnięcie celów polityki spójności UE. Celem analizy jest umożliwienie bardziej efektywnej alokacji zasobów poprzez wykazanie wyższości dane</w:t>
      </w:r>
      <w:r w:rsidR="00E44057" w:rsidRPr="00B162E7">
        <w:rPr>
          <w:rFonts w:ascii="Times New Roman" w:hAnsi="Times New Roman" w:cs="Times New Roman"/>
          <w:bCs w:val="0"/>
          <w:szCs w:val="24"/>
        </w:rPr>
        <w:t>go przedsięwzięcia</w:t>
      </w:r>
      <w:r w:rsidRPr="00B162E7">
        <w:rPr>
          <w:rFonts w:ascii="Times New Roman" w:hAnsi="Times New Roman" w:cs="Times New Roman"/>
          <w:bCs w:val="0"/>
          <w:szCs w:val="24"/>
        </w:rPr>
        <w:t xml:space="preserve"> nad innymi</w:t>
      </w:r>
      <w:r w:rsidR="00EF19B5"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Pr="00B162E7">
        <w:rPr>
          <w:rFonts w:ascii="Times New Roman" w:hAnsi="Times New Roman" w:cs="Times New Roman"/>
          <w:bCs w:val="0"/>
          <w:szCs w:val="24"/>
        </w:rPr>
        <w:t>z punktu widzenia korzyści społecznych.</w:t>
      </w:r>
    </w:p>
    <w:p w14:paraId="4D693AC4" w14:textId="4998786C" w:rsidR="0045101C" w:rsidRPr="00B162E7" w:rsidRDefault="0045101C" w:rsidP="0045101C">
      <w:pPr>
        <w:pStyle w:val="USTustnpkodeksu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Projekt przedmiotowego rozporządzenia reguluje dwa główne obszary</w:t>
      </w:r>
      <w:r w:rsidR="00C40050" w:rsidRPr="00B162E7">
        <w:rPr>
          <w:rFonts w:ascii="Times New Roman" w:hAnsi="Times New Roman" w:cs="Times New Roman"/>
          <w:bCs w:val="0"/>
          <w:szCs w:val="24"/>
        </w:rPr>
        <w:t xml:space="preserve"> odnoszące się do tej kwestii</w:t>
      </w:r>
      <w:r w:rsidRPr="00B162E7">
        <w:rPr>
          <w:rFonts w:ascii="Times New Roman" w:hAnsi="Times New Roman" w:cs="Times New Roman"/>
          <w:bCs w:val="0"/>
          <w:szCs w:val="24"/>
        </w:rPr>
        <w:t>.</w:t>
      </w:r>
    </w:p>
    <w:p w14:paraId="590042CD" w14:textId="2A5A9054" w:rsidR="0045101C" w:rsidRPr="00B162E7" w:rsidRDefault="0045101C" w:rsidP="0045101C">
      <w:pPr>
        <w:pStyle w:val="USTustnpkodeksu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 xml:space="preserve">Po pierwsze, </w:t>
      </w:r>
      <w:bookmarkStart w:id="1" w:name="_Hlk86399552"/>
      <w:r w:rsidRPr="00B162E7">
        <w:rPr>
          <w:rFonts w:ascii="Times New Roman" w:hAnsi="Times New Roman" w:cs="Times New Roman"/>
          <w:bCs w:val="0"/>
          <w:szCs w:val="24"/>
        </w:rPr>
        <w:t xml:space="preserve">określa </w:t>
      </w:r>
      <w:bookmarkEnd w:id="1"/>
      <w:r w:rsidRPr="00B162E7">
        <w:rPr>
          <w:rFonts w:ascii="Times New Roman" w:hAnsi="Times New Roman" w:cs="Times New Roman"/>
          <w:bCs w:val="0"/>
          <w:szCs w:val="24"/>
        </w:rPr>
        <w:t>metody przeprowadzenia analizy ekonomicznej kosztów i korzyści przedsięwzięć</w:t>
      </w:r>
      <w:r w:rsidR="00E44057" w:rsidRPr="00B162E7">
        <w:rPr>
          <w:rFonts w:ascii="Times New Roman" w:hAnsi="Times New Roman" w:cs="Times New Roman"/>
          <w:bCs w:val="0"/>
          <w:szCs w:val="24"/>
        </w:rPr>
        <w:t>.</w:t>
      </w:r>
      <w:r w:rsidRPr="00B162E7">
        <w:rPr>
          <w:rFonts w:ascii="Times New Roman" w:hAnsi="Times New Roman" w:cs="Times New Roman"/>
          <w:bCs w:val="0"/>
          <w:szCs w:val="24"/>
        </w:rPr>
        <w:t xml:space="preserve"> Aktualnie w Polsce nie ma regulacji ww. zakresie.</w:t>
      </w:r>
    </w:p>
    <w:p w14:paraId="7A0F84E4" w14:textId="273FA344" w:rsidR="0045101C" w:rsidRPr="00B162E7" w:rsidRDefault="00E844C6" w:rsidP="00EE30D7">
      <w:pPr>
        <w:pStyle w:val="USTustnpkodeksu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 xml:space="preserve">Zgodnie z § </w:t>
      </w:r>
      <w:r w:rsidR="00946B9E" w:rsidRPr="00B162E7">
        <w:rPr>
          <w:rFonts w:ascii="Times New Roman" w:hAnsi="Times New Roman" w:cs="Times New Roman"/>
          <w:bCs w:val="0"/>
          <w:szCs w:val="24"/>
        </w:rPr>
        <w:t>2</w:t>
      </w:r>
      <w:r w:rsidR="00274B65" w:rsidRPr="00B162E7">
        <w:rPr>
          <w:rFonts w:ascii="Times New Roman" w:hAnsi="Times New Roman" w:cs="Times New Roman"/>
          <w:bCs w:val="0"/>
          <w:szCs w:val="24"/>
        </w:rPr>
        <w:t xml:space="preserve"> projektu rozporządzenia</w:t>
      </w:r>
      <w:r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EE30D7" w:rsidRPr="00B162E7">
        <w:rPr>
          <w:rFonts w:ascii="Times New Roman" w:hAnsi="Times New Roman" w:cs="Times New Roman"/>
          <w:bCs w:val="0"/>
          <w:szCs w:val="24"/>
        </w:rPr>
        <w:t xml:space="preserve">analizę ekonomiczną kosztów i korzyści przeprowadza się </w:t>
      </w:r>
      <w:r w:rsidR="004D085C" w:rsidRPr="00B162E7">
        <w:rPr>
          <w:rFonts w:ascii="Times New Roman" w:hAnsi="Times New Roman" w:cs="Times New Roman"/>
          <w:bCs w:val="0"/>
          <w:szCs w:val="24"/>
        </w:rPr>
        <w:t>z wykorzystaniem analizy finansowej oraz analizy ekonomicznej.</w:t>
      </w:r>
    </w:p>
    <w:p w14:paraId="406A178A" w14:textId="07949446" w:rsidR="0045101C" w:rsidRPr="00B162E7" w:rsidRDefault="0045101C" w:rsidP="0045101C">
      <w:pPr>
        <w:pStyle w:val="USTustnpkodeksu"/>
        <w:rPr>
          <w:rStyle w:val="Ppogrubienie"/>
          <w:rFonts w:ascii="Times New Roman" w:hAnsi="Times New Roman" w:cs="Times New Roman"/>
          <w:b w:val="0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Analiza finansow</w:t>
      </w:r>
      <w:r w:rsidR="004D085C" w:rsidRPr="00B162E7">
        <w:rPr>
          <w:rFonts w:ascii="Times New Roman" w:hAnsi="Times New Roman" w:cs="Times New Roman"/>
          <w:bCs w:val="0"/>
          <w:szCs w:val="24"/>
        </w:rPr>
        <w:t>a</w:t>
      </w:r>
      <w:r w:rsidRPr="00B162E7">
        <w:rPr>
          <w:rFonts w:ascii="Times New Roman" w:hAnsi="Times New Roman" w:cs="Times New Roman"/>
          <w:bCs w:val="0"/>
          <w:szCs w:val="24"/>
        </w:rPr>
        <w:t xml:space="preserve"> przeprowadzana </w:t>
      </w:r>
      <w:r w:rsidR="0037438E" w:rsidRPr="00B162E7">
        <w:rPr>
          <w:rFonts w:ascii="Times New Roman" w:hAnsi="Times New Roman" w:cs="Times New Roman"/>
          <w:bCs w:val="0"/>
          <w:szCs w:val="24"/>
        </w:rPr>
        <w:t>jest w</w:t>
      </w:r>
      <w:r w:rsidR="0037438E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 xml:space="preserve"> celu ustalenia wartości wskaźników efektywności finansowej pr</w:t>
      </w:r>
      <w:r w:rsidR="00002904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>zedsięwzięcia</w:t>
      </w:r>
      <w:r w:rsidR="0037438E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>, weryfikacj</w:t>
      </w:r>
      <w:r w:rsidR="00E86558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>i</w:t>
      </w:r>
      <w:r w:rsidR="0037438E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 xml:space="preserve"> trwałości finansowej pr</w:t>
      </w:r>
      <w:r w:rsidR="00002904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>zedsięwzięcia</w:t>
      </w:r>
      <w:r w:rsidR="0037438E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 xml:space="preserve"> oraz ustalenia właściwego (maksymalnego) dofinansowania. </w:t>
      </w:r>
    </w:p>
    <w:p w14:paraId="1DAF076B" w14:textId="3972F3CE" w:rsidR="00904EEE" w:rsidRPr="00B162E7" w:rsidRDefault="00904EEE" w:rsidP="00904EEE">
      <w:pPr>
        <w:pStyle w:val="USTustnpkodeksu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Analiza w zakresie ekonomicznym ma na celu ustalenie wskaźników efektywności ekonomicznej pr</w:t>
      </w:r>
      <w:r w:rsidR="00002904" w:rsidRPr="00B162E7">
        <w:rPr>
          <w:rFonts w:ascii="Times New Roman" w:hAnsi="Times New Roman" w:cs="Times New Roman"/>
          <w:bCs w:val="0"/>
          <w:szCs w:val="24"/>
        </w:rPr>
        <w:t>zedsięwzięcia</w:t>
      </w:r>
      <w:r w:rsidRPr="00B162E7">
        <w:rPr>
          <w:rFonts w:ascii="Times New Roman" w:hAnsi="Times New Roman" w:cs="Times New Roman"/>
          <w:bCs w:val="0"/>
          <w:szCs w:val="24"/>
        </w:rPr>
        <w:t xml:space="preserve">. Przeprowadzana jest w drodze skorygowania wyników analizy finansowej o efekty fiskalne, efekty zewnętrzne oraz ceny rozrachunkowe. </w:t>
      </w:r>
    </w:p>
    <w:p w14:paraId="4115D496" w14:textId="79AD242A" w:rsidR="0045101C" w:rsidRPr="00B162E7" w:rsidRDefault="0045101C" w:rsidP="0045101C">
      <w:pPr>
        <w:pStyle w:val="USTustnpkodeksu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 xml:space="preserve">Zgodnie z § </w:t>
      </w:r>
      <w:r w:rsidR="00946B9E" w:rsidRPr="00B162E7">
        <w:rPr>
          <w:rFonts w:ascii="Times New Roman" w:hAnsi="Times New Roman" w:cs="Times New Roman"/>
          <w:bCs w:val="0"/>
          <w:szCs w:val="24"/>
        </w:rPr>
        <w:t>3</w:t>
      </w:r>
      <w:r w:rsidR="006E1ECE" w:rsidRPr="00B162E7">
        <w:rPr>
          <w:rFonts w:ascii="Times New Roman" w:hAnsi="Times New Roman" w:cs="Times New Roman"/>
          <w:bCs w:val="0"/>
          <w:szCs w:val="24"/>
        </w:rPr>
        <w:t xml:space="preserve"> ust. 1 </w:t>
      </w:r>
      <w:r w:rsidRPr="00B162E7">
        <w:rPr>
          <w:rFonts w:ascii="Times New Roman" w:hAnsi="Times New Roman" w:cs="Times New Roman"/>
          <w:bCs w:val="0"/>
          <w:szCs w:val="24"/>
        </w:rPr>
        <w:t xml:space="preserve"> projektu rozporządzenia</w:t>
      </w:r>
      <w:r w:rsidR="007A0BA5">
        <w:rPr>
          <w:rFonts w:ascii="Times New Roman" w:hAnsi="Times New Roman" w:cs="Times New Roman"/>
          <w:bCs w:val="0"/>
          <w:szCs w:val="24"/>
        </w:rPr>
        <w:t>,</w:t>
      </w:r>
      <w:r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EA1E8F" w:rsidRPr="00B162E7">
        <w:rPr>
          <w:rFonts w:ascii="Times New Roman" w:hAnsi="Times New Roman" w:cs="Times New Roman"/>
          <w:bCs w:val="0"/>
          <w:szCs w:val="24"/>
        </w:rPr>
        <w:t>a</w:t>
      </w:r>
      <w:r w:rsidR="007B1F12" w:rsidRPr="00B162E7">
        <w:rPr>
          <w:rFonts w:ascii="Times New Roman" w:hAnsi="Times New Roman" w:cs="Times New Roman"/>
          <w:bCs w:val="0"/>
          <w:szCs w:val="24"/>
        </w:rPr>
        <w:t>naliz</w:t>
      </w:r>
      <w:r w:rsidR="00EA1E8F" w:rsidRPr="00B162E7">
        <w:rPr>
          <w:rFonts w:ascii="Times New Roman" w:hAnsi="Times New Roman" w:cs="Times New Roman"/>
          <w:bCs w:val="0"/>
          <w:szCs w:val="24"/>
        </w:rPr>
        <w:t>ę</w:t>
      </w:r>
      <w:r w:rsidR="007B1F12" w:rsidRPr="00B162E7">
        <w:rPr>
          <w:rFonts w:ascii="Times New Roman" w:hAnsi="Times New Roman" w:cs="Times New Roman"/>
          <w:bCs w:val="0"/>
          <w:szCs w:val="24"/>
        </w:rPr>
        <w:t xml:space="preserve"> finansow</w:t>
      </w:r>
      <w:r w:rsidR="00EA1E8F" w:rsidRPr="00B162E7">
        <w:rPr>
          <w:rFonts w:ascii="Times New Roman" w:hAnsi="Times New Roman" w:cs="Times New Roman"/>
          <w:bCs w:val="0"/>
          <w:szCs w:val="24"/>
        </w:rPr>
        <w:t>ą</w:t>
      </w:r>
      <w:r w:rsidR="007B1F12" w:rsidRPr="00B162E7">
        <w:rPr>
          <w:rFonts w:ascii="Times New Roman" w:hAnsi="Times New Roman" w:cs="Times New Roman"/>
          <w:bCs w:val="0"/>
          <w:szCs w:val="24"/>
        </w:rPr>
        <w:t xml:space="preserve"> należy przeprowadzić</w:t>
      </w:r>
      <w:r w:rsidR="00EA1E8F" w:rsidRPr="00B162E7">
        <w:rPr>
          <w:rFonts w:ascii="Times New Roman" w:hAnsi="Times New Roman" w:cs="Times New Roman"/>
          <w:bCs w:val="0"/>
          <w:szCs w:val="24"/>
        </w:rPr>
        <w:t xml:space="preserve"> stosując następujące metody:</w:t>
      </w:r>
      <w:r w:rsidR="004D085C" w:rsidRPr="00B162E7">
        <w:rPr>
          <w:rFonts w:ascii="Times New Roman" w:hAnsi="Times New Roman" w:cs="Times New Roman"/>
          <w:bCs w:val="0"/>
          <w:szCs w:val="24"/>
        </w:rPr>
        <w:t xml:space="preserve"> </w:t>
      </w:r>
    </w:p>
    <w:p w14:paraId="1A0F1A56" w14:textId="1F449DF8" w:rsidR="00F8214A" w:rsidRPr="00B162E7" w:rsidRDefault="00822329" w:rsidP="00C8611A">
      <w:pPr>
        <w:pStyle w:val="USTustnpkodeksu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B162E7">
        <w:rPr>
          <w:rFonts w:ascii="Times New Roman" w:hAnsi="Times New Roman" w:cs="Times New Roman"/>
          <w:szCs w:val="24"/>
        </w:rPr>
        <w:t>analizę przepływów pieniężnych generowanych przez przedsięwzięcie w poszczególnych latach okresu odniesienia</w:t>
      </w:r>
      <w:r w:rsidR="00C40050" w:rsidRPr="00B162E7">
        <w:rPr>
          <w:rFonts w:ascii="Times New Roman" w:hAnsi="Times New Roman" w:cs="Times New Roman"/>
          <w:szCs w:val="24"/>
        </w:rPr>
        <w:t xml:space="preserve"> </w:t>
      </w:r>
      <w:r w:rsidR="00C40050" w:rsidRPr="00B162E7">
        <w:rPr>
          <w:rFonts w:ascii="Times New Roman" w:hAnsi="Times New Roman" w:cs="Times New Roman"/>
          <w:bCs w:val="0"/>
          <w:szCs w:val="24"/>
        </w:rPr>
        <w:t>–</w:t>
      </w:r>
      <w:r w:rsidR="001E652A" w:rsidRPr="00B162E7">
        <w:rPr>
          <w:rFonts w:ascii="Times New Roman" w:hAnsi="Times New Roman" w:cs="Times New Roman"/>
          <w:szCs w:val="24"/>
        </w:rPr>
        <w:t xml:space="preserve"> analiza ta jest niezbędna w celu wyliczenia wskaźników omówionych w pkt 5</w:t>
      </w:r>
      <w:r w:rsidR="00F45E66" w:rsidRPr="00B162E7">
        <w:rPr>
          <w:rFonts w:ascii="Times New Roman" w:hAnsi="Times New Roman" w:cs="Times New Roman"/>
          <w:szCs w:val="24"/>
        </w:rPr>
        <w:t xml:space="preserve"> oraz </w:t>
      </w:r>
      <w:r w:rsidR="00F45E66" w:rsidRPr="00B162E7">
        <w:rPr>
          <w:rFonts w:ascii="Times New Roman" w:hAnsi="Times New Roman" w:cs="Times New Roman"/>
          <w:bCs w:val="0"/>
          <w:szCs w:val="24"/>
        </w:rPr>
        <w:t>ustalenia efektywności ekonomicznej przedsięwzięcia</w:t>
      </w:r>
      <w:r w:rsidR="002335CD" w:rsidRPr="00B162E7">
        <w:rPr>
          <w:rFonts w:ascii="Times New Roman" w:hAnsi="Times New Roman" w:cs="Times New Roman"/>
          <w:szCs w:val="24"/>
        </w:rPr>
        <w:t>;</w:t>
      </w:r>
    </w:p>
    <w:p w14:paraId="188D2C60" w14:textId="3D0F671B" w:rsidR="0045101C" w:rsidRPr="00B162E7" w:rsidRDefault="0018358A" w:rsidP="00C8611A">
      <w:pPr>
        <w:pStyle w:val="USTustnpkodeksu"/>
        <w:numPr>
          <w:ilvl w:val="0"/>
          <w:numId w:val="10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analizę</w:t>
      </w:r>
      <w:r w:rsidR="0045101C" w:rsidRPr="00B162E7">
        <w:rPr>
          <w:rFonts w:ascii="Times New Roman" w:hAnsi="Times New Roman" w:cs="Times New Roman"/>
          <w:bCs w:val="0"/>
          <w:szCs w:val="24"/>
        </w:rPr>
        <w:t xml:space="preserve"> kwoty całkowitych kosztów </w:t>
      </w:r>
      <w:r w:rsidR="00EA1E8F" w:rsidRPr="00B162E7">
        <w:rPr>
          <w:rFonts w:ascii="Times New Roman" w:hAnsi="Times New Roman" w:cs="Times New Roman"/>
          <w:bCs w:val="0"/>
          <w:szCs w:val="24"/>
        </w:rPr>
        <w:t>przedsięwzięcia</w:t>
      </w:r>
      <w:r w:rsidR="0045101C" w:rsidRPr="00B162E7">
        <w:rPr>
          <w:rFonts w:ascii="Times New Roman" w:hAnsi="Times New Roman" w:cs="Times New Roman"/>
          <w:bCs w:val="0"/>
          <w:szCs w:val="24"/>
        </w:rPr>
        <w:t xml:space="preserve"> i ich podziału na poszczególne lata</w:t>
      </w:r>
      <w:r w:rsidR="00867F8F" w:rsidRPr="00B162E7">
        <w:rPr>
          <w:rFonts w:ascii="Times New Roman" w:hAnsi="Times New Roman" w:cs="Times New Roman"/>
          <w:bCs w:val="0"/>
          <w:szCs w:val="24"/>
        </w:rPr>
        <w:t xml:space="preserve"> okresu odniesienia</w:t>
      </w:r>
      <w:r w:rsidR="00C40050" w:rsidRPr="00B162E7">
        <w:rPr>
          <w:rFonts w:ascii="Times New Roman" w:hAnsi="Times New Roman" w:cs="Times New Roman"/>
          <w:bCs w:val="0"/>
          <w:szCs w:val="24"/>
        </w:rPr>
        <w:t xml:space="preserve"> –</w:t>
      </w:r>
      <w:r w:rsidR="0037438E"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2D3BE0" w:rsidRPr="00B162E7">
        <w:rPr>
          <w:rFonts w:ascii="Times New Roman" w:hAnsi="Times New Roman" w:cs="Times New Roman"/>
          <w:bCs w:val="0"/>
          <w:szCs w:val="24"/>
        </w:rPr>
        <w:t xml:space="preserve">w celu określenia całkowitych </w:t>
      </w:r>
      <w:r w:rsidR="0037438E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>wydatków ponoszonych</w:t>
      </w:r>
      <w:r w:rsidR="002D3BE0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 xml:space="preserve"> w ramach przedsięwzięcia</w:t>
      </w:r>
      <w:r w:rsidR="0037438E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 xml:space="preserve"> do momentu ukończenia realizacji pr</w:t>
      </w:r>
      <w:r w:rsidR="00EA1E8F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>zedsięwzięcia</w:t>
      </w:r>
      <w:r w:rsidR="002D3BE0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 xml:space="preserve">. Analiza niezbędna jest do </w:t>
      </w:r>
      <w:r w:rsidR="002D3BE0" w:rsidRPr="00B162E7">
        <w:rPr>
          <w:rFonts w:ascii="Times New Roman" w:hAnsi="Times New Roman" w:cs="Times New Roman"/>
          <w:bCs w:val="0"/>
          <w:szCs w:val="24"/>
        </w:rPr>
        <w:t>ustalenia efektywności ekonomicznej przedsięwzięcia</w:t>
      </w:r>
      <w:r w:rsidR="002335CD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>;</w:t>
      </w:r>
    </w:p>
    <w:p w14:paraId="7AEC0B9B" w14:textId="3BA7DCF4" w:rsidR="0045101C" w:rsidRPr="00B162E7" w:rsidRDefault="0045101C" w:rsidP="00C8611A">
      <w:pPr>
        <w:pStyle w:val="USTustnpkodeksu"/>
        <w:numPr>
          <w:ilvl w:val="0"/>
          <w:numId w:val="10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analiz</w:t>
      </w:r>
      <w:r w:rsidR="0018358A" w:rsidRPr="00B162E7">
        <w:rPr>
          <w:rFonts w:ascii="Times New Roman" w:hAnsi="Times New Roman" w:cs="Times New Roman"/>
          <w:bCs w:val="0"/>
          <w:szCs w:val="24"/>
        </w:rPr>
        <w:t>ę</w:t>
      </w:r>
      <w:r w:rsidRPr="00B162E7">
        <w:rPr>
          <w:rFonts w:ascii="Times New Roman" w:hAnsi="Times New Roman" w:cs="Times New Roman"/>
          <w:bCs w:val="0"/>
          <w:szCs w:val="24"/>
        </w:rPr>
        <w:t xml:space="preserve"> całkowitych kosztów i przychodów operacyjnych</w:t>
      </w:r>
      <w:r w:rsidR="00867F8F" w:rsidRPr="00B162E7">
        <w:rPr>
          <w:rFonts w:ascii="Times New Roman" w:hAnsi="Times New Roman" w:cs="Times New Roman"/>
          <w:bCs w:val="0"/>
          <w:szCs w:val="24"/>
        </w:rPr>
        <w:t xml:space="preserve"> przedsięwzięcia</w:t>
      </w:r>
      <w:r w:rsidR="00C40050" w:rsidRPr="00B162E7">
        <w:rPr>
          <w:rFonts w:ascii="Times New Roman" w:hAnsi="Times New Roman" w:cs="Times New Roman"/>
          <w:bCs w:val="0"/>
          <w:szCs w:val="24"/>
        </w:rPr>
        <w:t xml:space="preserve"> – </w:t>
      </w:r>
      <w:r w:rsidR="002D3BE0" w:rsidRPr="00B162E7">
        <w:rPr>
          <w:rFonts w:ascii="Times New Roman" w:hAnsi="Times New Roman" w:cs="Times New Roman"/>
          <w:bCs w:val="0"/>
          <w:szCs w:val="24"/>
        </w:rPr>
        <w:t xml:space="preserve">w celu określenia </w:t>
      </w:r>
      <w:r w:rsidR="0037438E" w:rsidRPr="00B162E7">
        <w:rPr>
          <w:rFonts w:ascii="Times New Roman" w:hAnsi="Times New Roman" w:cs="Times New Roman"/>
          <w:bCs w:val="0"/>
          <w:szCs w:val="24"/>
        </w:rPr>
        <w:t xml:space="preserve"> kosztów eksploatacji, utrzymania, kosztów administracyjnych i ogólnych oraz kosztów związanych ze sprzedażą i dystrybucją</w:t>
      </w:r>
      <w:r w:rsidR="002D3BE0" w:rsidRPr="00B162E7">
        <w:rPr>
          <w:rFonts w:ascii="Times New Roman" w:hAnsi="Times New Roman" w:cs="Times New Roman"/>
          <w:bCs w:val="0"/>
          <w:szCs w:val="24"/>
        </w:rPr>
        <w:t xml:space="preserve">. </w:t>
      </w:r>
      <w:r w:rsidR="002D3BE0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 xml:space="preserve">Analiza niezbędna jest do </w:t>
      </w:r>
      <w:r w:rsidR="002D3BE0" w:rsidRPr="00B162E7">
        <w:rPr>
          <w:rFonts w:ascii="Times New Roman" w:hAnsi="Times New Roman" w:cs="Times New Roman"/>
          <w:bCs w:val="0"/>
          <w:szCs w:val="24"/>
        </w:rPr>
        <w:t>ustalenia efektywności ekonomicznej przedsięwzięcia</w:t>
      </w:r>
      <w:r w:rsidR="002335CD" w:rsidRPr="00B162E7">
        <w:rPr>
          <w:rFonts w:ascii="Times New Roman" w:hAnsi="Times New Roman" w:cs="Times New Roman"/>
          <w:bCs w:val="0"/>
          <w:szCs w:val="24"/>
        </w:rPr>
        <w:t>;</w:t>
      </w:r>
    </w:p>
    <w:p w14:paraId="4C862402" w14:textId="31D461A5" w:rsidR="0045101C" w:rsidRPr="00B162E7" w:rsidRDefault="0045101C" w:rsidP="00C8611A">
      <w:pPr>
        <w:pStyle w:val="USTustnpkodeksu"/>
        <w:numPr>
          <w:ilvl w:val="0"/>
          <w:numId w:val="10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identyfikacj</w:t>
      </w:r>
      <w:r w:rsidR="0018358A" w:rsidRPr="00B162E7">
        <w:rPr>
          <w:rFonts w:ascii="Times New Roman" w:hAnsi="Times New Roman" w:cs="Times New Roman"/>
          <w:bCs w:val="0"/>
          <w:szCs w:val="24"/>
        </w:rPr>
        <w:t>ę</w:t>
      </w:r>
      <w:r w:rsidRPr="00B162E7">
        <w:rPr>
          <w:rFonts w:ascii="Times New Roman" w:hAnsi="Times New Roman" w:cs="Times New Roman"/>
          <w:bCs w:val="0"/>
          <w:szCs w:val="24"/>
        </w:rPr>
        <w:t xml:space="preserve"> źródeł finansowania pokrywających koszty </w:t>
      </w:r>
      <w:r w:rsidR="00EA1E8F" w:rsidRPr="00B162E7">
        <w:rPr>
          <w:rFonts w:ascii="Times New Roman" w:hAnsi="Times New Roman" w:cs="Times New Roman"/>
          <w:bCs w:val="0"/>
          <w:szCs w:val="24"/>
        </w:rPr>
        <w:t>przedsięwzięcia</w:t>
      </w:r>
      <w:r w:rsidR="009A3B14" w:rsidRPr="00B162E7">
        <w:rPr>
          <w:rFonts w:ascii="Times New Roman" w:hAnsi="Times New Roman" w:cs="Times New Roman"/>
          <w:bCs w:val="0"/>
          <w:szCs w:val="24"/>
        </w:rPr>
        <w:t xml:space="preserve"> </w:t>
      </w:r>
      <w:bookmarkStart w:id="2" w:name="_Hlk96957180"/>
      <w:r w:rsidR="009A3B14" w:rsidRPr="00B162E7">
        <w:rPr>
          <w:rFonts w:ascii="Times New Roman" w:hAnsi="Times New Roman" w:cs="Times New Roman"/>
          <w:bCs w:val="0"/>
          <w:szCs w:val="24"/>
        </w:rPr>
        <w:t>–</w:t>
      </w:r>
      <w:r w:rsidR="009967B4" w:rsidRPr="00B162E7">
        <w:rPr>
          <w:rFonts w:ascii="Times New Roman" w:hAnsi="Times New Roman" w:cs="Times New Roman"/>
          <w:bCs w:val="0"/>
          <w:szCs w:val="24"/>
        </w:rPr>
        <w:t xml:space="preserve"> </w:t>
      </w:r>
      <w:bookmarkEnd w:id="2"/>
      <w:r w:rsidR="00593CA6" w:rsidRPr="00B162E7">
        <w:rPr>
          <w:rFonts w:ascii="Times New Roman" w:hAnsi="Times New Roman" w:cs="Times New Roman"/>
          <w:bCs w:val="0"/>
          <w:szCs w:val="24"/>
        </w:rPr>
        <w:t>gdzie</w:t>
      </w:r>
      <w:r w:rsidR="009A3B14"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9967B4" w:rsidRPr="00B162E7">
        <w:rPr>
          <w:rFonts w:ascii="Times New Roman" w:hAnsi="Times New Roman" w:cs="Times New Roman"/>
          <w:bCs w:val="0"/>
          <w:szCs w:val="24"/>
        </w:rPr>
        <w:t>należy określić źródła finansowania, w tym kapitał własny inwestora, kapitał z pożyczek oraz wszelkie dodatkowe źródła finansowe takie jak dotacje</w:t>
      </w:r>
      <w:r w:rsidR="002D3BE0" w:rsidRPr="00B162E7">
        <w:rPr>
          <w:rFonts w:ascii="Times New Roman" w:hAnsi="Times New Roman" w:cs="Times New Roman"/>
          <w:bCs w:val="0"/>
          <w:szCs w:val="24"/>
        </w:rPr>
        <w:t xml:space="preserve">. </w:t>
      </w:r>
      <w:r w:rsidR="002D3BE0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 xml:space="preserve">Identyfikacja </w:t>
      </w:r>
      <w:r w:rsidR="002D3BE0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lastRenderedPageBreak/>
        <w:t xml:space="preserve">tych źródeł niezbędna jest do </w:t>
      </w:r>
      <w:r w:rsidR="002D3BE0" w:rsidRPr="00B162E7">
        <w:rPr>
          <w:rFonts w:ascii="Times New Roman" w:hAnsi="Times New Roman" w:cs="Times New Roman"/>
          <w:bCs w:val="0"/>
          <w:szCs w:val="24"/>
        </w:rPr>
        <w:t>ustalenia efektywności ekonomicznej przedsięwzięcia</w:t>
      </w:r>
      <w:r w:rsidR="002335CD" w:rsidRPr="00B162E7">
        <w:rPr>
          <w:rFonts w:ascii="Times New Roman" w:hAnsi="Times New Roman" w:cs="Times New Roman"/>
          <w:bCs w:val="0"/>
          <w:szCs w:val="24"/>
        </w:rPr>
        <w:t>;</w:t>
      </w:r>
    </w:p>
    <w:p w14:paraId="51202D61" w14:textId="3BB2CB16" w:rsidR="0045101C" w:rsidRPr="00B162E7" w:rsidRDefault="0018358A" w:rsidP="00C8611A">
      <w:pPr>
        <w:pStyle w:val="USTustnpkodeksu"/>
        <w:numPr>
          <w:ilvl w:val="0"/>
          <w:numId w:val="10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analizę</w:t>
      </w:r>
      <w:r w:rsidR="0045101C" w:rsidRPr="00B162E7">
        <w:rPr>
          <w:rFonts w:ascii="Times New Roman" w:hAnsi="Times New Roman" w:cs="Times New Roman"/>
          <w:bCs w:val="0"/>
          <w:szCs w:val="24"/>
        </w:rPr>
        <w:t xml:space="preserve"> rentowności pr</w:t>
      </w:r>
      <w:r w:rsidR="001B0A53" w:rsidRPr="00B162E7">
        <w:rPr>
          <w:rFonts w:ascii="Times New Roman" w:hAnsi="Times New Roman" w:cs="Times New Roman"/>
          <w:bCs w:val="0"/>
          <w:szCs w:val="24"/>
        </w:rPr>
        <w:t>zedsięwzięcia</w:t>
      </w:r>
      <w:r w:rsidR="0045101C" w:rsidRPr="00B162E7">
        <w:rPr>
          <w:rFonts w:ascii="Times New Roman" w:hAnsi="Times New Roman" w:cs="Times New Roman"/>
          <w:bCs w:val="0"/>
          <w:szCs w:val="24"/>
        </w:rPr>
        <w:t xml:space="preserve">, z uwzględnieniem wskaźników finansowych </w:t>
      </w:r>
      <w:r w:rsidR="00822329" w:rsidRPr="00B162E7">
        <w:rPr>
          <w:rFonts w:ascii="Times New Roman" w:hAnsi="Times New Roman" w:cs="Times New Roman"/>
          <w:bCs w:val="0"/>
          <w:szCs w:val="24"/>
        </w:rPr>
        <w:t xml:space="preserve">wskaźników finansowej wartości bieżącej netto z </w:t>
      </w:r>
      <w:r w:rsidR="00EA1E8F" w:rsidRPr="00B162E7">
        <w:rPr>
          <w:rFonts w:ascii="Times New Roman" w:hAnsi="Times New Roman" w:cs="Times New Roman"/>
          <w:bCs w:val="0"/>
          <w:szCs w:val="24"/>
        </w:rPr>
        <w:t>przedsięwzięcia</w:t>
      </w:r>
      <w:r w:rsidR="00822329" w:rsidRPr="00B162E7">
        <w:rPr>
          <w:rFonts w:ascii="Times New Roman" w:hAnsi="Times New Roman" w:cs="Times New Roman"/>
          <w:bCs w:val="0"/>
          <w:szCs w:val="24"/>
        </w:rPr>
        <w:t xml:space="preserve"> (FNPV/C), finansowej wewnętrznej stopy zwrotu z </w:t>
      </w:r>
      <w:r w:rsidR="00EA1E8F" w:rsidRPr="00B162E7">
        <w:rPr>
          <w:rFonts w:ascii="Times New Roman" w:hAnsi="Times New Roman" w:cs="Times New Roman"/>
          <w:bCs w:val="0"/>
          <w:szCs w:val="24"/>
        </w:rPr>
        <w:t>przedsięwzięcia</w:t>
      </w:r>
      <w:r w:rsidR="00822329" w:rsidRPr="00B162E7">
        <w:rPr>
          <w:rFonts w:ascii="Times New Roman" w:hAnsi="Times New Roman" w:cs="Times New Roman"/>
          <w:bCs w:val="0"/>
          <w:szCs w:val="24"/>
        </w:rPr>
        <w:t xml:space="preserve"> (FRR/C), finansowej bieżącej wartości netto z kapitału</w:t>
      </w:r>
      <w:r w:rsidR="00AE7DE3" w:rsidRPr="00B162E7">
        <w:rPr>
          <w:rFonts w:ascii="Times New Roman" w:hAnsi="Times New Roman" w:cs="Times New Roman"/>
          <w:bCs w:val="0"/>
          <w:szCs w:val="24"/>
        </w:rPr>
        <w:t xml:space="preserve"> własnego</w:t>
      </w:r>
      <w:r w:rsidR="00822329" w:rsidRPr="00B162E7">
        <w:rPr>
          <w:rFonts w:ascii="Times New Roman" w:hAnsi="Times New Roman" w:cs="Times New Roman"/>
          <w:bCs w:val="0"/>
          <w:szCs w:val="24"/>
        </w:rPr>
        <w:t xml:space="preserve"> (FNPV/K) oraz finansowej wewnętrznej stopy zwrotu z kapitału</w:t>
      </w:r>
      <w:r w:rsidR="00AE7DE3" w:rsidRPr="00B162E7">
        <w:rPr>
          <w:rFonts w:ascii="Times New Roman" w:hAnsi="Times New Roman" w:cs="Times New Roman"/>
          <w:bCs w:val="0"/>
          <w:szCs w:val="24"/>
        </w:rPr>
        <w:t xml:space="preserve"> własnego</w:t>
      </w:r>
      <w:r w:rsidR="00822329" w:rsidRPr="00B162E7">
        <w:rPr>
          <w:rFonts w:ascii="Times New Roman" w:hAnsi="Times New Roman" w:cs="Times New Roman"/>
          <w:bCs w:val="0"/>
          <w:szCs w:val="24"/>
        </w:rPr>
        <w:t xml:space="preserve"> (FRR/K)</w:t>
      </w:r>
      <w:r w:rsidR="00570E9E"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9A3B14" w:rsidRPr="00B162E7">
        <w:rPr>
          <w:rFonts w:ascii="Times New Roman" w:hAnsi="Times New Roman" w:cs="Times New Roman"/>
          <w:bCs w:val="0"/>
          <w:szCs w:val="24"/>
        </w:rPr>
        <w:t>–</w:t>
      </w:r>
      <w:r w:rsidR="009F198B"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9A3B14" w:rsidRPr="00B162E7">
        <w:rPr>
          <w:rFonts w:ascii="Times New Roman" w:hAnsi="Times New Roman" w:cs="Times New Roman"/>
          <w:bCs w:val="0"/>
          <w:szCs w:val="24"/>
        </w:rPr>
        <w:t xml:space="preserve">gdzie </w:t>
      </w:r>
      <w:r w:rsidR="009F198B" w:rsidRPr="00B162E7">
        <w:rPr>
          <w:rFonts w:ascii="Times New Roman" w:hAnsi="Times New Roman" w:cs="Times New Roman"/>
          <w:bCs w:val="0"/>
          <w:szCs w:val="24"/>
        </w:rPr>
        <w:t>rentowność</w:t>
      </w:r>
      <w:r w:rsidR="009A3B14"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9F198B" w:rsidRPr="00B162E7">
        <w:rPr>
          <w:rFonts w:ascii="Times New Roman" w:hAnsi="Times New Roman" w:cs="Times New Roman"/>
          <w:bCs w:val="0"/>
          <w:szCs w:val="24"/>
        </w:rPr>
        <w:t xml:space="preserve">finansową </w:t>
      </w:r>
      <w:r w:rsidR="00002904" w:rsidRPr="00B162E7">
        <w:rPr>
          <w:rFonts w:ascii="Times New Roman" w:hAnsi="Times New Roman" w:cs="Times New Roman"/>
          <w:bCs w:val="0"/>
          <w:szCs w:val="24"/>
        </w:rPr>
        <w:t>przedsięwzięcia</w:t>
      </w:r>
      <w:r w:rsidR="009F198B" w:rsidRPr="00B162E7">
        <w:rPr>
          <w:rFonts w:ascii="Times New Roman" w:hAnsi="Times New Roman" w:cs="Times New Roman"/>
          <w:bCs w:val="0"/>
          <w:szCs w:val="24"/>
        </w:rPr>
        <w:t xml:space="preserve"> ocenia się poprzez oszacowanie finansowej zaktualizowanej wartości netto i finansowej stopy zwrotu z </w:t>
      </w:r>
      <w:r w:rsidR="00EA1E8F" w:rsidRPr="00B162E7">
        <w:rPr>
          <w:rFonts w:ascii="Times New Roman" w:hAnsi="Times New Roman" w:cs="Times New Roman"/>
          <w:bCs w:val="0"/>
          <w:szCs w:val="24"/>
        </w:rPr>
        <w:t>przedsięwzięcia</w:t>
      </w:r>
      <w:r w:rsidR="009F198B" w:rsidRPr="00B162E7">
        <w:rPr>
          <w:rFonts w:ascii="Times New Roman" w:hAnsi="Times New Roman" w:cs="Times New Roman"/>
          <w:bCs w:val="0"/>
          <w:szCs w:val="24"/>
        </w:rPr>
        <w:t xml:space="preserve">. Przy użyciu tych wskaźników porównuje się koszty </w:t>
      </w:r>
      <w:r w:rsidR="00EA1E8F" w:rsidRPr="00B162E7">
        <w:rPr>
          <w:rFonts w:ascii="Times New Roman" w:hAnsi="Times New Roman" w:cs="Times New Roman"/>
          <w:bCs w:val="0"/>
          <w:szCs w:val="24"/>
        </w:rPr>
        <w:t>przedsięwzięcia</w:t>
      </w:r>
      <w:r w:rsidR="009F198B" w:rsidRPr="00B162E7">
        <w:rPr>
          <w:rFonts w:ascii="Times New Roman" w:hAnsi="Times New Roman" w:cs="Times New Roman"/>
          <w:bCs w:val="0"/>
          <w:szCs w:val="24"/>
        </w:rPr>
        <w:t xml:space="preserve"> z dochodem i mierzy się zakres, w jakim dochód z </w:t>
      </w:r>
      <w:r w:rsidR="001B0A53" w:rsidRPr="00B162E7">
        <w:rPr>
          <w:rFonts w:ascii="Times New Roman" w:hAnsi="Times New Roman" w:cs="Times New Roman"/>
          <w:bCs w:val="0"/>
          <w:szCs w:val="24"/>
        </w:rPr>
        <w:t>przedsięwzięcia</w:t>
      </w:r>
      <w:r w:rsidR="009F198B" w:rsidRPr="00B162E7">
        <w:rPr>
          <w:rFonts w:ascii="Times New Roman" w:hAnsi="Times New Roman" w:cs="Times New Roman"/>
          <w:bCs w:val="0"/>
          <w:szCs w:val="24"/>
        </w:rPr>
        <w:t xml:space="preserve"> jest w stanie pokryć koszty </w:t>
      </w:r>
      <w:r w:rsidR="00002904" w:rsidRPr="00B162E7">
        <w:rPr>
          <w:rFonts w:ascii="Times New Roman" w:hAnsi="Times New Roman" w:cs="Times New Roman"/>
          <w:bCs w:val="0"/>
          <w:szCs w:val="24"/>
        </w:rPr>
        <w:t>przedsięwzięcia</w:t>
      </w:r>
      <w:r w:rsidR="009F198B" w:rsidRPr="00B162E7">
        <w:rPr>
          <w:rFonts w:ascii="Times New Roman" w:hAnsi="Times New Roman" w:cs="Times New Roman"/>
          <w:bCs w:val="0"/>
          <w:szCs w:val="24"/>
        </w:rPr>
        <w:t>, niezależnie od źródła finansowania.</w:t>
      </w:r>
      <w:r w:rsidR="00B56247"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1E652A" w:rsidRPr="00B162E7">
        <w:rPr>
          <w:rFonts w:ascii="Times New Roman" w:hAnsi="Times New Roman" w:cs="Times New Roman"/>
          <w:szCs w:val="24"/>
        </w:rPr>
        <w:t xml:space="preserve">Celem ustalenia wartości FNPV/K i FRR/K jest ustalenie zwrotu i wartości bieżącej kapitału </w:t>
      </w:r>
      <w:r w:rsidR="00AE7DE3" w:rsidRPr="00B162E7">
        <w:rPr>
          <w:rFonts w:ascii="Times New Roman" w:hAnsi="Times New Roman" w:cs="Times New Roman"/>
          <w:szCs w:val="24"/>
        </w:rPr>
        <w:t>własnego</w:t>
      </w:r>
      <w:r w:rsidR="001E652A" w:rsidRPr="00B162E7">
        <w:rPr>
          <w:rFonts w:ascii="Times New Roman" w:hAnsi="Times New Roman" w:cs="Times New Roman"/>
          <w:szCs w:val="24"/>
        </w:rPr>
        <w:t xml:space="preserve"> zainwestowanego w przedsięwzięcie</w:t>
      </w:r>
      <w:r w:rsidR="002335CD" w:rsidRPr="00B162E7">
        <w:rPr>
          <w:rFonts w:ascii="Times New Roman" w:hAnsi="Times New Roman" w:cs="Times New Roman"/>
          <w:szCs w:val="24"/>
        </w:rPr>
        <w:t>;</w:t>
      </w:r>
    </w:p>
    <w:p w14:paraId="422545C8" w14:textId="29AEB237" w:rsidR="005E40E2" w:rsidRPr="00B162E7" w:rsidRDefault="007B1F12" w:rsidP="00C8611A">
      <w:pPr>
        <w:pStyle w:val="USTustnpkodeksu"/>
        <w:numPr>
          <w:ilvl w:val="0"/>
          <w:numId w:val="10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określenie okresu zwrotu nakładów inwestycyjnych</w:t>
      </w:r>
      <w:r w:rsidR="00867F8F" w:rsidRPr="00B162E7">
        <w:rPr>
          <w:rFonts w:ascii="Times New Roman" w:hAnsi="Times New Roman" w:cs="Times New Roman"/>
          <w:bCs w:val="0"/>
          <w:szCs w:val="24"/>
        </w:rPr>
        <w:t xml:space="preserve"> przedsięwzięcia</w:t>
      </w:r>
      <w:r w:rsidR="00C40050" w:rsidRPr="00B162E7">
        <w:rPr>
          <w:rFonts w:ascii="Times New Roman" w:hAnsi="Times New Roman" w:cs="Times New Roman"/>
          <w:bCs w:val="0"/>
          <w:szCs w:val="24"/>
        </w:rPr>
        <w:t xml:space="preserve"> – </w:t>
      </w:r>
      <w:r w:rsidR="0030251E" w:rsidRPr="00B162E7">
        <w:rPr>
          <w:rFonts w:ascii="Times New Roman" w:hAnsi="Times New Roman" w:cs="Times New Roman"/>
          <w:bCs w:val="0"/>
          <w:szCs w:val="24"/>
        </w:rPr>
        <w:t>tj. okres, jaki jest konieczny, aby nakłady poniesione na realizację określonego przedsięwzięcia inwestycyjnego zostały w pełni pokryte korzyściami wygenerowanymi przez to przedsięwzięcie</w:t>
      </w:r>
      <w:r w:rsidR="002D3BE0" w:rsidRPr="00B162E7">
        <w:rPr>
          <w:rFonts w:ascii="Times New Roman" w:hAnsi="Times New Roman" w:cs="Times New Roman"/>
          <w:bCs w:val="0"/>
          <w:szCs w:val="24"/>
        </w:rPr>
        <w:t xml:space="preserve">. Określenie tego okresu jest niezbędne </w:t>
      </w:r>
      <w:r w:rsidR="002D3BE0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 xml:space="preserve">do </w:t>
      </w:r>
      <w:r w:rsidR="002D3BE0" w:rsidRPr="00B162E7">
        <w:rPr>
          <w:rFonts w:ascii="Times New Roman" w:hAnsi="Times New Roman" w:cs="Times New Roman"/>
          <w:bCs w:val="0"/>
          <w:szCs w:val="24"/>
        </w:rPr>
        <w:t>ustalenia efektywności ekonomicznej przedsięwzięcia</w:t>
      </w:r>
      <w:r w:rsidR="002335CD" w:rsidRPr="00B162E7">
        <w:rPr>
          <w:rFonts w:ascii="Times New Roman" w:hAnsi="Times New Roman" w:cs="Times New Roman"/>
          <w:bCs w:val="0"/>
          <w:szCs w:val="24"/>
        </w:rPr>
        <w:t>;</w:t>
      </w:r>
    </w:p>
    <w:p w14:paraId="73EC573A" w14:textId="0111D8FC" w:rsidR="006E1ECE" w:rsidRPr="00B162E7" w:rsidRDefault="0018358A" w:rsidP="006E1ECE">
      <w:pPr>
        <w:pStyle w:val="USTustnpkodeksu"/>
        <w:numPr>
          <w:ilvl w:val="0"/>
          <w:numId w:val="10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analiz</w:t>
      </w:r>
      <w:r w:rsidR="005E40E2" w:rsidRPr="00B162E7">
        <w:rPr>
          <w:rFonts w:ascii="Times New Roman" w:hAnsi="Times New Roman" w:cs="Times New Roman"/>
          <w:bCs w:val="0"/>
          <w:szCs w:val="24"/>
        </w:rPr>
        <w:t>ę</w:t>
      </w:r>
      <w:r w:rsidR="0045101C" w:rsidRPr="00B162E7">
        <w:rPr>
          <w:rFonts w:ascii="Times New Roman" w:hAnsi="Times New Roman" w:cs="Times New Roman"/>
          <w:bCs w:val="0"/>
          <w:szCs w:val="24"/>
        </w:rPr>
        <w:t xml:space="preserve"> trwałości finansowej pr</w:t>
      </w:r>
      <w:r w:rsidR="00EA1E8F" w:rsidRPr="00B162E7">
        <w:rPr>
          <w:rFonts w:ascii="Times New Roman" w:hAnsi="Times New Roman" w:cs="Times New Roman"/>
          <w:bCs w:val="0"/>
          <w:szCs w:val="24"/>
        </w:rPr>
        <w:t>zedsięwzięcia</w:t>
      </w:r>
      <w:r w:rsidR="009A3B14" w:rsidRPr="00B162E7">
        <w:rPr>
          <w:rFonts w:ascii="Times New Roman" w:hAnsi="Times New Roman" w:cs="Times New Roman"/>
          <w:bCs w:val="0"/>
          <w:szCs w:val="24"/>
        </w:rPr>
        <w:t xml:space="preserve"> –</w:t>
      </w:r>
      <w:r w:rsidR="008E77E6"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Pr="00B162E7">
        <w:rPr>
          <w:rFonts w:ascii="Times New Roman" w:hAnsi="Times New Roman" w:cs="Times New Roman"/>
          <w:bCs w:val="0"/>
          <w:szCs w:val="24"/>
        </w:rPr>
        <w:t>mającą</w:t>
      </w:r>
      <w:r w:rsidR="009A3B14"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Pr="00B162E7">
        <w:rPr>
          <w:rFonts w:ascii="Times New Roman" w:hAnsi="Times New Roman" w:cs="Times New Roman"/>
          <w:bCs w:val="0"/>
          <w:szCs w:val="24"/>
        </w:rPr>
        <w:t>na celu weryfikację faktu, czy wpływy finansowe wystarczą na pokrycie wszystkich kosztów, w tym finansowych, rok po roku, na przestrzeni całego okresu odniesienia</w:t>
      </w:r>
      <w:r w:rsidR="00B33FEF" w:rsidRPr="00B162E7">
        <w:rPr>
          <w:rFonts w:ascii="Times New Roman" w:hAnsi="Times New Roman" w:cs="Times New Roman"/>
          <w:bCs w:val="0"/>
          <w:szCs w:val="24"/>
        </w:rPr>
        <w:t>.</w:t>
      </w:r>
      <w:r w:rsidR="002D3BE0" w:rsidRPr="00B162E7">
        <w:rPr>
          <w:rFonts w:ascii="Times New Roman" w:hAnsi="Times New Roman" w:cs="Times New Roman"/>
          <w:bCs w:val="0"/>
          <w:szCs w:val="24"/>
        </w:rPr>
        <w:t xml:space="preserve"> Analiza ta jest </w:t>
      </w:r>
      <w:r w:rsidR="002D3BE0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 xml:space="preserve">niezbędna jest do </w:t>
      </w:r>
      <w:r w:rsidR="002D3BE0" w:rsidRPr="00B162E7">
        <w:rPr>
          <w:rFonts w:ascii="Times New Roman" w:hAnsi="Times New Roman" w:cs="Times New Roman"/>
          <w:bCs w:val="0"/>
          <w:szCs w:val="24"/>
        </w:rPr>
        <w:t>ustalenia efektywności ekonomicznej przedsięwzięcia</w:t>
      </w:r>
      <w:r w:rsidRPr="00B162E7">
        <w:rPr>
          <w:rFonts w:ascii="Times New Roman" w:hAnsi="Times New Roman" w:cs="Times New Roman"/>
          <w:bCs w:val="0"/>
          <w:szCs w:val="24"/>
        </w:rPr>
        <w:t xml:space="preserve">. </w:t>
      </w:r>
    </w:p>
    <w:p w14:paraId="1F2EEA4D" w14:textId="2DF7C019" w:rsidR="006E1ECE" w:rsidRPr="00B162E7" w:rsidRDefault="006E1ECE" w:rsidP="00224C34">
      <w:pPr>
        <w:pStyle w:val="USTustnpkodeksu"/>
        <w:ind w:firstLine="708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 xml:space="preserve">Zgodnie z § </w:t>
      </w:r>
      <w:r w:rsidR="00946B9E" w:rsidRPr="00B162E7">
        <w:rPr>
          <w:rFonts w:ascii="Times New Roman" w:hAnsi="Times New Roman" w:cs="Times New Roman"/>
          <w:bCs w:val="0"/>
          <w:szCs w:val="24"/>
        </w:rPr>
        <w:t>3</w:t>
      </w:r>
      <w:r w:rsidRPr="00B162E7">
        <w:rPr>
          <w:rFonts w:ascii="Times New Roman" w:hAnsi="Times New Roman" w:cs="Times New Roman"/>
          <w:bCs w:val="0"/>
          <w:szCs w:val="24"/>
        </w:rPr>
        <w:t xml:space="preserve"> ust. 2-</w:t>
      </w:r>
      <w:r w:rsidR="00BC1848" w:rsidRPr="00B162E7">
        <w:rPr>
          <w:rFonts w:ascii="Times New Roman" w:hAnsi="Times New Roman" w:cs="Times New Roman"/>
          <w:bCs w:val="0"/>
          <w:szCs w:val="24"/>
        </w:rPr>
        <w:t>7</w:t>
      </w:r>
      <w:r w:rsidRPr="00B162E7">
        <w:rPr>
          <w:rFonts w:ascii="Times New Roman" w:hAnsi="Times New Roman" w:cs="Times New Roman"/>
          <w:bCs w:val="0"/>
          <w:szCs w:val="24"/>
        </w:rPr>
        <w:t xml:space="preserve"> projektu rozporządzenia:</w:t>
      </w:r>
    </w:p>
    <w:p w14:paraId="64D870C0" w14:textId="149149F0" w:rsidR="00946B9E" w:rsidRPr="00B162E7" w:rsidRDefault="00946B9E" w:rsidP="00EA3972">
      <w:pPr>
        <w:pStyle w:val="USTustnpkodeksu"/>
        <w:numPr>
          <w:ilvl w:val="0"/>
          <w:numId w:val="20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szCs w:val="24"/>
        </w:rPr>
        <w:t>okres odniesienia określa się jako okres za który należy sporządzić prognozę przepływów pieniężnych generowanych przez analizowane przedsięwzięcie, uwzględniający zarówno okres realizacji</w:t>
      </w:r>
      <w:r w:rsidR="002D3BE0" w:rsidRPr="00B162E7">
        <w:rPr>
          <w:rFonts w:ascii="Times New Roman" w:hAnsi="Times New Roman" w:cs="Times New Roman"/>
          <w:szCs w:val="24"/>
        </w:rPr>
        <w:t xml:space="preserve"> </w:t>
      </w:r>
      <w:r w:rsidRPr="00B162E7">
        <w:rPr>
          <w:rFonts w:ascii="Times New Roman" w:hAnsi="Times New Roman" w:cs="Times New Roman"/>
          <w:szCs w:val="24"/>
        </w:rPr>
        <w:t>przedsięwzięcia, jak i okres po jego ukończeniu, to jest fazę inwestycyjną i operacyjną.</w:t>
      </w:r>
      <w:r w:rsidR="002D3BE0" w:rsidRPr="00B162E7">
        <w:rPr>
          <w:rFonts w:ascii="Times New Roman" w:hAnsi="Times New Roman" w:cs="Times New Roman"/>
          <w:szCs w:val="24"/>
        </w:rPr>
        <w:t xml:space="preserve"> </w:t>
      </w:r>
      <w:r w:rsidR="002D3BE0" w:rsidRPr="00B162E7">
        <w:rPr>
          <w:rStyle w:val="Pogrubienie"/>
          <w:rFonts w:ascii="Times New Roman" w:hAnsi="Times New Roman" w:cs="Times New Roman"/>
          <w:b w:val="0"/>
          <w:bCs/>
          <w:szCs w:val="24"/>
        </w:rPr>
        <w:t xml:space="preserve">Analizę należy wykonać dla pełnego okresu odniesienia, czyli dla 15 lat. </w:t>
      </w:r>
      <w:r w:rsidR="000B36BA" w:rsidRPr="00B162E7">
        <w:rPr>
          <w:rStyle w:val="Pogrubienie"/>
          <w:rFonts w:ascii="Times New Roman" w:hAnsi="Times New Roman" w:cs="Times New Roman"/>
          <w:b w:val="0"/>
          <w:bCs/>
          <w:szCs w:val="24"/>
        </w:rPr>
        <w:t>Celem określenia tego okresu jest zapewnienie porównywalności przedsięwzięć</w:t>
      </w:r>
      <w:r w:rsidR="002335CD" w:rsidRPr="00B162E7">
        <w:rPr>
          <w:rStyle w:val="Pogrubienie"/>
          <w:rFonts w:ascii="Times New Roman" w:hAnsi="Times New Roman" w:cs="Times New Roman"/>
          <w:b w:val="0"/>
          <w:bCs/>
          <w:szCs w:val="24"/>
        </w:rPr>
        <w:t>;</w:t>
      </w:r>
    </w:p>
    <w:p w14:paraId="45E86D7F" w14:textId="24CE4146" w:rsidR="006E1ECE" w:rsidRPr="00B162E7" w:rsidRDefault="006E1ECE" w:rsidP="00EA3972">
      <w:pPr>
        <w:pStyle w:val="USTustnpkodeksu"/>
        <w:numPr>
          <w:ilvl w:val="0"/>
          <w:numId w:val="20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wskaźnik finansowej wartości bieżącej netto z przedsięwzięcia (FNPV/C) należy ustanowić jako sumę zdyskontowanych strumieni pieniężnych netto generowanych przez przedsięwzięcie, bez względu na strukturę finansowania przedsięwzięcia oraz finansową bieżącą wartość netto kapitału</w:t>
      </w:r>
      <w:r w:rsidR="002335CD" w:rsidRPr="00B162E7">
        <w:rPr>
          <w:rFonts w:ascii="Times New Roman" w:hAnsi="Times New Roman" w:cs="Times New Roman"/>
          <w:bCs w:val="0"/>
          <w:szCs w:val="24"/>
        </w:rPr>
        <w:t>;</w:t>
      </w:r>
    </w:p>
    <w:p w14:paraId="79462D62" w14:textId="088E2F2F" w:rsidR="00237811" w:rsidRPr="00B162E7" w:rsidRDefault="00237811" w:rsidP="00EA3972">
      <w:pPr>
        <w:pStyle w:val="USTustnpkodeksu"/>
        <w:numPr>
          <w:ilvl w:val="0"/>
          <w:numId w:val="20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szCs w:val="24"/>
        </w:rPr>
        <w:lastRenderedPageBreak/>
        <w:t>wskaźnik finansowej wewnętrznej stopy zwrotu z przedsięwzięcia (FRR/C) jest równy stopie dyskontowej, dla której wartość wskaźnika finansowej wartości bieżącej netto z przedsięwzięcia (FNPV/C) wynosi zero</w:t>
      </w:r>
      <w:r w:rsidR="007A0BA5">
        <w:rPr>
          <w:rFonts w:ascii="Times New Roman" w:hAnsi="Times New Roman" w:cs="Times New Roman"/>
          <w:szCs w:val="24"/>
        </w:rPr>
        <w:t>;</w:t>
      </w:r>
    </w:p>
    <w:p w14:paraId="6E2D606D" w14:textId="17AAE00A" w:rsidR="006E1ECE" w:rsidRPr="00B162E7" w:rsidRDefault="006E1ECE" w:rsidP="00EA3972">
      <w:pPr>
        <w:pStyle w:val="USTustnpkodeksu"/>
        <w:numPr>
          <w:ilvl w:val="0"/>
          <w:numId w:val="20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wskaźnik finansowej bieżącej wartości netto z kapitału</w:t>
      </w:r>
      <w:r w:rsidR="00AE7DE3" w:rsidRPr="00B162E7">
        <w:rPr>
          <w:rFonts w:ascii="Times New Roman" w:hAnsi="Times New Roman" w:cs="Times New Roman"/>
          <w:bCs w:val="0"/>
          <w:szCs w:val="24"/>
        </w:rPr>
        <w:t xml:space="preserve"> własnego</w:t>
      </w:r>
      <w:r w:rsidRPr="00B162E7">
        <w:rPr>
          <w:rFonts w:ascii="Times New Roman" w:hAnsi="Times New Roman" w:cs="Times New Roman"/>
          <w:bCs w:val="0"/>
          <w:szCs w:val="24"/>
        </w:rPr>
        <w:t xml:space="preserve"> (FNPV/K), należy ustanowić jako sumę zdyskontowanych strumieni pieniężnych netto wygenerowanych dla </w:t>
      </w:r>
      <w:r w:rsidR="00AE7DE3" w:rsidRPr="00B162E7">
        <w:rPr>
          <w:rFonts w:ascii="Times New Roman" w:hAnsi="Times New Roman" w:cs="Times New Roman"/>
          <w:bCs w:val="0"/>
          <w:szCs w:val="24"/>
        </w:rPr>
        <w:t>pr</w:t>
      </w:r>
      <w:r w:rsidR="0059033E" w:rsidRPr="00B162E7">
        <w:rPr>
          <w:rFonts w:ascii="Times New Roman" w:hAnsi="Times New Roman" w:cs="Times New Roman"/>
          <w:bCs w:val="0"/>
          <w:szCs w:val="24"/>
        </w:rPr>
        <w:t>zedsiębiorstwa</w:t>
      </w:r>
      <w:r w:rsidRPr="00B162E7">
        <w:rPr>
          <w:rFonts w:ascii="Times New Roman" w:hAnsi="Times New Roman" w:cs="Times New Roman"/>
          <w:bCs w:val="0"/>
          <w:szCs w:val="24"/>
        </w:rPr>
        <w:t xml:space="preserve"> w wyniku realizacji rozważanego przedsięwzięcia</w:t>
      </w:r>
      <w:r w:rsidR="002335CD" w:rsidRPr="00B162E7">
        <w:rPr>
          <w:rFonts w:ascii="Times New Roman" w:hAnsi="Times New Roman" w:cs="Times New Roman"/>
          <w:bCs w:val="0"/>
          <w:szCs w:val="24"/>
        </w:rPr>
        <w:t>;</w:t>
      </w:r>
      <w:r w:rsidRPr="00B162E7">
        <w:rPr>
          <w:rFonts w:ascii="Times New Roman" w:hAnsi="Times New Roman" w:cs="Times New Roman"/>
          <w:bCs w:val="0"/>
          <w:szCs w:val="24"/>
        </w:rPr>
        <w:t xml:space="preserve"> </w:t>
      </w:r>
    </w:p>
    <w:p w14:paraId="1A7A5D31" w14:textId="21FA49D4" w:rsidR="00237811" w:rsidRPr="00B162E7" w:rsidRDefault="00237811" w:rsidP="00EA3972">
      <w:pPr>
        <w:pStyle w:val="USTustnpkodeksu"/>
        <w:numPr>
          <w:ilvl w:val="0"/>
          <w:numId w:val="20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szCs w:val="24"/>
        </w:rPr>
        <w:t>wskaźnik finansowej wewnętrznej stopy zwrotu z kapitału własnego (FRR/K) jest równy stopie dyskontowej, dla której wartość wskaźnika finansowej bieżącej wartości netto z kapitału własnego (FNPV/K) wynosi zero</w:t>
      </w:r>
      <w:r w:rsidR="007A0BA5">
        <w:rPr>
          <w:rFonts w:ascii="Times New Roman" w:hAnsi="Times New Roman" w:cs="Times New Roman"/>
          <w:szCs w:val="24"/>
        </w:rPr>
        <w:t>;</w:t>
      </w:r>
    </w:p>
    <w:p w14:paraId="669B84BE" w14:textId="5BEE5EC6" w:rsidR="0045101C" w:rsidRPr="00B162E7" w:rsidRDefault="006E1ECE" w:rsidP="00EA3972">
      <w:pPr>
        <w:pStyle w:val="USTustnpkodeksu"/>
        <w:numPr>
          <w:ilvl w:val="0"/>
          <w:numId w:val="20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 xml:space="preserve">w ramach analizy trwałości finansowej przedsięwzięcia, </w:t>
      </w:r>
      <w:r w:rsidR="00AE7DE3" w:rsidRPr="00B162E7">
        <w:rPr>
          <w:rFonts w:ascii="Times New Roman" w:hAnsi="Times New Roman" w:cs="Times New Roman"/>
          <w:bCs w:val="0"/>
          <w:szCs w:val="24"/>
        </w:rPr>
        <w:t xml:space="preserve">ocenia się, czy </w:t>
      </w:r>
      <w:r w:rsidRPr="00B162E7">
        <w:rPr>
          <w:rFonts w:ascii="Times New Roman" w:hAnsi="Times New Roman" w:cs="Times New Roman"/>
          <w:bCs w:val="0"/>
          <w:szCs w:val="24"/>
        </w:rPr>
        <w:t xml:space="preserve"> zasoby finansowe na realizację przedsięwzięcia zostały zapewnione i są one wystarczające do sfinansowania kosztów przedsięwzięcia podczas jego realizacji, a następnie eksploatacji.</w:t>
      </w:r>
    </w:p>
    <w:p w14:paraId="1875CEB0" w14:textId="6B9C9991" w:rsidR="00DF316F" w:rsidRPr="00B162E7" w:rsidRDefault="0045101C" w:rsidP="00DF316F">
      <w:pPr>
        <w:pStyle w:val="USTustnpkodeksu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 xml:space="preserve">Zgodnie </w:t>
      </w:r>
      <w:bookmarkStart w:id="3" w:name="_Hlk98920122"/>
      <w:r w:rsidRPr="00B162E7">
        <w:rPr>
          <w:rFonts w:ascii="Times New Roman" w:hAnsi="Times New Roman" w:cs="Times New Roman"/>
          <w:bCs w:val="0"/>
          <w:szCs w:val="24"/>
        </w:rPr>
        <w:t xml:space="preserve">z § </w:t>
      </w:r>
      <w:r w:rsidR="00946B9E" w:rsidRPr="00B162E7">
        <w:rPr>
          <w:rFonts w:ascii="Times New Roman" w:hAnsi="Times New Roman" w:cs="Times New Roman"/>
          <w:bCs w:val="0"/>
          <w:szCs w:val="24"/>
        </w:rPr>
        <w:t>4</w:t>
      </w:r>
      <w:r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6E1ECE" w:rsidRPr="00B162E7">
        <w:rPr>
          <w:rFonts w:ascii="Times New Roman" w:hAnsi="Times New Roman" w:cs="Times New Roman"/>
          <w:bCs w:val="0"/>
          <w:szCs w:val="24"/>
        </w:rPr>
        <w:t xml:space="preserve">ust. 1 </w:t>
      </w:r>
      <w:r w:rsidRPr="00B162E7">
        <w:rPr>
          <w:rFonts w:ascii="Times New Roman" w:hAnsi="Times New Roman" w:cs="Times New Roman"/>
          <w:bCs w:val="0"/>
          <w:szCs w:val="24"/>
        </w:rPr>
        <w:t>projektu rozporządzenia</w:t>
      </w:r>
      <w:bookmarkEnd w:id="3"/>
      <w:r w:rsidR="00565FA5" w:rsidRPr="00B162E7">
        <w:rPr>
          <w:rFonts w:ascii="Times New Roman" w:hAnsi="Times New Roman" w:cs="Times New Roman"/>
          <w:bCs w:val="0"/>
          <w:szCs w:val="24"/>
        </w:rPr>
        <w:t>,</w:t>
      </w:r>
      <w:r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DF316F" w:rsidRPr="00B162E7">
        <w:rPr>
          <w:rFonts w:ascii="Times New Roman" w:hAnsi="Times New Roman" w:cs="Times New Roman"/>
          <w:bCs w:val="0"/>
          <w:szCs w:val="24"/>
        </w:rPr>
        <w:t>analiz</w:t>
      </w:r>
      <w:r w:rsidR="00EA1E8F" w:rsidRPr="00B162E7">
        <w:rPr>
          <w:rFonts w:ascii="Times New Roman" w:hAnsi="Times New Roman" w:cs="Times New Roman"/>
          <w:bCs w:val="0"/>
          <w:szCs w:val="24"/>
        </w:rPr>
        <w:t>ę</w:t>
      </w:r>
      <w:r w:rsidR="00DF316F" w:rsidRPr="00B162E7">
        <w:rPr>
          <w:rFonts w:ascii="Times New Roman" w:hAnsi="Times New Roman" w:cs="Times New Roman"/>
          <w:bCs w:val="0"/>
          <w:szCs w:val="24"/>
        </w:rPr>
        <w:t xml:space="preserve"> ekonomiczn</w:t>
      </w:r>
      <w:r w:rsidR="00EA1E8F" w:rsidRPr="00B162E7">
        <w:rPr>
          <w:rFonts w:ascii="Times New Roman" w:hAnsi="Times New Roman" w:cs="Times New Roman"/>
          <w:bCs w:val="0"/>
          <w:szCs w:val="24"/>
        </w:rPr>
        <w:t>ą</w:t>
      </w:r>
      <w:r w:rsidR="00DF316F" w:rsidRPr="00B162E7">
        <w:rPr>
          <w:rFonts w:ascii="Times New Roman" w:hAnsi="Times New Roman" w:cs="Times New Roman"/>
          <w:bCs w:val="0"/>
          <w:szCs w:val="24"/>
        </w:rPr>
        <w:t xml:space="preserve"> należy przeprowadzić </w:t>
      </w:r>
      <w:r w:rsidR="00EA1E8F" w:rsidRPr="00B162E7">
        <w:rPr>
          <w:rFonts w:ascii="Times New Roman" w:hAnsi="Times New Roman" w:cs="Times New Roman"/>
          <w:bCs w:val="0"/>
          <w:szCs w:val="24"/>
        </w:rPr>
        <w:t>stosując następujące metody</w:t>
      </w:r>
      <w:r w:rsidR="00DF316F" w:rsidRPr="00B162E7">
        <w:rPr>
          <w:rFonts w:ascii="Times New Roman" w:hAnsi="Times New Roman" w:cs="Times New Roman"/>
          <w:bCs w:val="0"/>
          <w:szCs w:val="24"/>
        </w:rPr>
        <w:t>:</w:t>
      </w:r>
    </w:p>
    <w:p w14:paraId="1493C82C" w14:textId="0213F3F7" w:rsidR="00904EEE" w:rsidRPr="00B162E7" w:rsidRDefault="001E652A" w:rsidP="00C8611A">
      <w:pPr>
        <w:pStyle w:val="USTustnpkodeksu"/>
        <w:numPr>
          <w:ilvl w:val="0"/>
          <w:numId w:val="13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szCs w:val="24"/>
        </w:rPr>
        <w:t>analiz</w:t>
      </w:r>
      <w:r w:rsidR="00565FA5" w:rsidRPr="00B162E7">
        <w:rPr>
          <w:rFonts w:ascii="Times New Roman" w:hAnsi="Times New Roman" w:cs="Times New Roman"/>
          <w:szCs w:val="24"/>
        </w:rPr>
        <w:t>ę</w:t>
      </w:r>
      <w:r w:rsidRPr="00B162E7">
        <w:rPr>
          <w:rFonts w:ascii="Times New Roman" w:hAnsi="Times New Roman" w:cs="Times New Roman"/>
          <w:szCs w:val="24"/>
        </w:rPr>
        <w:t xml:space="preserve"> strumieni ekonomicznych kosztów i korzyści generowanych w wyniku realizacji przedsięwzięcia w poszczególnych latach okresu odniesienia</w:t>
      </w:r>
      <w:r w:rsidR="00565FA5" w:rsidRPr="00B162E7">
        <w:rPr>
          <w:rFonts w:ascii="Times New Roman" w:hAnsi="Times New Roman" w:cs="Times New Roman"/>
          <w:szCs w:val="24"/>
        </w:rPr>
        <w:t>. A</w:t>
      </w:r>
      <w:r w:rsidRPr="00B162E7">
        <w:rPr>
          <w:rFonts w:ascii="Times New Roman" w:hAnsi="Times New Roman" w:cs="Times New Roman"/>
          <w:szCs w:val="24"/>
        </w:rPr>
        <w:t>naliza ta jest niezbędna w celu wyliczenia wskaźników omówionych w pkt 5</w:t>
      </w:r>
      <w:r w:rsidR="00C51E84" w:rsidRPr="00B162E7">
        <w:rPr>
          <w:rFonts w:ascii="Times New Roman" w:hAnsi="Times New Roman" w:cs="Times New Roman"/>
          <w:szCs w:val="24"/>
        </w:rPr>
        <w:t xml:space="preserve"> oraz </w:t>
      </w:r>
      <w:r w:rsidR="00C51E84" w:rsidRPr="00B162E7">
        <w:rPr>
          <w:rFonts w:ascii="Times New Roman" w:hAnsi="Times New Roman" w:cs="Times New Roman"/>
          <w:bCs w:val="0"/>
          <w:szCs w:val="24"/>
        </w:rPr>
        <w:t>ustalenia efektywności ekonomicznej przedsięwzięcia</w:t>
      </w:r>
      <w:r w:rsidRPr="00B162E7">
        <w:rPr>
          <w:rFonts w:ascii="Times New Roman" w:hAnsi="Times New Roman" w:cs="Times New Roman"/>
          <w:szCs w:val="24"/>
        </w:rPr>
        <w:t>;</w:t>
      </w:r>
    </w:p>
    <w:p w14:paraId="2AA627DF" w14:textId="1665BF7D" w:rsidR="000674CB" w:rsidRPr="00B162E7" w:rsidRDefault="00565FA5" w:rsidP="00EA1E8F">
      <w:pPr>
        <w:pStyle w:val="USTustnpkodeksu"/>
        <w:numPr>
          <w:ilvl w:val="0"/>
          <w:numId w:val="13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skorygowani</w:t>
      </w:r>
      <w:r w:rsidR="00897018" w:rsidRPr="00B162E7">
        <w:rPr>
          <w:rFonts w:ascii="Times New Roman" w:hAnsi="Times New Roman" w:cs="Times New Roman"/>
          <w:bCs w:val="0"/>
          <w:szCs w:val="24"/>
        </w:rPr>
        <w:t>e</w:t>
      </w:r>
      <w:r w:rsidR="00DF316F" w:rsidRPr="00B162E7">
        <w:rPr>
          <w:rFonts w:ascii="Times New Roman" w:hAnsi="Times New Roman" w:cs="Times New Roman"/>
          <w:bCs w:val="0"/>
          <w:szCs w:val="24"/>
        </w:rPr>
        <w:t xml:space="preserve"> wyni</w:t>
      </w:r>
      <w:r w:rsidR="00046392" w:rsidRPr="00B162E7">
        <w:rPr>
          <w:rFonts w:ascii="Times New Roman" w:hAnsi="Times New Roman" w:cs="Times New Roman"/>
          <w:bCs w:val="0"/>
          <w:szCs w:val="24"/>
        </w:rPr>
        <w:t>k</w:t>
      </w:r>
      <w:r w:rsidR="00897018" w:rsidRPr="00B162E7">
        <w:rPr>
          <w:rFonts w:ascii="Times New Roman" w:hAnsi="Times New Roman" w:cs="Times New Roman"/>
          <w:bCs w:val="0"/>
          <w:szCs w:val="24"/>
        </w:rPr>
        <w:t>ów</w:t>
      </w:r>
      <w:r w:rsidR="002335CD"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DF316F" w:rsidRPr="00B162E7">
        <w:rPr>
          <w:rFonts w:ascii="Times New Roman" w:hAnsi="Times New Roman" w:cs="Times New Roman"/>
          <w:bCs w:val="0"/>
          <w:szCs w:val="24"/>
        </w:rPr>
        <w:t>analizy finansowej o efekty fiskalne, efekty zewnętrzne oraz przekształcenie cen rynkowych na ceny rozrachunkowe</w:t>
      </w:r>
      <w:r w:rsidR="00E76A3F" w:rsidRPr="00B162E7">
        <w:rPr>
          <w:rFonts w:ascii="Times New Roman" w:hAnsi="Times New Roman" w:cs="Times New Roman"/>
          <w:bCs w:val="0"/>
          <w:szCs w:val="24"/>
        </w:rPr>
        <w:t>.</w:t>
      </w:r>
      <w:r w:rsidR="001A33E4" w:rsidRPr="00B162E7">
        <w:rPr>
          <w:rFonts w:ascii="Times New Roman" w:hAnsi="Times New Roman" w:cs="Times New Roman"/>
          <w:bCs w:val="0"/>
          <w:szCs w:val="24"/>
        </w:rPr>
        <w:t xml:space="preserve"> </w:t>
      </w:r>
    </w:p>
    <w:p w14:paraId="0238F154" w14:textId="77777777" w:rsidR="00A25B18" w:rsidRDefault="00A84CAA" w:rsidP="005E4454">
      <w:pPr>
        <w:pStyle w:val="USTustnpkodeksu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K</w:t>
      </w:r>
      <w:r w:rsidRPr="00A84CAA">
        <w:rPr>
          <w:rFonts w:ascii="Times New Roman" w:hAnsi="Times New Roman" w:cs="Times New Roman"/>
          <w:bCs w:val="0"/>
          <w:szCs w:val="24"/>
        </w:rPr>
        <w:t>orekta dotycząca efektów zewnętrznych</w:t>
      </w:r>
      <w:r>
        <w:rPr>
          <w:rFonts w:ascii="Times New Roman" w:hAnsi="Times New Roman" w:cs="Times New Roman"/>
          <w:bCs w:val="0"/>
          <w:szCs w:val="24"/>
        </w:rPr>
        <w:t>, o której mowa w</w:t>
      </w:r>
      <w:r w:rsidRPr="00A84CAA">
        <w:t xml:space="preserve"> </w:t>
      </w:r>
      <w:r w:rsidRPr="00A84CAA">
        <w:rPr>
          <w:rFonts w:ascii="Times New Roman" w:hAnsi="Times New Roman" w:cs="Times New Roman"/>
          <w:bCs w:val="0"/>
          <w:szCs w:val="24"/>
        </w:rPr>
        <w:t xml:space="preserve">z § 4 ust. 1 </w:t>
      </w:r>
      <w:r>
        <w:rPr>
          <w:rFonts w:ascii="Times New Roman" w:hAnsi="Times New Roman" w:cs="Times New Roman"/>
          <w:bCs w:val="0"/>
          <w:szCs w:val="24"/>
        </w:rPr>
        <w:t xml:space="preserve">pkt 2 </w:t>
      </w:r>
      <w:r w:rsidRPr="00A84CAA">
        <w:rPr>
          <w:rFonts w:ascii="Times New Roman" w:hAnsi="Times New Roman" w:cs="Times New Roman"/>
          <w:bCs w:val="0"/>
          <w:szCs w:val="24"/>
        </w:rPr>
        <w:t>projektu rozporządzenia ma na celu określenie oddziaływania generowanego przez przedsięwzięcie, które ma wpływ na podmioty zewnętrzne, którym bezpośrednio nie towarzyszą przepływy finansowe. Ponieważ efekty zewnętrzne, z samej definicji, następują bez pieniężnego przepływu, nie są one uwzględnione w analizie finansowej, w związku z czym muszą zostać oszacowane i wycenione. Przekształcenie z cen rynkowych w ceny rozrachunkowe (ukryte) ma na celu uwzględnienie czynników mogących oderwać ceny od równowagi konkurencyjnej (tj. skutecznego rynku), takich jak: niedoskonałości rynku, monopole, bariery handlowe, regulacje w zakresie prawa pracy, niepełna informacja,</w:t>
      </w:r>
      <w:r w:rsidR="00A25B18">
        <w:rPr>
          <w:rFonts w:ascii="Times New Roman" w:hAnsi="Times New Roman" w:cs="Times New Roman"/>
          <w:bCs w:val="0"/>
          <w:szCs w:val="24"/>
        </w:rPr>
        <w:t xml:space="preserve"> </w:t>
      </w:r>
      <w:r w:rsidRPr="00A84CAA">
        <w:rPr>
          <w:rFonts w:ascii="Times New Roman" w:hAnsi="Times New Roman" w:cs="Times New Roman"/>
          <w:bCs w:val="0"/>
          <w:szCs w:val="24"/>
        </w:rPr>
        <w:t>itp.</w:t>
      </w:r>
    </w:p>
    <w:p w14:paraId="5EAE380A" w14:textId="77409D9B" w:rsidR="00A84CAA" w:rsidRDefault="00A84CAA" w:rsidP="005E4454">
      <w:pPr>
        <w:pStyle w:val="USTustnpkodeksu"/>
        <w:rPr>
          <w:rFonts w:ascii="Times New Roman" w:hAnsi="Times New Roman" w:cs="Times New Roman"/>
          <w:bCs w:val="0"/>
          <w:szCs w:val="24"/>
        </w:rPr>
      </w:pPr>
      <w:r w:rsidRPr="00A84CAA">
        <w:rPr>
          <w:rFonts w:ascii="Times New Roman" w:hAnsi="Times New Roman" w:cs="Times New Roman"/>
          <w:bCs w:val="0"/>
          <w:szCs w:val="24"/>
        </w:rPr>
        <w:t xml:space="preserve"> Prze</w:t>
      </w:r>
      <w:r w:rsidR="00A25B18">
        <w:rPr>
          <w:rFonts w:ascii="Times New Roman" w:hAnsi="Times New Roman" w:cs="Times New Roman"/>
          <w:bCs w:val="0"/>
          <w:szCs w:val="24"/>
        </w:rPr>
        <w:t>kształce</w:t>
      </w:r>
      <w:r w:rsidRPr="00A84CAA">
        <w:rPr>
          <w:rFonts w:ascii="Times New Roman" w:hAnsi="Times New Roman" w:cs="Times New Roman"/>
          <w:bCs w:val="0"/>
          <w:szCs w:val="24"/>
        </w:rPr>
        <w:t>nie cen rynkowych na rozrachunkowe ma na celu zapewnienie, że te ostatnie będą odzwierciedlały koszt alternatywny wkładu w przedsięwzięcie oraz gotowość klienta do zapłaty za produkt końcowy.</w:t>
      </w:r>
    </w:p>
    <w:p w14:paraId="50F1E681" w14:textId="77777777" w:rsidR="00A84CAA" w:rsidRDefault="00A84CAA" w:rsidP="005E4454">
      <w:pPr>
        <w:pStyle w:val="USTustnpkodeksu"/>
        <w:rPr>
          <w:rFonts w:ascii="Times New Roman" w:hAnsi="Times New Roman" w:cs="Times New Roman"/>
          <w:bCs w:val="0"/>
          <w:szCs w:val="24"/>
        </w:rPr>
      </w:pPr>
    </w:p>
    <w:p w14:paraId="021899AC" w14:textId="0A6A6ADF" w:rsidR="002032B8" w:rsidRPr="00B162E7" w:rsidRDefault="002032B8" w:rsidP="002032B8">
      <w:pPr>
        <w:pStyle w:val="USTustnpkodeksu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Ponadto w ramach a</w:t>
      </w:r>
      <w:r w:rsidRPr="00CD537B">
        <w:rPr>
          <w:rFonts w:ascii="Times New Roman" w:hAnsi="Times New Roman" w:cs="Times New Roman"/>
          <w:bCs w:val="0"/>
          <w:szCs w:val="24"/>
        </w:rPr>
        <w:t>naliz</w:t>
      </w:r>
      <w:r>
        <w:rPr>
          <w:rFonts w:ascii="Times New Roman" w:hAnsi="Times New Roman" w:cs="Times New Roman"/>
          <w:bCs w:val="0"/>
          <w:szCs w:val="24"/>
        </w:rPr>
        <w:t>y</w:t>
      </w:r>
      <w:r w:rsidRPr="00CD537B">
        <w:rPr>
          <w:rFonts w:ascii="Times New Roman" w:hAnsi="Times New Roman" w:cs="Times New Roman"/>
          <w:bCs w:val="0"/>
          <w:szCs w:val="24"/>
        </w:rPr>
        <w:t xml:space="preserve"> ekonomiczn</w:t>
      </w:r>
      <w:r>
        <w:rPr>
          <w:rFonts w:ascii="Times New Roman" w:hAnsi="Times New Roman" w:cs="Times New Roman"/>
          <w:bCs w:val="0"/>
          <w:szCs w:val="24"/>
        </w:rPr>
        <w:t xml:space="preserve">ej, o której mowa w </w:t>
      </w:r>
      <w:r w:rsidRPr="00B162E7">
        <w:rPr>
          <w:rFonts w:ascii="Times New Roman" w:hAnsi="Times New Roman" w:cs="Times New Roman"/>
          <w:bCs w:val="0"/>
          <w:szCs w:val="24"/>
        </w:rPr>
        <w:t>§ 4 ust. 1</w:t>
      </w:r>
      <w:r w:rsidR="00A25B18">
        <w:rPr>
          <w:rFonts w:ascii="Times New Roman" w:hAnsi="Times New Roman" w:cs="Times New Roman"/>
          <w:bCs w:val="0"/>
          <w:szCs w:val="24"/>
        </w:rPr>
        <w:t xml:space="preserve"> projektu rozporządzenia</w:t>
      </w:r>
      <w:r w:rsidRPr="00B162E7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należy:</w:t>
      </w:r>
    </w:p>
    <w:p w14:paraId="04CC05D3" w14:textId="77777777" w:rsidR="002032B8" w:rsidRPr="00B162E7" w:rsidRDefault="002032B8" w:rsidP="002032B8">
      <w:pPr>
        <w:pStyle w:val="USTustnpkodeksu"/>
        <w:numPr>
          <w:ilvl w:val="0"/>
          <w:numId w:val="25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zastosować współczynniki konwersji</w:t>
      </w:r>
      <w:r>
        <w:rPr>
          <w:rFonts w:ascii="Times New Roman" w:hAnsi="Times New Roman" w:cs="Times New Roman"/>
          <w:bCs w:val="0"/>
          <w:szCs w:val="24"/>
        </w:rPr>
        <w:t>,</w:t>
      </w:r>
      <w:r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Pr="00D7533F">
        <w:rPr>
          <w:rFonts w:ascii="Times New Roman" w:hAnsi="Times New Roman" w:cs="Times New Roman"/>
          <w:bCs w:val="0"/>
          <w:szCs w:val="24"/>
        </w:rPr>
        <w:t xml:space="preserve">o którym mowa w ust. 4 </w:t>
      </w:r>
      <w:r w:rsidRPr="00B162E7">
        <w:rPr>
          <w:rFonts w:ascii="Times New Roman" w:hAnsi="Times New Roman" w:cs="Times New Roman"/>
          <w:bCs w:val="0"/>
          <w:szCs w:val="24"/>
        </w:rPr>
        <w:t>do nakładów</w:t>
      </w:r>
      <w:r>
        <w:rPr>
          <w:rFonts w:ascii="Times New Roman" w:hAnsi="Times New Roman" w:cs="Times New Roman"/>
          <w:bCs w:val="0"/>
          <w:szCs w:val="24"/>
        </w:rPr>
        <w:t xml:space="preserve"> inwestycyjnych</w:t>
      </w:r>
      <w:r w:rsidRPr="00B162E7">
        <w:rPr>
          <w:rFonts w:ascii="Times New Roman" w:hAnsi="Times New Roman" w:cs="Times New Roman"/>
          <w:bCs w:val="0"/>
          <w:szCs w:val="24"/>
        </w:rPr>
        <w:t xml:space="preserve"> w ramach przedsięwzięcia i obliczenia wynagrodzeń ukrytych, które określa się je jako stosunek cen rozrachunkowych (ukrytych) do cen rynkowych.</w:t>
      </w:r>
      <w:r w:rsidRPr="00B162E7">
        <w:rPr>
          <w:rFonts w:ascii="Times New Roman" w:hAnsi="Times New Roman" w:cs="Times New Roman"/>
          <w:szCs w:val="24"/>
        </w:rPr>
        <w:t xml:space="preserve"> </w:t>
      </w:r>
      <w:r w:rsidRPr="00B162E7">
        <w:rPr>
          <w:rFonts w:ascii="Times New Roman" w:hAnsi="Times New Roman" w:cs="Times New Roman"/>
          <w:bCs w:val="0"/>
          <w:szCs w:val="24"/>
        </w:rPr>
        <w:t xml:space="preserve">Płace bieżące mogą stanowić zniekształcony współczynnik społeczny kosztu alternatywnego pracy z powodu niedoskonałości rynków pracy lub występowania braku równowagi makroekonomicznej; </w:t>
      </w:r>
    </w:p>
    <w:p w14:paraId="220814D2" w14:textId="77777777" w:rsidR="002032B8" w:rsidRPr="00B162E7" w:rsidRDefault="002032B8" w:rsidP="002032B8">
      <w:pPr>
        <w:pStyle w:val="USTustnpkodeksu"/>
        <w:numPr>
          <w:ilvl w:val="0"/>
          <w:numId w:val="25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przeprowadzić ocenę emisji gazów cieplarnianych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  <w:r w:rsidRPr="00CD537B">
        <w:rPr>
          <w:rFonts w:ascii="Times New Roman" w:hAnsi="Times New Roman" w:cs="Times New Roman"/>
          <w:bCs w:val="0"/>
          <w:szCs w:val="24"/>
        </w:rPr>
        <w:t xml:space="preserve">– </w:t>
      </w:r>
      <w:r w:rsidRPr="00B162E7">
        <w:rPr>
          <w:rFonts w:ascii="Times New Roman" w:hAnsi="Times New Roman" w:cs="Times New Roman"/>
          <w:bCs w:val="0"/>
          <w:szCs w:val="24"/>
        </w:rPr>
        <w:t>należy</w:t>
      </w:r>
      <w:r>
        <w:rPr>
          <w:rFonts w:ascii="Times New Roman" w:hAnsi="Times New Roman" w:cs="Times New Roman"/>
          <w:bCs w:val="0"/>
          <w:szCs w:val="24"/>
        </w:rPr>
        <w:t xml:space="preserve"> przy tym</w:t>
      </w:r>
      <w:r w:rsidRPr="00B162E7">
        <w:rPr>
          <w:rFonts w:ascii="Times New Roman" w:hAnsi="Times New Roman" w:cs="Times New Roman"/>
          <w:bCs w:val="0"/>
          <w:szCs w:val="24"/>
        </w:rPr>
        <w:t xml:space="preserve"> uwzględnić koszty i korzyści związane z przedsięwzięciem w kontekście emisji gazów cieplarnianych i zmiany klimatu. Ocena ma na celu określenie wpływu realizacji przedsięwzięcia na klimat;</w:t>
      </w:r>
    </w:p>
    <w:p w14:paraId="2B138A5B" w14:textId="77777777" w:rsidR="002032B8" w:rsidRPr="00B162E7" w:rsidRDefault="002032B8" w:rsidP="002032B8">
      <w:pPr>
        <w:pStyle w:val="USTustnpkodeksu"/>
        <w:numPr>
          <w:ilvl w:val="0"/>
          <w:numId w:val="25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przeprowadzić analizę efektywności ekonomicznej przedsięwzięcia na podstawie wskaźników ekonomicznej zaktualizowanej wartość netto (ENPV)</w:t>
      </w:r>
      <w:r>
        <w:rPr>
          <w:rFonts w:ascii="Times New Roman" w:hAnsi="Times New Roman" w:cs="Times New Roman"/>
          <w:bCs w:val="0"/>
          <w:szCs w:val="24"/>
        </w:rPr>
        <w:t>,</w:t>
      </w:r>
      <w:r w:rsidRPr="00B162E7">
        <w:rPr>
          <w:rFonts w:ascii="Times New Roman" w:hAnsi="Times New Roman" w:cs="Times New Roman"/>
          <w:bCs w:val="0"/>
          <w:szCs w:val="24"/>
        </w:rPr>
        <w:t xml:space="preserve"> ekonomicznej stopy zwrotu (ERR) oraz wskaźnik korzyści i kosztów (B/C).</w:t>
      </w:r>
    </w:p>
    <w:p w14:paraId="694DC9CD" w14:textId="35052937" w:rsidR="00EA1E8F" w:rsidRPr="00B162E7" w:rsidRDefault="000674CB" w:rsidP="005E4454">
      <w:pPr>
        <w:pStyle w:val="USTustnpkodeksu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 xml:space="preserve">Zgodnie z § </w:t>
      </w:r>
      <w:r w:rsidR="00946B9E" w:rsidRPr="00B162E7">
        <w:rPr>
          <w:rFonts w:ascii="Times New Roman" w:hAnsi="Times New Roman" w:cs="Times New Roman"/>
          <w:bCs w:val="0"/>
          <w:szCs w:val="24"/>
        </w:rPr>
        <w:t>4</w:t>
      </w:r>
      <w:r w:rsidRPr="00B162E7">
        <w:rPr>
          <w:rFonts w:ascii="Times New Roman" w:hAnsi="Times New Roman" w:cs="Times New Roman"/>
          <w:bCs w:val="0"/>
          <w:szCs w:val="24"/>
        </w:rPr>
        <w:t xml:space="preserve"> ust. 2</w:t>
      </w:r>
      <w:r w:rsidR="006B7F83" w:rsidRPr="00B162E7">
        <w:rPr>
          <w:rFonts w:ascii="Times New Roman" w:hAnsi="Times New Roman" w:cs="Times New Roman"/>
          <w:bCs w:val="0"/>
          <w:szCs w:val="24"/>
        </w:rPr>
        <w:t xml:space="preserve"> projektu rozporządzenia</w:t>
      </w:r>
      <w:r w:rsidR="009837A7">
        <w:rPr>
          <w:rFonts w:ascii="Times New Roman" w:hAnsi="Times New Roman" w:cs="Times New Roman"/>
          <w:bCs w:val="0"/>
          <w:szCs w:val="24"/>
        </w:rPr>
        <w:t xml:space="preserve">, </w:t>
      </w:r>
      <w:r w:rsidRPr="00B162E7">
        <w:rPr>
          <w:rFonts w:ascii="Times New Roman" w:hAnsi="Times New Roman" w:cs="Times New Roman"/>
          <w:bCs w:val="0"/>
          <w:szCs w:val="24"/>
        </w:rPr>
        <w:t>w</w:t>
      </w:r>
      <w:r w:rsidR="00EA1E8F" w:rsidRPr="00B162E7">
        <w:rPr>
          <w:rFonts w:ascii="Times New Roman" w:hAnsi="Times New Roman" w:cs="Times New Roman"/>
          <w:bCs w:val="0"/>
          <w:szCs w:val="24"/>
        </w:rPr>
        <w:t xml:space="preserve"> ramach</w:t>
      </w:r>
      <w:r w:rsidR="00607F54"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EA1E8F" w:rsidRPr="00B162E7">
        <w:rPr>
          <w:rFonts w:ascii="Times New Roman" w:hAnsi="Times New Roman" w:cs="Times New Roman"/>
          <w:bCs w:val="0"/>
          <w:szCs w:val="24"/>
        </w:rPr>
        <w:t>k</w:t>
      </w:r>
      <w:r w:rsidR="001A33E4" w:rsidRPr="00B162E7">
        <w:rPr>
          <w:rFonts w:ascii="Times New Roman" w:hAnsi="Times New Roman" w:cs="Times New Roman"/>
          <w:bCs w:val="0"/>
          <w:szCs w:val="24"/>
        </w:rPr>
        <w:t>orekt</w:t>
      </w:r>
      <w:r w:rsidR="00607F54" w:rsidRPr="00B162E7">
        <w:rPr>
          <w:rFonts w:ascii="Times New Roman" w:hAnsi="Times New Roman" w:cs="Times New Roman"/>
          <w:bCs w:val="0"/>
          <w:szCs w:val="24"/>
        </w:rPr>
        <w:t>y</w:t>
      </w:r>
      <w:r w:rsidR="00AE7DE3" w:rsidRPr="00B162E7">
        <w:rPr>
          <w:rFonts w:ascii="Times New Roman" w:hAnsi="Times New Roman" w:cs="Times New Roman"/>
          <w:bCs w:val="0"/>
          <w:szCs w:val="24"/>
        </w:rPr>
        <w:t xml:space="preserve"> wyników</w:t>
      </w:r>
      <w:r w:rsidR="00607F54" w:rsidRPr="00B162E7">
        <w:rPr>
          <w:rFonts w:ascii="Times New Roman" w:hAnsi="Times New Roman" w:cs="Times New Roman"/>
          <w:bCs w:val="0"/>
          <w:szCs w:val="24"/>
        </w:rPr>
        <w:t xml:space="preserve"> analizy finansowej o efekty fiskalne, </w:t>
      </w:r>
      <w:r w:rsidR="00EA1E8F" w:rsidRPr="00B162E7">
        <w:rPr>
          <w:rFonts w:ascii="Times New Roman" w:hAnsi="Times New Roman" w:cs="Times New Roman"/>
          <w:bCs w:val="0"/>
          <w:szCs w:val="24"/>
        </w:rPr>
        <w:t xml:space="preserve">należy: </w:t>
      </w:r>
    </w:p>
    <w:p w14:paraId="1C54AB57" w14:textId="3AE5AEB3" w:rsidR="00EA1E8F" w:rsidRPr="00B162E7" w:rsidRDefault="00EA1E8F" w:rsidP="003769DF">
      <w:pPr>
        <w:pStyle w:val="USTustnpkodeksu"/>
        <w:numPr>
          <w:ilvl w:val="0"/>
          <w:numId w:val="23"/>
        </w:numPr>
        <w:ind w:left="709" w:hanging="283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 xml:space="preserve">wszystkie wartości </w:t>
      </w:r>
      <w:r w:rsidR="00607F54" w:rsidRPr="00B162E7">
        <w:rPr>
          <w:rFonts w:ascii="Times New Roman" w:hAnsi="Times New Roman" w:cs="Times New Roman"/>
          <w:bCs w:val="0"/>
          <w:szCs w:val="24"/>
        </w:rPr>
        <w:t>podawać</w:t>
      </w:r>
      <w:r w:rsidRPr="00B162E7">
        <w:rPr>
          <w:rFonts w:ascii="Times New Roman" w:hAnsi="Times New Roman" w:cs="Times New Roman"/>
          <w:bCs w:val="0"/>
          <w:szCs w:val="24"/>
        </w:rPr>
        <w:t xml:space="preserve"> w kwotach netto, bez podatków pośrednich; </w:t>
      </w:r>
    </w:p>
    <w:p w14:paraId="2E2882CC" w14:textId="77777777" w:rsidR="003769DF" w:rsidRDefault="00EA1E8F" w:rsidP="003769DF">
      <w:pPr>
        <w:pStyle w:val="USTustnpkodeksu"/>
        <w:numPr>
          <w:ilvl w:val="0"/>
          <w:numId w:val="23"/>
        </w:numPr>
        <w:ind w:left="709" w:hanging="283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pominąć wszystkie podatki bezpośrednie;</w:t>
      </w:r>
    </w:p>
    <w:p w14:paraId="01F11A69" w14:textId="77777777" w:rsidR="003769DF" w:rsidRDefault="00EA1E8F" w:rsidP="003769DF">
      <w:pPr>
        <w:pStyle w:val="USTustnpkodeksu"/>
        <w:numPr>
          <w:ilvl w:val="0"/>
          <w:numId w:val="23"/>
        </w:numPr>
        <w:ind w:left="709" w:hanging="283"/>
        <w:rPr>
          <w:rFonts w:ascii="Times New Roman" w:hAnsi="Times New Roman" w:cs="Times New Roman"/>
          <w:bCs w:val="0"/>
          <w:szCs w:val="24"/>
        </w:rPr>
      </w:pPr>
      <w:r w:rsidRPr="003769DF">
        <w:rPr>
          <w:rFonts w:ascii="Times New Roman" w:hAnsi="Times New Roman" w:cs="Times New Roman"/>
          <w:bCs w:val="0"/>
          <w:szCs w:val="24"/>
        </w:rPr>
        <w:t>pominąć subwencje i dopłaty ze środków publicznych, mające charakter przekazu pieniężnego;</w:t>
      </w:r>
    </w:p>
    <w:p w14:paraId="35252F43" w14:textId="20A8AC92" w:rsidR="00C51E84" w:rsidRPr="003769DF" w:rsidRDefault="00EA1E8F" w:rsidP="003769DF">
      <w:pPr>
        <w:pStyle w:val="USTustnpkodeksu"/>
        <w:numPr>
          <w:ilvl w:val="0"/>
          <w:numId w:val="23"/>
        </w:numPr>
        <w:ind w:left="709" w:hanging="283"/>
        <w:rPr>
          <w:rFonts w:ascii="Times New Roman" w:hAnsi="Times New Roman" w:cs="Times New Roman"/>
          <w:bCs w:val="0"/>
          <w:szCs w:val="24"/>
        </w:rPr>
      </w:pPr>
      <w:r w:rsidRPr="003769DF">
        <w:rPr>
          <w:rFonts w:ascii="Times New Roman" w:hAnsi="Times New Roman" w:cs="Times New Roman"/>
          <w:bCs w:val="0"/>
          <w:szCs w:val="24"/>
        </w:rPr>
        <w:t xml:space="preserve">w kosztach wynagrodzeń uwzględnić wydatki na ubezpieczenia społeczne, jako wynagrodzeń odłożonych w czasie. </w:t>
      </w:r>
      <w:r w:rsidR="001A33E4" w:rsidRPr="003769DF">
        <w:rPr>
          <w:rFonts w:ascii="Times New Roman" w:hAnsi="Times New Roman" w:cs="Times New Roman"/>
          <w:bCs w:val="0"/>
          <w:szCs w:val="24"/>
        </w:rPr>
        <w:t xml:space="preserve"> </w:t>
      </w:r>
    </w:p>
    <w:p w14:paraId="77378B88" w14:textId="78811D0C" w:rsidR="00297587" w:rsidRPr="00B162E7" w:rsidRDefault="00297587" w:rsidP="005E4454">
      <w:pPr>
        <w:pStyle w:val="USTustnpkodeksu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Korekta</w:t>
      </w:r>
      <w:r w:rsidR="003769DF">
        <w:rPr>
          <w:rFonts w:ascii="Times New Roman" w:hAnsi="Times New Roman" w:cs="Times New Roman"/>
          <w:bCs w:val="0"/>
          <w:szCs w:val="24"/>
        </w:rPr>
        <w:t xml:space="preserve"> ta</w:t>
      </w:r>
      <w:r w:rsidRPr="00B162E7">
        <w:rPr>
          <w:rFonts w:ascii="Times New Roman" w:hAnsi="Times New Roman" w:cs="Times New Roman"/>
          <w:bCs w:val="0"/>
          <w:szCs w:val="24"/>
        </w:rPr>
        <w:t xml:space="preserve"> ma na celu odzwierciedlenie realnych kosztów lub korzyści ekonomicznych dla społeczeństwa. </w:t>
      </w:r>
    </w:p>
    <w:p w14:paraId="334A90E2" w14:textId="78C193F2" w:rsidR="000674CB" w:rsidRPr="00B162E7" w:rsidRDefault="00727139" w:rsidP="000674CB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ab/>
      </w:r>
      <w:r w:rsidR="000674CB" w:rsidRPr="00B162E7">
        <w:rPr>
          <w:rFonts w:ascii="Times New Roman" w:hAnsi="Times New Roman" w:cs="Times New Roman"/>
          <w:szCs w:val="24"/>
        </w:rPr>
        <w:t xml:space="preserve">Zgodnie z § </w:t>
      </w:r>
      <w:r w:rsidR="00946B9E" w:rsidRPr="00B162E7">
        <w:rPr>
          <w:rFonts w:ascii="Times New Roman" w:hAnsi="Times New Roman" w:cs="Times New Roman"/>
          <w:szCs w:val="24"/>
        </w:rPr>
        <w:t>4</w:t>
      </w:r>
      <w:r w:rsidR="000674CB" w:rsidRPr="00B162E7">
        <w:rPr>
          <w:rFonts w:ascii="Times New Roman" w:hAnsi="Times New Roman" w:cs="Times New Roman"/>
          <w:szCs w:val="24"/>
        </w:rPr>
        <w:t xml:space="preserve"> ust. 5-7</w:t>
      </w:r>
      <w:r w:rsidR="006E1ECE" w:rsidRPr="00B162E7">
        <w:rPr>
          <w:rFonts w:ascii="Times New Roman" w:hAnsi="Times New Roman" w:cs="Times New Roman"/>
          <w:szCs w:val="24"/>
        </w:rPr>
        <w:t xml:space="preserve"> projektu rozporządzenia</w:t>
      </w:r>
      <w:r w:rsidR="000674CB" w:rsidRPr="00B162E7">
        <w:rPr>
          <w:rFonts w:ascii="Times New Roman" w:hAnsi="Times New Roman" w:cs="Times New Roman"/>
          <w:szCs w:val="24"/>
        </w:rPr>
        <w:t xml:space="preserve">: </w:t>
      </w:r>
    </w:p>
    <w:p w14:paraId="108E4C99" w14:textId="79392356" w:rsidR="000674CB" w:rsidRPr="00B162E7" w:rsidRDefault="000674CB" w:rsidP="00A50820">
      <w:pPr>
        <w:pStyle w:val="USTustnpkodeksu"/>
        <w:numPr>
          <w:ilvl w:val="0"/>
          <w:numId w:val="14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wskaźnik ekonomicznej wartość bieżącej netto (ENPV) należy określić jako różnice między zdyskontowanymi całkowitymi korzyściami społecznymi</w:t>
      </w:r>
      <w:r w:rsidR="00565FA5" w:rsidRPr="00B162E7">
        <w:rPr>
          <w:rFonts w:ascii="Times New Roman" w:hAnsi="Times New Roman" w:cs="Times New Roman"/>
          <w:bCs w:val="0"/>
          <w:szCs w:val="24"/>
        </w:rPr>
        <w:t>,</w:t>
      </w:r>
      <w:r w:rsidRPr="00B162E7">
        <w:rPr>
          <w:rFonts w:ascii="Times New Roman" w:hAnsi="Times New Roman" w:cs="Times New Roman"/>
          <w:bCs w:val="0"/>
          <w:szCs w:val="24"/>
        </w:rPr>
        <w:t xml:space="preserve"> a kosztami społecznymi związanymi z przedsięwzięciem</w:t>
      </w:r>
      <w:r w:rsidR="00F45E66" w:rsidRPr="00B162E7">
        <w:rPr>
          <w:rFonts w:ascii="Times New Roman" w:hAnsi="Times New Roman" w:cs="Times New Roman"/>
          <w:bCs w:val="0"/>
          <w:szCs w:val="24"/>
        </w:rPr>
        <w:t>.</w:t>
      </w:r>
      <w:r w:rsidR="00F45E66" w:rsidRPr="00B162E7">
        <w:rPr>
          <w:rFonts w:ascii="Times New Roman" w:hAnsi="Times New Roman" w:cs="Times New Roman"/>
          <w:szCs w:val="24"/>
        </w:rPr>
        <w:t xml:space="preserve"> </w:t>
      </w:r>
      <w:r w:rsidR="00F45E66" w:rsidRPr="00B162E7">
        <w:rPr>
          <w:rFonts w:ascii="Times New Roman" w:hAnsi="Times New Roman" w:cs="Times New Roman"/>
          <w:bCs w:val="0"/>
          <w:szCs w:val="24"/>
        </w:rPr>
        <w:t>Ekonomiczna bieżąca wartość netto przedsięwzięcia ma na celu określenie czy jest ono efektywne ekonomicznie</w:t>
      </w:r>
      <w:r w:rsidR="006E1ECE" w:rsidRPr="00B162E7">
        <w:rPr>
          <w:rFonts w:ascii="Times New Roman" w:hAnsi="Times New Roman" w:cs="Times New Roman"/>
          <w:bCs w:val="0"/>
          <w:szCs w:val="24"/>
        </w:rPr>
        <w:t>;</w:t>
      </w:r>
    </w:p>
    <w:p w14:paraId="05A78E88" w14:textId="3555B070" w:rsidR="000674CB" w:rsidRPr="00B162E7" w:rsidRDefault="000674CB" w:rsidP="00A50820">
      <w:pPr>
        <w:pStyle w:val="USTustnpkodeksu"/>
        <w:numPr>
          <w:ilvl w:val="0"/>
          <w:numId w:val="14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wskaźnik ekonomicznej stopy zwrotu (ERR) należy określić jako stopę dyskontową, dla której ekonomiczna wartość bieżąca netto, jest równa zero</w:t>
      </w:r>
      <w:r w:rsidR="00F45E66" w:rsidRPr="00B162E7">
        <w:rPr>
          <w:rFonts w:ascii="Times New Roman" w:hAnsi="Times New Roman" w:cs="Times New Roman"/>
          <w:bCs w:val="0"/>
          <w:szCs w:val="24"/>
        </w:rPr>
        <w:t xml:space="preserve">. Wskaźnik ma na celu </w:t>
      </w:r>
      <w:r w:rsidR="00F45E66" w:rsidRPr="00B162E7">
        <w:rPr>
          <w:rFonts w:ascii="Times New Roman" w:hAnsi="Times New Roman" w:cs="Times New Roman"/>
          <w:bCs w:val="0"/>
          <w:szCs w:val="24"/>
        </w:rPr>
        <w:lastRenderedPageBreak/>
        <w:t>określenie czy</w:t>
      </w:r>
      <w:r w:rsidR="00F45E66" w:rsidRPr="00B162E7">
        <w:rPr>
          <w:rFonts w:ascii="Times New Roman" w:hAnsi="Times New Roman" w:cs="Times New Roman"/>
          <w:szCs w:val="24"/>
        </w:rPr>
        <w:t xml:space="preserve"> </w:t>
      </w:r>
      <w:r w:rsidR="00F45E66" w:rsidRPr="00B162E7">
        <w:rPr>
          <w:rFonts w:ascii="Times New Roman" w:hAnsi="Times New Roman" w:cs="Times New Roman"/>
          <w:bCs w:val="0"/>
          <w:szCs w:val="24"/>
        </w:rPr>
        <w:t>bieżąca wartość przyszłych korzyści ekonomicznych jest równa bieżącej wartości kosztów ekonomicznych przedsięwzięcia</w:t>
      </w:r>
      <w:r w:rsidR="006E1ECE" w:rsidRPr="00B162E7">
        <w:rPr>
          <w:rFonts w:ascii="Times New Roman" w:hAnsi="Times New Roman" w:cs="Times New Roman"/>
          <w:bCs w:val="0"/>
          <w:szCs w:val="24"/>
        </w:rPr>
        <w:t>;</w:t>
      </w:r>
    </w:p>
    <w:p w14:paraId="2B7AD8B0" w14:textId="4B7454D3" w:rsidR="000674CB" w:rsidRPr="00B162E7" w:rsidRDefault="000674CB" w:rsidP="00A50820">
      <w:pPr>
        <w:pStyle w:val="USTustnpkodeksu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B162E7">
        <w:rPr>
          <w:rFonts w:ascii="Times New Roman" w:hAnsi="Times New Roman" w:cs="Times New Roman"/>
          <w:szCs w:val="24"/>
        </w:rPr>
        <w:t>wskaźnik korzyści i kosztów (B/C) należy określić jako zaktualizowaną wartość netto korzyści wynikających z przedsięwzięcia dzieloną przez zaktualizowaną wartość netto kosztów związanych z przedsięwzięciem.</w:t>
      </w:r>
      <w:r w:rsidR="00F45E66" w:rsidRPr="00B162E7">
        <w:rPr>
          <w:rFonts w:ascii="Times New Roman" w:hAnsi="Times New Roman" w:cs="Times New Roman"/>
          <w:szCs w:val="24"/>
        </w:rPr>
        <w:t xml:space="preserve"> Wskaźnik ma na celu określenie</w:t>
      </w:r>
      <w:r w:rsidR="00565FA5" w:rsidRPr="00B162E7">
        <w:rPr>
          <w:rFonts w:ascii="Times New Roman" w:hAnsi="Times New Roman" w:cs="Times New Roman"/>
          <w:szCs w:val="24"/>
        </w:rPr>
        <w:t>,</w:t>
      </w:r>
      <w:r w:rsidR="00F45E66" w:rsidRPr="00B162E7">
        <w:rPr>
          <w:rFonts w:ascii="Times New Roman" w:hAnsi="Times New Roman" w:cs="Times New Roman"/>
          <w:szCs w:val="24"/>
        </w:rPr>
        <w:t xml:space="preserve"> czy przedsięwzięcie jest efektywne (wartość korzyści przekracza wartość kosztów przedsięwzięcia). </w:t>
      </w:r>
    </w:p>
    <w:p w14:paraId="404136F3" w14:textId="364FE9FD" w:rsidR="0045101C" w:rsidRPr="00B162E7" w:rsidRDefault="0045101C" w:rsidP="0045101C">
      <w:pPr>
        <w:pStyle w:val="USTustnpkodeksu"/>
        <w:ind w:firstLine="708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szCs w:val="24"/>
        </w:rPr>
        <w:t xml:space="preserve">Po drugie, </w:t>
      </w:r>
      <w:bookmarkStart w:id="4" w:name="_Hlk86400558"/>
      <w:r w:rsidRPr="00B162E7">
        <w:rPr>
          <w:rFonts w:ascii="Times New Roman" w:hAnsi="Times New Roman" w:cs="Times New Roman"/>
          <w:szCs w:val="24"/>
        </w:rPr>
        <w:t xml:space="preserve">projekt rozporządzenia określa dane lub źródła danych do celów analizy ekonomicznej kosztów i korzyści. </w:t>
      </w:r>
      <w:bookmarkEnd w:id="4"/>
      <w:r w:rsidRPr="00B162E7">
        <w:rPr>
          <w:rFonts w:ascii="Times New Roman" w:hAnsi="Times New Roman" w:cs="Times New Roman"/>
          <w:bCs w:val="0"/>
          <w:szCs w:val="24"/>
        </w:rPr>
        <w:t>Aktualnie w Polsce nie ma regulacji ww. zakresie.</w:t>
      </w:r>
      <w:r w:rsidRPr="00B162E7">
        <w:rPr>
          <w:rFonts w:ascii="Times New Roman" w:hAnsi="Times New Roman" w:cs="Times New Roman"/>
          <w:szCs w:val="24"/>
        </w:rPr>
        <w:t xml:space="preserve"> Zastosowanie tych samych danych oraz źródeł danych </w:t>
      </w:r>
      <w:r w:rsidRPr="00B162E7">
        <w:rPr>
          <w:rFonts w:ascii="Times New Roman" w:hAnsi="Times New Roman" w:cs="Times New Roman"/>
          <w:bCs w:val="0"/>
          <w:szCs w:val="24"/>
        </w:rPr>
        <w:t>umożliwi dokonanie optymalnego wyboru pr</w:t>
      </w:r>
      <w:r w:rsidR="00002904" w:rsidRPr="00B162E7">
        <w:rPr>
          <w:rFonts w:ascii="Times New Roman" w:hAnsi="Times New Roman" w:cs="Times New Roman"/>
          <w:bCs w:val="0"/>
          <w:szCs w:val="24"/>
        </w:rPr>
        <w:t>zedsięwzięć</w:t>
      </w:r>
      <w:r w:rsidRPr="00B162E7">
        <w:rPr>
          <w:rFonts w:ascii="Times New Roman" w:hAnsi="Times New Roman" w:cs="Times New Roman"/>
          <w:bCs w:val="0"/>
          <w:szCs w:val="24"/>
        </w:rPr>
        <w:t xml:space="preserve"> na podstawie znormalizowanych analiz pozwalających ocenić i porównać te pr</w:t>
      </w:r>
      <w:r w:rsidR="00002904" w:rsidRPr="00B162E7">
        <w:rPr>
          <w:rFonts w:ascii="Times New Roman" w:hAnsi="Times New Roman" w:cs="Times New Roman"/>
          <w:bCs w:val="0"/>
          <w:szCs w:val="24"/>
        </w:rPr>
        <w:t>zedsięwzięcia</w:t>
      </w:r>
      <w:r w:rsidRPr="00B162E7">
        <w:rPr>
          <w:rFonts w:ascii="Times New Roman" w:hAnsi="Times New Roman" w:cs="Times New Roman"/>
          <w:bCs w:val="0"/>
          <w:szCs w:val="24"/>
        </w:rPr>
        <w:t xml:space="preserve"> pod względem ich efektywności kosztowej.  </w:t>
      </w:r>
    </w:p>
    <w:p w14:paraId="016BD0A9" w14:textId="09968F88" w:rsidR="009419B9" w:rsidRPr="00B162E7" w:rsidRDefault="0045101C" w:rsidP="00C8611A">
      <w:pPr>
        <w:pStyle w:val="USTustnpkodeksu"/>
        <w:rPr>
          <w:rFonts w:ascii="Times New Roman" w:hAnsi="Times New Roman" w:cs="Times New Roman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 xml:space="preserve">Zgodnie z § </w:t>
      </w:r>
      <w:r w:rsidR="00946B9E" w:rsidRPr="00B162E7">
        <w:rPr>
          <w:rFonts w:ascii="Times New Roman" w:hAnsi="Times New Roman" w:cs="Times New Roman"/>
          <w:bCs w:val="0"/>
          <w:szCs w:val="24"/>
        </w:rPr>
        <w:t>5</w:t>
      </w:r>
      <w:r w:rsidR="00AF266F" w:rsidRPr="00B162E7">
        <w:rPr>
          <w:rFonts w:ascii="Times New Roman" w:hAnsi="Times New Roman" w:cs="Times New Roman"/>
          <w:bCs w:val="0"/>
          <w:szCs w:val="24"/>
        </w:rPr>
        <w:t xml:space="preserve"> ust. 1</w:t>
      </w:r>
      <w:r w:rsidR="00727139" w:rsidRPr="00727139">
        <w:t xml:space="preserve"> </w:t>
      </w:r>
      <w:r w:rsidR="00727139" w:rsidRPr="00727139">
        <w:rPr>
          <w:rFonts w:ascii="Times New Roman" w:hAnsi="Times New Roman" w:cs="Times New Roman"/>
          <w:bCs w:val="0"/>
          <w:szCs w:val="24"/>
        </w:rPr>
        <w:t>projektu rozporządzenia</w:t>
      </w:r>
      <w:r w:rsidR="00565FA5" w:rsidRPr="00B162E7">
        <w:rPr>
          <w:rFonts w:ascii="Times New Roman" w:hAnsi="Times New Roman" w:cs="Times New Roman"/>
          <w:bCs w:val="0"/>
          <w:szCs w:val="24"/>
        </w:rPr>
        <w:t xml:space="preserve">, </w:t>
      </w:r>
      <w:r w:rsidR="005E40E2" w:rsidRPr="00B162E7">
        <w:rPr>
          <w:rFonts w:ascii="Times New Roman" w:hAnsi="Times New Roman" w:cs="Times New Roman"/>
          <w:szCs w:val="24"/>
        </w:rPr>
        <w:t>a</w:t>
      </w:r>
      <w:r w:rsidR="000E1C7C" w:rsidRPr="00B162E7">
        <w:rPr>
          <w:rFonts w:ascii="Times New Roman" w:hAnsi="Times New Roman" w:cs="Times New Roman"/>
          <w:szCs w:val="24"/>
        </w:rPr>
        <w:t>naliza ekonomiczna kosztów i korzyści uwzględnia, następujące dane</w:t>
      </w:r>
      <w:r w:rsidR="009419B9" w:rsidRPr="00B162E7">
        <w:rPr>
          <w:rFonts w:ascii="Times New Roman" w:hAnsi="Times New Roman" w:cs="Times New Roman"/>
          <w:szCs w:val="24"/>
        </w:rPr>
        <w:t>:</w:t>
      </w:r>
    </w:p>
    <w:p w14:paraId="3E017B38" w14:textId="03653B15" w:rsidR="0045101C" w:rsidRPr="00B162E7" w:rsidRDefault="001830F3" w:rsidP="00C8611A">
      <w:pPr>
        <w:pStyle w:val="USTustnpkodeksu"/>
        <w:numPr>
          <w:ilvl w:val="0"/>
          <w:numId w:val="12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>uśrednione koszty wytworzenia energii elektrycznej, ciepła lub chłodu w jednostce wytwórczej,</w:t>
      </w:r>
      <w:r w:rsidR="00B162E7" w:rsidRPr="00B162E7">
        <w:t xml:space="preserve"> </w:t>
      </w:r>
      <w:r w:rsidR="00B162E7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>o mocy nominalnej cieplnej powyżej 20 MW, sieci ciepłowniczej lub sieci chłodniczej</w:t>
      </w:r>
      <w:r w:rsid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>,</w:t>
      </w:r>
      <w:r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 xml:space="preserve"> o której mowa w art. 10a ust.1 Praw</w:t>
      </w:r>
      <w:r w:rsidR="00B33FEF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>a</w:t>
      </w:r>
      <w:r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 xml:space="preserve"> energetyczne</w:t>
      </w:r>
      <w:r w:rsidR="00B33FEF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>go</w:t>
      </w:r>
      <w:r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>, umożliwiające wiarygodne porównanie ekonomiczne różnych pr</w:t>
      </w:r>
      <w:r w:rsidR="00002904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>zedsięwzięć</w:t>
      </w:r>
      <w:r w:rsidR="00297587" w:rsidRPr="00B162E7">
        <w:rPr>
          <w:rFonts w:ascii="Times New Roman" w:hAnsi="Times New Roman" w:cs="Times New Roman"/>
          <w:bCs w:val="0"/>
          <w:szCs w:val="24"/>
        </w:rPr>
        <w:t xml:space="preserve"> są to dane </w:t>
      </w:r>
      <w:r w:rsidR="00297587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 xml:space="preserve">niezbędne do </w:t>
      </w:r>
      <w:r w:rsidR="00297587" w:rsidRPr="00B162E7">
        <w:rPr>
          <w:rFonts w:ascii="Times New Roman" w:hAnsi="Times New Roman" w:cs="Times New Roman"/>
          <w:bCs w:val="0"/>
          <w:szCs w:val="24"/>
        </w:rPr>
        <w:t>ustalenia efektywności ekonomicznej przedsięwzięcia</w:t>
      </w:r>
      <w:r w:rsidR="007A0BA5">
        <w:rPr>
          <w:rStyle w:val="Ppogrubienie"/>
          <w:rFonts w:ascii="Times New Roman" w:hAnsi="Times New Roman" w:cs="Times New Roman"/>
          <w:b w:val="0"/>
          <w:bCs w:val="0"/>
          <w:szCs w:val="24"/>
        </w:rPr>
        <w:t>;</w:t>
      </w:r>
    </w:p>
    <w:p w14:paraId="59E0DD86" w14:textId="37A57360" w:rsidR="0045101C" w:rsidRPr="00B162E7" w:rsidRDefault="0045101C" w:rsidP="00C8611A">
      <w:pPr>
        <w:pStyle w:val="USTustnpkodeksu"/>
        <w:numPr>
          <w:ilvl w:val="0"/>
          <w:numId w:val="12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oszacowany przeciętny koszt całkowity budowy i eksploatacji instalacji</w:t>
      </w:r>
      <w:r w:rsidR="00B33FEF" w:rsidRPr="00B162E7">
        <w:rPr>
          <w:rFonts w:ascii="Times New Roman" w:hAnsi="Times New Roman" w:cs="Times New Roman"/>
          <w:bCs w:val="0"/>
          <w:szCs w:val="24"/>
        </w:rPr>
        <w:t>. S</w:t>
      </w:r>
      <w:r w:rsidR="00297587" w:rsidRPr="00B162E7">
        <w:rPr>
          <w:rFonts w:ascii="Times New Roman" w:hAnsi="Times New Roman" w:cs="Times New Roman"/>
          <w:bCs w:val="0"/>
          <w:szCs w:val="24"/>
        </w:rPr>
        <w:t xml:space="preserve">ą to dane </w:t>
      </w:r>
      <w:r w:rsidR="00297587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 xml:space="preserve">niezbędne do </w:t>
      </w:r>
      <w:r w:rsidR="00297587" w:rsidRPr="00B162E7">
        <w:rPr>
          <w:rFonts w:ascii="Times New Roman" w:hAnsi="Times New Roman" w:cs="Times New Roman"/>
          <w:bCs w:val="0"/>
          <w:szCs w:val="24"/>
        </w:rPr>
        <w:t>ustalenia efektywności ekonomicznej przedsięwzięcia</w:t>
      </w:r>
      <w:r w:rsidR="007A0BA5">
        <w:rPr>
          <w:rFonts w:ascii="Times New Roman" w:hAnsi="Times New Roman" w:cs="Times New Roman"/>
          <w:bCs w:val="0"/>
          <w:szCs w:val="24"/>
        </w:rPr>
        <w:t>;</w:t>
      </w:r>
    </w:p>
    <w:p w14:paraId="229F30C7" w14:textId="22789884" w:rsidR="0045101C" w:rsidRPr="00B162E7" w:rsidRDefault="001830F3" w:rsidP="00C8611A">
      <w:pPr>
        <w:pStyle w:val="USTustnpkodeksu"/>
        <w:numPr>
          <w:ilvl w:val="0"/>
          <w:numId w:val="12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szCs w:val="24"/>
        </w:rPr>
        <w:t>określenie minimalnej ceny, za jaką energia elektryczna, ciepło lub chłód muszą być sprzedane dla osiągnięcia dodatniego wskaźnika rentowności pr</w:t>
      </w:r>
      <w:r w:rsidR="00002904" w:rsidRPr="00B162E7">
        <w:rPr>
          <w:rFonts w:ascii="Times New Roman" w:hAnsi="Times New Roman" w:cs="Times New Roman"/>
          <w:szCs w:val="24"/>
        </w:rPr>
        <w:t>zedsięwzięcia</w:t>
      </w:r>
      <w:r w:rsidR="00B33FEF" w:rsidRPr="00B162E7">
        <w:rPr>
          <w:rFonts w:ascii="Times New Roman" w:hAnsi="Times New Roman" w:cs="Times New Roman"/>
          <w:szCs w:val="24"/>
        </w:rPr>
        <w:t xml:space="preserve">. </w:t>
      </w:r>
      <w:r w:rsidR="00B33FEF" w:rsidRPr="00B162E7">
        <w:rPr>
          <w:rFonts w:ascii="Times New Roman" w:hAnsi="Times New Roman" w:cs="Times New Roman"/>
          <w:bCs w:val="0"/>
          <w:szCs w:val="24"/>
        </w:rPr>
        <w:t>S</w:t>
      </w:r>
      <w:r w:rsidR="00297587" w:rsidRPr="00B162E7">
        <w:rPr>
          <w:rFonts w:ascii="Times New Roman" w:hAnsi="Times New Roman" w:cs="Times New Roman"/>
          <w:bCs w:val="0"/>
          <w:szCs w:val="24"/>
        </w:rPr>
        <w:t xml:space="preserve">ą to dane </w:t>
      </w:r>
      <w:r w:rsidR="00297587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 xml:space="preserve">niezbędne do </w:t>
      </w:r>
      <w:r w:rsidR="00297587" w:rsidRPr="00B162E7">
        <w:rPr>
          <w:rFonts w:ascii="Times New Roman" w:hAnsi="Times New Roman" w:cs="Times New Roman"/>
          <w:bCs w:val="0"/>
          <w:szCs w:val="24"/>
        </w:rPr>
        <w:t>ustalenia efektywności ekonomicznej przedsięwzięcia</w:t>
      </w:r>
      <w:r w:rsidR="007A0BA5">
        <w:rPr>
          <w:rFonts w:ascii="Times New Roman" w:hAnsi="Times New Roman" w:cs="Times New Roman"/>
          <w:szCs w:val="24"/>
        </w:rPr>
        <w:t>;</w:t>
      </w:r>
    </w:p>
    <w:p w14:paraId="501F06A0" w14:textId="4D9120E7" w:rsidR="0045101C" w:rsidRPr="00B162E7" w:rsidRDefault="00AA6EEC" w:rsidP="00C8611A">
      <w:pPr>
        <w:pStyle w:val="USTustnpkodeksu"/>
        <w:numPr>
          <w:ilvl w:val="0"/>
          <w:numId w:val="12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określenie planowanego zapotrzebowania na energię elektryczną, ciepło lub chłód, uwzględniając w szczególności zapotrzebowanie na ciepło lub chłód na poziomie regionalnym oraz cele określone w aktualnych rządowych dokumentach strategicznych dotyczących sektora paliwowo-energetycznego</w:t>
      </w:r>
      <w:r w:rsidR="00565FA5" w:rsidRPr="00B162E7">
        <w:rPr>
          <w:rFonts w:ascii="Times New Roman" w:hAnsi="Times New Roman" w:cs="Times New Roman"/>
          <w:bCs w:val="0"/>
          <w:szCs w:val="24"/>
        </w:rPr>
        <w:t>. S</w:t>
      </w:r>
      <w:r w:rsidR="00297587" w:rsidRPr="00B162E7">
        <w:rPr>
          <w:rFonts w:ascii="Times New Roman" w:hAnsi="Times New Roman" w:cs="Times New Roman"/>
          <w:bCs w:val="0"/>
          <w:szCs w:val="24"/>
        </w:rPr>
        <w:t xml:space="preserve">ą to dane </w:t>
      </w:r>
      <w:r w:rsidR="000B36BA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>niezbędn</w:t>
      </w:r>
      <w:r w:rsidR="00297587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>e</w:t>
      </w:r>
      <w:r w:rsidR="000B36BA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 xml:space="preserve"> do </w:t>
      </w:r>
      <w:r w:rsidR="000B36BA" w:rsidRPr="00B162E7">
        <w:rPr>
          <w:rFonts w:ascii="Times New Roman" w:hAnsi="Times New Roman" w:cs="Times New Roman"/>
          <w:bCs w:val="0"/>
          <w:szCs w:val="24"/>
        </w:rPr>
        <w:t>ustalenia efektywności ekonomicznej przedsięwzięcia</w:t>
      </w:r>
      <w:r w:rsidR="007A0BA5">
        <w:rPr>
          <w:rFonts w:ascii="Times New Roman" w:hAnsi="Times New Roman" w:cs="Times New Roman"/>
          <w:bCs w:val="0"/>
          <w:szCs w:val="24"/>
        </w:rPr>
        <w:t>;</w:t>
      </w:r>
    </w:p>
    <w:p w14:paraId="6B82E823" w14:textId="70D79119" w:rsidR="001513E5" w:rsidRPr="00B162E7" w:rsidRDefault="0045101C" w:rsidP="001513E5">
      <w:pPr>
        <w:pStyle w:val="USTustnpkodeksu"/>
        <w:numPr>
          <w:ilvl w:val="0"/>
          <w:numId w:val="12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prognozy cen paliw i energii oraz opłat, należnych podatków, kosztów pracy i innych opłat, oraz pozostałych danych ekonomiczno-finansowych, statystycznych użytych w analizie kosztów i korzyści, opublikowane przez agencję ratingową o zasięgu mi</w:t>
      </w:r>
      <w:r w:rsidR="00537AFC" w:rsidRPr="00B162E7">
        <w:rPr>
          <w:rFonts w:ascii="Times New Roman" w:hAnsi="Times New Roman" w:cs="Times New Roman"/>
          <w:bCs w:val="0"/>
          <w:szCs w:val="24"/>
        </w:rPr>
        <w:t>ędzynarodowym</w:t>
      </w:r>
      <w:r w:rsidR="00565FA5" w:rsidRPr="00B162E7">
        <w:rPr>
          <w:rFonts w:ascii="Times New Roman" w:hAnsi="Times New Roman" w:cs="Times New Roman"/>
          <w:bCs w:val="0"/>
          <w:szCs w:val="24"/>
        </w:rPr>
        <w:t>. M</w:t>
      </w:r>
      <w:r w:rsidR="001513E5" w:rsidRPr="00B162E7">
        <w:rPr>
          <w:rFonts w:ascii="Times New Roman" w:hAnsi="Times New Roman" w:cs="Times New Roman"/>
          <w:bCs w:val="0"/>
          <w:szCs w:val="24"/>
        </w:rPr>
        <w:t>a to na celu</w:t>
      </w:r>
      <w:r w:rsidR="001513E5" w:rsidRPr="00B162E7">
        <w:rPr>
          <w:rFonts w:ascii="Times New Roman" w:hAnsi="Times New Roman" w:cs="Times New Roman"/>
          <w:szCs w:val="24"/>
        </w:rPr>
        <w:t xml:space="preserve"> </w:t>
      </w:r>
      <w:r w:rsidR="001513E5" w:rsidRPr="00B162E7">
        <w:rPr>
          <w:rFonts w:ascii="Times New Roman" w:hAnsi="Times New Roman" w:cs="Times New Roman"/>
          <w:bCs w:val="0"/>
          <w:szCs w:val="24"/>
        </w:rPr>
        <w:t>zapewnienie jak największej wiarygodności prognoz stosowanych przy opracowywaniu analizy ekonomicznej kosztów i korzyści</w:t>
      </w:r>
      <w:r w:rsidR="007A0BA5">
        <w:rPr>
          <w:rFonts w:ascii="Times New Roman" w:hAnsi="Times New Roman" w:cs="Times New Roman"/>
          <w:bCs w:val="0"/>
          <w:szCs w:val="24"/>
        </w:rPr>
        <w:t>;</w:t>
      </w:r>
    </w:p>
    <w:p w14:paraId="578BBAB5" w14:textId="59AA0BB7" w:rsidR="00537AFC" w:rsidRPr="00B162E7" w:rsidRDefault="00904EEE" w:rsidP="00537AFC">
      <w:pPr>
        <w:pStyle w:val="USTustnpkodeksu"/>
        <w:numPr>
          <w:ilvl w:val="0"/>
          <w:numId w:val="12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lastRenderedPageBreak/>
        <w:t>okres odniesienia, który wynosi 15 lat</w:t>
      </w:r>
      <w:r w:rsidR="00565FA5" w:rsidRPr="00B162E7">
        <w:rPr>
          <w:rFonts w:ascii="Times New Roman" w:hAnsi="Times New Roman" w:cs="Times New Roman"/>
          <w:bCs w:val="0"/>
          <w:szCs w:val="24"/>
        </w:rPr>
        <w:t xml:space="preserve">. </w:t>
      </w:r>
      <w:r w:rsidR="00293E81"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565FA5" w:rsidRPr="00B162E7">
        <w:rPr>
          <w:rFonts w:ascii="Times New Roman" w:hAnsi="Times New Roman" w:cs="Times New Roman"/>
          <w:bCs w:val="0"/>
          <w:szCs w:val="24"/>
        </w:rPr>
        <w:t>Z</w:t>
      </w:r>
      <w:r w:rsidR="00293E81" w:rsidRPr="00B162E7">
        <w:rPr>
          <w:rFonts w:ascii="Times New Roman" w:hAnsi="Times New Roman" w:cs="Times New Roman"/>
          <w:bCs w:val="0"/>
          <w:szCs w:val="24"/>
        </w:rPr>
        <w:t xml:space="preserve">godnie z załącznikiem 1 do 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</w:t>
      </w:r>
      <w:r w:rsidR="00293E81" w:rsidRPr="00B162E7">
        <w:rPr>
          <w:rFonts w:ascii="Times New Roman" w:hAnsi="Times New Roman" w:cs="Times New Roman"/>
          <w:szCs w:val="24"/>
        </w:rPr>
        <w:t>(</w:t>
      </w:r>
      <w:r w:rsidR="001513E5" w:rsidRPr="00B162E7">
        <w:rPr>
          <w:rFonts w:ascii="Times New Roman" w:hAnsi="Times New Roman" w:cs="Times New Roman"/>
          <w:szCs w:val="24"/>
        </w:rPr>
        <w:t xml:space="preserve">Dz. Urz. UE </w:t>
      </w:r>
      <w:r w:rsidR="00293E81" w:rsidRPr="00B162E7">
        <w:rPr>
          <w:rFonts w:ascii="Times New Roman" w:hAnsi="Times New Roman" w:cs="Times New Roman"/>
          <w:szCs w:val="24"/>
        </w:rPr>
        <w:t>L 138</w:t>
      </w:r>
      <w:r w:rsidR="001513E5" w:rsidRPr="00B162E7">
        <w:rPr>
          <w:rFonts w:ascii="Times New Roman" w:hAnsi="Times New Roman" w:cs="Times New Roman"/>
          <w:szCs w:val="24"/>
        </w:rPr>
        <w:t xml:space="preserve"> z 13.5.2014, str.</w:t>
      </w:r>
      <w:r w:rsidR="00B33FEF" w:rsidRPr="00B162E7">
        <w:rPr>
          <w:rFonts w:ascii="Times New Roman" w:hAnsi="Times New Roman" w:cs="Times New Roman"/>
          <w:szCs w:val="24"/>
        </w:rPr>
        <w:t xml:space="preserve"> </w:t>
      </w:r>
      <w:r w:rsidR="001513E5" w:rsidRPr="00B162E7">
        <w:rPr>
          <w:rFonts w:ascii="Times New Roman" w:hAnsi="Times New Roman" w:cs="Times New Roman"/>
          <w:szCs w:val="24"/>
        </w:rPr>
        <w:t>29)</w:t>
      </w:r>
      <w:r w:rsidR="000B36BA" w:rsidRPr="00B162E7">
        <w:rPr>
          <w:rFonts w:ascii="Times New Roman" w:hAnsi="Times New Roman" w:cs="Times New Roman"/>
          <w:szCs w:val="24"/>
        </w:rPr>
        <w:t xml:space="preserve">. Określenie tego okresu ma na celu </w:t>
      </w:r>
      <w:r w:rsidR="000B36BA" w:rsidRPr="00B162E7">
        <w:rPr>
          <w:rStyle w:val="Ppogrubienie"/>
          <w:rFonts w:ascii="Times New Roman" w:hAnsi="Times New Roman" w:cs="Times New Roman"/>
          <w:b w:val="0"/>
          <w:bCs w:val="0"/>
          <w:szCs w:val="24"/>
        </w:rPr>
        <w:t>umożliwienie wiarygodnego porównania ekonomicznego różnych przedsięwzięć</w:t>
      </w:r>
      <w:r w:rsidR="007A0BA5">
        <w:rPr>
          <w:rFonts w:ascii="Times New Roman" w:hAnsi="Times New Roman" w:cs="Times New Roman"/>
          <w:szCs w:val="24"/>
        </w:rPr>
        <w:t>;</w:t>
      </w:r>
    </w:p>
    <w:p w14:paraId="384BD297" w14:textId="1AB735D5" w:rsidR="00537AFC" w:rsidRPr="00B162E7" w:rsidRDefault="00904EEE" w:rsidP="00537AFC">
      <w:pPr>
        <w:pStyle w:val="USTustnpkodeksu"/>
        <w:numPr>
          <w:ilvl w:val="0"/>
          <w:numId w:val="12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okres cyklu życia, o którym mowa w art. 10a  ust. 5 Praw</w:t>
      </w:r>
      <w:r w:rsidR="00B33FEF" w:rsidRPr="00B162E7">
        <w:rPr>
          <w:rFonts w:ascii="Times New Roman" w:hAnsi="Times New Roman" w:cs="Times New Roman"/>
          <w:bCs w:val="0"/>
          <w:szCs w:val="24"/>
        </w:rPr>
        <w:t>a</w:t>
      </w:r>
      <w:r w:rsidRPr="00B162E7">
        <w:rPr>
          <w:rFonts w:ascii="Times New Roman" w:hAnsi="Times New Roman" w:cs="Times New Roman"/>
          <w:bCs w:val="0"/>
          <w:szCs w:val="24"/>
        </w:rPr>
        <w:t xml:space="preserve"> energetyczne</w:t>
      </w:r>
      <w:r w:rsidR="00B33FEF" w:rsidRPr="00B162E7">
        <w:rPr>
          <w:rFonts w:ascii="Times New Roman" w:hAnsi="Times New Roman" w:cs="Times New Roman"/>
          <w:bCs w:val="0"/>
          <w:szCs w:val="24"/>
        </w:rPr>
        <w:t>go</w:t>
      </w:r>
      <w:r w:rsidRPr="00B162E7">
        <w:rPr>
          <w:rFonts w:ascii="Times New Roman" w:hAnsi="Times New Roman" w:cs="Times New Roman"/>
          <w:bCs w:val="0"/>
          <w:szCs w:val="24"/>
        </w:rPr>
        <w:t xml:space="preserve">, który wynosi co najmniej </w:t>
      </w:r>
      <w:r w:rsidR="001B0A53" w:rsidRPr="00B162E7">
        <w:rPr>
          <w:rFonts w:ascii="Times New Roman" w:hAnsi="Times New Roman" w:cs="Times New Roman"/>
          <w:bCs w:val="0"/>
          <w:szCs w:val="24"/>
        </w:rPr>
        <w:t>2</w:t>
      </w:r>
      <w:r w:rsidRPr="00B162E7">
        <w:rPr>
          <w:rFonts w:ascii="Times New Roman" w:hAnsi="Times New Roman" w:cs="Times New Roman"/>
          <w:bCs w:val="0"/>
          <w:szCs w:val="24"/>
        </w:rPr>
        <w:t>5 lat</w:t>
      </w:r>
      <w:r w:rsidR="000B36BA" w:rsidRPr="00B162E7">
        <w:rPr>
          <w:rFonts w:ascii="Times New Roman" w:hAnsi="Times New Roman" w:cs="Times New Roman"/>
          <w:bCs w:val="0"/>
          <w:szCs w:val="24"/>
        </w:rPr>
        <w:t>. Z uwagi na długość realizacji oraz kosztowność przedsięwzięć z zakresu energetyki niezbędne jest określenie okresu cyklu życia pr</w:t>
      </w:r>
      <w:r w:rsidR="00297587" w:rsidRPr="00B162E7">
        <w:rPr>
          <w:rFonts w:ascii="Times New Roman" w:hAnsi="Times New Roman" w:cs="Times New Roman"/>
          <w:bCs w:val="0"/>
          <w:szCs w:val="24"/>
        </w:rPr>
        <w:t>zedsięwzięcia, który wynosi co najmniej 25 lat</w:t>
      </w:r>
      <w:r w:rsidR="007A0BA5">
        <w:rPr>
          <w:rFonts w:ascii="Times New Roman" w:hAnsi="Times New Roman" w:cs="Times New Roman"/>
          <w:bCs w:val="0"/>
          <w:szCs w:val="24"/>
        </w:rPr>
        <w:t>;</w:t>
      </w:r>
    </w:p>
    <w:p w14:paraId="73F60F02" w14:textId="61EA598E" w:rsidR="001B0A53" w:rsidRPr="00B162E7" w:rsidRDefault="001B0A53" w:rsidP="00537AFC">
      <w:pPr>
        <w:pStyle w:val="USTustnpkodeksu"/>
        <w:numPr>
          <w:ilvl w:val="0"/>
          <w:numId w:val="12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finansową stopę dyskontową na poziomie 4%</w:t>
      </w:r>
      <w:r w:rsidR="00565FA5" w:rsidRPr="00B162E7">
        <w:rPr>
          <w:rFonts w:ascii="Times New Roman" w:hAnsi="Times New Roman" w:cs="Times New Roman"/>
          <w:bCs w:val="0"/>
          <w:szCs w:val="24"/>
        </w:rPr>
        <w:t>.</w:t>
      </w:r>
      <w:r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565FA5" w:rsidRPr="00B162E7">
        <w:rPr>
          <w:rFonts w:ascii="Times New Roman" w:hAnsi="Times New Roman" w:cs="Times New Roman"/>
          <w:bCs w:val="0"/>
          <w:szCs w:val="24"/>
        </w:rPr>
        <w:t>Z</w:t>
      </w:r>
      <w:r w:rsidR="00796A5E" w:rsidRPr="00B162E7">
        <w:rPr>
          <w:rFonts w:ascii="Times New Roman" w:hAnsi="Times New Roman" w:cs="Times New Roman"/>
          <w:bCs w:val="0"/>
          <w:szCs w:val="24"/>
        </w:rPr>
        <w:t xml:space="preserve">godnie z art. 19 rozporządzenia delegowanego Komisji (UE) nr 480/2014 z dnia </w:t>
      </w:r>
      <w:r w:rsidR="00796A5E" w:rsidRPr="00B162E7">
        <w:rPr>
          <w:rFonts w:ascii="Times New Roman" w:hAnsi="Times New Roman" w:cs="Times New Roman"/>
          <w:szCs w:val="24"/>
        </w:rPr>
        <w:t>3 marca 2014 r. zaleca się stosowanie 4% finansowej stopy dyskontowej wyrażonej w wartościach rzeczywistych jako poziomu odniesienia dla alternatywnego kosztu kapitału w długim okresie</w:t>
      </w:r>
      <w:r w:rsidR="007A0BA5">
        <w:rPr>
          <w:rFonts w:ascii="Times New Roman" w:hAnsi="Times New Roman" w:cs="Times New Roman"/>
          <w:bCs w:val="0"/>
          <w:szCs w:val="24"/>
        </w:rPr>
        <w:t>;</w:t>
      </w:r>
    </w:p>
    <w:p w14:paraId="239032A3" w14:textId="23FCDF7E" w:rsidR="00904EEE" w:rsidRPr="00B162E7" w:rsidRDefault="00904EEE" w:rsidP="00537AFC">
      <w:pPr>
        <w:pStyle w:val="USTustnpkodeksu"/>
        <w:numPr>
          <w:ilvl w:val="0"/>
          <w:numId w:val="12"/>
        </w:numPr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społeczną stopę dyskontową na poziomie 5%</w:t>
      </w:r>
      <w:r w:rsidR="00565FA5" w:rsidRPr="00B162E7">
        <w:rPr>
          <w:rFonts w:ascii="Times New Roman" w:hAnsi="Times New Roman" w:cs="Times New Roman"/>
          <w:bCs w:val="0"/>
          <w:szCs w:val="24"/>
        </w:rPr>
        <w:t>. Z</w:t>
      </w:r>
      <w:r w:rsidR="00537AFC" w:rsidRPr="00B162E7">
        <w:rPr>
          <w:rFonts w:ascii="Times New Roman" w:hAnsi="Times New Roman" w:cs="Times New Roman"/>
          <w:bCs w:val="0"/>
          <w:szCs w:val="24"/>
        </w:rPr>
        <w:t>godnie z rozporządzeniem wykonawczym Komisji (UE) 2015/207 z dnia 20 stycznia 2015 r. społeczną stopę dyskontową na poziomie 5% stosuje się jako poziom odniesienia w państwach członkowskich objętych Funduszem Spójności</w:t>
      </w:r>
      <w:r w:rsidR="00B33FEF" w:rsidRPr="00B162E7">
        <w:rPr>
          <w:rFonts w:ascii="Times New Roman" w:hAnsi="Times New Roman" w:cs="Times New Roman"/>
          <w:bCs w:val="0"/>
          <w:szCs w:val="24"/>
        </w:rPr>
        <w:t>.</w:t>
      </w:r>
    </w:p>
    <w:p w14:paraId="24E1370C" w14:textId="73B59774" w:rsidR="00501FBB" w:rsidRPr="00B162E7" w:rsidRDefault="00297587" w:rsidP="005E4454">
      <w:pPr>
        <w:pStyle w:val="USTustnpkodeksu"/>
        <w:ind w:firstLine="360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Dane wymienione w pkt 1-9 należy stosować jako</w:t>
      </w:r>
      <w:r w:rsidR="0029319B" w:rsidRPr="00B162E7">
        <w:rPr>
          <w:rFonts w:ascii="Times New Roman" w:hAnsi="Times New Roman" w:cs="Times New Roman"/>
          <w:bCs w:val="0"/>
          <w:szCs w:val="24"/>
        </w:rPr>
        <w:t xml:space="preserve"> niezbędn</w:t>
      </w:r>
      <w:r w:rsidRPr="00B162E7">
        <w:rPr>
          <w:rFonts w:ascii="Times New Roman" w:hAnsi="Times New Roman" w:cs="Times New Roman"/>
          <w:bCs w:val="0"/>
          <w:szCs w:val="24"/>
        </w:rPr>
        <w:t>e</w:t>
      </w:r>
      <w:r w:rsidR="0029319B" w:rsidRPr="00B162E7">
        <w:rPr>
          <w:rFonts w:ascii="Times New Roman" w:hAnsi="Times New Roman" w:cs="Times New Roman"/>
          <w:bCs w:val="0"/>
          <w:szCs w:val="24"/>
        </w:rPr>
        <w:t>,</w:t>
      </w:r>
      <w:r w:rsidR="00501FBB" w:rsidRPr="00B162E7">
        <w:rPr>
          <w:rFonts w:ascii="Times New Roman" w:hAnsi="Times New Roman" w:cs="Times New Roman"/>
          <w:bCs w:val="0"/>
          <w:szCs w:val="24"/>
        </w:rPr>
        <w:t xml:space="preserve"> ujednolicon</w:t>
      </w:r>
      <w:r w:rsidRPr="00B162E7">
        <w:rPr>
          <w:rFonts w:ascii="Times New Roman" w:hAnsi="Times New Roman" w:cs="Times New Roman"/>
          <w:bCs w:val="0"/>
          <w:szCs w:val="24"/>
        </w:rPr>
        <w:t>e</w:t>
      </w:r>
      <w:r w:rsidR="00501FBB" w:rsidRPr="00B162E7">
        <w:rPr>
          <w:rFonts w:ascii="Times New Roman" w:hAnsi="Times New Roman" w:cs="Times New Roman"/>
          <w:bCs w:val="0"/>
          <w:szCs w:val="24"/>
        </w:rPr>
        <w:t xml:space="preserve"> dan</w:t>
      </w:r>
      <w:r w:rsidRPr="00B162E7">
        <w:rPr>
          <w:rFonts w:ascii="Times New Roman" w:hAnsi="Times New Roman" w:cs="Times New Roman"/>
          <w:bCs w:val="0"/>
          <w:szCs w:val="24"/>
        </w:rPr>
        <w:t>e</w:t>
      </w:r>
      <w:r w:rsidR="00501FBB" w:rsidRPr="00B162E7">
        <w:rPr>
          <w:rFonts w:ascii="Times New Roman" w:hAnsi="Times New Roman" w:cs="Times New Roman"/>
          <w:bCs w:val="0"/>
          <w:szCs w:val="24"/>
        </w:rPr>
        <w:t xml:space="preserve"> ekonomicz</w:t>
      </w:r>
      <w:r w:rsidRPr="00B162E7">
        <w:rPr>
          <w:rFonts w:ascii="Times New Roman" w:hAnsi="Times New Roman" w:cs="Times New Roman"/>
          <w:bCs w:val="0"/>
          <w:szCs w:val="24"/>
        </w:rPr>
        <w:t>ne</w:t>
      </w:r>
      <w:r w:rsidR="0029319B" w:rsidRPr="00B162E7">
        <w:rPr>
          <w:rFonts w:ascii="Times New Roman" w:hAnsi="Times New Roman" w:cs="Times New Roman"/>
          <w:bCs w:val="0"/>
          <w:szCs w:val="24"/>
        </w:rPr>
        <w:t>, konieczn</w:t>
      </w:r>
      <w:r w:rsidRPr="00B162E7">
        <w:rPr>
          <w:rFonts w:ascii="Times New Roman" w:hAnsi="Times New Roman" w:cs="Times New Roman"/>
          <w:bCs w:val="0"/>
          <w:szCs w:val="24"/>
        </w:rPr>
        <w:t>e</w:t>
      </w:r>
      <w:r w:rsidR="0029319B" w:rsidRPr="00B162E7">
        <w:rPr>
          <w:rFonts w:ascii="Times New Roman" w:hAnsi="Times New Roman" w:cs="Times New Roman"/>
          <w:bCs w:val="0"/>
          <w:szCs w:val="24"/>
        </w:rPr>
        <w:t xml:space="preserve"> do określenia w związku z realiz</w:t>
      </w:r>
      <w:r w:rsidR="00595110" w:rsidRPr="00B162E7">
        <w:rPr>
          <w:rFonts w:ascii="Times New Roman" w:hAnsi="Times New Roman" w:cs="Times New Roman"/>
          <w:bCs w:val="0"/>
          <w:szCs w:val="24"/>
        </w:rPr>
        <w:t>acją</w:t>
      </w:r>
      <w:r w:rsidR="0029319B" w:rsidRPr="00B162E7">
        <w:rPr>
          <w:rFonts w:ascii="Times New Roman" w:hAnsi="Times New Roman" w:cs="Times New Roman"/>
          <w:bCs w:val="0"/>
          <w:szCs w:val="24"/>
        </w:rPr>
        <w:t xml:space="preserve"> an</w:t>
      </w:r>
      <w:r w:rsidR="00E7404F" w:rsidRPr="00B162E7">
        <w:rPr>
          <w:rFonts w:ascii="Times New Roman" w:hAnsi="Times New Roman" w:cs="Times New Roman"/>
          <w:bCs w:val="0"/>
          <w:szCs w:val="24"/>
        </w:rPr>
        <w:t>a</w:t>
      </w:r>
      <w:r w:rsidR="0029319B" w:rsidRPr="00B162E7">
        <w:rPr>
          <w:rFonts w:ascii="Times New Roman" w:hAnsi="Times New Roman" w:cs="Times New Roman"/>
          <w:bCs w:val="0"/>
          <w:szCs w:val="24"/>
        </w:rPr>
        <w:t>lizy kosztów i korzyści w ramach określonych w projekcie rozporządzenia metod</w:t>
      </w:r>
      <w:r w:rsidR="00E7404F" w:rsidRPr="00B162E7">
        <w:rPr>
          <w:rFonts w:ascii="Times New Roman" w:hAnsi="Times New Roman" w:cs="Times New Roman"/>
          <w:bCs w:val="0"/>
          <w:szCs w:val="24"/>
        </w:rPr>
        <w:t>.</w:t>
      </w:r>
      <w:r w:rsidR="00EE13F4" w:rsidRPr="00B162E7">
        <w:rPr>
          <w:rFonts w:ascii="Times New Roman" w:hAnsi="Times New Roman" w:cs="Times New Roman"/>
          <w:bCs w:val="0"/>
          <w:szCs w:val="24"/>
        </w:rPr>
        <w:t xml:space="preserve"> Określenie powyższych danych, ma na celu zapewnienie spójnego stosowania analiz kosztów i korzyści. </w:t>
      </w:r>
    </w:p>
    <w:p w14:paraId="22F70A2C" w14:textId="70FE317E" w:rsidR="000E1C7C" w:rsidRPr="00B162E7" w:rsidRDefault="000E1C7C" w:rsidP="000E1C7C">
      <w:pPr>
        <w:pStyle w:val="USTustnpkodeksu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 xml:space="preserve">Zgodnie z § </w:t>
      </w:r>
      <w:r w:rsidR="00946B9E" w:rsidRPr="00B162E7">
        <w:rPr>
          <w:rFonts w:ascii="Times New Roman" w:hAnsi="Times New Roman" w:cs="Times New Roman"/>
          <w:bCs w:val="0"/>
          <w:szCs w:val="24"/>
        </w:rPr>
        <w:t>6</w:t>
      </w:r>
      <w:r w:rsidR="002335CD"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727139" w:rsidRPr="00727139">
        <w:rPr>
          <w:rFonts w:ascii="Times New Roman" w:hAnsi="Times New Roman" w:cs="Times New Roman"/>
          <w:bCs w:val="0"/>
          <w:szCs w:val="24"/>
        </w:rPr>
        <w:t>projektu rozporządzenia</w:t>
      </w:r>
      <w:r w:rsidR="00727139">
        <w:rPr>
          <w:rFonts w:ascii="Times New Roman" w:hAnsi="Times New Roman" w:cs="Times New Roman"/>
          <w:bCs w:val="0"/>
          <w:szCs w:val="24"/>
        </w:rPr>
        <w:t>,</w:t>
      </w:r>
      <w:r w:rsidR="00727139" w:rsidRPr="00727139">
        <w:rPr>
          <w:rFonts w:ascii="Times New Roman" w:hAnsi="Times New Roman" w:cs="Times New Roman"/>
          <w:bCs w:val="0"/>
          <w:szCs w:val="24"/>
        </w:rPr>
        <w:t xml:space="preserve"> </w:t>
      </w:r>
      <w:r w:rsidR="00021A8F" w:rsidRPr="00B162E7">
        <w:rPr>
          <w:rFonts w:ascii="Times New Roman" w:hAnsi="Times New Roman" w:cs="Times New Roman"/>
          <w:bCs w:val="0"/>
          <w:szCs w:val="24"/>
        </w:rPr>
        <w:t>a</w:t>
      </w:r>
      <w:r w:rsidRPr="00B162E7">
        <w:rPr>
          <w:rFonts w:ascii="Times New Roman" w:hAnsi="Times New Roman" w:cs="Times New Roman"/>
          <w:bCs w:val="0"/>
          <w:szCs w:val="24"/>
        </w:rPr>
        <w:t>naliza ekonomiczna kosztów i korzyści</w:t>
      </w:r>
      <w:r w:rsidR="00021A8F" w:rsidRPr="00B162E7">
        <w:rPr>
          <w:rFonts w:ascii="Times New Roman" w:hAnsi="Times New Roman" w:cs="Times New Roman"/>
          <w:bCs w:val="0"/>
          <w:szCs w:val="24"/>
        </w:rPr>
        <w:t xml:space="preserve"> powinna</w:t>
      </w:r>
      <w:r w:rsidRPr="00B162E7">
        <w:rPr>
          <w:rFonts w:ascii="Times New Roman" w:hAnsi="Times New Roman" w:cs="Times New Roman"/>
          <w:bCs w:val="0"/>
          <w:szCs w:val="24"/>
        </w:rPr>
        <w:t xml:space="preserve"> uwzględni</w:t>
      </w:r>
      <w:r w:rsidR="00021A8F" w:rsidRPr="00B162E7">
        <w:rPr>
          <w:rFonts w:ascii="Times New Roman" w:hAnsi="Times New Roman" w:cs="Times New Roman"/>
          <w:bCs w:val="0"/>
          <w:szCs w:val="24"/>
        </w:rPr>
        <w:t>ać</w:t>
      </w:r>
      <w:r w:rsidRPr="00B162E7">
        <w:rPr>
          <w:rFonts w:ascii="Times New Roman" w:hAnsi="Times New Roman" w:cs="Times New Roman"/>
          <w:bCs w:val="0"/>
          <w:szCs w:val="24"/>
        </w:rPr>
        <w:t xml:space="preserve"> następujące źródła danych:</w:t>
      </w:r>
    </w:p>
    <w:p w14:paraId="7A4DEEA8" w14:textId="57E7A369" w:rsidR="000E1C7C" w:rsidRPr="00B162E7" w:rsidRDefault="00FC2656" w:rsidP="00C8611A">
      <w:pPr>
        <w:pStyle w:val="USTustnpkodeksu"/>
        <w:numPr>
          <w:ilvl w:val="0"/>
          <w:numId w:val="6"/>
        </w:numPr>
        <w:ind w:left="709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informacje o </w:t>
      </w:r>
      <w:r w:rsidR="000E1C7C" w:rsidRPr="00B162E7">
        <w:rPr>
          <w:rFonts w:ascii="Times New Roman" w:hAnsi="Times New Roman" w:cs="Times New Roman"/>
          <w:bCs w:val="0"/>
          <w:szCs w:val="24"/>
        </w:rPr>
        <w:t>dostępn</w:t>
      </w:r>
      <w:r>
        <w:rPr>
          <w:rFonts w:ascii="Times New Roman" w:hAnsi="Times New Roman" w:cs="Times New Roman"/>
          <w:bCs w:val="0"/>
          <w:szCs w:val="24"/>
        </w:rPr>
        <w:t>ych</w:t>
      </w:r>
      <w:r w:rsidR="000E1C7C" w:rsidRPr="00B162E7">
        <w:rPr>
          <w:rFonts w:ascii="Times New Roman" w:hAnsi="Times New Roman" w:cs="Times New Roman"/>
          <w:bCs w:val="0"/>
          <w:szCs w:val="24"/>
        </w:rPr>
        <w:t xml:space="preserve"> mechanizm</w:t>
      </w:r>
      <w:r>
        <w:rPr>
          <w:rFonts w:ascii="Times New Roman" w:hAnsi="Times New Roman" w:cs="Times New Roman"/>
          <w:bCs w:val="0"/>
          <w:szCs w:val="24"/>
        </w:rPr>
        <w:t>ach</w:t>
      </w:r>
      <w:r w:rsidR="000E1C7C" w:rsidRPr="00B162E7">
        <w:rPr>
          <w:rFonts w:ascii="Times New Roman" w:hAnsi="Times New Roman" w:cs="Times New Roman"/>
          <w:bCs w:val="0"/>
          <w:szCs w:val="24"/>
        </w:rPr>
        <w:t xml:space="preserve"> oraz poziom</w:t>
      </w:r>
      <w:r>
        <w:rPr>
          <w:rFonts w:ascii="Times New Roman" w:hAnsi="Times New Roman" w:cs="Times New Roman"/>
          <w:bCs w:val="0"/>
          <w:szCs w:val="24"/>
        </w:rPr>
        <w:t>ach</w:t>
      </w:r>
      <w:r w:rsidR="000E1C7C" w:rsidRPr="00B162E7">
        <w:rPr>
          <w:rFonts w:ascii="Times New Roman" w:hAnsi="Times New Roman" w:cs="Times New Roman"/>
          <w:bCs w:val="0"/>
          <w:szCs w:val="24"/>
        </w:rPr>
        <w:t xml:space="preserve"> wsparcia inwestycyjnego w formie dotacji lub pożyczek na zasadach preferencyjnych i operacyjnych określonych w ramach dokumentów programowych publikowanych na stronach </w:t>
      </w:r>
      <w:r w:rsidR="000C02FB" w:rsidRPr="00B162E7">
        <w:rPr>
          <w:rFonts w:ascii="Times New Roman" w:hAnsi="Times New Roman" w:cs="Times New Roman"/>
          <w:szCs w:val="24"/>
        </w:rPr>
        <w:t>podmiotowych urzędów obsługujących organy  administracji rządowej</w:t>
      </w:r>
      <w:r w:rsidR="000E1C7C" w:rsidRPr="00B162E7">
        <w:rPr>
          <w:rFonts w:ascii="Times New Roman" w:hAnsi="Times New Roman" w:cs="Times New Roman"/>
          <w:bCs w:val="0"/>
          <w:szCs w:val="24"/>
        </w:rPr>
        <w:t>;</w:t>
      </w:r>
    </w:p>
    <w:p w14:paraId="1AC99779" w14:textId="53BFA586" w:rsidR="000E1C7C" w:rsidRPr="00B162E7" w:rsidRDefault="008510EE" w:rsidP="00C8611A">
      <w:pPr>
        <w:pStyle w:val="USTustnpkodeksu"/>
        <w:numPr>
          <w:ilvl w:val="0"/>
          <w:numId w:val="6"/>
        </w:numPr>
        <w:ind w:left="709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szCs w:val="24"/>
        </w:rPr>
        <w:lastRenderedPageBreak/>
        <w:t xml:space="preserve">wytyczne zapewniające stosowanie jednolitych wskaźników makroekonomicznych publikowane na podstawie art. 50a ustawy z dnia 27 sierpnia 2009 r. o finansach publicznych (Dz. U. z 2021 r. poz. 305 z </w:t>
      </w:r>
      <w:proofErr w:type="spellStart"/>
      <w:r w:rsidRPr="00B162E7">
        <w:rPr>
          <w:rFonts w:ascii="Times New Roman" w:hAnsi="Times New Roman" w:cs="Times New Roman"/>
          <w:szCs w:val="24"/>
        </w:rPr>
        <w:t>późn</w:t>
      </w:r>
      <w:proofErr w:type="spellEnd"/>
      <w:r w:rsidRPr="00B162E7">
        <w:rPr>
          <w:rFonts w:ascii="Times New Roman" w:hAnsi="Times New Roman" w:cs="Times New Roman"/>
          <w:szCs w:val="24"/>
        </w:rPr>
        <w:t>. zm.</w:t>
      </w:r>
      <w:r w:rsidR="000E1C7C" w:rsidRPr="00B162E7">
        <w:rPr>
          <w:rFonts w:ascii="Times New Roman" w:hAnsi="Times New Roman" w:cs="Times New Roman"/>
          <w:bCs w:val="0"/>
          <w:szCs w:val="24"/>
        </w:rPr>
        <w:t>);</w:t>
      </w:r>
    </w:p>
    <w:p w14:paraId="383F2BD2" w14:textId="3A288119" w:rsidR="000E1C7C" w:rsidRPr="00B162E7" w:rsidRDefault="008510EE" w:rsidP="005E40E2">
      <w:pPr>
        <w:pStyle w:val="USTustnpkodeksu"/>
        <w:numPr>
          <w:ilvl w:val="0"/>
          <w:numId w:val="6"/>
        </w:numPr>
        <w:ind w:left="709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 xml:space="preserve">informacje </w:t>
      </w:r>
      <w:r w:rsidR="000E1C7C" w:rsidRPr="00B162E7">
        <w:rPr>
          <w:rFonts w:ascii="Times New Roman" w:hAnsi="Times New Roman" w:cs="Times New Roman"/>
          <w:bCs w:val="0"/>
          <w:szCs w:val="24"/>
        </w:rPr>
        <w:t>ogłaszane przez Prezesa Urzędu Regulacji Energetyki na podstawie art. 31 Praw</w:t>
      </w:r>
      <w:r w:rsidR="00B162E7">
        <w:rPr>
          <w:rFonts w:ascii="Times New Roman" w:hAnsi="Times New Roman" w:cs="Times New Roman"/>
          <w:bCs w:val="0"/>
          <w:szCs w:val="24"/>
        </w:rPr>
        <w:t>a</w:t>
      </w:r>
      <w:r w:rsidR="000E1C7C" w:rsidRPr="00B162E7">
        <w:rPr>
          <w:rFonts w:ascii="Times New Roman" w:hAnsi="Times New Roman" w:cs="Times New Roman"/>
          <w:bCs w:val="0"/>
          <w:szCs w:val="24"/>
        </w:rPr>
        <w:t xml:space="preserve"> energetyczne</w:t>
      </w:r>
      <w:r w:rsidR="00B162E7">
        <w:rPr>
          <w:rFonts w:ascii="Times New Roman" w:hAnsi="Times New Roman" w:cs="Times New Roman"/>
          <w:bCs w:val="0"/>
          <w:szCs w:val="24"/>
        </w:rPr>
        <w:t>go</w:t>
      </w:r>
      <w:r w:rsidR="000E1C7C" w:rsidRPr="00B162E7">
        <w:rPr>
          <w:rFonts w:ascii="Times New Roman" w:hAnsi="Times New Roman" w:cs="Times New Roman"/>
          <w:bCs w:val="0"/>
          <w:szCs w:val="24"/>
        </w:rPr>
        <w:t>.</w:t>
      </w:r>
    </w:p>
    <w:p w14:paraId="3D0490BA" w14:textId="1ED74C0D" w:rsidR="00021A8F" w:rsidRPr="00B162E7" w:rsidRDefault="00297587" w:rsidP="005E4454">
      <w:pPr>
        <w:pStyle w:val="USTustnpkodeksu"/>
        <w:ind w:firstLine="349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 xml:space="preserve">Źródła danych wymienione w pkt 1-3 zostały wybrane </w:t>
      </w:r>
      <w:r w:rsidR="00021A8F" w:rsidRPr="00B162E7">
        <w:rPr>
          <w:rFonts w:ascii="Times New Roman" w:hAnsi="Times New Roman" w:cs="Times New Roman"/>
          <w:bCs w:val="0"/>
          <w:szCs w:val="24"/>
        </w:rPr>
        <w:t>jako ujednolicon</w:t>
      </w:r>
      <w:r w:rsidRPr="00B162E7">
        <w:rPr>
          <w:rFonts w:ascii="Times New Roman" w:hAnsi="Times New Roman" w:cs="Times New Roman"/>
          <w:bCs w:val="0"/>
          <w:szCs w:val="24"/>
        </w:rPr>
        <w:t>e</w:t>
      </w:r>
      <w:r w:rsidR="00021A8F"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685322" w:rsidRPr="00B162E7">
        <w:rPr>
          <w:rFonts w:ascii="Times New Roman" w:hAnsi="Times New Roman" w:cs="Times New Roman"/>
          <w:bCs w:val="0"/>
          <w:szCs w:val="24"/>
        </w:rPr>
        <w:t>źródł</w:t>
      </w:r>
      <w:r w:rsidRPr="00B162E7">
        <w:rPr>
          <w:rFonts w:ascii="Times New Roman" w:hAnsi="Times New Roman" w:cs="Times New Roman"/>
          <w:bCs w:val="0"/>
          <w:szCs w:val="24"/>
        </w:rPr>
        <w:t>a</w:t>
      </w:r>
      <w:r w:rsidR="00685322" w:rsidRPr="00B162E7">
        <w:rPr>
          <w:rFonts w:ascii="Times New Roman" w:hAnsi="Times New Roman" w:cs="Times New Roman"/>
          <w:bCs w:val="0"/>
          <w:szCs w:val="24"/>
        </w:rPr>
        <w:t xml:space="preserve"> </w:t>
      </w:r>
      <w:r w:rsidR="00021A8F" w:rsidRPr="00B162E7">
        <w:rPr>
          <w:rFonts w:ascii="Times New Roman" w:hAnsi="Times New Roman" w:cs="Times New Roman"/>
          <w:bCs w:val="0"/>
          <w:szCs w:val="24"/>
        </w:rPr>
        <w:t>danych ekonomicznych dla wszystkich realizowanych pr</w:t>
      </w:r>
      <w:r w:rsidR="00002904" w:rsidRPr="00B162E7">
        <w:rPr>
          <w:rFonts w:ascii="Times New Roman" w:hAnsi="Times New Roman" w:cs="Times New Roman"/>
          <w:bCs w:val="0"/>
          <w:szCs w:val="24"/>
        </w:rPr>
        <w:t>zedsięwzięć</w:t>
      </w:r>
      <w:r w:rsidR="00021A8F" w:rsidRPr="00B162E7">
        <w:rPr>
          <w:rFonts w:ascii="Times New Roman" w:hAnsi="Times New Roman" w:cs="Times New Roman"/>
          <w:bCs w:val="0"/>
          <w:szCs w:val="24"/>
        </w:rPr>
        <w:t xml:space="preserve"> na poziomie krajowym.</w:t>
      </w:r>
      <w:r w:rsidR="00EE13F4" w:rsidRPr="00B162E7">
        <w:rPr>
          <w:rFonts w:ascii="Times New Roman" w:hAnsi="Times New Roman" w:cs="Times New Roman"/>
          <w:bCs w:val="0"/>
          <w:szCs w:val="24"/>
        </w:rPr>
        <w:t xml:space="preserve"> Określenie powyższych źródeł danych, ma na celu zapewnienie spójnego stosowania analiz kosztów i korzyści</w:t>
      </w:r>
      <w:r w:rsidR="000674CB" w:rsidRPr="00B162E7">
        <w:rPr>
          <w:rFonts w:ascii="Times New Roman" w:hAnsi="Times New Roman" w:cs="Times New Roman"/>
          <w:bCs w:val="0"/>
          <w:szCs w:val="24"/>
        </w:rPr>
        <w:t>.</w:t>
      </w:r>
    </w:p>
    <w:p w14:paraId="4A02908C" w14:textId="77777777" w:rsidR="00B33FEF" w:rsidRPr="00B162E7" w:rsidRDefault="00B33FEF" w:rsidP="00B33FEF">
      <w:pPr>
        <w:pStyle w:val="PKTpunkt"/>
        <w:ind w:left="0" w:firstLine="510"/>
        <w:rPr>
          <w:rFonts w:ascii="Times New Roman" w:hAnsi="Times New Roman" w:cs="Times New Roman"/>
          <w:szCs w:val="24"/>
        </w:rPr>
      </w:pPr>
      <w:r w:rsidRPr="00B162E7">
        <w:rPr>
          <w:rFonts w:ascii="Times New Roman" w:hAnsi="Times New Roman" w:cs="Times New Roman"/>
          <w:szCs w:val="24"/>
        </w:rPr>
        <w:t>Analiza kosztów i korzyści to narzędzie analityczne wykorzystywane do oceny decyzji inwestycyjnej, sporządzane przed podjęciem tej decyzji, dlatego przepisów rozporządzenia nie stosuje się do przedsięwzięcia:</w:t>
      </w:r>
    </w:p>
    <w:p w14:paraId="5F7024D9" w14:textId="77777777" w:rsidR="00B33FEF" w:rsidRPr="00B162E7" w:rsidRDefault="00B33FEF" w:rsidP="005E4454">
      <w:pPr>
        <w:pStyle w:val="PKTpunkt"/>
        <w:numPr>
          <w:ilvl w:val="0"/>
          <w:numId w:val="22"/>
        </w:numPr>
        <w:rPr>
          <w:rFonts w:ascii="Times New Roman" w:hAnsi="Times New Roman" w:cs="Times New Roman"/>
          <w:szCs w:val="24"/>
        </w:rPr>
      </w:pPr>
      <w:r w:rsidRPr="00B162E7">
        <w:rPr>
          <w:rFonts w:ascii="Times New Roman" w:hAnsi="Times New Roman" w:cs="Times New Roman"/>
          <w:szCs w:val="24"/>
        </w:rPr>
        <w:t>będącego w trakcie realizacji;</w:t>
      </w:r>
    </w:p>
    <w:p w14:paraId="6C427870" w14:textId="77777777" w:rsidR="00B33FEF" w:rsidRPr="00B162E7" w:rsidRDefault="00B33FEF" w:rsidP="005E4454">
      <w:pPr>
        <w:pStyle w:val="PKTpunkt"/>
        <w:numPr>
          <w:ilvl w:val="0"/>
          <w:numId w:val="22"/>
        </w:numPr>
        <w:rPr>
          <w:rFonts w:ascii="Times New Roman" w:hAnsi="Times New Roman" w:cs="Times New Roman"/>
          <w:szCs w:val="24"/>
        </w:rPr>
      </w:pPr>
      <w:r w:rsidRPr="00B162E7">
        <w:rPr>
          <w:rFonts w:ascii="Times New Roman" w:hAnsi="Times New Roman" w:cs="Times New Roman"/>
          <w:szCs w:val="24"/>
        </w:rPr>
        <w:t>będącego na etapie uzyskiwania decyzji administracyjnych niezbędnych do ich realizacji;</w:t>
      </w:r>
    </w:p>
    <w:p w14:paraId="4D135833" w14:textId="335E868A" w:rsidR="00B33FEF" w:rsidRPr="00B162E7" w:rsidRDefault="00B33FEF" w:rsidP="005E4454">
      <w:pPr>
        <w:pStyle w:val="PKTpunkt"/>
        <w:numPr>
          <w:ilvl w:val="0"/>
          <w:numId w:val="22"/>
        </w:numPr>
        <w:rPr>
          <w:rFonts w:ascii="Times New Roman" w:hAnsi="Times New Roman" w:cs="Times New Roman"/>
          <w:szCs w:val="24"/>
        </w:rPr>
      </w:pPr>
      <w:r w:rsidRPr="00B162E7">
        <w:rPr>
          <w:rFonts w:ascii="Times New Roman" w:hAnsi="Times New Roman" w:cs="Times New Roman"/>
          <w:szCs w:val="24"/>
        </w:rPr>
        <w:t xml:space="preserve">planowanego, w stosunku do którego organ uprawniony do reprezentowania przedsiębiorstwa planującego to przedsięwzięcie podjął decyzję </w:t>
      </w:r>
      <w:r w:rsidR="00727139" w:rsidRPr="00727139">
        <w:rPr>
          <w:rFonts w:ascii="Times New Roman" w:hAnsi="Times New Roman" w:cs="Times New Roman"/>
          <w:szCs w:val="24"/>
        </w:rPr>
        <w:t xml:space="preserve">o jego realizacji </w:t>
      </w:r>
      <w:r w:rsidRPr="00B162E7">
        <w:rPr>
          <w:rFonts w:ascii="Times New Roman" w:hAnsi="Times New Roman" w:cs="Times New Roman"/>
          <w:szCs w:val="24"/>
        </w:rPr>
        <w:t>w formie uchwały lub</w:t>
      </w:r>
      <w:r w:rsidR="00727139">
        <w:rPr>
          <w:rFonts w:ascii="Times New Roman" w:hAnsi="Times New Roman" w:cs="Times New Roman"/>
          <w:szCs w:val="24"/>
        </w:rPr>
        <w:t xml:space="preserve"> w formie</w:t>
      </w:r>
      <w:r w:rsidRPr="00B162E7">
        <w:rPr>
          <w:rFonts w:ascii="Times New Roman" w:hAnsi="Times New Roman" w:cs="Times New Roman"/>
          <w:szCs w:val="24"/>
        </w:rPr>
        <w:t xml:space="preserve"> pisemnej</w:t>
      </w:r>
      <w:r w:rsidR="00727139">
        <w:rPr>
          <w:rFonts w:ascii="Times New Roman" w:hAnsi="Times New Roman" w:cs="Times New Roman"/>
          <w:szCs w:val="24"/>
        </w:rPr>
        <w:t>.</w:t>
      </w:r>
    </w:p>
    <w:p w14:paraId="7A2B6B93" w14:textId="77777777" w:rsidR="00B33FEF" w:rsidRPr="00B162E7" w:rsidRDefault="00B33FEF" w:rsidP="00B33FEF">
      <w:pPr>
        <w:pStyle w:val="USTustnpkodeksu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Rozporządzenie wchodzi w życie po upływie 14 dni od dnia ogłoszenia.</w:t>
      </w:r>
    </w:p>
    <w:p w14:paraId="45985C51" w14:textId="7F6E3318" w:rsidR="0045101C" w:rsidRDefault="0045101C" w:rsidP="0045101C">
      <w:pPr>
        <w:pStyle w:val="USTustnpkodeksu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 xml:space="preserve">Zgodnie z § 4 ust. 1 pkt 1 rozporządzenia Rady Ministrów z dnia 23 grudnia 2002 r. </w:t>
      </w:r>
      <w:r w:rsidRPr="00B162E7">
        <w:rPr>
          <w:rFonts w:ascii="Times New Roman" w:hAnsi="Times New Roman" w:cs="Times New Roman"/>
          <w:bCs w:val="0"/>
          <w:szCs w:val="24"/>
        </w:rPr>
        <w:br/>
        <w:t>w sprawie sposobu funkcjonowania krajowego systemu notyfikacji norm i aktów prawnych (Dz. U. poz. 2039 oraz z 2004 r. poz. 597)</w:t>
      </w:r>
      <w:r w:rsidR="00B33FEF" w:rsidRPr="00B162E7">
        <w:rPr>
          <w:rFonts w:ascii="Times New Roman" w:hAnsi="Times New Roman" w:cs="Times New Roman"/>
          <w:bCs w:val="0"/>
          <w:szCs w:val="24"/>
        </w:rPr>
        <w:t>,</w:t>
      </w:r>
      <w:r w:rsidRPr="00B162E7">
        <w:rPr>
          <w:rFonts w:ascii="Times New Roman" w:hAnsi="Times New Roman" w:cs="Times New Roman"/>
          <w:bCs w:val="0"/>
          <w:szCs w:val="24"/>
        </w:rPr>
        <w:t xml:space="preserve"> projekt rozporządzenia nie podlega procedurze notyfikacji.</w:t>
      </w:r>
    </w:p>
    <w:p w14:paraId="41AB1CA0" w14:textId="2FB19A04" w:rsidR="00FC2656" w:rsidRDefault="00FC2656" w:rsidP="0045101C">
      <w:pPr>
        <w:pStyle w:val="USTustnpkodeksu"/>
        <w:rPr>
          <w:rFonts w:ascii="Times New Roman" w:hAnsi="Times New Roman" w:cs="Times New Roman"/>
          <w:bCs w:val="0"/>
          <w:szCs w:val="24"/>
        </w:rPr>
      </w:pPr>
      <w:r w:rsidRPr="00FC2656">
        <w:rPr>
          <w:rFonts w:ascii="Times New Roman" w:hAnsi="Times New Roman" w:cs="Times New Roman"/>
          <w:bCs w:val="0"/>
          <w:szCs w:val="24"/>
        </w:rPr>
        <w:t>Projekt rozporządzenia zostanie zamieszczony na stronie Rządowego Centrum Legislacji, w serwisie Rządowy Proces Legislacyjny, zgodnie z przepisami ustawy z dnia 7 lipca 2005 r. o działalności lobbingowej w procesie stanowienia prawa (Dz. U. z 2017 r. poz. 248)</w:t>
      </w:r>
      <w:r>
        <w:rPr>
          <w:rFonts w:ascii="Times New Roman" w:hAnsi="Times New Roman" w:cs="Times New Roman"/>
          <w:bCs w:val="0"/>
          <w:szCs w:val="24"/>
        </w:rPr>
        <w:t>.</w:t>
      </w:r>
    </w:p>
    <w:p w14:paraId="4B6E5D93" w14:textId="3BEAD906" w:rsidR="00FC2656" w:rsidRPr="00B162E7" w:rsidRDefault="00FC2656" w:rsidP="0045101C">
      <w:pPr>
        <w:pStyle w:val="USTustnpkodeksu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/>
          <w:spacing w:val="-2"/>
        </w:rPr>
        <w:t>P</w:t>
      </w:r>
      <w:r w:rsidRPr="00564015">
        <w:rPr>
          <w:rFonts w:ascii="Times New Roman" w:hAnsi="Times New Roman"/>
          <w:spacing w:val="-2"/>
        </w:rPr>
        <w:t xml:space="preserve">rojekt </w:t>
      </w:r>
      <w:r>
        <w:rPr>
          <w:rFonts w:ascii="Times New Roman" w:hAnsi="Times New Roman"/>
          <w:spacing w:val="-2"/>
        </w:rPr>
        <w:t>rozporządzenia</w:t>
      </w:r>
      <w:r w:rsidRPr="00564015">
        <w:rPr>
          <w:rFonts w:ascii="Times New Roman" w:hAnsi="Times New Roman"/>
          <w:spacing w:val="-2"/>
        </w:rPr>
        <w:t xml:space="preserve"> nie wymaga przedłożenia innym instytucjom i organom Unii Europejskiej, w tym Europejskiemu Bankowi Centralnemu, w celu uzyskania opinii, dokonania powiadomienia, konsultacji albo uzgodnień</w:t>
      </w:r>
      <w:r>
        <w:rPr>
          <w:rFonts w:ascii="Times New Roman" w:hAnsi="Times New Roman"/>
          <w:spacing w:val="-2"/>
        </w:rPr>
        <w:t>.</w:t>
      </w:r>
    </w:p>
    <w:p w14:paraId="011A5F27" w14:textId="158A7AC6" w:rsidR="0045101C" w:rsidRPr="00B162E7" w:rsidRDefault="0045101C" w:rsidP="0027237C">
      <w:pPr>
        <w:pStyle w:val="USTustnpkodeksu"/>
        <w:rPr>
          <w:rFonts w:ascii="Times New Roman" w:hAnsi="Times New Roman" w:cs="Times New Roman"/>
          <w:bCs w:val="0"/>
          <w:szCs w:val="24"/>
        </w:rPr>
      </w:pPr>
      <w:r w:rsidRPr="00B162E7">
        <w:rPr>
          <w:rFonts w:ascii="Times New Roman" w:hAnsi="Times New Roman" w:cs="Times New Roman"/>
          <w:bCs w:val="0"/>
          <w:szCs w:val="24"/>
        </w:rPr>
        <w:t>Projekt rozporządzenia jest zgodny z prawem Unii Europejskiej.</w:t>
      </w:r>
    </w:p>
    <w:p w14:paraId="69E29006" w14:textId="77777777" w:rsidR="0045101C" w:rsidRPr="00B162E7" w:rsidRDefault="0045101C" w:rsidP="0045101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9EE8C9C" w14:textId="77777777" w:rsidR="0066357A" w:rsidRPr="00B162E7" w:rsidRDefault="0066357A" w:rsidP="0045101C">
      <w:pPr>
        <w:pStyle w:val="USTustnpkodeksu"/>
        <w:rPr>
          <w:rFonts w:ascii="Times New Roman" w:hAnsi="Times New Roman" w:cs="Times New Roman"/>
          <w:szCs w:val="24"/>
        </w:rPr>
      </w:pPr>
    </w:p>
    <w:sectPr w:rsidR="0066357A" w:rsidRPr="00B1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242"/>
    <w:multiLevelType w:val="hybridMultilevel"/>
    <w:tmpl w:val="30A0F476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C304293"/>
    <w:multiLevelType w:val="hybridMultilevel"/>
    <w:tmpl w:val="6CEC1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5AB6"/>
    <w:multiLevelType w:val="hybridMultilevel"/>
    <w:tmpl w:val="1F149978"/>
    <w:lvl w:ilvl="0" w:tplc="BF5A77EC">
      <w:start w:val="1"/>
      <w:numFmt w:val="decimal"/>
      <w:lvlText w:val="%1)"/>
      <w:lvlJc w:val="left"/>
      <w:pPr>
        <w:ind w:left="141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51D339C"/>
    <w:multiLevelType w:val="hybridMultilevel"/>
    <w:tmpl w:val="95E4C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B7D82"/>
    <w:multiLevelType w:val="hybridMultilevel"/>
    <w:tmpl w:val="60CE3670"/>
    <w:lvl w:ilvl="0" w:tplc="49A8094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64735BC"/>
    <w:multiLevelType w:val="hybridMultilevel"/>
    <w:tmpl w:val="D47C2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318F6"/>
    <w:multiLevelType w:val="hybridMultilevel"/>
    <w:tmpl w:val="9920D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C4116"/>
    <w:multiLevelType w:val="hybridMultilevel"/>
    <w:tmpl w:val="AFD61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91C095C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910"/>
    <w:multiLevelType w:val="hybridMultilevel"/>
    <w:tmpl w:val="21EA7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554FC"/>
    <w:multiLevelType w:val="hybridMultilevel"/>
    <w:tmpl w:val="1E32A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B70B4"/>
    <w:multiLevelType w:val="hybridMultilevel"/>
    <w:tmpl w:val="16783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00F0A"/>
    <w:multiLevelType w:val="hybridMultilevel"/>
    <w:tmpl w:val="E22C32D6"/>
    <w:lvl w:ilvl="0" w:tplc="FFFFFFFF">
      <w:start w:val="1"/>
      <w:numFmt w:val="decimal"/>
      <w:lvlText w:val="%1)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3EDA04F2"/>
    <w:multiLevelType w:val="hybridMultilevel"/>
    <w:tmpl w:val="44E8DB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474773"/>
    <w:multiLevelType w:val="hybridMultilevel"/>
    <w:tmpl w:val="99E0B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3508"/>
    <w:multiLevelType w:val="hybridMultilevel"/>
    <w:tmpl w:val="4BA2F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121D7"/>
    <w:multiLevelType w:val="hybridMultilevel"/>
    <w:tmpl w:val="E22C32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C04410"/>
    <w:multiLevelType w:val="hybridMultilevel"/>
    <w:tmpl w:val="AAD41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C25BD"/>
    <w:multiLevelType w:val="hybridMultilevel"/>
    <w:tmpl w:val="DE260FD6"/>
    <w:lvl w:ilvl="0" w:tplc="0415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E1422"/>
    <w:multiLevelType w:val="hybridMultilevel"/>
    <w:tmpl w:val="3AEA73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9A5FE1"/>
    <w:multiLevelType w:val="hybridMultilevel"/>
    <w:tmpl w:val="4D32F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23DD5"/>
    <w:multiLevelType w:val="hybridMultilevel"/>
    <w:tmpl w:val="A4A27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12BDA"/>
    <w:multiLevelType w:val="hybridMultilevel"/>
    <w:tmpl w:val="F886EED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75226D9E"/>
    <w:multiLevelType w:val="hybridMultilevel"/>
    <w:tmpl w:val="30BE31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13B39"/>
    <w:multiLevelType w:val="hybridMultilevel"/>
    <w:tmpl w:val="8F60C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E044C"/>
    <w:multiLevelType w:val="hybridMultilevel"/>
    <w:tmpl w:val="191802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20"/>
  </w:num>
  <w:num w:numId="5">
    <w:abstractNumId w:val="1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24"/>
  </w:num>
  <w:num w:numId="11">
    <w:abstractNumId w:val="17"/>
  </w:num>
  <w:num w:numId="12">
    <w:abstractNumId w:val="14"/>
  </w:num>
  <w:num w:numId="13">
    <w:abstractNumId w:val="15"/>
  </w:num>
  <w:num w:numId="14">
    <w:abstractNumId w:val="19"/>
  </w:num>
  <w:num w:numId="15">
    <w:abstractNumId w:val="5"/>
  </w:num>
  <w:num w:numId="16">
    <w:abstractNumId w:val="7"/>
  </w:num>
  <w:num w:numId="17">
    <w:abstractNumId w:val="8"/>
  </w:num>
  <w:num w:numId="18">
    <w:abstractNumId w:val="23"/>
  </w:num>
  <w:num w:numId="19">
    <w:abstractNumId w:val="22"/>
  </w:num>
  <w:num w:numId="20">
    <w:abstractNumId w:val="12"/>
  </w:num>
  <w:num w:numId="21">
    <w:abstractNumId w:val="10"/>
  </w:num>
  <w:num w:numId="22">
    <w:abstractNumId w:val="9"/>
  </w:num>
  <w:num w:numId="23">
    <w:abstractNumId w:val="21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C8"/>
    <w:rsid w:val="00002904"/>
    <w:rsid w:val="00016D78"/>
    <w:rsid w:val="00017489"/>
    <w:rsid w:val="00021A8F"/>
    <w:rsid w:val="00024CBC"/>
    <w:rsid w:val="00046392"/>
    <w:rsid w:val="000674CB"/>
    <w:rsid w:val="00086772"/>
    <w:rsid w:val="000968B1"/>
    <w:rsid w:val="000B36BA"/>
    <w:rsid w:val="000B591C"/>
    <w:rsid w:val="000C02FB"/>
    <w:rsid w:val="000E1C7C"/>
    <w:rsid w:val="000F3FC5"/>
    <w:rsid w:val="00101492"/>
    <w:rsid w:val="0010730E"/>
    <w:rsid w:val="00116A27"/>
    <w:rsid w:val="00117B9F"/>
    <w:rsid w:val="0013434E"/>
    <w:rsid w:val="0014143D"/>
    <w:rsid w:val="001513E5"/>
    <w:rsid w:val="00165C14"/>
    <w:rsid w:val="00170D65"/>
    <w:rsid w:val="001830F3"/>
    <w:rsid w:val="0018358A"/>
    <w:rsid w:val="00185EE7"/>
    <w:rsid w:val="001A33E4"/>
    <w:rsid w:val="001B0A53"/>
    <w:rsid w:val="001E39F2"/>
    <w:rsid w:val="001E652A"/>
    <w:rsid w:val="001F5216"/>
    <w:rsid w:val="001F6029"/>
    <w:rsid w:val="00200E41"/>
    <w:rsid w:val="002032B8"/>
    <w:rsid w:val="00221914"/>
    <w:rsid w:val="00224C34"/>
    <w:rsid w:val="002327C4"/>
    <w:rsid w:val="002335CD"/>
    <w:rsid w:val="00237811"/>
    <w:rsid w:val="00255F91"/>
    <w:rsid w:val="0027237C"/>
    <w:rsid w:val="00274B65"/>
    <w:rsid w:val="0028045D"/>
    <w:rsid w:val="00287DCC"/>
    <w:rsid w:val="0029319B"/>
    <w:rsid w:val="00293E81"/>
    <w:rsid w:val="00297587"/>
    <w:rsid w:val="002B2ECF"/>
    <w:rsid w:val="002C3402"/>
    <w:rsid w:val="002D3BE0"/>
    <w:rsid w:val="002F171E"/>
    <w:rsid w:val="002F6F76"/>
    <w:rsid w:val="0030251E"/>
    <w:rsid w:val="00311984"/>
    <w:rsid w:val="00320DFF"/>
    <w:rsid w:val="00322646"/>
    <w:rsid w:val="0034153B"/>
    <w:rsid w:val="0037438E"/>
    <w:rsid w:val="003769DF"/>
    <w:rsid w:val="003849C8"/>
    <w:rsid w:val="00402AA4"/>
    <w:rsid w:val="00404196"/>
    <w:rsid w:val="00423276"/>
    <w:rsid w:val="0045101C"/>
    <w:rsid w:val="0046367B"/>
    <w:rsid w:val="004C71DF"/>
    <w:rsid w:val="004D085C"/>
    <w:rsid w:val="004D7762"/>
    <w:rsid w:val="004E7580"/>
    <w:rsid w:val="00501FBB"/>
    <w:rsid w:val="0050742A"/>
    <w:rsid w:val="0052520A"/>
    <w:rsid w:val="00537AFC"/>
    <w:rsid w:val="005457B7"/>
    <w:rsid w:val="00555481"/>
    <w:rsid w:val="00565FA5"/>
    <w:rsid w:val="00570E9E"/>
    <w:rsid w:val="005867E7"/>
    <w:rsid w:val="0059033E"/>
    <w:rsid w:val="00593CA6"/>
    <w:rsid w:val="00593DBC"/>
    <w:rsid w:val="00595110"/>
    <w:rsid w:val="005E2287"/>
    <w:rsid w:val="005E40E2"/>
    <w:rsid w:val="005E4454"/>
    <w:rsid w:val="005E49BE"/>
    <w:rsid w:val="005E663F"/>
    <w:rsid w:val="005E7702"/>
    <w:rsid w:val="006031C0"/>
    <w:rsid w:val="006069AD"/>
    <w:rsid w:val="00607F54"/>
    <w:rsid w:val="0061748E"/>
    <w:rsid w:val="006526AF"/>
    <w:rsid w:val="0066357A"/>
    <w:rsid w:val="006832E7"/>
    <w:rsid w:val="00684B3A"/>
    <w:rsid w:val="00685322"/>
    <w:rsid w:val="006A3E60"/>
    <w:rsid w:val="006B7F83"/>
    <w:rsid w:val="006D1EDF"/>
    <w:rsid w:val="006D3C83"/>
    <w:rsid w:val="006E17DB"/>
    <w:rsid w:val="006E1ECE"/>
    <w:rsid w:val="006E51D1"/>
    <w:rsid w:val="0071008D"/>
    <w:rsid w:val="0071523F"/>
    <w:rsid w:val="00727139"/>
    <w:rsid w:val="00744C83"/>
    <w:rsid w:val="00766CA9"/>
    <w:rsid w:val="007750ED"/>
    <w:rsid w:val="00796A5E"/>
    <w:rsid w:val="007A0BA5"/>
    <w:rsid w:val="007B1F12"/>
    <w:rsid w:val="007B7348"/>
    <w:rsid w:val="007D50A8"/>
    <w:rsid w:val="007E1897"/>
    <w:rsid w:val="007F27ED"/>
    <w:rsid w:val="00815C9A"/>
    <w:rsid w:val="00822329"/>
    <w:rsid w:val="00832C38"/>
    <w:rsid w:val="00835F68"/>
    <w:rsid w:val="008510EE"/>
    <w:rsid w:val="00867F8F"/>
    <w:rsid w:val="00872972"/>
    <w:rsid w:val="00880F10"/>
    <w:rsid w:val="00882469"/>
    <w:rsid w:val="00890F93"/>
    <w:rsid w:val="00897018"/>
    <w:rsid w:val="008C2425"/>
    <w:rsid w:val="008C665F"/>
    <w:rsid w:val="008C7357"/>
    <w:rsid w:val="008E584E"/>
    <w:rsid w:val="008E77E6"/>
    <w:rsid w:val="00904EEE"/>
    <w:rsid w:val="0092294F"/>
    <w:rsid w:val="00933816"/>
    <w:rsid w:val="00937582"/>
    <w:rsid w:val="009419B9"/>
    <w:rsid w:val="00946B9E"/>
    <w:rsid w:val="009577BD"/>
    <w:rsid w:val="00962905"/>
    <w:rsid w:val="009837A7"/>
    <w:rsid w:val="009967B4"/>
    <w:rsid w:val="009A3B14"/>
    <w:rsid w:val="009D2DD9"/>
    <w:rsid w:val="009E2A20"/>
    <w:rsid w:val="009F198B"/>
    <w:rsid w:val="00A102FF"/>
    <w:rsid w:val="00A1695B"/>
    <w:rsid w:val="00A25B18"/>
    <w:rsid w:val="00A2730A"/>
    <w:rsid w:val="00A35893"/>
    <w:rsid w:val="00A4068F"/>
    <w:rsid w:val="00A412C6"/>
    <w:rsid w:val="00A50820"/>
    <w:rsid w:val="00A705EC"/>
    <w:rsid w:val="00A84CAA"/>
    <w:rsid w:val="00A85604"/>
    <w:rsid w:val="00AA6EEC"/>
    <w:rsid w:val="00AB54BB"/>
    <w:rsid w:val="00AE7374"/>
    <w:rsid w:val="00AE7DE3"/>
    <w:rsid w:val="00AF266F"/>
    <w:rsid w:val="00B162E7"/>
    <w:rsid w:val="00B223C2"/>
    <w:rsid w:val="00B31C89"/>
    <w:rsid w:val="00B33FEF"/>
    <w:rsid w:val="00B56247"/>
    <w:rsid w:val="00BC1848"/>
    <w:rsid w:val="00C250A9"/>
    <w:rsid w:val="00C40050"/>
    <w:rsid w:val="00C51E84"/>
    <w:rsid w:val="00C72EC5"/>
    <w:rsid w:val="00C8611A"/>
    <w:rsid w:val="00C968D6"/>
    <w:rsid w:val="00CA7F4E"/>
    <w:rsid w:val="00CB4649"/>
    <w:rsid w:val="00CB4983"/>
    <w:rsid w:val="00CB7D3A"/>
    <w:rsid w:val="00CC3931"/>
    <w:rsid w:val="00CD537B"/>
    <w:rsid w:val="00CF4F99"/>
    <w:rsid w:val="00CF6144"/>
    <w:rsid w:val="00D121CD"/>
    <w:rsid w:val="00D243BE"/>
    <w:rsid w:val="00D312BB"/>
    <w:rsid w:val="00D377DA"/>
    <w:rsid w:val="00D47021"/>
    <w:rsid w:val="00D57E5F"/>
    <w:rsid w:val="00D7533F"/>
    <w:rsid w:val="00D775CC"/>
    <w:rsid w:val="00D9246F"/>
    <w:rsid w:val="00DD577E"/>
    <w:rsid w:val="00DF316F"/>
    <w:rsid w:val="00DF6358"/>
    <w:rsid w:val="00E44057"/>
    <w:rsid w:val="00E7404F"/>
    <w:rsid w:val="00E76A3F"/>
    <w:rsid w:val="00E844C6"/>
    <w:rsid w:val="00E849CB"/>
    <w:rsid w:val="00E86558"/>
    <w:rsid w:val="00EA1E8F"/>
    <w:rsid w:val="00EA3972"/>
    <w:rsid w:val="00EA3B4A"/>
    <w:rsid w:val="00EB014C"/>
    <w:rsid w:val="00EB2067"/>
    <w:rsid w:val="00ED1AC3"/>
    <w:rsid w:val="00ED7182"/>
    <w:rsid w:val="00EE11E3"/>
    <w:rsid w:val="00EE13F4"/>
    <w:rsid w:val="00EE2318"/>
    <w:rsid w:val="00EE30D7"/>
    <w:rsid w:val="00EF19B5"/>
    <w:rsid w:val="00F45E66"/>
    <w:rsid w:val="00F564EC"/>
    <w:rsid w:val="00F61C86"/>
    <w:rsid w:val="00F71E73"/>
    <w:rsid w:val="00F8214A"/>
    <w:rsid w:val="00F95DFB"/>
    <w:rsid w:val="00FA7E2D"/>
    <w:rsid w:val="00FC2656"/>
    <w:rsid w:val="00F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9154"/>
  <w15:chartTrackingRefBased/>
  <w15:docId w15:val="{D071A7AB-061F-44F3-BEF8-591F16D0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71008D"/>
    <w:pPr>
      <w:spacing w:after="0" w:line="240" w:lineRule="auto"/>
    </w:pPr>
  </w:style>
  <w:style w:type="paragraph" w:customStyle="1" w:styleId="USTustnpkodeksu">
    <w:name w:val="UST(§) – ust. (§ np. kodeksu)"/>
    <w:basedOn w:val="Normalny"/>
    <w:uiPriority w:val="12"/>
    <w:qFormat/>
    <w:rsid w:val="0066357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B54B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Default">
    <w:name w:val="Default"/>
    <w:rsid w:val="00D312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Ppogrubienie">
    <w:name w:val="_P_ – pogrubienie"/>
    <w:basedOn w:val="Domylnaczcionkaakapitu"/>
    <w:uiPriority w:val="1"/>
    <w:qFormat/>
    <w:rsid w:val="00962905"/>
    <w:rPr>
      <w:b/>
    </w:rPr>
  </w:style>
  <w:style w:type="paragraph" w:customStyle="1" w:styleId="PKTpunkt">
    <w:name w:val="PKT – punkt"/>
    <w:link w:val="PKTpunktZnak"/>
    <w:uiPriority w:val="13"/>
    <w:qFormat/>
    <w:rsid w:val="001A33E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13"/>
    <w:rsid w:val="001A33E4"/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1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1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FBB"/>
    <w:rPr>
      <w:b/>
      <w:bCs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046392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46392"/>
    <w:rPr>
      <w:rFonts w:ascii="Times New Roman" w:hAnsi="Times New Roman" w:cs="Times New Roman"/>
      <w:color w:val="auto"/>
    </w:rPr>
  </w:style>
  <w:style w:type="paragraph" w:customStyle="1" w:styleId="ARTartustawynprozporzdzenia">
    <w:name w:val="ART(§) – art. ustawy (§ np. rozporządzenia)"/>
    <w:uiPriority w:val="11"/>
    <w:qFormat/>
    <w:rsid w:val="000C02F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2D3BE0"/>
  </w:style>
  <w:style w:type="character" w:styleId="Pogrubienie">
    <w:name w:val="Strong"/>
    <w:basedOn w:val="Domylnaczcionkaakapitu"/>
    <w:uiPriority w:val="22"/>
    <w:qFormat/>
    <w:rsid w:val="002D3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2673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 Radosław</dc:creator>
  <cp:keywords/>
  <dc:description/>
  <cp:lastModifiedBy>Kistowska Aleksandra</cp:lastModifiedBy>
  <cp:revision>15</cp:revision>
  <dcterms:created xsi:type="dcterms:W3CDTF">2022-03-23T12:46:00Z</dcterms:created>
  <dcterms:modified xsi:type="dcterms:W3CDTF">2022-03-24T11:13:00Z</dcterms:modified>
</cp:coreProperties>
</file>