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541"/>
        <w:gridCol w:w="890"/>
        <w:gridCol w:w="414"/>
        <w:gridCol w:w="155"/>
        <w:gridCol w:w="187"/>
        <w:gridCol w:w="383"/>
        <w:gridCol w:w="123"/>
        <w:gridCol w:w="431"/>
        <w:gridCol w:w="16"/>
        <w:gridCol w:w="269"/>
        <w:gridCol w:w="300"/>
        <w:gridCol w:w="353"/>
        <w:gridCol w:w="217"/>
        <w:gridCol w:w="257"/>
        <w:gridCol w:w="313"/>
        <w:gridCol w:w="80"/>
        <w:gridCol w:w="71"/>
        <w:gridCol w:w="419"/>
        <w:gridCol w:w="113"/>
        <w:gridCol w:w="405"/>
        <w:gridCol w:w="51"/>
        <w:gridCol w:w="570"/>
        <w:gridCol w:w="317"/>
        <w:gridCol w:w="253"/>
        <w:gridCol w:w="570"/>
        <w:gridCol w:w="115"/>
        <w:gridCol w:w="1422"/>
        <w:gridCol w:w="10"/>
      </w:tblGrid>
      <w:tr w:rsidR="006A701A" w:rsidRPr="00A57BCB" w:rsidTr="00676C8D">
        <w:trPr>
          <w:gridAfter w:val="1"/>
          <w:wAfter w:w="10" w:type="dxa"/>
          <w:trHeight w:val="1611"/>
        </w:trPr>
        <w:tc>
          <w:tcPr>
            <w:tcW w:w="6631" w:type="dxa"/>
            <w:gridSpan w:val="17"/>
          </w:tcPr>
          <w:p w:rsidR="006A701A" w:rsidRPr="00A57BCB" w:rsidRDefault="006A701A" w:rsidP="00616511">
            <w:pPr>
              <w:spacing w:before="120" w:line="240" w:lineRule="auto"/>
              <w:ind w:hanging="45"/>
              <w:rPr>
                <w:rFonts w:ascii="Times New Roman" w:hAnsi="Times New Roman"/>
                <w:color w:val="000000"/>
              </w:rPr>
            </w:pPr>
            <w:bookmarkStart w:id="0" w:name="t1"/>
            <w:bookmarkStart w:id="1" w:name="_GoBack"/>
            <w:bookmarkEnd w:id="1"/>
            <w:r w:rsidRPr="00A57BCB">
              <w:rPr>
                <w:rFonts w:ascii="Times New Roman" w:hAnsi="Times New Roman"/>
                <w:b/>
                <w:color w:val="000000"/>
              </w:rPr>
              <w:t xml:space="preserve">Nazwa </w:t>
            </w:r>
            <w:r w:rsidR="001B75D8" w:rsidRPr="00A57BCB">
              <w:rPr>
                <w:rFonts w:ascii="Times New Roman" w:hAnsi="Times New Roman"/>
                <w:b/>
                <w:color w:val="000000"/>
              </w:rPr>
              <w:t>projektu</w:t>
            </w:r>
          </w:p>
          <w:p w:rsidR="006A701A" w:rsidRPr="00A57BCB" w:rsidRDefault="002D30AC" w:rsidP="00A52ADB">
            <w:pPr>
              <w:spacing w:line="240" w:lineRule="auto"/>
              <w:ind w:hanging="34"/>
              <w:rPr>
                <w:rFonts w:ascii="Times New Roman" w:hAnsi="Times New Roman"/>
                <w:color w:val="000000"/>
              </w:rPr>
            </w:pPr>
            <w:r>
              <w:rPr>
                <w:rFonts w:ascii="Times New Roman" w:hAnsi="Times New Roman"/>
                <w:color w:val="000000"/>
              </w:rPr>
              <w:t>U</w:t>
            </w:r>
            <w:r w:rsidR="003F299E">
              <w:rPr>
                <w:rFonts w:ascii="Times New Roman" w:hAnsi="Times New Roman"/>
                <w:color w:val="000000"/>
              </w:rPr>
              <w:t>staw</w:t>
            </w:r>
            <w:r>
              <w:rPr>
                <w:rFonts w:ascii="Times New Roman" w:hAnsi="Times New Roman"/>
                <w:color w:val="000000"/>
              </w:rPr>
              <w:t>a</w:t>
            </w:r>
            <w:r w:rsidR="003F299E">
              <w:rPr>
                <w:rFonts w:ascii="Times New Roman" w:hAnsi="Times New Roman"/>
                <w:color w:val="000000"/>
              </w:rPr>
              <w:t xml:space="preserve"> o zmianie ustawy </w:t>
            </w:r>
            <w:r>
              <w:rPr>
                <w:rFonts w:ascii="Times New Roman" w:hAnsi="Times New Roman"/>
                <w:color w:val="000000"/>
              </w:rPr>
              <w:t>– Prawo bankowe.</w:t>
            </w:r>
          </w:p>
          <w:p w:rsidR="006A701A" w:rsidRPr="00A57BCB" w:rsidRDefault="006A701A" w:rsidP="00616511">
            <w:pPr>
              <w:spacing w:before="120" w:line="240" w:lineRule="auto"/>
              <w:ind w:hanging="45"/>
              <w:rPr>
                <w:rFonts w:ascii="Times New Roman" w:hAnsi="Times New Roman"/>
                <w:b/>
                <w:color w:val="000000"/>
              </w:rPr>
            </w:pPr>
            <w:r w:rsidRPr="00A57BCB">
              <w:rPr>
                <w:rFonts w:ascii="Times New Roman" w:hAnsi="Times New Roman"/>
                <w:b/>
                <w:color w:val="000000"/>
              </w:rPr>
              <w:t>Ministerstwo wiodące i ministerstwa współpracujące</w:t>
            </w:r>
          </w:p>
          <w:bookmarkEnd w:id="0"/>
          <w:p w:rsidR="006A701A" w:rsidRDefault="003F299E" w:rsidP="00A52ADB">
            <w:pPr>
              <w:spacing w:line="240" w:lineRule="auto"/>
              <w:ind w:hanging="34"/>
              <w:rPr>
                <w:rFonts w:ascii="Times New Roman" w:hAnsi="Times New Roman"/>
                <w:color w:val="000000"/>
              </w:rPr>
            </w:pPr>
            <w:r>
              <w:rPr>
                <w:rFonts w:ascii="Times New Roman" w:hAnsi="Times New Roman"/>
                <w:color w:val="000000"/>
              </w:rPr>
              <w:t>Ministerstwo Sprawiedliwości</w:t>
            </w:r>
          </w:p>
          <w:p w:rsidR="003F299E" w:rsidRPr="00A57BCB" w:rsidRDefault="003F299E" w:rsidP="00A52ADB">
            <w:pPr>
              <w:spacing w:line="240" w:lineRule="auto"/>
              <w:ind w:hanging="34"/>
              <w:rPr>
                <w:rFonts w:ascii="Times New Roman" w:hAnsi="Times New Roman"/>
                <w:color w:val="000000"/>
              </w:rPr>
            </w:pPr>
          </w:p>
          <w:p w:rsidR="001B3460" w:rsidRDefault="001B3460" w:rsidP="001B3460">
            <w:pPr>
              <w:spacing w:line="240" w:lineRule="auto"/>
              <w:rPr>
                <w:rFonts w:ascii="Times New Roman" w:hAnsi="Times New Roman"/>
                <w:b/>
              </w:rPr>
            </w:pPr>
            <w:r w:rsidRPr="00A57BCB">
              <w:rPr>
                <w:rFonts w:ascii="Times New Roman" w:hAnsi="Times New Roman"/>
                <w:b/>
              </w:rPr>
              <w:t xml:space="preserve">Osoba odpowiedzialna za projekt w randze Ministra, Sekretarza Stanu lub Podsekretarza Stanu </w:t>
            </w:r>
          </w:p>
          <w:p w:rsidR="002D30AC" w:rsidRPr="002D30AC" w:rsidRDefault="002D30AC" w:rsidP="001B3460">
            <w:pPr>
              <w:spacing w:line="240" w:lineRule="auto"/>
              <w:rPr>
                <w:rFonts w:ascii="Times New Roman" w:hAnsi="Times New Roman"/>
                <w:bCs/>
              </w:rPr>
            </w:pPr>
            <w:r w:rsidRPr="002D30AC">
              <w:rPr>
                <w:rFonts w:ascii="Times New Roman" w:hAnsi="Times New Roman"/>
                <w:bCs/>
              </w:rPr>
              <w:t>Marcin Warchoł, Sekretarz Stanu</w:t>
            </w:r>
          </w:p>
          <w:p w:rsidR="006A701A" w:rsidRDefault="006A701A" w:rsidP="002D30AC">
            <w:pPr>
              <w:spacing w:before="120" w:line="240" w:lineRule="auto"/>
              <w:rPr>
                <w:rFonts w:ascii="Times New Roman" w:hAnsi="Times New Roman"/>
                <w:b/>
                <w:color w:val="000000"/>
              </w:rPr>
            </w:pPr>
            <w:r w:rsidRPr="00A57BCB">
              <w:rPr>
                <w:rFonts w:ascii="Times New Roman" w:hAnsi="Times New Roman"/>
                <w:b/>
                <w:color w:val="000000"/>
              </w:rPr>
              <w:t>Kontakt do opiekuna merytorycznego projektu</w:t>
            </w:r>
          </w:p>
          <w:p w:rsidR="002D30AC" w:rsidRPr="002D30AC" w:rsidRDefault="002D30AC" w:rsidP="002D30AC">
            <w:pPr>
              <w:spacing w:line="240" w:lineRule="auto"/>
              <w:rPr>
                <w:rFonts w:ascii="Times New Roman" w:hAnsi="Times New Roman"/>
                <w:bCs/>
                <w:color w:val="000000"/>
              </w:rPr>
            </w:pPr>
            <w:r w:rsidRPr="002D30AC">
              <w:rPr>
                <w:rFonts w:ascii="Times New Roman" w:hAnsi="Times New Roman"/>
                <w:bCs/>
                <w:color w:val="000000"/>
              </w:rPr>
              <w:t>dr Rafał Reiwer</w:t>
            </w:r>
            <w:r>
              <w:rPr>
                <w:rFonts w:ascii="Times New Roman" w:hAnsi="Times New Roman"/>
                <w:bCs/>
                <w:color w:val="000000"/>
              </w:rPr>
              <w:t xml:space="preserve">, </w:t>
            </w:r>
            <w:r w:rsidR="007354B3">
              <w:rPr>
                <w:rFonts w:ascii="Times New Roman" w:hAnsi="Times New Roman"/>
                <w:bCs/>
                <w:color w:val="000000"/>
              </w:rPr>
              <w:t xml:space="preserve">Dyrektor </w:t>
            </w:r>
            <w:r w:rsidR="007354B3" w:rsidRPr="007354B3">
              <w:rPr>
                <w:rFonts w:ascii="Times New Roman" w:hAnsi="Times New Roman"/>
                <w:bCs/>
                <w:color w:val="000000"/>
              </w:rPr>
              <w:t>Departament</w:t>
            </w:r>
            <w:r w:rsidR="007354B3">
              <w:rPr>
                <w:rFonts w:ascii="Times New Roman" w:hAnsi="Times New Roman"/>
                <w:bCs/>
                <w:color w:val="000000"/>
              </w:rPr>
              <w:t>u</w:t>
            </w:r>
            <w:r w:rsidR="007354B3" w:rsidRPr="007354B3">
              <w:rPr>
                <w:rFonts w:ascii="Times New Roman" w:hAnsi="Times New Roman"/>
                <w:bCs/>
                <w:color w:val="000000"/>
              </w:rPr>
              <w:t xml:space="preserve"> Wykonania Orzeczeń i</w:t>
            </w:r>
            <w:r w:rsidR="004213FD">
              <w:rPr>
                <w:rFonts w:ascii="Times New Roman" w:hAnsi="Times New Roman"/>
                <w:bCs/>
                <w:color w:val="000000"/>
              </w:rPr>
              <w:t> </w:t>
            </w:r>
            <w:r w:rsidR="007354B3" w:rsidRPr="007354B3">
              <w:rPr>
                <w:rFonts w:ascii="Times New Roman" w:hAnsi="Times New Roman"/>
                <w:bCs/>
                <w:color w:val="000000"/>
              </w:rPr>
              <w:t>Probacji</w:t>
            </w:r>
            <w:r w:rsidR="007354B3">
              <w:rPr>
                <w:rFonts w:ascii="Times New Roman" w:hAnsi="Times New Roman"/>
                <w:bCs/>
                <w:color w:val="000000"/>
              </w:rPr>
              <w:t xml:space="preserve">, mail: </w:t>
            </w:r>
            <w:r w:rsidR="00E13853" w:rsidRPr="00E13853">
              <w:rPr>
                <w:rFonts w:ascii="Times New Roman" w:hAnsi="Times New Roman"/>
                <w:bCs/>
                <w:color w:val="000000"/>
              </w:rPr>
              <w:t>sekretariat.dwoip@ms.gov.pl</w:t>
            </w:r>
          </w:p>
          <w:p w:rsidR="003F299E" w:rsidRPr="00A57BCB" w:rsidRDefault="003F299E" w:rsidP="002D30AC">
            <w:pPr>
              <w:spacing w:line="240" w:lineRule="auto"/>
              <w:rPr>
                <w:rFonts w:ascii="Times New Roman" w:hAnsi="Times New Roman"/>
                <w:color w:val="000000"/>
              </w:rPr>
            </w:pPr>
          </w:p>
        </w:tc>
        <w:tc>
          <w:tcPr>
            <w:tcW w:w="4306" w:type="dxa"/>
            <w:gridSpan w:val="11"/>
            <w:shd w:val="clear" w:color="auto" w:fill="FFFFFF"/>
          </w:tcPr>
          <w:p w:rsidR="001B3460" w:rsidRPr="00A57BCB" w:rsidRDefault="001B3460" w:rsidP="001B3460">
            <w:pPr>
              <w:spacing w:line="240" w:lineRule="auto"/>
              <w:rPr>
                <w:rFonts w:ascii="Times New Roman" w:hAnsi="Times New Roman"/>
                <w:b/>
              </w:rPr>
            </w:pPr>
            <w:r w:rsidRPr="00A57BCB">
              <w:rPr>
                <w:rFonts w:ascii="Times New Roman" w:hAnsi="Times New Roman"/>
                <w:b/>
              </w:rPr>
              <w:t>Data sporządzenia</w:t>
            </w:r>
            <w:r w:rsidRPr="00A57BCB">
              <w:rPr>
                <w:rFonts w:ascii="Times New Roman" w:hAnsi="Times New Roman"/>
                <w:b/>
              </w:rPr>
              <w:br/>
            </w:r>
            <w:r w:rsidR="004213FD">
              <w:rPr>
                <w:rFonts w:ascii="Times New Roman" w:hAnsi="Times New Roman"/>
              </w:rPr>
              <w:t>18</w:t>
            </w:r>
            <w:r w:rsidR="00F81C71">
              <w:rPr>
                <w:rFonts w:ascii="Times New Roman" w:hAnsi="Times New Roman"/>
              </w:rPr>
              <w:t>.03</w:t>
            </w:r>
            <w:r w:rsidR="003F299E">
              <w:rPr>
                <w:rFonts w:ascii="Times New Roman" w:hAnsi="Times New Roman"/>
              </w:rPr>
              <w:t>.2022 r.</w:t>
            </w:r>
          </w:p>
          <w:p w:rsidR="00F76884" w:rsidRPr="00A57BCB" w:rsidRDefault="00F76884" w:rsidP="00F76884">
            <w:pPr>
              <w:spacing w:line="240" w:lineRule="auto"/>
              <w:rPr>
                <w:rFonts w:ascii="Times New Roman" w:hAnsi="Times New Roman"/>
                <w:b/>
              </w:rPr>
            </w:pPr>
          </w:p>
          <w:p w:rsidR="00F76884" w:rsidRPr="00A57BCB" w:rsidRDefault="00F76884" w:rsidP="00F76884">
            <w:pPr>
              <w:spacing w:line="240" w:lineRule="auto"/>
              <w:rPr>
                <w:rFonts w:ascii="Times New Roman" w:hAnsi="Times New Roman"/>
                <w:b/>
              </w:rPr>
            </w:pPr>
            <w:r w:rsidRPr="00A57BCB">
              <w:rPr>
                <w:rFonts w:ascii="Times New Roman" w:hAnsi="Times New Roman"/>
                <w:b/>
              </w:rPr>
              <w:t xml:space="preserve">Źródło: </w:t>
            </w:r>
            <w:bookmarkStart w:id="2" w:name="Lista1"/>
          </w:p>
          <w:bookmarkEnd w:id="2"/>
          <w:p w:rsidR="00F76884" w:rsidRPr="00A57BCB" w:rsidRDefault="003F299E" w:rsidP="00F76884">
            <w:pPr>
              <w:spacing w:line="240" w:lineRule="auto"/>
              <w:rPr>
                <w:rFonts w:ascii="Times New Roman" w:hAnsi="Times New Roman"/>
              </w:rPr>
            </w:pPr>
            <w:r>
              <w:rPr>
                <w:rFonts w:ascii="Times New Roman" w:hAnsi="Times New Roman"/>
              </w:rPr>
              <w:t>Inicjatywa własna</w:t>
            </w:r>
          </w:p>
          <w:p w:rsidR="002D30AC" w:rsidRDefault="006A701A" w:rsidP="003F299E">
            <w:pPr>
              <w:spacing w:before="120" w:line="240" w:lineRule="auto"/>
              <w:rPr>
                <w:rFonts w:ascii="Times New Roman" w:hAnsi="Times New Roman"/>
                <w:b/>
                <w:color w:val="000000"/>
              </w:rPr>
            </w:pPr>
            <w:r w:rsidRPr="00A57BCB">
              <w:rPr>
                <w:rFonts w:ascii="Times New Roman" w:hAnsi="Times New Roman"/>
                <w:b/>
                <w:color w:val="000000"/>
              </w:rPr>
              <w:t xml:space="preserve">Nr </w:t>
            </w:r>
            <w:r w:rsidR="0057668E" w:rsidRPr="00A57BCB">
              <w:rPr>
                <w:rFonts w:ascii="Times New Roman" w:hAnsi="Times New Roman"/>
                <w:b/>
                <w:color w:val="000000"/>
              </w:rPr>
              <w:t>w</w:t>
            </w:r>
            <w:r w:rsidRPr="00A57BCB">
              <w:rPr>
                <w:rFonts w:ascii="Times New Roman" w:hAnsi="Times New Roman"/>
                <w:b/>
                <w:color w:val="000000"/>
              </w:rPr>
              <w:t xml:space="preserve"> wykaz</w:t>
            </w:r>
            <w:r w:rsidR="0057668E" w:rsidRPr="00A57BCB">
              <w:rPr>
                <w:rFonts w:ascii="Times New Roman" w:hAnsi="Times New Roman"/>
                <w:b/>
                <w:color w:val="000000"/>
              </w:rPr>
              <w:t>ie</w:t>
            </w:r>
            <w:r w:rsidRPr="00A57BCB">
              <w:rPr>
                <w:rFonts w:ascii="Times New Roman" w:hAnsi="Times New Roman"/>
                <w:b/>
                <w:color w:val="000000"/>
              </w:rPr>
              <w:t xml:space="preserve"> prac</w:t>
            </w:r>
            <w:r w:rsidR="007354B3" w:rsidRPr="007354B3">
              <w:rPr>
                <w:rFonts w:ascii="Times New Roman" w:hAnsi="Times New Roman"/>
                <w:b/>
                <w:color w:val="000000"/>
              </w:rPr>
              <w:t xml:space="preserve"> legislacyjnych i programowych Rady Ministrów</w:t>
            </w:r>
          </w:p>
          <w:p w:rsidR="006A701A" w:rsidRPr="002D30AC" w:rsidRDefault="002D30AC" w:rsidP="002D30AC">
            <w:pPr>
              <w:spacing w:line="240" w:lineRule="auto"/>
              <w:rPr>
                <w:rFonts w:ascii="Times New Roman" w:hAnsi="Times New Roman"/>
                <w:bCs/>
                <w:color w:val="000000"/>
              </w:rPr>
            </w:pPr>
            <w:r w:rsidRPr="002D30AC">
              <w:rPr>
                <w:rFonts w:ascii="Times New Roman" w:hAnsi="Times New Roman"/>
                <w:bCs/>
                <w:color w:val="000000"/>
              </w:rPr>
              <w:t>UD358</w:t>
            </w:r>
          </w:p>
        </w:tc>
      </w:tr>
      <w:tr w:rsidR="006A701A" w:rsidRPr="00A57BCB" w:rsidTr="009D6141">
        <w:trPr>
          <w:gridAfter w:val="1"/>
          <w:wAfter w:w="10" w:type="dxa"/>
          <w:trHeight w:val="600"/>
        </w:trPr>
        <w:tc>
          <w:tcPr>
            <w:tcW w:w="10937" w:type="dxa"/>
            <w:gridSpan w:val="28"/>
            <w:shd w:val="clear" w:color="auto" w:fill="99CCFF"/>
            <w:vAlign w:val="center"/>
          </w:tcPr>
          <w:p w:rsidR="006A701A" w:rsidRPr="00A57BCB" w:rsidRDefault="006A701A" w:rsidP="009D6141">
            <w:pPr>
              <w:spacing w:line="240" w:lineRule="auto"/>
              <w:ind w:left="57"/>
              <w:jc w:val="center"/>
              <w:rPr>
                <w:rFonts w:ascii="Times New Roman" w:hAnsi="Times New Roman"/>
                <w:b/>
                <w:color w:val="FFFFFF"/>
              </w:rPr>
            </w:pPr>
            <w:r w:rsidRPr="009D6141">
              <w:rPr>
                <w:rFonts w:ascii="Times New Roman" w:hAnsi="Times New Roman"/>
                <w:b/>
                <w:color w:val="FFFFFF"/>
                <w:sz w:val="32"/>
                <w:szCs w:val="32"/>
              </w:rPr>
              <w:t>OCENA SKUTKÓW REGULACJI</w:t>
            </w:r>
          </w:p>
        </w:tc>
      </w:tr>
      <w:tr w:rsidR="006A701A" w:rsidRPr="00A57BCB" w:rsidTr="00676C8D">
        <w:trPr>
          <w:gridAfter w:val="1"/>
          <w:wAfter w:w="10" w:type="dxa"/>
          <w:trHeight w:val="333"/>
        </w:trPr>
        <w:tc>
          <w:tcPr>
            <w:tcW w:w="10937" w:type="dxa"/>
            <w:gridSpan w:val="28"/>
            <w:shd w:val="clear" w:color="auto" w:fill="99CCFF"/>
            <w:vAlign w:val="center"/>
          </w:tcPr>
          <w:p w:rsidR="006A701A" w:rsidRPr="00A57BCB" w:rsidRDefault="003D12F6" w:rsidP="006A701A">
            <w:pPr>
              <w:numPr>
                <w:ilvl w:val="0"/>
                <w:numId w:val="6"/>
              </w:numPr>
              <w:spacing w:before="60" w:after="60" w:line="240" w:lineRule="auto"/>
              <w:ind w:left="318" w:hanging="284"/>
              <w:jc w:val="both"/>
              <w:rPr>
                <w:rFonts w:ascii="Times New Roman" w:hAnsi="Times New Roman"/>
                <w:b/>
                <w:color w:val="000000"/>
              </w:rPr>
            </w:pPr>
            <w:r w:rsidRPr="00A57BCB">
              <w:rPr>
                <w:rFonts w:ascii="Times New Roman" w:hAnsi="Times New Roman"/>
                <w:b/>
              </w:rPr>
              <w:t xml:space="preserve">Jaki problem jest </w:t>
            </w:r>
            <w:r w:rsidR="00CC6305" w:rsidRPr="00A57BCB">
              <w:rPr>
                <w:rFonts w:ascii="Times New Roman" w:hAnsi="Times New Roman"/>
                <w:b/>
              </w:rPr>
              <w:t>rozwiązywany?</w:t>
            </w:r>
            <w:bookmarkStart w:id="3" w:name="Wybór1"/>
            <w:bookmarkEnd w:id="3"/>
          </w:p>
        </w:tc>
      </w:tr>
      <w:tr w:rsidR="006A701A" w:rsidRPr="00A57BCB" w:rsidTr="00676C8D">
        <w:trPr>
          <w:gridAfter w:val="1"/>
          <w:wAfter w:w="10" w:type="dxa"/>
          <w:trHeight w:val="142"/>
        </w:trPr>
        <w:tc>
          <w:tcPr>
            <w:tcW w:w="10937" w:type="dxa"/>
            <w:gridSpan w:val="28"/>
            <w:shd w:val="clear" w:color="auto" w:fill="FFFFFF"/>
          </w:tcPr>
          <w:p w:rsidR="00622F5E" w:rsidRPr="00A57BCB" w:rsidRDefault="00622F5E" w:rsidP="00622F5E">
            <w:pPr>
              <w:spacing w:line="240" w:lineRule="auto"/>
              <w:jc w:val="both"/>
              <w:rPr>
                <w:rFonts w:ascii="Times New Roman" w:hAnsi="Times New Roman"/>
                <w:color w:val="000000"/>
              </w:rPr>
            </w:pPr>
            <w:r w:rsidRPr="00A57BCB">
              <w:rPr>
                <w:rFonts w:ascii="Times New Roman" w:hAnsi="Times New Roman"/>
                <w:color w:val="000000"/>
              </w:rPr>
              <w:t xml:space="preserve">W związku z oczekiwaniem na wpis do księgi wieczystej hipoteki zabezpieczającej kredyt zaciągany na zakup nieruchomości banki obciążają dodatkowymi kosztami kredytobiorców. </w:t>
            </w:r>
          </w:p>
          <w:p w:rsidR="00622F5E" w:rsidRPr="00A57BCB" w:rsidRDefault="00622F5E" w:rsidP="00622F5E">
            <w:pPr>
              <w:spacing w:line="240" w:lineRule="auto"/>
              <w:jc w:val="both"/>
              <w:rPr>
                <w:rFonts w:ascii="Times New Roman" w:hAnsi="Times New Roman"/>
                <w:color w:val="000000"/>
              </w:rPr>
            </w:pPr>
            <w:r w:rsidRPr="00A57BCB">
              <w:rPr>
                <w:rFonts w:ascii="Times New Roman" w:hAnsi="Times New Roman"/>
                <w:color w:val="000000"/>
              </w:rPr>
              <w:t>W ocenie banków takie działanie jest uzasadniane faktem, że do czasu wpisu hipoteki do księgi wieczystej, ponoszą zwiększone ryzyko związane z brakiem dostatecznego zabezpieczenia spłaty kredytu.</w:t>
            </w:r>
            <w:r w:rsidR="005C36D0" w:rsidRPr="00A57BCB">
              <w:rPr>
                <w:rFonts w:ascii="Times New Roman" w:hAnsi="Times New Roman"/>
                <w:color w:val="000000"/>
              </w:rPr>
              <w:t xml:space="preserve"> W praktyce jednak, niemal </w:t>
            </w:r>
            <w:r w:rsidR="00740114" w:rsidRPr="00A57BCB">
              <w:rPr>
                <w:rFonts w:ascii="Times New Roman" w:hAnsi="Times New Roman"/>
                <w:color w:val="000000"/>
              </w:rPr>
              <w:br/>
            </w:r>
            <w:r w:rsidR="005C36D0" w:rsidRPr="00A57BCB">
              <w:rPr>
                <w:rFonts w:ascii="Times New Roman" w:hAnsi="Times New Roman"/>
                <w:color w:val="000000"/>
              </w:rPr>
              <w:t xml:space="preserve">w każdym przypadku wpis hipoteki jest dokonywany zgodnie z wnioskiem i zakładane przez banki </w:t>
            </w:r>
            <w:r w:rsidR="00790118" w:rsidRPr="00790118">
              <w:rPr>
                <w:rFonts w:ascii="Times New Roman" w:hAnsi="Times New Roman"/>
                <w:color w:val="000000"/>
              </w:rPr>
              <w:t>zdarzenie</w:t>
            </w:r>
            <w:r w:rsidR="005C36D0" w:rsidRPr="00790118">
              <w:rPr>
                <w:rFonts w:ascii="Times New Roman" w:hAnsi="Times New Roman"/>
                <w:color w:val="000000"/>
              </w:rPr>
              <w:t>,</w:t>
            </w:r>
            <w:r w:rsidR="005C36D0" w:rsidRPr="00A57BCB">
              <w:rPr>
                <w:rFonts w:ascii="Times New Roman" w:hAnsi="Times New Roman"/>
                <w:color w:val="000000"/>
              </w:rPr>
              <w:t xml:space="preserve"> które miało uzasadniać pobranie opłaty o charakterze nadzwyczajnego „ubezpieczenia” ryzyka kredytowego</w:t>
            </w:r>
            <w:r w:rsidR="0012349A">
              <w:rPr>
                <w:rFonts w:ascii="Times New Roman" w:hAnsi="Times New Roman"/>
                <w:color w:val="000000"/>
              </w:rPr>
              <w:t>, nie zachodzi</w:t>
            </w:r>
            <w:r w:rsidR="0025290C">
              <w:rPr>
                <w:rFonts w:ascii="Times New Roman" w:hAnsi="Times New Roman"/>
                <w:color w:val="000000"/>
              </w:rPr>
              <w:t>.</w:t>
            </w:r>
          </w:p>
          <w:p w:rsidR="00B43AA3" w:rsidRPr="00A57BCB" w:rsidRDefault="00B43AA3" w:rsidP="00B43AA3">
            <w:pPr>
              <w:spacing w:line="240" w:lineRule="auto"/>
              <w:jc w:val="both"/>
              <w:rPr>
                <w:rFonts w:ascii="Times New Roman" w:hAnsi="Times New Roman"/>
                <w:color w:val="000000"/>
              </w:rPr>
            </w:pPr>
            <w:r w:rsidRPr="00A57BCB">
              <w:rPr>
                <w:rFonts w:ascii="Times New Roman" w:hAnsi="Times New Roman"/>
                <w:color w:val="000000"/>
              </w:rPr>
              <w:t>Skoro zatem ryzyko uzasadniające dodatkowe koszty nie ziściło się, koszty te, jak wspomniano o charakterze nadzwyczajnym i asekuracyjnym powinny być kredytobiorcy zwrócone, względnie zaliczone na poczet jego umownych zobowiązań kredytowych.</w:t>
            </w:r>
          </w:p>
          <w:p w:rsidR="007D2F4C" w:rsidRPr="00A57BCB" w:rsidRDefault="007D2F4C" w:rsidP="00622F5E">
            <w:pPr>
              <w:spacing w:line="240" w:lineRule="auto"/>
              <w:jc w:val="both"/>
              <w:rPr>
                <w:rFonts w:ascii="Times New Roman" w:hAnsi="Times New Roman"/>
                <w:color w:val="000000"/>
              </w:rPr>
            </w:pPr>
          </w:p>
          <w:p w:rsidR="007D2F4C" w:rsidRPr="00A57BCB" w:rsidRDefault="007D2F4C" w:rsidP="00622F5E">
            <w:pPr>
              <w:spacing w:line="240" w:lineRule="auto"/>
              <w:jc w:val="both"/>
              <w:rPr>
                <w:rFonts w:ascii="Times New Roman" w:hAnsi="Times New Roman"/>
                <w:color w:val="000000"/>
              </w:rPr>
            </w:pPr>
            <w:r w:rsidRPr="00A57BCB">
              <w:rPr>
                <w:rFonts w:ascii="Times New Roman" w:hAnsi="Times New Roman"/>
                <w:color w:val="000000"/>
              </w:rPr>
              <w:t>Poniżej został</w:t>
            </w:r>
            <w:r w:rsidR="00B43AA3" w:rsidRPr="00A57BCB">
              <w:rPr>
                <w:rFonts w:ascii="Times New Roman" w:hAnsi="Times New Roman"/>
                <w:color w:val="000000"/>
              </w:rPr>
              <w:t>y</w:t>
            </w:r>
            <w:r w:rsidRPr="00A57BCB">
              <w:rPr>
                <w:rFonts w:ascii="Times New Roman" w:hAnsi="Times New Roman"/>
                <w:color w:val="000000"/>
              </w:rPr>
              <w:t xml:space="preserve"> przedstawione</w:t>
            </w:r>
            <w:r w:rsidR="00B43AA3" w:rsidRPr="00A57BCB">
              <w:rPr>
                <w:rFonts w:ascii="Times New Roman" w:hAnsi="Times New Roman"/>
                <w:color w:val="000000"/>
              </w:rPr>
              <w:t xml:space="preserve"> dane</w:t>
            </w:r>
            <w:r w:rsidRPr="00A57BCB">
              <w:rPr>
                <w:rFonts w:ascii="Times New Roman" w:hAnsi="Times New Roman"/>
                <w:color w:val="000000"/>
              </w:rPr>
              <w:t xml:space="preserve"> odnośnie do wartości i liczby udzielonych kredytów hipotecznych w poszczególnych kwartałach 2020 </w:t>
            </w:r>
            <w:r w:rsidR="00746D31" w:rsidRPr="00A57BCB">
              <w:rPr>
                <w:rFonts w:ascii="Times New Roman" w:hAnsi="Times New Roman"/>
                <w:color w:val="000000"/>
              </w:rPr>
              <w:t>i</w:t>
            </w:r>
            <w:r w:rsidRPr="00A57BCB">
              <w:rPr>
                <w:rFonts w:ascii="Times New Roman" w:hAnsi="Times New Roman"/>
                <w:color w:val="000000"/>
              </w:rPr>
              <w:t xml:space="preserve"> 2021 roku.</w:t>
            </w:r>
          </w:p>
          <w:p w:rsidR="00746D31" w:rsidRPr="00A57BCB" w:rsidRDefault="00746D31" w:rsidP="00622F5E">
            <w:pPr>
              <w:spacing w:line="240" w:lineRule="auto"/>
              <w:jc w:val="both"/>
              <w:rPr>
                <w:rFonts w:ascii="Times New Roman" w:hAnsi="Times New Roman"/>
                <w:color w:val="000000"/>
              </w:rPr>
            </w:pPr>
          </w:p>
          <w:p w:rsidR="00BA7238" w:rsidRPr="00A57BCB" w:rsidRDefault="00BA7238" w:rsidP="00BA7238">
            <w:pPr>
              <w:spacing w:line="240" w:lineRule="auto"/>
              <w:jc w:val="center"/>
              <w:rPr>
                <w:rFonts w:ascii="Times New Roman" w:hAnsi="Times New Roman"/>
                <w:i/>
                <w:iCs/>
                <w:color w:val="000000"/>
              </w:rPr>
            </w:pPr>
            <w:r w:rsidRPr="00A57BCB">
              <w:rPr>
                <w:rFonts w:ascii="Times New Roman" w:hAnsi="Times New Roman"/>
                <w:i/>
                <w:iCs/>
                <w:color w:val="000000"/>
              </w:rPr>
              <w:t>Wartość udzielonych kredytów hipotecznych w danym okresie</w:t>
            </w:r>
          </w:p>
          <w:p w:rsidR="007D2F4C" w:rsidRPr="00A57BCB" w:rsidRDefault="007D2F4C" w:rsidP="00BA7238">
            <w:pPr>
              <w:spacing w:line="240" w:lineRule="auto"/>
              <w:jc w:val="center"/>
              <w:rPr>
                <w:rFonts w:ascii="Times New Roman" w:hAnsi="Times New Roman"/>
                <w:color w:val="00000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523"/>
              <w:gridCol w:w="2523"/>
              <w:gridCol w:w="2523"/>
              <w:gridCol w:w="2523"/>
            </w:tblGrid>
            <w:tr w:rsidR="008F5BD1" w:rsidRPr="00A57BCB" w:rsidTr="004B22AB">
              <w:trPr>
                <w:trHeight w:val="173"/>
                <w:jc w:val="center"/>
              </w:trPr>
              <w:tc>
                <w:tcPr>
                  <w:tcW w:w="2523" w:type="dxa"/>
                  <w:tcBorders>
                    <w:top w:val="single" w:sz="8" w:space="0" w:color="000000"/>
                    <w:left w:val="single" w:sz="8" w:space="0" w:color="000000"/>
                    <w:bottom w:val="single" w:sz="18" w:space="0" w:color="000000"/>
                    <w:right w:val="single" w:sz="8" w:space="0" w:color="000000"/>
                  </w:tcBorders>
                  <w:shd w:val="clear" w:color="auto" w:fill="auto"/>
                </w:tcPr>
                <w:p w:rsidR="008F5BD1" w:rsidRPr="00A57BCB" w:rsidRDefault="008F5BD1" w:rsidP="00A74331">
                  <w:pPr>
                    <w:spacing w:line="240" w:lineRule="auto"/>
                    <w:jc w:val="both"/>
                    <w:rPr>
                      <w:rFonts w:ascii="Times New Roman" w:eastAsia="Times New Roman" w:hAnsi="Times New Roman"/>
                      <w:b/>
                      <w:bCs/>
                      <w:color w:val="000000"/>
                    </w:rPr>
                  </w:pPr>
                  <w:r w:rsidRPr="00A57BCB">
                    <w:rPr>
                      <w:rFonts w:ascii="Times New Roman" w:eastAsia="Times New Roman" w:hAnsi="Times New Roman"/>
                      <w:b/>
                      <w:bCs/>
                      <w:color w:val="000000"/>
                    </w:rPr>
                    <w:t>Bank</w:t>
                  </w:r>
                </w:p>
              </w:tc>
              <w:tc>
                <w:tcPr>
                  <w:tcW w:w="2523" w:type="dxa"/>
                  <w:tcBorders>
                    <w:top w:val="single" w:sz="8" w:space="0" w:color="000000"/>
                    <w:left w:val="single" w:sz="8" w:space="0" w:color="000000"/>
                    <w:bottom w:val="single" w:sz="18" w:space="0" w:color="000000"/>
                    <w:right w:val="single" w:sz="8" w:space="0" w:color="000000"/>
                  </w:tcBorders>
                  <w:shd w:val="clear" w:color="auto" w:fill="auto"/>
                </w:tcPr>
                <w:p w:rsidR="008F5BD1" w:rsidRPr="00A57BCB" w:rsidRDefault="008F5BD1" w:rsidP="00A74331">
                  <w:pPr>
                    <w:spacing w:line="240" w:lineRule="auto"/>
                    <w:jc w:val="right"/>
                    <w:rPr>
                      <w:rFonts w:ascii="Times New Roman" w:eastAsia="Times New Roman" w:hAnsi="Times New Roman"/>
                      <w:b/>
                      <w:bCs/>
                      <w:color w:val="000000"/>
                    </w:rPr>
                  </w:pPr>
                  <w:r w:rsidRPr="00A57BCB">
                    <w:rPr>
                      <w:rFonts w:ascii="Times New Roman" w:eastAsia="Times New Roman" w:hAnsi="Times New Roman"/>
                      <w:b/>
                      <w:bCs/>
                      <w:color w:val="000000"/>
                    </w:rPr>
                    <w:t>III kwartał 2021</w:t>
                  </w:r>
                </w:p>
              </w:tc>
              <w:tc>
                <w:tcPr>
                  <w:tcW w:w="2523" w:type="dxa"/>
                  <w:tcBorders>
                    <w:top w:val="single" w:sz="8" w:space="0" w:color="000000"/>
                    <w:left w:val="single" w:sz="8" w:space="0" w:color="000000"/>
                    <w:bottom w:val="single" w:sz="18" w:space="0" w:color="000000"/>
                    <w:right w:val="single" w:sz="8" w:space="0" w:color="000000"/>
                  </w:tcBorders>
                  <w:shd w:val="clear" w:color="auto" w:fill="auto"/>
                </w:tcPr>
                <w:p w:rsidR="008F5BD1" w:rsidRPr="00A57BCB" w:rsidRDefault="008F5BD1" w:rsidP="00A74331">
                  <w:pPr>
                    <w:spacing w:line="240" w:lineRule="auto"/>
                    <w:jc w:val="right"/>
                    <w:rPr>
                      <w:rFonts w:ascii="Times New Roman" w:eastAsia="Times New Roman" w:hAnsi="Times New Roman"/>
                      <w:b/>
                      <w:bCs/>
                      <w:color w:val="000000"/>
                    </w:rPr>
                  </w:pPr>
                  <w:r w:rsidRPr="00A57BCB">
                    <w:rPr>
                      <w:rFonts w:ascii="Times New Roman" w:eastAsia="Times New Roman" w:hAnsi="Times New Roman"/>
                      <w:b/>
                      <w:bCs/>
                      <w:color w:val="000000"/>
                    </w:rPr>
                    <w:t>II kwartał 2021</w:t>
                  </w:r>
                </w:p>
              </w:tc>
              <w:tc>
                <w:tcPr>
                  <w:tcW w:w="2523" w:type="dxa"/>
                  <w:tcBorders>
                    <w:top w:val="single" w:sz="8" w:space="0" w:color="000000"/>
                    <w:left w:val="single" w:sz="8" w:space="0" w:color="000000"/>
                    <w:bottom w:val="single" w:sz="18" w:space="0" w:color="000000"/>
                    <w:right w:val="single" w:sz="8" w:space="0" w:color="000000"/>
                  </w:tcBorders>
                  <w:shd w:val="clear" w:color="auto" w:fill="auto"/>
                </w:tcPr>
                <w:p w:rsidR="008F5BD1" w:rsidRPr="00A57BCB" w:rsidRDefault="008F5BD1" w:rsidP="00A74331">
                  <w:pPr>
                    <w:spacing w:line="240" w:lineRule="auto"/>
                    <w:jc w:val="right"/>
                    <w:rPr>
                      <w:rFonts w:ascii="Times New Roman" w:eastAsia="Times New Roman" w:hAnsi="Times New Roman"/>
                      <w:b/>
                      <w:bCs/>
                      <w:color w:val="000000"/>
                    </w:rPr>
                  </w:pPr>
                  <w:r w:rsidRPr="00A57BCB">
                    <w:rPr>
                      <w:rFonts w:ascii="Times New Roman" w:eastAsia="Times New Roman" w:hAnsi="Times New Roman"/>
                      <w:b/>
                      <w:bCs/>
                      <w:color w:val="000000"/>
                    </w:rPr>
                    <w:t>III kwartał 2020</w:t>
                  </w:r>
                </w:p>
              </w:tc>
            </w:tr>
            <w:tr w:rsidR="008F5BD1" w:rsidRPr="00A57BCB" w:rsidTr="004B22AB">
              <w:trPr>
                <w:trHeight w:val="162"/>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F45FE8" w:rsidRDefault="008F5BD1" w:rsidP="00A74331">
                  <w:pPr>
                    <w:spacing w:line="240" w:lineRule="auto"/>
                    <w:jc w:val="both"/>
                    <w:rPr>
                      <w:rFonts w:ascii="Times New Roman" w:eastAsia="Times New Roman" w:hAnsi="Times New Roman"/>
                      <w:color w:val="000000"/>
                    </w:rPr>
                  </w:pPr>
                  <w:r w:rsidRPr="00F45FE8">
                    <w:rPr>
                      <w:rFonts w:ascii="Times New Roman" w:eastAsia="Times New Roman" w:hAnsi="Times New Roman"/>
                      <w:color w:val="000000"/>
                    </w:rPr>
                    <w:t>PKO Bank Polski</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5 000 000 000</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4 300 000 000</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3 100 000 000</w:t>
                  </w:r>
                </w:p>
              </w:tc>
            </w:tr>
            <w:tr w:rsidR="008F5BD1" w:rsidRPr="00A57BCB" w:rsidTr="004B22AB">
              <w:trPr>
                <w:trHeight w:val="173"/>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F45FE8" w:rsidRDefault="008F5BD1" w:rsidP="00A74331">
                  <w:pPr>
                    <w:spacing w:line="240" w:lineRule="auto"/>
                    <w:jc w:val="both"/>
                    <w:rPr>
                      <w:rFonts w:ascii="Times New Roman" w:eastAsia="Times New Roman" w:hAnsi="Times New Roman"/>
                      <w:color w:val="000000"/>
                    </w:rPr>
                  </w:pPr>
                  <w:r w:rsidRPr="00F45FE8">
                    <w:rPr>
                      <w:rFonts w:ascii="Times New Roman" w:eastAsia="Times New Roman" w:hAnsi="Times New Roman"/>
                      <w:color w:val="000000"/>
                    </w:rPr>
                    <w:t>ING Bank Śląski</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4 011 000 000</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4 168 000 000</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1 680 000 000</w:t>
                  </w:r>
                </w:p>
              </w:tc>
            </w:tr>
            <w:tr w:rsidR="008F5BD1" w:rsidRPr="00A57BCB" w:rsidTr="004B22AB">
              <w:trPr>
                <w:trHeight w:val="173"/>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F45FE8" w:rsidRDefault="008F5BD1" w:rsidP="00A74331">
                  <w:pPr>
                    <w:spacing w:line="240" w:lineRule="auto"/>
                    <w:jc w:val="both"/>
                    <w:rPr>
                      <w:rFonts w:ascii="Times New Roman" w:eastAsia="Times New Roman" w:hAnsi="Times New Roman"/>
                      <w:color w:val="000000"/>
                    </w:rPr>
                  </w:pPr>
                  <w:r w:rsidRPr="00F45FE8">
                    <w:rPr>
                      <w:rFonts w:ascii="Times New Roman" w:eastAsia="Times New Roman" w:hAnsi="Times New Roman"/>
                      <w:color w:val="000000"/>
                    </w:rPr>
                    <w:t>Santander Bank Polska</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2 847 030 000</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2 155 454 000</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1 260 000 000</w:t>
                  </w:r>
                </w:p>
              </w:tc>
            </w:tr>
            <w:tr w:rsidR="008F5BD1" w:rsidRPr="00A57BCB" w:rsidTr="004B22AB">
              <w:trPr>
                <w:trHeight w:val="162"/>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F45FE8" w:rsidRDefault="008F5BD1" w:rsidP="00A74331">
                  <w:pPr>
                    <w:spacing w:line="240" w:lineRule="auto"/>
                    <w:jc w:val="both"/>
                    <w:rPr>
                      <w:rFonts w:ascii="Times New Roman" w:eastAsia="Times New Roman" w:hAnsi="Times New Roman"/>
                      <w:color w:val="000000"/>
                    </w:rPr>
                  </w:pPr>
                  <w:r w:rsidRPr="00F45FE8">
                    <w:rPr>
                      <w:rFonts w:ascii="Times New Roman" w:eastAsia="Times New Roman" w:hAnsi="Times New Roman"/>
                      <w:color w:val="000000"/>
                    </w:rPr>
                    <w:t>Bank PeKao</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2 814 449 000</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3 128 141 000</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1 703 383 000</w:t>
                  </w:r>
                </w:p>
              </w:tc>
            </w:tr>
            <w:tr w:rsidR="008F5BD1" w:rsidRPr="00A57BCB" w:rsidTr="004B22AB">
              <w:trPr>
                <w:trHeight w:val="173"/>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F45FE8" w:rsidRDefault="008F5BD1" w:rsidP="00A74331">
                  <w:pPr>
                    <w:spacing w:line="240" w:lineRule="auto"/>
                    <w:jc w:val="both"/>
                    <w:rPr>
                      <w:rFonts w:ascii="Times New Roman" w:eastAsia="Times New Roman" w:hAnsi="Times New Roman"/>
                      <w:color w:val="000000"/>
                    </w:rPr>
                  </w:pPr>
                  <w:r w:rsidRPr="00F45FE8">
                    <w:rPr>
                      <w:rFonts w:ascii="Times New Roman" w:eastAsia="Times New Roman" w:hAnsi="Times New Roman"/>
                      <w:color w:val="000000"/>
                    </w:rPr>
                    <w:t>mBank</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2 673 000 000</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2 237 000 000</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1 407 000 000</w:t>
                  </w:r>
                </w:p>
              </w:tc>
            </w:tr>
            <w:tr w:rsidR="008F5BD1" w:rsidRPr="00A57BCB" w:rsidTr="004B22AB">
              <w:trPr>
                <w:trHeight w:val="61"/>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F45FE8" w:rsidRDefault="008F5BD1" w:rsidP="00A74331">
                  <w:pPr>
                    <w:spacing w:line="240" w:lineRule="auto"/>
                    <w:jc w:val="both"/>
                    <w:rPr>
                      <w:rFonts w:ascii="Times New Roman" w:eastAsia="Times New Roman" w:hAnsi="Times New Roman"/>
                      <w:color w:val="000000"/>
                    </w:rPr>
                  </w:pPr>
                  <w:r w:rsidRPr="00F45FE8">
                    <w:rPr>
                      <w:rFonts w:ascii="Times New Roman" w:eastAsia="Times New Roman" w:hAnsi="Times New Roman"/>
                      <w:color w:val="000000"/>
                    </w:rPr>
                    <w:t xml:space="preserve">Bank Millennium </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2 249 000 000</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2 600 000 000</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1 800 000 000</w:t>
                  </w:r>
                </w:p>
              </w:tc>
            </w:tr>
            <w:tr w:rsidR="008F5BD1" w:rsidRPr="00A57BCB" w:rsidTr="004B22AB">
              <w:trPr>
                <w:trHeight w:val="173"/>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F45FE8" w:rsidRDefault="008F5BD1" w:rsidP="00A74331">
                  <w:pPr>
                    <w:spacing w:line="240" w:lineRule="auto"/>
                    <w:jc w:val="both"/>
                    <w:rPr>
                      <w:rFonts w:ascii="Times New Roman" w:eastAsia="Times New Roman" w:hAnsi="Times New Roman"/>
                      <w:color w:val="000000"/>
                    </w:rPr>
                  </w:pPr>
                  <w:r w:rsidRPr="00F45FE8">
                    <w:rPr>
                      <w:rFonts w:ascii="Times New Roman" w:eastAsia="Times New Roman" w:hAnsi="Times New Roman"/>
                      <w:color w:val="000000"/>
                    </w:rPr>
                    <w:t>BNP Paribas</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1 705 000 000</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1 755 000 000</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1 355 000 000</w:t>
                  </w:r>
                </w:p>
              </w:tc>
            </w:tr>
            <w:tr w:rsidR="008F5BD1" w:rsidRPr="00A57BCB" w:rsidTr="004B22AB">
              <w:trPr>
                <w:trHeight w:val="162"/>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F45FE8" w:rsidRDefault="008F5BD1" w:rsidP="00A74331">
                  <w:pPr>
                    <w:spacing w:line="240" w:lineRule="auto"/>
                    <w:jc w:val="both"/>
                    <w:rPr>
                      <w:rFonts w:ascii="Times New Roman" w:eastAsia="Times New Roman" w:hAnsi="Times New Roman"/>
                      <w:color w:val="000000"/>
                    </w:rPr>
                  </w:pPr>
                  <w:r w:rsidRPr="00F45FE8">
                    <w:rPr>
                      <w:rFonts w:ascii="Times New Roman" w:eastAsia="Times New Roman" w:hAnsi="Times New Roman"/>
                      <w:color w:val="000000"/>
                    </w:rPr>
                    <w:t>Alior Bank</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944 396 231</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900 723 372</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8F5BD1" w:rsidP="00A74331">
                  <w:pPr>
                    <w:spacing w:line="240" w:lineRule="auto"/>
                    <w:jc w:val="right"/>
                    <w:rPr>
                      <w:rFonts w:ascii="Times New Roman" w:hAnsi="Times New Roman"/>
                      <w:color w:val="000000"/>
                    </w:rPr>
                  </w:pPr>
                  <w:r w:rsidRPr="00A57BCB">
                    <w:rPr>
                      <w:rFonts w:ascii="Times New Roman" w:hAnsi="Times New Roman"/>
                      <w:color w:val="000000"/>
                    </w:rPr>
                    <w:t>Bd.</w:t>
                  </w:r>
                </w:p>
              </w:tc>
            </w:tr>
            <w:tr w:rsidR="008F5BD1" w:rsidRPr="00A57BCB" w:rsidTr="004B22AB">
              <w:trPr>
                <w:trHeight w:val="162"/>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F45FE8" w:rsidRDefault="008F5BD1" w:rsidP="00A74331">
                  <w:pPr>
                    <w:spacing w:line="240" w:lineRule="auto"/>
                    <w:jc w:val="both"/>
                    <w:rPr>
                      <w:rFonts w:ascii="Times New Roman" w:eastAsia="Times New Roman" w:hAnsi="Times New Roman"/>
                      <w:color w:val="000000"/>
                    </w:rPr>
                  </w:pPr>
                  <w:r w:rsidRPr="00F45FE8">
                    <w:rPr>
                      <w:rFonts w:ascii="Times New Roman" w:eastAsia="Times New Roman" w:hAnsi="Times New Roman"/>
                      <w:color w:val="000000"/>
                    </w:rPr>
                    <w:t>Bank Pocztowy</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504287" w:rsidP="00A74331">
                  <w:pPr>
                    <w:spacing w:line="240" w:lineRule="auto"/>
                    <w:jc w:val="right"/>
                    <w:rPr>
                      <w:rFonts w:ascii="Times New Roman" w:hAnsi="Times New Roman"/>
                      <w:color w:val="000000"/>
                    </w:rPr>
                  </w:pPr>
                  <w:r w:rsidRPr="00A57BCB">
                    <w:rPr>
                      <w:rFonts w:ascii="Times New Roman" w:hAnsi="Times New Roman"/>
                      <w:color w:val="000000"/>
                    </w:rPr>
                    <w:t>11 663 789</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504287" w:rsidP="00A74331">
                  <w:pPr>
                    <w:spacing w:line="240" w:lineRule="auto"/>
                    <w:jc w:val="right"/>
                    <w:rPr>
                      <w:rFonts w:ascii="Times New Roman" w:hAnsi="Times New Roman"/>
                      <w:color w:val="000000"/>
                    </w:rPr>
                  </w:pPr>
                  <w:r w:rsidRPr="00A57BCB">
                    <w:rPr>
                      <w:rFonts w:ascii="Times New Roman" w:hAnsi="Times New Roman"/>
                      <w:color w:val="000000"/>
                    </w:rPr>
                    <w:t>14 560 3000</w:t>
                  </w:r>
                </w:p>
              </w:tc>
              <w:tc>
                <w:tcPr>
                  <w:tcW w:w="2523" w:type="dxa"/>
                  <w:tcBorders>
                    <w:top w:val="single" w:sz="8" w:space="0" w:color="000000"/>
                    <w:left w:val="single" w:sz="8" w:space="0" w:color="000000"/>
                    <w:bottom w:val="single" w:sz="8" w:space="0" w:color="000000"/>
                    <w:right w:val="single" w:sz="8" w:space="0" w:color="000000"/>
                  </w:tcBorders>
                  <w:shd w:val="clear" w:color="auto" w:fill="auto"/>
                </w:tcPr>
                <w:p w:rsidR="008F5BD1" w:rsidRPr="00A57BCB" w:rsidRDefault="00504287" w:rsidP="00A74331">
                  <w:pPr>
                    <w:spacing w:line="240" w:lineRule="auto"/>
                    <w:jc w:val="right"/>
                    <w:rPr>
                      <w:rFonts w:ascii="Times New Roman" w:hAnsi="Times New Roman"/>
                      <w:color w:val="000000"/>
                    </w:rPr>
                  </w:pPr>
                  <w:r w:rsidRPr="00A57BCB">
                    <w:rPr>
                      <w:rFonts w:ascii="Times New Roman" w:hAnsi="Times New Roman"/>
                      <w:color w:val="000000"/>
                    </w:rPr>
                    <w:t>62 728 576</w:t>
                  </w:r>
                </w:p>
              </w:tc>
            </w:tr>
            <w:tr w:rsidR="008F5BD1" w:rsidRPr="00A57BCB" w:rsidTr="004B22AB">
              <w:trPr>
                <w:trHeight w:val="162"/>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DEEAF6"/>
                </w:tcPr>
                <w:p w:rsidR="008F5BD1" w:rsidRPr="00A57BCB" w:rsidRDefault="008F5BD1" w:rsidP="00A74331">
                  <w:pPr>
                    <w:spacing w:line="240" w:lineRule="auto"/>
                    <w:jc w:val="right"/>
                    <w:rPr>
                      <w:rFonts w:ascii="Times New Roman" w:eastAsia="Times New Roman" w:hAnsi="Times New Roman"/>
                      <w:b/>
                      <w:bCs/>
                      <w:color w:val="000000"/>
                    </w:rPr>
                  </w:pPr>
                  <w:r w:rsidRPr="00A57BCB">
                    <w:rPr>
                      <w:rFonts w:ascii="Times New Roman" w:eastAsia="Times New Roman" w:hAnsi="Times New Roman"/>
                      <w:b/>
                      <w:bCs/>
                      <w:color w:val="000000"/>
                    </w:rPr>
                    <w:t>Razem:</w:t>
                  </w:r>
                </w:p>
              </w:tc>
              <w:tc>
                <w:tcPr>
                  <w:tcW w:w="2523" w:type="dxa"/>
                  <w:tcBorders>
                    <w:top w:val="single" w:sz="8" w:space="0" w:color="000000"/>
                    <w:left w:val="single" w:sz="8" w:space="0" w:color="000000"/>
                    <w:bottom w:val="single" w:sz="8" w:space="0" w:color="000000"/>
                    <w:right w:val="single" w:sz="8" w:space="0" w:color="000000"/>
                  </w:tcBorders>
                  <w:shd w:val="clear" w:color="auto" w:fill="DEEAF6"/>
                </w:tcPr>
                <w:p w:rsidR="008F5BD1" w:rsidRPr="00A57BCB" w:rsidRDefault="00504287" w:rsidP="00A74331">
                  <w:pPr>
                    <w:spacing w:line="240" w:lineRule="auto"/>
                    <w:jc w:val="right"/>
                    <w:rPr>
                      <w:rFonts w:ascii="Times New Roman" w:hAnsi="Times New Roman"/>
                      <w:b/>
                      <w:bCs/>
                      <w:color w:val="000000"/>
                    </w:rPr>
                  </w:pPr>
                  <w:r w:rsidRPr="00A57BCB">
                    <w:rPr>
                      <w:rFonts w:ascii="Times New Roman" w:hAnsi="Times New Roman"/>
                      <w:b/>
                      <w:bCs/>
                      <w:color w:val="000000"/>
                    </w:rPr>
                    <w:t>22 255 539 020</w:t>
                  </w:r>
                </w:p>
              </w:tc>
              <w:tc>
                <w:tcPr>
                  <w:tcW w:w="2523" w:type="dxa"/>
                  <w:tcBorders>
                    <w:top w:val="single" w:sz="8" w:space="0" w:color="000000"/>
                    <w:left w:val="single" w:sz="8" w:space="0" w:color="000000"/>
                    <w:bottom w:val="single" w:sz="8" w:space="0" w:color="000000"/>
                    <w:right w:val="single" w:sz="8" w:space="0" w:color="000000"/>
                  </w:tcBorders>
                  <w:shd w:val="clear" w:color="auto" w:fill="DEEAF6"/>
                </w:tcPr>
                <w:p w:rsidR="008F5BD1" w:rsidRPr="00A57BCB" w:rsidRDefault="00504287" w:rsidP="00A74331">
                  <w:pPr>
                    <w:spacing w:line="240" w:lineRule="auto"/>
                    <w:jc w:val="right"/>
                    <w:rPr>
                      <w:rFonts w:ascii="Times New Roman" w:hAnsi="Times New Roman"/>
                      <w:b/>
                      <w:bCs/>
                      <w:color w:val="000000"/>
                    </w:rPr>
                  </w:pPr>
                  <w:r w:rsidRPr="00A57BCB">
                    <w:rPr>
                      <w:rFonts w:ascii="Times New Roman" w:hAnsi="Times New Roman"/>
                      <w:b/>
                      <w:bCs/>
                      <w:color w:val="000000"/>
                    </w:rPr>
                    <w:t>21 258 878 672</w:t>
                  </w:r>
                </w:p>
              </w:tc>
              <w:tc>
                <w:tcPr>
                  <w:tcW w:w="2523" w:type="dxa"/>
                  <w:tcBorders>
                    <w:top w:val="single" w:sz="8" w:space="0" w:color="000000"/>
                    <w:left w:val="single" w:sz="8" w:space="0" w:color="000000"/>
                    <w:bottom w:val="single" w:sz="8" w:space="0" w:color="000000"/>
                    <w:right w:val="single" w:sz="8" w:space="0" w:color="000000"/>
                  </w:tcBorders>
                  <w:shd w:val="clear" w:color="auto" w:fill="DEEAF6"/>
                </w:tcPr>
                <w:p w:rsidR="008F5BD1" w:rsidRPr="00A57BCB" w:rsidRDefault="00504287" w:rsidP="00A74331">
                  <w:pPr>
                    <w:spacing w:line="240" w:lineRule="auto"/>
                    <w:jc w:val="right"/>
                    <w:rPr>
                      <w:rFonts w:ascii="Times New Roman" w:hAnsi="Times New Roman"/>
                      <w:b/>
                      <w:bCs/>
                      <w:color w:val="000000"/>
                    </w:rPr>
                  </w:pPr>
                  <w:r w:rsidRPr="00A57BCB">
                    <w:rPr>
                      <w:rFonts w:ascii="Times New Roman" w:hAnsi="Times New Roman"/>
                      <w:b/>
                      <w:bCs/>
                      <w:color w:val="000000"/>
                    </w:rPr>
                    <w:t>12 305 383 000</w:t>
                  </w:r>
                </w:p>
              </w:tc>
            </w:tr>
          </w:tbl>
          <w:p w:rsidR="00BA7238" w:rsidRPr="00A57BCB" w:rsidRDefault="00D811D2" w:rsidP="00622F5E">
            <w:pPr>
              <w:spacing w:line="240" w:lineRule="auto"/>
              <w:jc w:val="both"/>
              <w:rPr>
                <w:rFonts w:ascii="Times New Roman" w:hAnsi="Times New Roman"/>
                <w:color w:val="000000"/>
              </w:rPr>
            </w:pPr>
            <w:r w:rsidRPr="00A57BCB">
              <w:rPr>
                <w:rFonts w:ascii="Times New Roman" w:hAnsi="Times New Roman"/>
                <w:color w:val="333333"/>
                <w:shd w:val="clear" w:color="auto" w:fill="F9F9F9"/>
              </w:rPr>
              <w:t>Źródło: PRNews.pl</w:t>
            </w:r>
          </w:p>
          <w:p w:rsidR="00CB1722" w:rsidRPr="00A57BCB" w:rsidRDefault="00CB1722" w:rsidP="00622F5E">
            <w:pPr>
              <w:spacing w:line="240" w:lineRule="auto"/>
              <w:jc w:val="both"/>
              <w:rPr>
                <w:rFonts w:ascii="Times New Roman" w:hAnsi="Times New Roman"/>
                <w:color w:val="000000"/>
              </w:rPr>
            </w:pPr>
          </w:p>
          <w:p w:rsidR="007D2F4C" w:rsidRPr="00A57BCB" w:rsidRDefault="007D2F4C" w:rsidP="00B37C80">
            <w:pPr>
              <w:spacing w:line="240" w:lineRule="auto"/>
              <w:jc w:val="both"/>
              <w:rPr>
                <w:rFonts w:ascii="Times New Roman" w:hAnsi="Times New Roman"/>
                <w:i/>
                <w:iCs/>
                <w:color w:val="000000"/>
              </w:rPr>
            </w:pPr>
          </w:p>
          <w:p w:rsidR="00D811D2" w:rsidRPr="00A57BCB" w:rsidRDefault="007D2F4C" w:rsidP="007D2F4C">
            <w:pPr>
              <w:spacing w:line="240" w:lineRule="auto"/>
              <w:jc w:val="center"/>
              <w:rPr>
                <w:rFonts w:ascii="Times New Roman" w:hAnsi="Times New Roman"/>
                <w:i/>
                <w:iCs/>
                <w:color w:val="000000"/>
              </w:rPr>
            </w:pPr>
            <w:r w:rsidRPr="00A57BCB">
              <w:rPr>
                <w:rFonts w:ascii="Times New Roman" w:hAnsi="Times New Roman"/>
                <w:i/>
                <w:iCs/>
                <w:color w:val="000000"/>
              </w:rPr>
              <w:t>Liczba udzielonych kredytów hipotecznych</w:t>
            </w:r>
          </w:p>
          <w:p w:rsidR="007D2F4C" w:rsidRPr="00A57BCB" w:rsidRDefault="007D2F4C" w:rsidP="007D2F4C">
            <w:pPr>
              <w:spacing w:line="240" w:lineRule="auto"/>
              <w:jc w:val="center"/>
              <w:rPr>
                <w:rFonts w:ascii="Times New Roman" w:hAnsi="Times New Roman"/>
                <w:color w:val="000000"/>
              </w:rPr>
            </w:pPr>
          </w:p>
          <w:tbl>
            <w:tblPr>
              <w:tblW w:w="102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553"/>
              <w:gridCol w:w="2553"/>
              <w:gridCol w:w="2553"/>
              <w:gridCol w:w="2553"/>
            </w:tblGrid>
            <w:tr w:rsidR="00D811D2" w:rsidRPr="00A57BCB" w:rsidTr="00A74331">
              <w:trPr>
                <w:trHeight w:val="280"/>
                <w:jc w:val="center"/>
              </w:trPr>
              <w:tc>
                <w:tcPr>
                  <w:tcW w:w="2553" w:type="dxa"/>
                  <w:tcBorders>
                    <w:top w:val="single" w:sz="8" w:space="0" w:color="000000"/>
                    <w:left w:val="single" w:sz="8" w:space="0" w:color="000000"/>
                    <w:bottom w:val="single" w:sz="18" w:space="0" w:color="000000"/>
                    <w:right w:val="single" w:sz="8" w:space="0" w:color="000000"/>
                  </w:tcBorders>
                  <w:shd w:val="clear" w:color="auto" w:fill="auto"/>
                </w:tcPr>
                <w:p w:rsidR="00D811D2" w:rsidRPr="00A57BCB" w:rsidRDefault="00D811D2" w:rsidP="00A74331">
                  <w:pPr>
                    <w:spacing w:line="240" w:lineRule="auto"/>
                    <w:jc w:val="both"/>
                    <w:rPr>
                      <w:rFonts w:ascii="Times New Roman" w:eastAsia="Times New Roman" w:hAnsi="Times New Roman"/>
                      <w:b/>
                      <w:bCs/>
                      <w:color w:val="000000"/>
                    </w:rPr>
                  </w:pPr>
                  <w:r w:rsidRPr="00A57BCB">
                    <w:rPr>
                      <w:rFonts w:ascii="Times New Roman" w:eastAsia="Times New Roman" w:hAnsi="Times New Roman"/>
                      <w:b/>
                      <w:bCs/>
                      <w:color w:val="000000"/>
                    </w:rPr>
                    <w:t>Bank</w:t>
                  </w:r>
                </w:p>
              </w:tc>
              <w:tc>
                <w:tcPr>
                  <w:tcW w:w="2553" w:type="dxa"/>
                  <w:tcBorders>
                    <w:top w:val="single" w:sz="8" w:space="0" w:color="000000"/>
                    <w:left w:val="single" w:sz="8" w:space="0" w:color="000000"/>
                    <w:bottom w:val="single" w:sz="18" w:space="0" w:color="000000"/>
                    <w:right w:val="single" w:sz="8" w:space="0" w:color="000000"/>
                  </w:tcBorders>
                  <w:shd w:val="clear" w:color="auto" w:fill="auto"/>
                </w:tcPr>
                <w:p w:rsidR="00D811D2" w:rsidRPr="00A57BCB" w:rsidRDefault="00504287" w:rsidP="00A74331">
                  <w:pPr>
                    <w:spacing w:line="240" w:lineRule="auto"/>
                    <w:jc w:val="right"/>
                    <w:rPr>
                      <w:rFonts w:ascii="Times New Roman" w:eastAsia="Times New Roman" w:hAnsi="Times New Roman"/>
                      <w:b/>
                      <w:bCs/>
                      <w:color w:val="000000"/>
                    </w:rPr>
                  </w:pPr>
                  <w:r w:rsidRPr="00A57BCB">
                    <w:rPr>
                      <w:rFonts w:ascii="Times New Roman" w:eastAsia="Times New Roman" w:hAnsi="Times New Roman"/>
                      <w:b/>
                      <w:bCs/>
                      <w:color w:val="000000"/>
                    </w:rPr>
                    <w:t>I</w:t>
                  </w:r>
                  <w:r w:rsidR="00D811D2" w:rsidRPr="00A57BCB">
                    <w:rPr>
                      <w:rFonts w:ascii="Times New Roman" w:eastAsia="Times New Roman" w:hAnsi="Times New Roman"/>
                      <w:b/>
                      <w:bCs/>
                      <w:color w:val="000000"/>
                    </w:rPr>
                    <w:t>II kwartał 2021</w:t>
                  </w:r>
                </w:p>
              </w:tc>
              <w:tc>
                <w:tcPr>
                  <w:tcW w:w="2553" w:type="dxa"/>
                  <w:tcBorders>
                    <w:top w:val="single" w:sz="8" w:space="0" w:color="000000"/>
                    <w:left w:val="single" w:sz="8" w:space="0" w:color="000000"/>
                    <w:bottom w:val="single" w:sz="18" w:space="0" w:color="000000"/>
                    <w:right w:val="single" w:sz="8" w:space="0" w:color="000000"/>
                  </w:tcBorders>
                  <w:shd w:val="clear" w:color="auto" w:fill="auto"/>
                </w:tcPr>
                <w:p w:rsidR="00D811D2" w:rsidRPr="00A57BCB" w:rsidRDefault="00D811D2" w:rsidP="00A74331">
                  <w:pPr>
                    <w:spacing w:line="240" w:lineRule="auto"/>
                    <w:jc w:val="right"/>
                    <w:rPr>
                      <w:rFonts w:ascii="Times New Roman" w:eastAsia="Times New Roman" w:hAnsi="Times New Roman"/>
                      <w:b/>
                      <w:bCs/>
                      <w:color w:val="000000"/>
                    </w:rPr>
                  </w:pPr>
                  <w:r w:rsidRPr="00A57BCB">
                    <w:rPr>
                      <w:rFonts w:ascii="Times New Roman" w:eastAsia="Times New Roman" w:hAnsi="Times New Roman"/>
                      <w:b/>
                      <w:bCs/>
                      <w:color w:val="000000"/>
                    </w:rPr>
                    <w:t>I</w:t>
                  </w:r>
                  <w:r w:rsidR="00504287" w:rsidRPr="00A57BCB">
                    <w:rPr>
                      <w:rFonts w:ascii="Times New Roman" w:eastAsia="Times New Roman" w:hAnsi="Times New Roman"/>
                      <w:b/>
                      <w:bCs/>
                      <w:color w:val="000000"/>
                    </w:rPr>
                    <w:t>I</w:t>
                  </w:r>
                  <w:r w:rsidRPr="00A57BCB">
                    <w:rPr>
                      <w:rFonts w:ascii="Times New Roman" w:eastAsia="Times New Roman" w:hAnsi="Times New Roman"/>
                      <w:b/>
                      <w:bCs/>
                      <w:color w:val="000000"/>
                    </w:rPr>
                    <w:t xml:space="preserve"> kwartał 2021</w:t>
                  </w:r>
                </w:p>
              </w:tc>
              <w:tc>
                <w:tcPr>
                  <w:tcW w:w="2553" w:type="dxa"/>
                  <w:tcBorders>
                    <w:top w:val="single" w:sz="8" w:space="0" w:color="000000"/>
                    <w:left w:val="single" w:sz="8" w:space="0" w:color="000000"/>
                    <w:bottom w:val="single" w:sz="18" w:space="0" w:color="000000"/>
                    <w:right w:val="single" w:sz="8" w:space="0" w:color="000000"/>
                  </w:tcBorders>
                  <w:shd w:val="clear" w:color="auto" w:fill="auto"/>
                </w:tcPr>
                <w:p w:rsidR="00D811D2" w:rsidRPr="00A57BCB" w:rsidRDefault="00504287" w:rsidP="00A74331">
                  <w:pPr>
                    <w:spacing w:line="240" w:lineRule="auto"/>
                    <w:jc w:val="right"/>
                    <w:rPr>
                      <w:rFonts w:ascii="Times New Roman" w:eastAsia="Times New Roman" w:hAnsi="Times New Roman"/>
                      <w:b/>
                      <w:bCs/>
                      <w:color w:val="000000"/>
                    </w:rPr>
                  </w:pPr>
                  <w:r w:rsidRPr="00A57BCB">
                    <w:rPr>
                      <w:rFonts w:ascii="Times New Roman" w:eastAsia="Times New Roman" w:hAnsi="Times New Roman"/>
                      <w:b/>
                      <w:bCs/>
                      <w:color w:val="000000"/>
                    </w:rPr>
                    <w:t>I</w:t>
                  </w:r>
                  <w:r w:rsidR="00D811D2" w:rsidRPr="00A57BCB">
                    <w:rPr>
                      <w:rFonts w:ascii="Times New Roman" w:eastAsia="Times New Roman" w:hAnsi="Times New Roman"/>
                      <w:b/>
                      <w:bCs/>
                      <w:color w:val="000000"/>
                    </w:rPr>
                    <w:t>II kwartał 2020</w:t>
                  </w:r>
                </w:p>
              </w:tc>
            </w:tr>
            <w:tr w:rsidR="008149A0" w:rsidRPr="00A57BCB" w:rsidTr="00F45FE8">
              <w:trPr>
                <w:trHeight w:val="264"/>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F45FE8" w:rsidRDefault="00D811D2" w:rsidP="00A74331">
                  <w:pPr>
                    <w:spacing w:line="240" w:lineRule="auto"/>
                    <w:jc w:val="both"/>
                    <w:rPr>
                      <w:rFonts w:ascii="Times New Roman" w:eastAsia="Times New Roman" w:hAnsi="Times New Roman"/>
                      <w:color w:val="000000"/>
                    </w:rPr>
                  </w:pPr>
                  <w:r w:rsidRPr="00F45FE8">
                    <w:rPr>
                      <w:rFonts w:ascii="Times New Roman" w:eastAsia="Times New Roman" w:hAnsi="Times New Roman"/>
                      <w:color w:val="000000"/>
                    </w:rPr>
                    <w:t>Bank PeKao</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9 097</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10 437</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ab/>
                    <w:t>6 807</w:t>
                  </w:r>
                </w:p>
              </w:tc>
            </w:tr>
            <w:tr w:rsidR="00504287" w:rsidRPr="00A57BCB" w:rsidTr="00A74331">
              <w:trPr>
                <w:trHeight w:val="280"/>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F45FE8" w:rsidRDefault="00504287" w:rsidP="00A74331">
                  <w:pPr>
                    <w:spacing w:line="240" w:lineRule="auto"/>
                    <w:jc w:val="both"/>
                    <w:rPr>
                      <w:rFonts w:ascii="Times New Roman" w:eastAsia="Times New Roman" w:hAnsi="Times New Roman"/>
                      <w:color w:val="000000"/>
                    </w:rPr>
                  </w:pPr>
                  <w:r w:rsidRPr="00F45FE8">
                    <w:rPr>
                      <w:rFonts w:ascii="Times New Roman" w:eastAsia="Times New Roman" w:hAnsi="Times New Roman"/>
                      <w:color w:val="000000"/>
                    </w:rPr>
                    <w:t>Santander Bank Polska</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8 283</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6 600</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4 449</w:t>
                  </w:r>
                </w:p>
              </w:tc>
            </w:tr>
            <w:tr w:rsidR="008149A0" w:rsidRPr="00A57BCB" w:rsidTr="00F45FE8">
              <w:trPr>
                <w:trHeight w:val="280"/>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F45FE8" w:rsidRDefault="00504287" w:rsidP="00A74331">
                  <w:pPr>
                    <w:spacing w:line="240" w:lineRule="auto"/>
                    <w:jc w:val="both"/>
                    <w:rPr>
                      <w:rFonts w:ascii="Times New Roman" w:eastAsia="Times New Roman" w:hAnsi="Times New Roman"/>
                      <w:color w:val="000000"/>
                    </w:rPr>
                  </w:pPr>
                  <w:r w:rsidRPr="00F45FE8">
                    <w:rPr>
                      <w:rFonts w:ascii="Times New Roman" w:eastAsia="Times New Roman" w:hAnsi="Times New Roman"/>
                      <w:color w:val="000000"/>
                    </w:rPr>
                    <w:t>Bank Millennium</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7 957</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8 444</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6 953</w:t>
                  </w:r>
                </w:p>
              </w:tc>
            </w:tr>
            <w:tr w:rsidR="00D811D2" w:rsidRPr="00A57BCB" w:rsidTr="00A74331">
              <w:trPr>
                <w:trHeight w:val="280"/>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F45FE8" w:rsidRDefault="00D811D2" w:rsidP="00A74331">
                  <w:pPr>
                    <w:spacing w:line="240" w:lineRule="auto"/>
                    <w:jc w:val="both"/>
                    <w:rPr>
                      <w:rFonts w:ascii="Times New Roman" w:eastAsia="Times New Roman" w:hAnsi="Times New Roman"/>
                      <w:color w:val="000000"/>
                    </w:rPr>
                  </w:pPr>
                  <w:r w:rsidRPr="00F45FE8">
                    <w:rPr>
                      <w:rFonts w:ascii="Times New Roman" w:eastAsia="Times New Roman" w:hAnsi="Times New Roman"/>
                      <w:color w:val="000000"/>
                    </w:rPr>
                    <w:t>mBANK</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6 451</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5 310</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3 627</w:t>
                  </w:r>
                </w:p>
              </w:tc>
            </w:tr>
            <w:tr w:rsidR="008149A0" w:rsidRPr="00A57BCB" w:rsidTr="00F45FE8">
              <w:trPr>
                <w:trHeight w:val="264"/>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F45FE8" w:rsidRDefault="00D811D2" w:rsidP="00A74331">
                  <w:pPr>
                    <w:spacing w:line="240" w:lineRule="auto"/>
                    <w:jc w:val="both"/>
                    <w:rPr>
                      <w:rFonts w:ascii="Times New Roman" w:eastAsia="Times New Roman" w:hAnsi="Times New Roman"/>
                      <w:color w:val="000000"/>
                    </w:rPr>
                  </w:pPr>
                  <w:r w:rsidRPr="00F45FE8">
                    <w:rPr>
                      <w:rFonts w:ascii="Times New Roman" w:eastAsia="Times New Roman" w:hAnsi="Times New Roman"/>
                      <w:color w:val="000000"/>
                    </w:rPr>
                    <w:t>BNP Paribas</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4 029</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4 218</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3 881</w:t>
                  </w:r>
                </w:p>
              </w:tc>
            </w:tr>
            <w:tr w:rsidR="00504287" w:rsidRPr="00A57BCB" w:rsidTr="00A74331">
              <w:trPr>
                <w:trHeight w:val="264"/>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504287" w:rsidRPr="00F45FE8" w:rsidRDefault="00504287" w:rsidP="00A74331">
                  <w:pPr>
                    <w:spacing w:line="240" w:lineRule="auto"/>
                    <w:jc w:val="both"/>
                    <w:rPr>
                      <w:rFonts w:ascii="Times New Roman" w:eastAsia="Times New Roman" w:hAnsi="Times New Roman"/>
                      <w:color w:val="000000"/>
                    </w:rPr>
                  </w:pPr>
                  <w:r w:rsidRPr="00F45FE8">
                    <w:rPr>
                      <w:rFonts w:ascii="Times New Roman" w:eastAsia="Times New Roman" w:hAnsi="Times New Roman"/>
                      <w:color w:val="000000"/>
                    </w:rPr>
                    <w:t>Alior Bank</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504287"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2 859</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504287"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2 809</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504287"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3 073</w:t>
                  </w:r>
                </w:p>
              </w:tc>
            </w:tr>
            <w:tr w:rsidR="00504287" w:rsidRPr="00A57BCB" w:rsidTr="00F45FE8">
              <w:trPr>
                <w:trHeight w:val="264"/>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F45FE8" w:rsidRDefault="00D811D2" w:rsidP="00A74331">
                  <w:pPr>
                    <w:spacing w:line="240" w:lineRule="auto"/>
                    <w:jc w:val="both"/>
                    <w:rPr>
                      <w:rFonts w:ascii="Times New Roman" w:eastAsia="Times New Roman" w:hAnsi="Times New Roman"/>
                      <w:color w:val="000000"/>
                    </w:rPr>
                  </w:pPr>
                  <w:r w:rsidRPr="00F45FE8">
                    <w:rPr>
                      <w:rFonts w:ascii="Times New Roman" w:eastAsia="Times New Roman" w:hAnsi="Times New Roman"/>
                      <w:color w:val="000000"/>
                    </w:rPr>
                    <w:t>Bank Pocztowy</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46</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49</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811D2" w:rsidRPr="00A57BCB" w:rsidRDefault="00504287" w:rsidP="00B43AA3">
                  <w:pPr>
                    <w:spacing w:line="240" w:lineRule="auto"/>
                    <w:jc w:val="right"/>
                    <w:rPr>
                      <w:rFonts w:ascii="Times New Roman" w:hAnsi="Times New Roman"/>
                      <w:color w:val="000000"/>
                    </w:rPr>
                  </w:pPr>
                  <w:r w:rsidRPr="00A57BCB">
                    <w:rPr>
                      <w:rFonts w:ascii="Times New Roman" w:hAnsi="Times New Roman"/>
                      <w:color w:val="000000"/>
                    </w:rPr>
                    <w:t>195</w:t>
                  </w:r>
                </w:p>
              </w:tc>
            </w:tr>
            <w:tr w:rsidR="00D811D2" w:rsidRPr="00A57BCB" w:rsidTr="008A6F90">
              <w:trPr>
                <w:trHeight w:val="264"/>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DEEAF6"/>
                </w:tcPr>
                <w:p w:rsidR="00D811D2" w:rsidRPr="00A57BCB" w:rsidRDefault="00D811D2" w:rsidP="00A74331">
                  <w:pPr>
                    <w:spacing w:line="240" w:lineRule="auto"/>
                    <w:jc w:val="right"/>
                    <w:rPr>
                      <w:rFonts w:ascii="Times New Roman" w:eastAsia="Times New Roman" w:hAnsi="Times New Roman"/>
                      <w:b/>
                      <w:bCs/>
                      <w:color w:val="000000"/>
                    </w:rPr>
                  </w:pPr>
                  <w:r w:rsidRPr="00A57BCB">
                    <w:rPr>
                      <w:rFonts w:ascii="Times New Roman" w:eastAsia="Times New Roman" w:hAnsi="Times New Roman"/>
                      <w:b/>
                      <w:bCs/>
                      <w:color w:val="000000"/>
                    </w:rPr>
                    <w:t>Razem:</w:t>
                  </w:r>
                </w:p>
              </w:tc>
              <w:tc>
                <w:tcPr>
                  <w:tcW w:w="2553" w:type="dxa"/>
                  <w:tcBorders>
                    <w:top w:val="single" w:sz="8" w:space="0" w:color="000000"/>
                    <w:left w:val="single" w:sz="8" w:space="0" w:color="000000"/>
                    <w:bottom w:val="single" w:sz="8" w:space="0" w:color="000000"/>
                    <w:right w:val="single" w:sz="8" w:space="0" w:color="000000"/>
                  </w:tcBorders>
                  <w:shd w:val="clear" w:color="auto" w:fill="DEEAF6"/>
                </w:tcPr>
                <w:p w:rsidR="00D811D2" w:rsidRPr="00A57BCB" w:rsidRDefault="00504287" w:rsidP="00B43AA3">
                  <w:pPr>
                    <w:spacing w:line="240" w:lineRule="auto"/>
                    <w:jc w:val="right"/>
                    <w:rPr>
                      <w:rFonts w:ascii="Times New Roman" w:hAnsi="Times New Roman"/>
                      <w:b/>
                      <w:bCs/>
                      <w:color w:val="000000"/>
                    </w:rPr>
                  </w:pPr>
                  <w:r w:rsidRPr="00A57BCB">
                    <w:rPr>
                      <w:rFonts w:ascii="Times New Roman" w:hAnsi="Times New Roman"/>
                      <w:b/>
                      <w:bCs/>
                      <w:color w:val="000000"/>
                    </w:rPr>
                    <w:t>38 722</w:t>
                  </w:r>
                </w:p>
              </w:tc>
              <w:tc>
                <w:tcPr>
                  <w:tcW w:w="2553" w:type="dxa"/>
                  <w:tcBorders>
                    <w:top w:val="single" w:sz="8" w:space="0" w:color="000000"/>
                    <w:left w:val="single" w:sz="8" w:space="0" w:color="000000"/>
                    <w:bottom w:val="single" w:sz="8" w:space="0" w:color="000000"/>
                    <w:right w:val="single" w:sz="8" w:space="0" w:color="000000"/>
                  </w:tcBorders>
                  <w:shd w:val="clear" w:color="auto" w:fill="DEEAF6"/>
                </w:tcPr>
                <w:p w:rsidR="00D811D2" w:rsidRPr="00A57BCB" w:rsidRDefault="00504287" w:rsidP="00B43AA3">
                  <w:pPr>
                    <w:spacing w:line="240" w:lineRule="auto"/>
                    <w:jc w:val="right"/>
                    <w:rPr>
                      <w:rFonts w:ascii="Times New Roman" w:hAnsi="Times New Roman"/>
                      <w:b/>
                      <w:bCs/>
                      <w:color w:val="000000"/>
                    </w:rPr>
                  </w:pPr>
                  <w:r w:rsidRPr="00A57BCB">
                    <w:rPr>
                      <w:rFonts w:ascii="Times New Roman" w:hAnsi="Times New Roman"/>
                      <w:b/>
                      <w:bCs/>
                      <w:color w:val="000000"/>
                    </w:rPr>
                    <w:t>37 867</w:t>
                  </w:r>
                </w:p>
              </w:tc>
              <w:tc>
                <w:tcPr>
                  <w:tcW w:w="2553" w:type="dxa"/>
                  <w:tcBorders>
                    <w:top w:val="single" w:sz="8" w:space="0" w:color="000000"/>
                    <w:left w:val="single" w:sz="8" w:space="0" w:color="000000"/>
                    <w:bottom w:val="single" w:sz="8" w:space="0" w:color="000000"/>
                    <w:right w:val="single" w:sz="8" w:space="0" w:color="000000"/>
                  </w:tcBorders>
                  <w:shd w:val="clear" w:color="auto" w:fill="DEEAF6"/>
                </w:tcPr>
                <w:p w:rsidR="00D811D2" w:rsidRPr="00A57BCB" w:rsidRDefault="00504287" w:rsidP="00B43AA3">
                  <w:pPr>
                    <w:spacing w:line="240" w:lineRule="auto"/>
                    <w:jc w:val="right"/>
                    <w:rPr>
                      <w:rFonts w:ascii="Times New Roman" w:hAnsi="Times New Roman"/>
                      <w:b/>
                      <w:bCs/>
                      <w:color w:val="000000"/>
                    </w:rPr>
                  </w:pPr>
                  <w:r w:rsidRPr="00A57BCB">
                    <w:rPr>
                      <w:rFonts w:ascii="Times New Roman" w:hAnsi="Times New Roman"/>
                      <w:b/>
                      <w:bCs/>
                      <w:color w:val="000000"/>
                    </w:rPr>
                    <w:t>28 985</w:t>
                  </w:r>
                </w:p>
              </w:tc>
            </w:tr>
          </w:tbl>
          <w:p w:rsidR="00BA7238" w:rsidRPr="00A57BCB" w:rsidRDefault="00D811D2" w:rsidP="00B37C80">
            <w:pPr>
              <w:spacing w:line="240" w:lineRule="auto"/>
              <w:jc w:val="both"/>
              <w:rPr>
                <w:rFonts w:ascii="Times New Roman" w:hAnsi="Times New Roman"/>
                <w:color w:val="000000"/>
              </w:rPr>
            </w:pPr>
            <w:r w:rsidRPr="00A57BCB">
              <w:rPr>
                <w:rFonts w:ascii="Times New Roman" w:hAnsi="Times New Roman"/>
                <w:color w:val="333333"/>
                <w:shd w:val="clear" w:color="auto" w:fill="F9F9F9"/>
              </w:rPr>
              <w:t>Źródło: PRNews.pl</w:t>
            </w:r>
          </w:p>
          <w:p w:rsidR="00BA7238" w:rsidRDefault="00BA7238" w:rsidP="00B37C80">
            <w:pPr>
              <w:spacing w:line="240" w:lineRule="auto"/>
              <w:jc w:val="both"/>
              <w:rPr>
                <w:rFonts w:ascii="Times New Roman" w:hAnsi="Times New Roman"/>
                <w:color w:val="000000"/>
              </w:rPr>
            </w:pPr>
          </w:p>
          <w:p w:rsidR="009D6141" w:rsidRDefault="009D6141" w:rsidP="00B37C80">
            <w:pPr>
              <w:spacing w:line="240" w:lineRule="auto"/>
              <w:jc w:val="both"/>
              <w:rPr>
                <w:rFonts w:ascii="Times New Roman" w:hAnsi="Times New Roman"/>
                <w:color w:val="000000"/>
              </w:rPr>
            </w:pPr>
          </w:p>
          <w:p w:rsidR="009D6141" w:rsidRDefault="009D6141" w:rsidP="00B37C80">
            <w:pPr>
              <w:spacing w:line="240" w:lineRule="auto"/>
              <w:jc w:val="both"/>
              <w:rPr>
                <w:rFonts w:ascii="Times New Roman" w:hAnsi="Times New Roman"/>
                <w:color w:val="000000"/>
              </w:rPr>
            </w:pPr>
          </w:p>
          <w:p w:rsidR="009D6141" w:rsidRDefault="009D6141" w:rsidP="009D6141">
            <w:pPr>
              <w:spacing w:line="240" w:lineRule="auto"/>
              <w:jc w:val="center"/>
              <w:rPr>
                <w:rFonts w:ascii="Times New Roman" w:hAnsi="Times New Roman"/>
                <w:i/>
                <w:iCs/>
              </w:rPr>
            </w:pPr>
            <w:r w:rsidRPr="0024697F">
              <w:rPr>
                <w:rFonts w:ascii="Times New Roman" w:hAnsi="Times New Roman"/>
                <w:i/>
                <w:iCs/>
              </w:rPr>
              <w:t>Sprawozdanie w sprawach dotyczących ksiąg wieczystych</w:t>
            </w:r>
          </w:p>
          <w:p w:rsidR="009D6141" w:rsidRPr="0024697F" w:rsidRDefault="009D6141" w:rsidP="009D6141">
            <w:pPr>
              <w:spacing w:line="240" w:lineRule="auto"/>
              <w:jc w:val="center"/>
              <w:rPr>
                <w:rFonts w:ascii="Times New Roman" w:hAnsi="Times New Roman"/>
                <w:i/>
                <w:iCs/>
                <w:noProof/>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64"/>
              <w:gridCol w:w="1948"/>
              <w:gridCol w:w="1948"/>
              <w:gridCol w:w="1948"/>
              <w:gridCol w:w="1949"/>
            </w:tblGrid>
            <w:tr w:rsidR="009D6141" w:rsidRPr="00A74331" w:rsidTr="002F5151">
              <w:trPr>
                <w:trHeight w:val="675"/>
              </w:trPr>
              <w:tc>
                <w:tcPr>
                  <w:tcW w:w="2864" w:type="dxa"/>
                  <w:tcBorders>
                    <w:top w:val="single" w:sz="8" w:space="0" w:color="000000"/>
                    <w:left w:val="single" w:sz="8" w:space="0" w:color="000000"/>
                    <w:bottom w:val="single" w:sz="18" w:space="0" w:color="000000"/>
                    <w:right w:val="single" w:sz="8" w:space="0" w:color="000000"/>
                  </w:tcBorders>
                  <w:shd w:val="clear" w:color="auto" w:fill="auto"/>
                </w:tcPr>
                <w:p w:rsidR="009D6141" w:rsidRPr="00A74331" w:rsidRDefault="009D6141" w:rsidP="009D6141">
                  <w:pPr>
                    <w:spacing w:line="240" w:lineRule="auto"/>
                    <w:rPr>
                      <w:rFonts w:ascii="Times New Roman" w:eastAsia="Times New Roman" w:hAnsi="Times New Roman"/>
                      <w:b/>
                      <w:bCs/>
                      <w:noProof/>
                    </w:rPr>
                  </w:pPr>
                  <w:r w:rsidRPr="00A74331">
                    <w:rPr>
                      <w:rFonts w:ascii="Times New Roman" w:eastAsia="Times New Roman" w:hAnsi="Times New Roman"/>
                      <w:b/>
                      <w:bCs/>
                      <w:noProof/>
                    </w:rPr>
                    <w:t>Sprawy wg repertoriów lub wykazów</w:t>
                  </w:r>
                </w:p>
              </w:tc>
              <w:tc>
                <w:tcPr>
                  <w:tcW w:w="1948" w:type="dxa"/>
                  <w:tcBorders>
                    <w:top w:val="single" w:sz="8" w:space="0" w:color="000000"/>
                    <w:left w:val="single" w:sz="8" w:space="0" w:color="000000"/>
                    <w:bottom w:val="single" w:sz="18" w:space="0" w:color="000000"/>
                    <w:right w:val="single" w:sz="8" w:space="0" w:color="000000"/>
                  </w:tcBorders>
                  <w:shd w:val="clear" w:color="auto" w:fill="auto"/>
                </w:tcPr>
                <w:p w:rsidR="009D6141" w:rsidRPr="00A74331" w:rsidRDefault="009D6141" w:rsidP="009D6141">
                  <w:pPr>
                    <w:spacing w:line="240" w:lineRule="auto"/>
                    <w:jc w:val="right"/>
                    <w:rPr>
                      <w:rFonts w:ascii="Times New Roman" w:eastAsia="Times New Roman" w:hAnsi="Times New Roman"/>
                      <w:b/>
                      <w:bCs/>
                      <w:noProof/>
                    </w:rPr>
                  </w:pPr>
                  <w:r w:rsidRPr="00A74331">
                    <w:rPr>
                      <w:rFonts w:ascii="Times New Roman" w:eastAsia="Times New Roman" w:hAnsi="Times New Roman"/>
                      <w:b/>
                      <w:bCs/>
                      <w:noProof/>
                    </w:rPr>
                    <w:t>Pozostało z ubiegłego roku</w:t>
                  </w:r>
                </w:p>
              </w:tc>
              <w:tc>
                <w:tcPr>
                  <w:tcW w:w="1948" w:type="dxa"/>
                  <w:tcBorders>
                    <w:top w:val="single" w:sz="8" w:space="0" w:color="000000"/>
                    <w:left w:val="single" w:sz="8" w:space="0" w:color="000000"/>
                    <w:bottom w:val="single" w:sz="18" w:space="0" w:color="000000"/>
                    <w:right w:val="single" w:sz="8" w:space="0" w:color="000000"/>
                  </w:tcBorders>
                  <w:shd w:val="clear" w:color="auto" w:fill="auto"/>
                </w:tcPr>
                <w:p w:rsidR="009D6141" w:rsidRPr="00A74331" w:rsidRDefault="009D6141" w:rsidP="009D6141">
                  <w:pPr>
                    <w:spacing w:line="240" w:lineRule="auto"/>
                    <w:jc w:val="right"/>
                    <w:rPr>
                      <w:rFonts w:ascii="Times New Roman" w:eastAsia="Times New Roman" w:hAnsi="Times New Roman"/>
                      <w:b/>
                      <w:bCs/>
                      <w:noProof/>
                    </w:rPr>
                  </w:pPr>
                  <w:r w:rsidRPr="00A74331">
                    <w:rPr>
                      <w:rFonts w:ascii="Times New Roman" w:eastAsia="Times New Roman" w:hAnsi="Times New Roman"/>
                      <w:b/>
                      <w:bCs/>
                      <w:noProof/>
                    </w:rPr>
                    <w:t xml:space="preserve">Wpłynęło </w:t>
                  </w:r>
                </w:p>
              </w:tc>
              <w:tc>
                <w:tcPr>
                  <w:tcW w:w="1948" w:type="dxa"/>
                  <w:tcBorders>
                    <w:top w:val="single" w:sz="8" w:space="0" w:color="000000"/>
                    <w:left w:val="single" w:sz="8" w:space="0" w:color="000000"/>
                    <w:bottom w:val="single" w:sz="18" w:space="0" w:color="000000"/>
                    <w:right w:val="single" w:sz="8" w:space="0" w:color="000000"/>
                  </w:tcBorders>
                  <w:shd w:val="clear" w:color="auto" w:fill="auto"/>
                </w:tcPr>
                <w:p w:rsidR="009D6141" w:rsidRPr="00A74331" w:rsidRDefault="009D6141" w:rsidP="009D6141">
                  <w:pPr>
                    <w:spacing w:line="240" w:lineRule="auto"/>
                    <w:jc w:val="right"/>
                    <w:rPr>
                      <w:rFonts w:ascii="Times New Roman" w:eastAsia="Times New Roman" w:hAnsi="Times New Roman"/>
                      <w:b/>
                      <w:bCs/>
                      <w:noProof/>
                    </w:rPr>
                  </w:pPr>
                  <w:r w:rsidRPr="00A74331">
                    <w:rPr>
                      <w:rFonts w:ascii="Times New Roman" w:eastAsia="Times New Roman" w:hAnsi="Times New Roman"/>
                      <w:b/>
                      <w:bCs/>
                      <w:noProof/>
                    </w:rPr>
                    <w:t xml:space="preserve">Załatwiono </w:t>
                  </w:r>
                </w:p>
              </w:tc>
              <w:tc>
                <w:tcPr>
                  <w:tcW w:w="1949" w:type="dxa"/>
                  <w:tcBorders>
                    <w:top w:val="single" w:sz="8" w:space="0" w:color="000000"/>
                    <w:left w:val="single" w:sz="8" w:space="0" w:color="000000"/>
                    <w:bottom w:val="single" w:sz="18" w:space="0" w:color="000000"/>
                    <w:right w:val="single" w:sz="8" w:space="0" w:color="000000"/>
                  </w:tcBorders>
                  <w:shd w:val="clear" w:color="auto" w:fill="auto"/>
                </w:tcPr>
                <w:p w:rsidR="009D6141" w:rsidRPr="00A74331" w:rsidRDefault="009D6141" w:rsidP="009D6141">
                  <w:pPr>
                    <w:spacing w:line="240" w:lineRule="auto"/>
                    <w:jc w:val="right"/>
                    <w:rPr>
                      <w:rFonts w:ascii="Times New Roman" w:eastAsia="Times New Roman" w:hAnsi="Times New Roman"/>
                      <w:b/>
                      <w:bCs/>
                      <w:noProof/>
                    </w:rPr>
                  </w:pPr>
                  <w:r w:rsidRPr="00A74331">
                    <w:rPr>
                      <w:rFonts w:ascii="Times New Roman" w:eastAsia="Times New Roman" w:hAnsi="Times New Roman"/>
                      <w:b/>
                      <w:bCs/>
                      <w:noProof/>
                    </w:rPr>
                    <w:t>Pozostało na okres następny</w:t>
                  </w:r>
                </w:p>
              </w:tc>
            </w:tr>
            <w:tr w:rsidR="009D6141" w:rsidRPr="00A74331" w:rsidTr="002F5151">
              <w:trPr>
                <w:trHeight w:val="107"/>
              </w:trPr>
              <w:tc>
                <w:tcPr>
                  <w:tcW w:w="2864" w:type="dxa"/>
                  <w:tcBorders>
                    <w:top w:val="single" w:sz="8" w:space="0" w:color="000000"/>
                    <w:left w:val="single" w:sz="8" w:space="0" w:color="000000"/>
                    <w:bottom w:val="single" w:sz="8" w:space="0" w:color="000000"/>
                    <w:right w:val="single" w:sz="8" w:space="0" w:color="000000"/>
                  </w:tcBorders>
                  <w:shd w:val="clear" w:color="auto" w:fill="auto"/>
                </w:tcPr>
                <w:p w:rsidR="009D6141" w:rsidRPr="00A74331" w:rsidRDefault="009D6141" w:rsidP="009D6141">
                  <w:pPr>
                    <w:spacing w:line="240" w:lineRule="auto"/>
                    <w:rPr>
                      <w:rFonts w:ascii="Times New Roman" w:eastAsia="Times New Roman" w:hAnsi="Times New Roman"/>
                      <w:b/>
                      <w:bCs/>
                      <w:noProof/>
                    </w:rPr>
                  </w:pPr>
                  <w:r w:rsidRPr="00A74331">
                    <w:rPr>
                      <w:rFonts w:ascii="Times New Roman" w:eastAsia="Times New Roman" w:hAnsi="Times New Roman"/>
                      <w:b/>
                      <w:bCs/>
                      <w:noProof/>
                    </w:rPr>
                    <w:t>Dziennik ksiąg wieczystych ogółem</w:t>
                  </w:r>
                </w:p>
              </w:tc>
              <w:tc>
                <w:tcPr>
                  <w:tcW w:w="1948" w:type="dxa"/>
                  <w:tcBorders>
                    <w:top w:val="single" w:sz="8" w:space="0" w:color="000000"/>
                    <w:left w:val="single" w:sz="8" w:space="0" w:color="000000"/>
                    <w:bottom w:val="single" w:sz="8" w:space="0" w:color="000000"/>
                    <w:right w:val="single" w:sz="8" w:space="0" w:color="000000"/>
                  </w:tcBorders>
                  <w:shd w:val="clear" w:color="auto" w:fill="auto"/>
                </w:tcPr>
                <w:p w:rsidR="009D6141" w:rsidRPr="00A74331" w:rsidRDefault="009D6141" w:rsidP="009D6141">
                  <w:pPr>
                    <w:spacing w:line="240" w:lineRule="auto"/>
                    <w:jc w:val="right"/>
                    <w:rPr>
                      <w:rFonts w:ascii="Times New Roman" w:hAnsi="Times New Roman"/>
                      <w:noProof/>
                    </w:rPr>
                  </w:pPr>
                  <w:r w:rsidRPr="00A74331">
                    <w:rPr>
                      <w:rFonts w:ascii="Times New Roman" w:hAnsi="Times New Roman"/>
                      <w:noProof/>
                    </w:rPr>
                    <w:t>1 602 252</w:t>
                  </w:r>
                </w:p>
              </w:tc>
              <w:tc>
                <w:tcPr>
                  <w:tcW w:w="1948" w:type="dxa"/>
                  <w:tcBorders>
                    <w:top w:val="single" w:sz="8" w:space="0" w:color="000000"/>
                    <w:left w:val="single" w:sz="8" w:space="0" w:color="000000"/>
                    <w:bottom w:val="single" w:sz="8" w:space="0" w:color="000000"/>
                    <w:right w:val="single" w:sz="8" w:space="0" w:color="000000"/>
                  </w:tcBorders>
                  <w:shd w:val="clear" w:color="auto" w:fill="auto"/>
                </w:tcPr>
                <w:p w:rsidR="009D6141" w:rsidRPr="00A74331" w:rsidRDefault="009D6141" w:rsidP="009D6141">
                  <w:pPr>
                    <w:spacing w:line="240" w:lineRule="auto"/>
                    <w:jc w:val="right"/>
                    <w:rPr>
                      <w:rFonts w:ascii="Times New Roman" w:hAnsi="Times New Roman"/>
                      <w:noProof/>
                    </w:rPr>
                  </w:pPr>
                  <w:r w:rsidRPr="00A74331">
                    <w:rPr>
                      <w:rFonts w:ascii="Times New Roman" w:hAnsi="Times New Roman"/>
                    </w:rPr>
                    <w:t>2 465 365</w:t>
                  </w:r>
                </w:p>
              </w:tc>
              <w:tc>
                <w:tcPr>
                  <w:tcW w:w="1948" w:type="dxa"/>
                  <w:tcBorders>
                    <w:top w:val="single" w:sz="8" w:space="0" w:color="000000"/>
                    <w:left w:val="single" w:sz="8" w:space="0" w:color="000000"/>
                    <w:bottom w:val="single" w:sz="8" w:space="0" w:color="000000"/>
                    <w:right w:val="single" w:sz="8" w:space="0" w:color="000000"/>
                  </w:tcBorders>
                  <w:shd w:val="clear" w:color="auto" w:fill="auto"/>
                </w:tcPr>
                <w:p w:rsidR="009D6141" w:rsidRPr="00A74331" w:rsidRDefault="009D6141" w:rsidP="009D6141">
                  <w:pPr>
                    <w:spacing w:line="240" w:lineRule="auto"/>
                    <w:jc w:val="right"/>
                    <w:rPr>
                      <w:rFonts w:ascii="Times New Roman" w:hAnsi="Times New Roman"/>
                      <w:noProof/>
                    </w:rPr>
                  </w:pPr>
                  <w:r w:rsidRPr="00A74331">
                    <w:rPr>
                      <w:rFonts w:ascii="Times New Roman" w:hAnsi="Times New Roman"/>
                    </w:rPr>
                    <w:t>2 603 908</w:t>
                  </w:r>
                </w:p>
              </w:tc>
              <w:tc>
                <w:tcPr>
                  <w:tcW w:w="1949" w:type="dxa"/>
                  <w:tcBorders>
                    <w:top w:val="single" w:sz="8" w:space="0" w:color="000000"/>
                    <w:left w:val="single" w:sz="8" w:space="0" w:color="000000"/>
                    <w:bottom w:val="single" w:sz="8" w:space="0" w:color="000000"/>
                    <w:right w:val="single" w:sz="8" w:space="0" w:color="000000"/>
                  </w:tcBorders>
                  <w:shd w:val="clear" w:color="auto" w:fill="auto"/>
                </w:tcPr>
                <w:p w:rsidR="009D6141" w:rsidRPr="00A74331" w:rsidRDefault="009D6141" w:rsidP="009D6141">
                  <w:pPr>
                    <w:spacing w:line="240" w:lineRule="auto"/>
                    <w:jc w:val="right"/>
                    <w:rPr>
                      <w:rFonts w:ascii="Times New Roman" w:hAnsi="Times New Roman"/>
                      <w:noProof/>
                    </w:rPr>
                  </w:pPr>
                  <w:r w:rsidRPr="00A74331">
                    <w:rPr>
                      <w:rFonts w:ascii="Times New Roman" w:hAnsi="Times New Roman"/>
                    </w:rPr>
                    <w:t>1 463 709</w:t>
                  </w:r>
                </w:p>
              </w:tc>
            </w:tr>
          </w:tbl>
          <w:p w:rsidR="009D6141" w:rsidRDefault="009D6141" w:rsidP="00B37C80">
            <w:pPr>
              <w:spacing w:line="240" w:lineRule="auto"/>
              <w:jc w:val="both"/>
              <w:rPr>
                <w:rFonts w:ascii="Times New Roman" w:hAnsi="Times New Roman"/>
                <w:color w:val="000000"/>
              </w:rPr>
            </w:pPr>
          </w:p>
          <w:p w:rsidR="009D6141" w:rsidRPr="00A57BCB" w:rsidRDefault="009D6141" w:rsidP="00B37C80">
            <w:pPr>
              <w:spacing w:line="240" w:lineRule="auto"/>
              <w:jc w:val="both"/>
              <w:rPr>
                <w:rFonts w:ascii="Times New Roman" w:hAnsi="Times New Roman"/>
                <w:color w:val="000000"/>
              </w:rPr>
            </w:pPr>
          </w:p>
          <w:p w:rsidR="00E94601" w:rsidRPr="008A6F90" w:rsidRDefault="00E94601" w:rsidP="00B43AA3">
            <w:pPr>
              <w:spacing w:line="240" w:lineRule="auto"/>
              <w:jc w:val="both"/>
              <w:rPr>
                <w:rFonts w:ascii="Times New Roman" w:hAnsi="Times New Roman"/>
                <w:color w:val="000000"/>
              </w:rPr>
            </w:pPr>
            <w:r w:rsidRPr="008A6F90">
              <w:rPr>
                <w:rFonts w:ascii="Times New Roman" w:hAnsi="Times New Roman"/>
                <w:color w:val="000000"/>
              </w:rPr>
              <w:t xml:space="preserve">Zgodnie z raportem AMRON-SARFiN w trzecim kwartale 2021 roku udzielono 68 353 kredyty mieszkaniowe, czyli </w:t>
            </w:r>
            <w:r w:rsidR="0086339C" w:rsidRPr="008A6F90">
              <w:rPr>
                <w:rFonts w:ascii="Times New Roman" w:hAnsi="Times New Roman"/>
                <w:color w:val="000000"/>
              </w:rPr>
              <w:br/>
            </w:r>
            <w:r w:rsidRPr="008A6F90">
              <w:rPr>
                <w:rFonts w:ascii="Times New Roman" w:hAnsi="Times New Roman"/>
                <w:color w:val="000000"/>
              </w:rPr>
              <w:t xml:space="preserve">o 2 proc. więcej niż w II kwartale, ale aż o 40 proc. więcej niż rok temu. Z kolei średnia wartość udzielanego kredytu wzrosła </w:t>
            </w:r>
            <w:r w:rsidR="00C64D6A">
              <w:rPr>
                <w:rFonts w:ascii="Times New Roman" w:hAnsi="Times New Roman"/>
                <w:color w:val="000000"/>
              </w:rPr>
              <w:t xml:space="preserve">o </w:t>
            </w:r>
            <w:r w:rsidRPr="008A6F90">
              <w:rPr>
                <w:rFonts w:ascii="Times New Roman" w:hAnsi="Times New Roman"/>
                <w:color w:val="000000"/>
              </w:rPr>
              <w:t>17,24 proc. osiągając wartość 340 tys. zł.</w:t>
            </w:r>
          </w:p>
          <w:p w:rsidR="00AB49BB" w:rsidRPr="008A6F90" w:rsidRDefault="00676E1F" w:rsidP="00B43AA3">
            <w:pPr>
              <w:spacing w:line="240" w:lineRule="auto"/>
              <w:jc w:val="both"/>
              <w:rPr>
                <w:rFonts w:ascii="Times New Roman" w:hAnsi="Times New Roman"/>
                <w:color w:val="000000"/>
              </w:rPr>
            </w:pPr>
            <w:r w:rsidRPr="00A57BCB">
              <w:rPr>
                <w:rFonts w:ascii="Times New Roman" w:hAnsi="Times New Roman"/>
                <w:color w:val="000000"/>
              </w:rPr>
              <w:t>Natomiast w</w:t>
            </w:r>
            <w:r w:rsidR="00AB49BB" w:rsidRPr="00A57BCB">
              <w:rPr>
                <w:rFonts w:ascii="Times New Roman" w:hAnsi="Times New Roman"/>
                <w:color w:val="000000"/>
              </w:rPr>
              <w:t xml:space="preserve"> całym 2020 r. banki udzieliły 204 170 kredytów hipotecznych, co było wynikiem o 9,3 proc. niższym od osiągniętego w 2019 r. oraz o 4 proc. niższym niż w 2018 r. Liczba złożonych wniosków o kredyt mieszkaniowy spadła w tym czasie jedynie o 0,6 proc.</w:t>
            </w:r>
            <w:r w:rsidR="009D6141">
              <w:rPr>
                <w:rFonts w:ascii="Times New Roman" w:hAnsi="Times New Roman"/>
                <w:color w:val="000000"/>
              </w:rPr>
              <w:t xml:space="preserve"> (dane poniżej).</w:t>
            </w:r>
          </w:p>
          <w:p w:rsidR="00AB49BB" w:rsidRPr="008A6F90" w:rsidRDefault="00BD3C56" w:rsidP="00AB49BB">
            <w:pPr>
              <w:spacing w:line="240" w:lineRule="auto"/>
              <w:jc w:val="center"/>
              <w:rPr>
                <w:rFonts w:ascii="Times New Roman" w:hAnsi="Times New Roman"/>
                <w:color w:val="000000"/>
              </w:rPr>
            </w:pPr>
            <w:r w:rsidRPr="00A57BCB">
              <w:rPr>
                <w:rFonts w:ascii="Times New Roman" w:hAnsi="Times New Roman"/>
                <w:noProof/>
                <w:color w:val="000000"/>
                <w:lang w:eastAsia="pl-PL"/>
              </w:rPr>
              <w:drawing>
                <wp:inline distT="0" distB="0" distL="0" distR="0">
                  <wp:extent cx="6814820" cy="320040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4820" cy="3200400"/>
                          </a:xfrm>
                          <a:prstGeom prst="rect">
                            <a:avLst/>
                          </a:prstGeom>
                          <a:noFill/>
                          <a:ln>
                            <a:noFill/>
                          </a:ln>
                        </pic:spPr>
                      </pic:pic>
                    </a:graphicData>
                  </a:graphic>
                </wp:inline>
              </w:drawing>
            </w:r>
          </w:p>
          <w:p w:rsidR="00E94601" w:rsidRDefault="00E94601" w:rsidP="00B43AA3">
            <w:pPr>
              <w:spacing w:line="240" w:lineRule="auto"/>
              <w:jc w:val="both"/>
              <w:rPr>
                <w:rFonts w:ascii="Times New Roman" w:hAnsi="Times New Roman"/>
                <w:strike/>
                <w:color w:val="FF0000"/>
              </w:rPr>
            </w:pPr>
          </w:p>
          <w:p w:rsidR="00E64B68" w:rsidRPr="00A57BCB" w:rsidRDefault="00E64B68" w:rsidP="00B43AA3">
            <w:pPr>
              <w:spacing w:line="240" w:lineRule="auto"/>
              <w:jc w:val="both"/>
              <w:rPr>
                <w:rFonts w:ascii="Times New Roman" w:hAnsi="Times New Roman"/>
                <w:color w:val="FF0000"/>
              </w:rPr>
            </w:pPr>
          </w:p>
          <w:p w:rsidR="00E94601" w:rsidRPr="00F7480D" w:rsidRDefault="00E94601" w:rsidP="00F45FE8">
            <w:pPr>
              <w:spacing w:line="240" w:lineRule="auto"/>
              <w:jc w:val="both"/>
              <w:rPr>
                <w:rFonts w:ascii="Times New Roman" w:hAnsi="Times New Roman"/>
                <w:b/>
                <w:bCs/>
              </w:rPr>
            </w:pPr>
            <w:r w:rsidRPr="00F7480D">
              <w:rPr>
                <w:rFonts w:ascii="Times New Roman" w:hAnsi="Times New Roman"/>
                <w:b/>
                <w:bCs/>
              </w:rPr>
              <w:t>Informacje dotyczące ubezpieczenia pomostowego</w:t>
            </w:r>
            <w:r w:rsidR="00DE0873" w:rsidRPr="00F7480D">
              <w:rPr>
                <w:rStyle w:val="Odwoanieprzypisudolnego"/>
                <w:rFonts w:ascii="Times New Roman" w:hAnsi="Times New Roman"/>
                <w:b/>
                <w:bCs/>
              </w:rPr>
              <w:footnoteReference w:id="1"/>
            </w:r>
          </w:p>
          <w:p w:rsidR="0084066D" w:rsidRPr="00F7480D" w:rsidRDefault="00E64B68" w:rsidP="00B37C80">
            <w:pPr>
              <w:spacing w:line="240" w:lineRule="auto"/>
              <w:jc w:val="both"/>
              <w:rPr>
                <w:rFonts w:ascii="Times New Roman" w:hAnsi="Times New Roman"/>
              </w:rPr>
            </w:pPr>
            <w:r w:rsidRPr="00F7480D">
              <w:rPr>
                <w:rFonts w:ascii="Times New Roman" w:hAnsi="Times New Roman"/>
              </w:rPr>
              <w:t>U</w:t>
            </w:r>
            <w:r w:rsidR="005648CE" w:rsidRPr="00F7480D">
              <w:rPr>
                <w:rFonts w:ascii="Times New Roman" w:hAnsi="Times New Roman"/>
              </w:rPr>
              <w:t xml:space="preserve">bezpieczenie pomostowe stanowi nieodłączny element kredytu hipotecznego. Jest to obowiązkowe ubezpieczenie, którego umowa (jako dodatkowa) zawierana jest między bankiem udzielającym kredytu a kredytobiorcą w chwili podpisania umowy kredytowej. Ubezpieczenie pomostowe stanowi zabezpieczenie banku i jest pobierane </w:t>
            </w:r>
            <w:r w:rsidRPr="00F7480D">
              <w:rPr>
                <w:rFonts w:ascii="Times New Roman" w:hAnsi="Times New Roman"/>
              </w:rPr>
              <w:br/>
            </w:r>
            <w:r w:rsidR="005648CE" w:rsidRPr="00F7480D">
              <w:rPr>
                <w:rFonts w:ascii="Times New Roman" w:hAnsi="Times New Roman"/>
              </w:rPr>
              <w:t xml:space="preserve">do momentu ustanowienia hipoteki na rzecz banku udzielającego kredytu. </w:t>
            </w:r>
            <w:r w:rsidR="00E94601" w:rsidRPr="00F7480D">
              <w:rPr>
                <w:rFonts w:ascii="Times New Roman" w:hAnsi="Times New Roman"/>
              </w:rPr>
              <w:t>N</w:t>
            </w:r>
            <w:r w:rsidR="005648CE" w:rsidRPr="00F7480D">
              <w:rPr>
                <w:rFonts w:ascii="Times New Roman" w:hAnsi="Times New Roman"/>
              </w:rPr>
              <w:t xml:space="preserve">ie ma możliwości, aby ustanowić prawomocną hipotekę </w:t>
            </w:r>
            <w:r w:rsidR="00790118" w:rsidRPr="00790118">
              <w:rPr>
                <w:rFonts w:ascii="Times New Roman" w:hAnsi="Times New Roman"/>
              </w:rPr>
              <w:t>z chwilą zawarcia umowy kredytu</w:t>
            </w:r>
            <w:r w:rsidR="005648CE" w:rsidRPr="00F7480D">
              <w:rPr>
                <w:rFonts w:ascii="Times New Roman" w:hAnsi="Times New Roman"/>
              </w:rPr>
              <w:t xml:space="preserve">. Zazwyczaj czeka się od kilku tygodni do kilku miesięcy </w:t>
            </w:r>
            <w:r w:rsidR="00790118">
              <w:rPr>
                <w:rFonts w:ascii="Times New Roman" w:hAnsi="Times New Roman"/>
              </w:rPr>
              <w:br/>
            </w:r>
            <w:r w:rsidR="005648CE" w:rsidRPr="00F7480D">
              <w:rPr>
                <w:rFonts w:ascii="Times New Roman" w:hAnsi="Times New Roman"/>
              </w:rPr>
              <w:t>(w zależności od ob</w:t>
            </w:r>
            <w:r w:rsidR="00C64D6A" w:rsidRPr="00F7480D">
              <w:rPr>
                <w:rFonts w:ascii="Times New Roman" w:hAnsi="Times New Roman"/>
              </w:rPr>
              <w:t>ciążenia</w:t>
            </w:r>
            <w:r w:rsidR="005648CE" w:rsidRPr="00F7480D">
              <w:rPr>
                <w:rFonts w:ascii="Times New Roman" w:hAnsi="Times New Roman"/>
              </w:rPr>
              <w:t xml:space="preserve"> właściwego sądu) na wpisanie hipoteki do księgi wieczystej kredytowanej nieruchomości. </w:t>
            </w:r>
            <w:r w:rsidR="00790118">
              <w:rPr>
                <w:rFonts w:ascii="Times New Roman" w:hAnsi="Times New Roman"/>
              </w:rPr>
              <w:t>P</w:t>
            </w:r>
            <w:r w:rsidR="005648CE" w:rsidRPr="00F7480D">
              <w:rPr>
                <w:rFonts w:ascii="Times New Roman" w:hAnsi="Times New Roman"/>
              </w:rPr>
              <w:t>rzez te</w:t>
            </w:r>
            <w:r w:rsidR="00C64D6A" w:rsidRPr="00F7480D">
              <w:rPr>
                <w:rFonts w:ascii="Times New Roman" w:hAnsi="Times New Roman"/>
              </w:rPr>
              <w:t xml:space="preserve">n okres </w:t>
            </w:r>
            <w:r w:rsidR="005648CE" w:rsidRPr="00F7480D">
              <w:rPr>
                <w:rFonts w:ascii="Times New Roman" w:hAnsi="Times New Roman"/>
              </w:rPr>
              <w:t xml:space="preserve">kredytobiorca </w:t>
            </w:r>
            <w:r w:rsidR="00E94601" w:rsidRPr="00F7480D">
              <w:rPr>
                <w:rFonts w:ascii="Times New Roman" w:hAnsi="Times New Roman"/>
              </w:rPr>
              <w:t>ponosi</w:t>
            </w:r>
            <w:r w:rsidR="005648CE" w:rsidRPr="00F7480D">
              <w:rPr>
                <w:rFonts w:ascii="Times New Roman" w:hAnsi="Times New Roman"/>
              </w:rPr>
              <w:t xml:space="preserve"> koszty związane z ubezpieczeniem pomostowym</w:t>
            </w:r>
            <w:r w:rsidR="00E94601" w:rsidRPr="00F7480D">
              <w:rPr>
                <w:rFonts w:ascii="Times New Roman" w:hAnsi="Times New Roman"/>
              </w:rPr>
              <w:t>.</w:t>
            </w:r>
          </w:p>
          <w:p w:rsidR="00E64B68" w:rsidRPr="00F7480D" w:rsidRDefault="00E64B68" w:rsidP="00E64B68">
            <w:pPr>
              <w:spacing w:line="240" w:lineRule="auto"/>
              <w:jc w:val="both"/>
              <w:rPr>
                <w:rFonts w:ascii="Times New Roman" w:hAnsi="Times New Roman"/>
              </w:rPr>
            </w:pPr>
          </w:p>
          <w:p w:rsidR="005648CE" w:rsidRPr="00F7480D" w:rsidRDefault="005648CE" w:rsidP="005648CE">
            <w:pPr>
              <w:spacing w:line="240" w:lineRule="auto"/>
              <w:jc w:val="both"/>
              <w:rPr>
                <w:rFonts w:ascii="Times New Roman" w:hAnsi="Times New Roman"/>
              </w:rPr>
            </w:pPr>
            <w:r w:rsidRPr="00F7480D">
              <w:rPr>
                <w:rFonts w:ascii="Times New Roman" w:hAnsi="Times New Roman"/>
              </w:rPr>
              <w:t>Koszt ubezpieczenia pomostowego</w:t>
            </w:r>
          </w:p>
          <w:p w:rsidR="0084066D" w:rsidRPr="00F7480D" w:rsidRDefault="005648CE" w:rsidP="005648CE">
            <w:pPr>
              <w:spacing w:line="240" w:lineRule="auto"/>
              <w:jc w:val="both"/>
              <w:rPr>
                <w:rFonts w:ascii="Times New Roman" w:hAnsi="Times New Roman"/>
              </w:rPr>
            </w:pPr>
            <w:r w:rsidRPr="00F7480D">
              <w:rPr>
                <w:rFonts w:ascii="Times New Roman" w:hAnsi="Times New Roman"/>
              </w:rPr>
              <w:t>Mimo że całkowite koszty ubezpieczenia pomostowego ponosi kredytobiorca, to ochroną objęty jest wyłącznie bank udzielający kredytu. Ubezpieczenie pomostowe może być pobierane przez bank na dwa sposoby. Zazwyczaj kredytodawca stosuje podwyższenie marży kredytowej do momentu dostarczenia mu odpisu z ksiąg wieczystych potwierdzających założenie hipoteki.</w:t>
            </w:r>
          </w:p>
          <w:p w:rsidR="005648CE" w:rsidRPr="00F7480D" w:rsidRDefault="005648CE" w:rsidP="005648CE">
            <w:pPr>
              <w:spacing w:line="240" w:lineRule="auto"/>
              <w:jc w:val="both"/>
              <w:rPr>
                <w:rFonts w:ascii="Times New Roman" w:hAnsi="Times New Roman"/>
              </w:rPr>
            </w:pPr>
          </w:p>
          <w:p w:rsidR="005648CE" w:rsidRPr="00F7480D" w:rsidRDefault="0086339C" w:rsidP="005648CE">
            <w:pPr>
              <w:spacing w:line="240" w:lineRule="auto"/>
              <w:jc w:val="both"/>
              <w:rPr>
                <w:rFonts w:ascii="Times New Roman" w:hAnsi="Times New Roman"/>
              </w:rPr>
            </w:pPr>
            <w:r w:rsidRPr="00F7480D">
              <w:rPr>
                <w:rFonts w:ascii="Times New Roman" w:hAnsi="Times New Roman"/>
              </w:rPr>
              <w:t>Z informacji ogólnodostępnych wynika, że</w:t>
            </w:r>
            <w:r w:rsidR="005648CE" w:rsidRPr="00F7480D">
              <w:rPr>
                <w:rFonts w:ascii="Times New Roman" w:hAnsi="Times New Roman"/>
              </w:rPr>
              <w:t xml:space="preserve"> do tego momentu</w:t>
            </w:r>
            <w:r w:rsidRPr="00F7480D">
              <w:rPr>
                <w:rFonts w:ascii="Times New Roman" w:hAnsi="Times New Roman"/>
              </w:rPr>
              <w:t xml:space="preserve"> marża</w:t>
            </w:r>
            <w:r w:rsidR="005648CE" w:rsidRPr="00F7480D">
              <w:rPr>
                <w:rFonts w:ascii="Times New Roman" w:hAnsi="Times New Roman"/>
              </w:rPr>
              <w:t xml:space="preserve"> jest podwyższona o 0,5-2 punkty procentowe, w stosunku do oprocentowania zapisanego w umowie kredytowej. Wysokość podwyższonej marży jest zależna od konkretnego banku. </w:t>
            </w:r>
          </w:p>
          <w:p w:rsidR="005648CE" w:rsidRPr="00F7480D" w:rsidRDefault="005648CE" w:rsidP="005648CE">
            <w:pPr>
              <w:spacing w:line="240" w:lineRule="auto"/>
              <w:jc w:val="both"/>
              <w:rPr>
                <w:rFonts w:ascii="Times New Roman" w:hAnsi="Times New Roman"/>
              </w:rPr>
            </w:pPr>
            <w:r w:rsidRPr="00F7480D">
              <w:rPr>
                <w:rFonts w:ascii="Times New Roman" w:hAnsi="Times New Roman"/>
              </w:rPr>
              <w:lastRenderedPageBreak/>
              <w:t>Inną metodą pobierania przez bank ubezpieczenia pomostowego jest opłacanie składki ubezpieczeniowej. Zazwyczaj składka takiego ubezpieczenia wynosi ok. 0,07-0,1% wartości kredytu, czyli – w zależności od kwoty kredytu – od kilkuset do nawet kilku tysięcy złotych rocznie. Zatem przy kredycie w wysokości 250 tys. zł, ubezpieczenie o stawce 0,1% wyniesie miesięcznie 250 zł.</w:t>
            </w:r>
          </w:p>
          <w:p w:rsidR="00A85C49" w:rsidRPr="00F7480D" w:rsidRDefault="00A85C49" w:rsidP="00A85C49">
            <w:pPr>
              <w:spacing w:line="240" w:lineRule="auto"/>
              <w:jc w:val="both"/>
              <w:rPr>
                <w:rFonts w:ascii="Times New Roman" w:hAnsi="Times New Roman"/>
              </w:rPr>
            </w:pPr>
            <w:r w:rsidRPr="00F7480D">
              <w:rPr>
                <w:rFonts w:ascii="Times New Roman" w:hAnsi="Times New Roman"/>
              </w:rPr>
              <w:t xml:space="preserve">Ubezpieczenie pomostowe </w:t>
            </w:r>
            <w:r w:rsidR="00C62839" w:rsidRPr="00F7480D">
              <w:rPr>
                <w:rFonts w:ascii="Times New Roman" w:hAnsi="Times New Roman"/>
              </w:rPr>
              <w:t>opłacane jest</w:t>
            </w:r>
            <w:r w:rsidRPr="00F7480D">
              <w:rPr>
                <w:rFonts w:ascii="Times New Roman" w:hAnsi="Times New Roman"/>
              </w:rPr>
              <w:t xml:space="preserve"> do momentu uzyskania wpisu w księdze wieczystej, dlatego dokładne określenie okresu jego opłacania nie jest możliwe, gdyż zależne jest to od kilku czynników, tj.:</w:t>
            </w:r>
          </w:p>
          <w:p w:rsidR="00A85C49" w:rsidRPr="00F7480D" w:rsidRDefault="00A85C49" w:rsidP="00A85C49">
            <w:pPr>
              <w:spacing w:line="240" w:lineRule="auto"/>
              <w:jc w:val="both"/>
              <w:rPr>
                <w:rFonts w:ascii="Times New Roman" w:hAnsi="Times New Roman"/>
              </w:rPr>
            </w:pPr>
            <w:r w:rsidRPr="00F7480D">
              <w:rPr>
                <w:rFonts w:ascii="Times New Roman" w:hAnsi="Times New Roman"/>
              </w:rPr>
              <w:t xml:space="preserve"> - działania właściwego sądu;</w:t>
            </w:r>
          </w:p>
          <w:p w:rsidR="00A85C49" w:rsidRPr="00F7480D" w:rsidRDefault="00A85C49" w:rsidP="00A85C49">
            <w:pPr>
              <w:spacing w:line="240" w:lineRule="auto"/>
              <w:jc w:val="both"/>
              <w:rPr>
                <w:rFonts w:ascii="Times New Roman" w:hAnsi="Times New Roman"/>
              </w:rPr>
            </w:pPr>
            <w:r w:rsidRPr="00F7480D">
              <w:rPr>
                <w:rFonts w:ascii="Times New Roman" w:hAnsi="Times New Roman"/>
              </w:rPr>
              <w:t>- kwesti</w:t>
            </w:r>
            <w:r w:rsidR="00C62839" w:rsidRPr="00F7480D">
              <w:rPr>
                <w:rFonts w:ascii="Times New Roman" w:hAnsi="Times New Roman"/>
              </w:rPr>
              <w:t>i</w:t>
            </w:r>
            <w:r w:rsidRPr="00F7480D">
              <w:rPr>
                <w:rFonts w:ascii="Times New Roman" w:hAnsi="Times New Roman"/>
              </w:rPr>
              <w:t xml:space="preserve"> zakupu mieszkani</w:t>
            </w:r>
            <w:r w:rsidR="00C62839" w:rsidRPr="00F7480D">
              <w:rPr>
                <w:rFonts w:ascii="Times New Roman" w:hAnsi="Times New Roman"/>
              </w:rPr>
              <w:t>a</w:t>
            </w:r>
            <w:r w:rsidRPr="00F7480D">
              <w:rPr>
                <w:rFonts w:ascii="Times New Roman" w:hAnsi="Times New Roman"/>
              </w:rPr>
              <w:t xml:space="preserve"> z rynku wtórnego (z założoną księgą wieczystą), czy też z rynku pierwotnego. Jeśli mieszkanie jest dopiero w trakcie budowy, to trzeba będzie opłacać ubezpieczenie pomostowe przez odpowiednio dłuższy okres. Składa się na to czas budowy, odbiór mieszkania, podpisanie aktu notarialnego i złożenie wniosku do sądu o wpis hipoteki. Te wszystkie operacje powodują wydłużenie okresu opłacania składki. </w:t>
            </w:r>
          </w:p>
          <w:p w:rsidR="00A85C49" w:rsidRPr="00F7480D" w:rsidRDefault="00A85C49" w:rsidP="00A85C49">
            <w:pPr>
              <w:spacing w:line="240" w:lineRule="auto"/>
              <w:jc w:val="both"/>
              <w:rPr>
                <w:rFonts w:ascii="Times New Roman" w:hAnsi="Times New Roman"/>
              </w:rPr>
            </w:pPr>
            <w:r w:rsidRPr="00F7480D">
              <w:rPr>
                <w:rFonts w:ascii="Times New Roman" w:hAnsi="Times New Roman"/>
              </w:rPr>
              <w:t xml:space="preserve">Dopiero po wpisaniu hipoteki do księgi wieczystej możliwe </w:t>
            </w:r>
            <w:r w:rsidR="00C62839" w:rsidRPr="00F7480D">
              <w:rPr>
                <w:rFonts w:ascii="Times New Roman" w:hAnsi="Times New Roman"/>
              </w:rPr>
              <w:t xml:space="preserve">jest </w:t>
            </w:r>
            <w:r w:rsidRPr="00F7480D">
              <w:rPr>
                <w:rFonts w:ascii="Times New Roman" w:hAnsi="Times New Roman"/>
              </w:rPr>
              <w:t>uzyskanie odpisu i przekazanie go bankowi. Od tej chwili ubezpieczenie pomostowe wygasa, natomiast rata kredytu odpowiednio się zmniejsza.</w:t>
            </w:r>
          </w:p>
          <w:p w:rsidR="007C5C05" w:rsidRDefault="007C5C05" w:rsidP="00A85C49">
            <w:pPr>
              <w:spacing w:line="240" w:lineRule="auto"/>
              <w:jc w:val="both"/>
              <w:rPr>
                <w:rFonts w:ascii="Times New Roman" w:hAnsi="Times New Roman"/>
                <w:color w:val="00B0F0"/>
              </w:rPr>
            </w:pPr>
          </w:p>
          <w:p w:rsidR="00C87B4B" w:rsidRPr="00A57BCB" w:rsidRDefault="00DE0873" w:rsidP="00C62839">
            <w:pPr>
              <w:spacing w:line="240" w:lineRule="auto"/>
              <w:jc w:val="center"/>
              <w:rPr>
                <w:rFonts w:ascii="Times New Roman" w:hAnsi="Times New Roman"/>
                <w:b/>
                <w:bCs/>
              </w:rPr>
            </w:pPr>
            <w:r w:rsidRPr="00A57BCB">
              <w:rPr>
                <w:rFonts w:ascii="Times New Roman" w:hAnsi="Times New Roman"/>
                <w:b/>
                <w:bCs/>
              </w:rPr>
              <w:t>PRZYPADEK CENTRALNY</w:t>
            </w:r>
          </w:p>
          <w:p w:rsidR="00F45FE8" w:rsidRDefault="00F45FE8" w:rsidP="00C87B4B">
            <w:pPr>
              <w:spacing w:line="240" w:lineRule="auto"/>
              <w:jc w:val="both"/>
              <w:rPr>
                <w:rFonts w:ascii="Times New Roman" w:hAnsi="Times New Roman"/>
                <w:color w:val="000000"/>
              </w:rPr>
            </w:pPr>
          </w:p>
          <w:p w:rsidR="00C87B4B" w:rsidRPr="00A57BCB" w:rsidRDefault="0086339C" w:rsidP="00C87B4B">
            <w:pPr>
              <w:spacing w:line="240" w:lineRule="auto"/>
              <w:jc w:val="both"/>
              <w:rPr>
                <w:rFonts w:ascii="Times New Roman" w:hAnsi="Times New Roman"/>
                <w:color w:val="000000"/>
              </w:rPr>
            </w:pPr>
            <w:r w:rsidRPr="00A57BCB">
              <w:rPr>
                <w:rFonts w:ascii="Times New Roman" w:hAnsi="Times New Roman"/>
                <w:color w:val="000000"/>
              </w:rPr>
              <w:t xml:space="preserve">Dane dotyczące kredytów </w:t>
            </w:r>
            <w:r w:rsidR="00C87B4B" w:rsidRPr="00A57BCB">
              <w:rPr>
                <w:rFonts w:ascii="Times New Roman" w:hAnsi="Times New Roman"/>
                <w:color w:val="000000"/>
              </w:rPr>
              <w:t>hipoteczn</w:t>
            </w:r>
            <w:r w:rsidRPr="00A57BCB">
              <w:rPr>
                <w:rFonts w:ascii="Times New Roman" w:hAnsi="Times New Roman"/>
                <w:color w:val="000000"/>
              </w:rPr>
              <w:t>ych</w:t>
            </w:r>
            <w:r w:rsidR="00C87B4B" w:rsidRPr="00A57BCB">
              <w:rPr>
                <w:rFonts w:ascii="Times New Roman" w:hAnsi="Times New Roman"/>
                <w:color w:val="000000"/>
              </w:rPr>
              <w:t xml:space="preserve"> udzielon</w:t>
            </w:r>
            <w:r w:rsidRPr="00A57BCB">
              <w:rPr>
                <w:rFonts w:ascii="Times New Roman" w:hAnsi="Times New Roman"/>
                <w:color w:val="000000"/>
              </w:rPr>
              <w:t>ych</w:t>
            </w:r>
            <w:r w:rsidR="00C87B4B" w:rsidRPr="00A57BCB">
              <w:rPr>
                <w:rFonts w:ascii="Times New Roman" w:hAnsi="Times New Roman"/>
                <w:color w:val="000000"/>
              </w:rPr>
              <w:t xml:space="preserve"> w III kwartale 2021 r.</w:t>
            </w:r>
          </w:p>
          <w:p w:rsidR="0086339C" w:rsidRPr="00A57BCB" w:rsidRDefault="0086339C" w:rsidP="00C87B4B">
            <w:pPr>
              <w:spacing w:line="240" w:lineRule="auto"/>
              <w:jc w:val="both"/>
              <w:rPr>
                <w:rFonts w:ascii="Times New Roman" w:hAnsi="Times New Roman"/>
                <w:color w:val="000000"/>
              </w:rPr>
            </w:pPr>
          </w:p>
          <w:tbl>
            <w:tblPr>
              <w:tblW w:w="0" w:type="auto"/>
              <w:jc w:val="center"/>
              <w:tblBorders>
                <w:top w:val="single" w:sz="4" w:space="0" w:color="7F7F7F"/>
                <w:bottom w:val="single" w:sz="4" w:space="0" w:color="7F7F7F"/>
              </w:tblBorders>
              <w:tblLayout w:type="fixed"/>
              <w:tblLook w:val="04A0" w:firstRow="1" w:lastRow="0" w:firstColumn="1" w:lastColumn="0" w:noHBand="0" w:noVBand="1"/>
            </w:tblPr>
            <w:tblGrid>
              <w:gridCol w:w="1854"/>
              <w:gridCol w:w="1854"/>
              <w:gridCol w:w="1855"/>
              <w:gridCol w:w="1855"/>
              <w:gridCol w:w="1855"/>
            </w:tblGrid>
            <w:tr w:rsidR="00C87B4B" w:rsidRPr="008A6F90" w:rsidTr="008A6F90">
              <w:trPr>
                <w:trHeight w:val="498"/>
                <w:jc w:val="center"/>
              </w:trPr>
              <w:tc>
                <w:tcPr>
                  <w:tcW w:w="1854" w:type="dxa"/>
                  <w:tcBorders>
                    <w:bottom w:val="single" w:sz="4" w:space="0" w:color="7F7F7F"/>
                  </w:tcBorders>
                  <w:shd w:val="clear" w:color="auto" w:fill="auto"/>
                </w:tcPr>
                <w:p w:rsidR="00C87B4B" w:rsidRPr="008A6F90" w:rsidRDefault="00C87B4B" w:rsidP="008A6F90">
                  <w:pPr>
                    <w:spacing w:line="240" w:lineRule="auto"/>
                    <w:rPr>
                      <w:rFonts w:ascii="Times New Roman" w:hAnsi="Times New Roman"/>
                      <w:b/>
                      <w:bCs/>
                      <w:color w:val="000000"/>
                    </w:rPr>
                  </w:pPr>
                  <w:r w:rsidRPr="008A6F90">
                    <w:rPr>
                      <w:rFonts w:ascii="Times New Roman" w:hAnsi="Times New Roman"/>
                      <w:b/>
                      <w:bCs/>
                      <w:color w:val="000000"/>
                    </w:rPr>
                    <w:t>Bank</w:t>
                  </w:r>
                </w:p>
              </w:tc>
              <w:tc>
                <w:tcPr>
                  <w:tcW w:w="1854" w:type="dxa"/>
                  <w:tcBorders>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b/>
                      <w:bCs/>
                      <w:color w:val="000000"/>
                    </w:rPr>
                  </w:pPr>
                  <w:r w:rsidRPr="008A6F90">
                    <w:rPr>
                      <w:rFonts w:ascii="Times New Roman" w:hAnsi="Times New Roman"/>
                      <w:b/>
                      <w:bCs/>
                      <w:color w:val="000000"/>
                    </w:rPr>
                    <w:t>wartość udzielonych kredytów</w:t>
                  </w:r>
                </w:p>
              </w:tc>
              <w:tc>
                <w:tcPr>
                  <w:tcW w:w="1855" w:type="dxa"/>
                  <w:tcBorders>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b/>
                      <w:bCs/>
                      <w:color w:val="000000"/>
                    </w:rPr>
                  </w:pPr>
                  <w:r w:rsidRPr="008A6F90">
                    <w:rPr>
                      <w:rFonts w:ascii="Times New Roman" w:hAnsi="Times New Roman"/>
                      <w:b/>
                      <w:bCs/>
                      <w:color w:val="000000"/>
                    </w:rPr>
                    <w:t>liczba udzielonych kredytów</w:t>
                  </w:r>
                </w:p>
              </w:tc>
              <w:tc>
                <w:tcPr>
                  <w:tcW w:w="1855" w:type="dxa"/>
                  <w:tcBorders>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b/>
                      <w:bCs/>
                      <w:color w:val="000000"/>
                    </w:rPr>
                  </w:pPr>
                  <w:r w:rsidRPr="008A6F90">
                    <w:rPr>
                      <w:rFonts w:ascii="Times New Roman" w:hAnsi="Times New Roman"/>
                      <w:b/>
                      <w:bCs/>
                      <w:color w:val="000000"/>
                    </w:rPr>
                    <w:t>średnia wysokość kredytu</w:t>
                  </w:r>
                </w:p>
              </w:tc>
              <w:tc>
                <w:tcPr>
                  <w:tcW w:w="1855" w:type="dxa"/>
                  <w:tcBorders>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b/>
                      <w:bCs/>
                      <w:color w:val="000000"/>
                    </w:rPr>
                  </w:pPr>
                  <w:r w:rsidRPr="008A6F90">
                    <w:rPr>
                      <w:rFonts w:ascii="Times New Roman" w:hAnsi="Times New Roman"/>
                      <w:b/>
                      <w:bCs/>
                      <w:color w:val="000000"/>
                    </w:rPr>
                    <w:t>wysokość ubezpieczenia pomostowego</w:t>
                  </w:r>
                </w:p>
              </w:tc>
            </w:tr>
            <w:tr w:rsidR="00C87B4B" w:rsidRPr="008A6F90" w:rsidTr="008A6F90">
              <w:trPr>
                <w:trHeight w:val="247"/>
                <w:jc w:val="center"/>
              </w:trPr>
              <w:tc>
                <w:tcPr>
                  <w:tcW w:w="1854" w:type="dxa"/>
                  <w:tcBorders>
                    <w:top w:val="single" w:sz="4" w:space="0" w:color="7F7F7F"/>
                    <w:bottom w:val="single" w:sz="4" w:space="0" w:color="7F7F7F"/>
                  </w:tcBorders>
                  <w:shd w:val="clear" w:color="auto" w:fill="auto"/>
                </w:tcPr>
                <w:p w:rsidR="00C87B4B" w:rsidRPr="008A6F90" w:rsidRDefault="00C87B4B" w:rsidP="008A6F90">
                  <w:pPr>
                    <w:spacing w:line="240" w:lineRule="auto"/>
                    <w:rPr>
                      <w:rFonts w:ascii="Times New Roman" w:hAnsi="Times New Roman"/>
                      <w:b/>
                      <w:bCs/>
                      <w:color w:val="000000"/>
                    </w:rPr>
                  </w:pPr>
                  <w:r w:rsidRPr="008A6F90">
                    <w:rPr>
                      <w:rFonts w:ascii="Times New Roman" w:hAnsi="Times New Roman"/>
                      <w:b/>
                      <w:bCs/>
                      <w:color w:val="000000"/>
                    </w:rPr>
                    <w:t>PKO Bank Polski</w:t>
                  </w:r>
                </w:p>
              </w:tc>
              <w:tc>
                <w:tcPr>
                  <w:tcW w:w="1854" w:type="dxa"/>
                  <w:tcBorders>
                    <w:top w:val="single" w:sz="4" w:space="0" w:color="7F7F7F"/>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5 000 000 000</w:t>
                  </w:r>
                </w:p>
              </w:tc>
              <w:tc>
                <w:tcPr>
                  <w:tcW w:w="1855" w:type="dxa"/>
                  <w:tcBorders>
                    <w:top w:val="single" w:sz="4" w:space="0" w:color="7F7F7F"/>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9 097</w:t>
                  </w:r>
                </w:p>
              </w:tc>
              <w:tc>
                <w:tcPr>
                  <w:tcW w:w="1855" w:type="dxa"/>
                  <w:tcBorders>
                    <w:top w:val="single" w:sz="4" w:space="0" w:color="7F7F7F"/>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549 632</w:t>
                  </w:r>
                </w:p>
              </w:tc>
              <w:tc>
                <w:tcPr>
                  <w:tcW w:w="1855" w:type="dxa"/>
                  <w:tcBorders>
                    <w:top w:val="single" w:sz="4" w:space="0" w:color="7F7F7F"/>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rPr>
                    <w:t>0,09%</w:t>
                  </w:r>
                </w:p>
              </w:tc>
            </w:tr>
            <w:tr w:rsidR="00C87B4B" w:rsidRPr="008A6F90" w:rsidTr="008A6F90">
              <w:trPr>
                <w:trHeight w:val="332"/>
                <w:jc w:val="center"/>
              </w:trPr>
              <w:tc>
                <w:tcPr>
                  <w:tcW w:w="1854" w:type="dxa"/>
                  <w:shd w:val="clear" w:color="auto" w:fill="auto"/>
                </w:tcPr>
                <w:p w:rsidR="00C87B4B" w:rsidRPr="008A6F90" w:rsidRDefault="00C87B4B" w:rsidP="008A6F90">
                  <w:pPr>
                    <w:spacing w:line="240" w:lineRule="auto"/>
                    <w:rPr>
                      <w:rFonts w:ascii="Times New Roman" w:hAnsi="Times New Roman"/>
                      <w:b/>
                      <w:bCs/>
                      <w:color w:val="000000"/>
                    </w:rPr>
                  </w:pPr>
                  <w:r w:rsidRPr="008A6F90">
                    <w:rPr>
                      <w:rFonts w:ascii="Times New Roman" w:hAnsi="Times New Roman"/>
                      <w:b/>
                      <w:bCs/>
                      <w:color w:val="000000"/>
                    </w:rPr>
                    <w:t xml:space="preserve">Santander Bank Polska </w:t>
                  </w:r>
                </w:p>
              </w:tc>
              <w:tc>
                <w:tcPr>
                  <w:tcW w:w="1854" w:type="dxa"/>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2 847 030 000</w:t>
                  </w:r>
                </w:p>
              </w:tc>
              <w:tc>
                <w:tcPr>
                  <w:tcW w:w="1855" w:type="dxa"/>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8 283</w:t>
                  </w:r>
                </w:p>
              </w:tc>
              <w:tc>
                <w:tcPr>
                  <w:tcW w:w="1855" w:type="dxa"/>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343 720</w:t>
                  </w:r>
                </w:p>
              </w:tc>
              <w:tc>
                <w:tcPr>
                  <w:tcW w:w="1855" w:type="dxa"/>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rPr>
                    <w:t>1,00%</w:t>
                  </w:r>
                </w:p>
              </w:tc>
            </w:tr>
            <w:tr w:rsidR="00C87B4B" w:rsidRPr="008A6F90" w:rsidTr="008A6F90">
              <w:trPr>
                <w:trHeight w:val="266"/>
                <w:jc w:val="center"/>
              </w:trPr>
              <w:tc>
                <w:tcPr>
                  <w:tcW w:w="1854" w:type="dxa"/>
                  <w:tcBorders>
                    <w:top w:val="single" w:sz="4" w:space="0" w:color="7F7F7F"/>
                    <w:bottom w:val="single" w:sz="4" w:space="0" w:color="7F7F7F"/>
                  </w:tcBorders>
                  <w:shd w:val="clear" w:color="auto" w:fill="auto"/>
                </w:tcPr>
                <w:p w:rsidR="00C87B4B" w:rsidRPr="008A6F90" w:rsidRDefault="00C87B4B" w:rsidP="008A6F90">
                  <w:pPr>
                    <w:spacing w:line="240" w:lineRule="auto"/>
                    <w:rPr>
                      <w:rFonts w:ascii="Times New Roman" w:hAnsi="Times New Roman"/>
                      <w:b/>
                      <w:bCs/>
                      <w:color w:val="000000"/>
                    </w:rPr>
                  </w:pPr>
                  <w:r w:rsidRPr="008A6F90">
                    <w:rPr>
                      <w:rFonts w:ascii="Times New Roman" w:hAnsi="Times New Roman"/>
                      <w:b/>
                      <w:bCs/>
                      <w:color w:val="000000"/>
                    </w:rPr>
                    <w:t xml:space="preserve">mBank </w:t>
                  </w:r>
                </w:p>
              </w:tc>
              <w:tc>
                <w:tcPr>
                  <w:tcW w:w="1854" w:type="dxa"/>
                  <w:tcBorders>
                    <w:top w:val="single" w:sz="4" w:space="0" w:color="7F7F7F"/>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2 673 000 000</w:t>
                  </w:r>
                </w:p>
              </w:tc>
              <w:tc>
                <w:tcPr>
                  <w:tcW w:w="1855" w:type="dxa"/>
                  <w:tcBorders>
                    <w:top w:val="single" w:sz="4" w:space="0" w:color="7F7F7F"/>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6 451</w:t>
                  </w:r>
                </w:p>
              </w:tc>
              <w:tc>
                <w:tcPr>
                  <w:tcW w:w="1855" w:type="dxa"/>
                  <w:tcBorders>
                    <w:top w:val="single" w:sz="4" w:space="0" w:color="7F7F7F"/>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414 354</w:t>
                  </w:r>
                </w:p>
              </w:tc>
              <w:tc>
                <w:tcPr>
                  <w:tcW w:w="1855" w:type="dxa"/>
                  <w:tcBorders>
                    <w:top w:val="single" w:sz="4" w:space="0" w:color="7F7F7F"/>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rPr>
                    <w:t>1,50%</w:t>
                  </w:r>
                </w:p>
              </w:tc>
            </w:tr>
            <w:tr w:rsidR="00C87B4B" w:rsidRPr="008A6F90" w:rsidTr="008A6F90">
              <w:trPr>
                <w:trHeight w:val="300"/>
                <w:jc w:val="center"/>
              </w:trPr>
              <w:tc>
                <w:tcPr>
                  <w:tcW w:w="1854" w:type="dxa"/>
                  <w:shd w:val="clear" w:color="auto" w:fill="auto"/>
                </w:tcPr>
                <w:p w:rsidR="00C87B4B" w:rsidRPr="008A6F90" w:rsidRDefault="00C87B4B" w:rsidP="008A6F90">
                  <w:pPr>
                    <w:spacing w:line="240" w:lineRule="auto"/>
                    <w:rPr>
                      <w:rFonts w:ascii="Times New Roman" w:hAnsi="Times New Roman"/>
                      <w:b/>
                      <w:bCs/>
                      <w:color w:val="000000"/>
                    </w:rPr>
                  </w:pPr>
                  <w:r w:rsidRPr="008A6F90">
                    <w:rPr>
                      <w:rFonts w:ascii="Times New Roman" w:hAnsi="Times New Roman"/>
                      <w:b/>
                      <w:bCs/>
                      <w:color w:val="000000"/>
                    </w:rPr>
                    <w:t>Bank Millennium</w:t>
                  </w:r>
                </w:p>
              </w:tc>
              <w:tc>
                <w:tcPr>
                  <w:tcW w:w="1854" w:type="dxa"/>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2 249 000 000</w:t>
                  </w:r>
                </w:p>
              </w:tc>
              <w:tc>
                <w:tcPr>
                  <w:tcW w:w="1855" w:type="dxa"/>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7 957</w:t>
                  </w:r>
                </w:p>
              </w:tc>
              <w:tc>
                <w:tcPr>
                  <w:tcW w:w="1855" w:type="dxa"/>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282 644</w:t>
                  </w:r>
                </w:p>
              </w:tc>
              <w:tc>
                <w:tcPr>
                  <w:tcW w:w="1855" w:type="dxa"/>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1,00%</w:t>
                  </w:r>
                </w:p>
              </w:tc>
            </w:tr>
            <w:tr w:rsidR="00C87B4B" w:rsidRPr="008A6F90" w:rsidTr="008A6F90">
              <w:trPr>
                <w:trHeight w:val="294"/>
                <w:jc w:val="center"/>
              </w:trPr>
              <w:tc>
                <w:tcPr>
                  <w:tcW w:w="1854" w:type="dxa"/>
                  <w:tcBorders>
                    <w:top w:val="single" w:sz="4" w:space="0" w:color="7F7F7F"/>
                    <w:bottom w:val="single" w:sz="4" w:space="0" w:color="7F7F7F"/>
                  </w:tcBorders>
                  <w:shd w:val="clear" w:color="auto" w:fill="auto"/>
                </w:tcPr>
                <w:p w:rsidR="00C87B4B" w:rsidRPr="008A6F90" w:rsidRDefault="00C87B4B" w:rsidP="008A6F90">
                  <w:pPr>
                    <w:spacing w:line="240" w:lineRule="auto"/>
                    <w:rPr>
                      <w:rFonts w:ascii="Times New Roman" w:hAnsi="Times New Roman"/>
                      <w:b/>
                      <w:bCs/>
                      <w:color w:val="000000"/>
                    </w:rPr>
                  </w:pPr>
                  <w:r w:rsidRPr="008A6F90">
                    <w:rPr>
                      <w:rFonts w:ascii="Times New Roman" w:hAnsi="Times New Roman"/>
                      <w:b/>
                      <w:bCs/>
                      <w:color w:val="000000"/>
                    </w:rPr>
                    <w:t>BNP Paribas</w:t>
                  </w:r>
                </w:p>
              </w:tc>
              <w:tc>
                <w:tcPr>
                  <w:tcW w:w="1854" w:type="dxa"/>
                  <w:tcBorders>
                    <w:top w:val="single" w:sz="4" w:space="0" w:color="7F7F7F"/>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1 705 000 000</w:t>
                  </w:r>
                </w:p>
              </w:tc>
              <w:tc>
                <w:tcPr>
                  <w:tcW w:w="1855" w:type="dxa"/>
                  <w:tcBorders>
                    <w:top w:val="single" w:sz="4" w:space="0" w:color="7F7F7F"/>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4 029</w:t>
                  </w:r>
                </w:p>
              </w:tc>
              <w:tc>
                <w:tcPr>
                  <w:tcW w:w="1855" w:type="dxa"/>
                  <w:tcBorders>
                    <w:top w:val="single" w:sz="4" w:space="0" w:color="7F7F7F"/>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423 182</w:t>
                  </w:r>
                </w:p>
              </w:tc>
              <w:tc>
                <w:tcPr>
                  <w:tcW w:w="1855" w:type="dxa"/>
                  <w:tcBorders>
                    <w:top w:val="single" w:sz="4" w:space="0" w:color="7F7F7F"/>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1,50%</w:t>
                  </w:r>
                </w:p>
              </w:tc>
            </w:tr>
            <w:tr w:rsidR="00C87B4B" w:rsidRPr="008A6F90" w:rsidTr="008A6F90">
              <w:trPr>
                <w:trHeight w:val="298"/>
                <w:jc w:val="center"/>
              </w:trPr>
              <w:tc>
                <w:tcPr>
                  <w:tcW w:w="1854" w:type="dxa"/>
                  <w:shd w:val="clear" w:color="auto" w:fill="auto"/>
                </w:tcPr>
                <w:p w:rsidR="00C87B4B" w:rsidRPr="008A6F90" w:rsidRDefault="00C87B4B" w:rsidP="008A6F90">
                  <w:pPr>
                    <w:spacing w:line="240" w:lineRule="auto"/>
                    <w:rPr>
                      <w:rFonts w:ascii="Times New Roman" w:hAnsi="Times New Roman"/>
                      <w:b/>
                      <w:bCs/>
                      <w:color w:val="000000"/>
                    </w:rPr>
                  </w:pPr>
                  <w:r w:rsidRPr="008A6F90">
                    <w:rPr>
                      <w:rFonts w:ascii="Times New Roman" w:hAnsi="Times New Roman"/>
                      <w:b/>
                      <w:bCs/>
                      <w:color w:val="000000"/>
                    </w:rPr>
                    <w:t>Alior Bank</w:t>
                  </w:r>
                </w:p>
              </w:tc>
              <w:tc>
                <w:tcPr>
                  <w:tcW w:w="1854" w:type="dxa"/>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944 396 231</w:t>
                  </w:r>
                </w:p>
              </w:tc>
              <w:tc>
                <w:tcPr>
                  <w:tcW w:w="1855" w:type="dxa"/>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2 859</w:t>
                  </w:r>
                </w:p>
              </w:tc>
              <w:tc>
                <w:tcPr>
                  <w:tcW w:w="1855" w:type="dxa"/>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330 324</w:t>
                  </w:r>
                </w:p>
              </w:tc>
              <w:tc>
                <w:tcPr>
                  <w:tcW w:w="1855" w:type="dxa"/>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rPr>
                    <w:t>2,50%</w:t>
                  </w:r>
                </w:p>
              </w:tc>
            </w:tr>
            <w:tr w:rsidR="00C87B4B" w:rsidRPr="008A6F90" w:rsidTr="008A6F90">
              <w:trPr>
                <w:trHeight w:val="230"/>
                <w:jc w:val="center"/>
              </w:trPr>
              <w:tc>
                <w:tcPr>
                  <w:tcW w:w="1854" w:type="dxa"/>
                  <w:tcBorders>
                    <w:top w:val="single" w:sz="4" w:space="0" w:color="7F7F7F"/>
                    <w:bottom w:val="single" w:sz="4" w:space="0" w:color="7F7F7F"/>
                  </w:tcBorders>
                  <w:shd w:val="clear" w:color="auto" w:fill="auto"/>
                </w:tcPr>
                <w:p w:rsidR="00C87B4B" w:rsidRPr="008A6F90" w:rsidRDefault="00C87B4B" w:rsidP="008A6F90">
                  <w:pPr>
                    <w:spacing w:line="240" w:lineRule="auto"/>
                    <w:rPr>
                      <w:rFonts w:ascii="Times New Roman" w:hAnsi="Times New Roman"/>
                      <w:b/>
                      <w:bCs/>
                      <w:color w:val="000000"/>
                    </w:rPr>
                  </w:pPr>
                  <w:r w:rsidRPr="008A6F90">
                    <w:rPr>
                      <w:rFonts w:ascii="Times New Roman" w:hAnsi="Times New Roman"/>
                      <w:b/>
                      <w:bCs/>
                      <w:color w:val="000000"/>
                    </w:rPr>
                    <w:t>Bank Pocztowy</w:t>
                  </w:r>
                </w:p>
              </w:tc>
              <w:tc>
                <w:tcPr>
                  <w:tcW w:w="1854" w:type="dxa"/>
                  <w:tcBorders>
                    <w:top w:val="single" w:sz="4" w:space="0" w:color="7F7F7F"/>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11 663 789</w:t>
                  </w:r>
                </w:p>
              </w:tc>
              <w:tc>
                <w:tcPr>
                  <w:tcW w:w="1855" w:type="dxa"/>
                  <w:tcBorders>
                    <w:top w:val="single" w:sz="4" w:space="0" w:color="7F7F7F"/>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46</w:t>
                  </w:r>
                </w:p>
              </w:tc>
              <w:tc>
                <w:tcPr>
                  <w:tcW w:w="1855" w:type="dxa"/>
                  <w:tcBorders>
                    <w:top w:val="single" w:sz="4" w:space="0" w:color="7F7F7F"/>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253 561</w:t>
                  </w:r>
                </w:p>
              </w:tc>
              <w:tc>
                <w:tcPr>
                  <w:tcW w:w="1855" w:type="dxa"/>
                  <w:tcBorders>
                    <w:top w:val="single" w:sz="4" w:space="0" w:color="7F7F7F"/>
                    <w:bottom w:val="single" w:sz="4" w:space="0" w:color="7F7F7F"/>
                  </w:tcBorders>
                  <w:shd w:val="clear" w:color="auto" w:fill="auto"/>
                </w:tcPr>
                <w:p w:rsidR="00C87B4B" w:rsidRPr="008A6F90" w:rsidRDefault="00C87B4B" w:rsidP="008A6F90">
                  <w:pPr>
                    <w:spacing w:line="240" w:lineRule="auto"/>
                    <w:jc w:val="center"/>
                    <w:rPr>
                      <w:rFonts w:ascii="Times New Roman" w:hAnsi="Times New Roman"/>
                      <w:color w:val="000000"/>
                    </w:rPr>
                  </w:pPr>
                  <w:r w:rsidRPr="008A6F90">
                    <w:rPr>
                      <w:rFonts w:ascii="Times New Roman" w:hAnsi="Times New Roman"/>
                      <w:color w:val="000000"/>
                    </w:rPr>
                    <w:t>0,09%</w:t>
                  </w:r>
                </w:p>
              </w:tc>
            </w:tr>
            <w:tr w:rsidR="00C87B4B" w:rsidRPr="008A6F90" w:rsidTr="008A6F90">
              <w:trPr>
                <w:trHeight w:val="266"/>
                <w:jc w:val="center"/>
              </w:trPr>
              <w:tc>
                <w:tcPr>
                  <w:tcW w:w="1854" w:type="dxa"/>
                  <w:shd w:val="clear" w:color="auto" w:fill="auto"/>
                </w:tcPr>
                <w:p w:rsidR="00C87B4B" w:rsidRPr="008A6F90" w:rsidRDefault="00C87B4B" w:rsidP="008A6F90">
                  <w:pPr>
                    <w:spacing w:line="240" w:lineRule="auto"/>
                    <w:rPr>
                      <w:rFonts w:ascii="Times New Roman" w:hAnsi="Times New Roman"/>
                      <w:b/>
                      <w:bCs/>
                      <w:color w:val="000000"/>
                    </w:rPr>
                  </w:pPr>
                </w:p>
              </w:tc>
              <w:tc>
                <w:tcPr>
                  <w:tcW w:w="1854" w:type="dxa"/>
                  <w:shd w:val="clear" w:color="auto" w:fill="auto"/>
                </w:tcPr>
                <w:p w:rsidR="00C87B4B" w:rsidRPr="008A6F90" w:rsidRDefault="00C87B4B" w:rsidP="008A6F90">
                  <w:pPr>
                    <w:spacing w:line="240" w:lineRule="auto"/>
                    <w:jc w:val="center"/>
                    <w:rPr>
                      <w:rFonts w:ascii="Times New Roman" w:hAnsi="Times New Roman"/>
                      <w:b/>
                      <w:bCs/>
                      <w:color w:val="000000"/>
                    </w:rPr>
                  </w:pPr>
                  <w:r w:rsidRPr="008A6F90">
                    <w:rPr>
                      <w:rFonts w:ascii="Times New Roman" w:hAnsi="Times New Roman"/>
                      <w:b/>
                      <w:bCs/>
                      <w:color w:val="000000"/>
                    </w:rPr>
                    <w:t>15 430 090 020</w:t>
                  </w:r>
                </w:p>
              </w:tc>
              <w:tc>
                <w:tcPr>
                  <w:tcW w:w="1855" w:type="dxa"/>
                  <w:shd w:val="clear" w:color="auto" w:fill="auto"/>
                </w:tcPr>
                <w:p w:rsidR="00C87B4B" w:rsidRPr="008A6F90" w:rsidRDefault="00C87B4B" w:rsidP="008A6F90">
                  <w:pPr>
                    <w:spacing w:line="240" w:lineRule="auto"/>
                    <w:jc w:val="center"/>
                    <w:rPr>
                      <w:rFonts w:ascii="Times New Roman" w:hAnsi="Times New Roman"/>
                      <w:b/>
                      <w:bCs/>
                      <w:color w:val="000000"/>
                    </w:rPr>
                  </w:pPr>
                  <w:r w:rsidRPr="008A6F90">
                    <w:rPr>
                      <w:rFonts w:ascii="Times New Roman" w:hAnsi="Times New Roman"/>
                      <w:b/>
                      <w:bCs/>
                      <w:color w:val="000000"/>
                    </w:rPr>
                    <w:t>38 722</w:t>
                  </w:r>
                </w:p>
              </w:tc>
              <w:tc>
                <w:tcPr>
                  <w:tcW w:w="1855" w:type="dxa"/>
                  <w:shd w:val="clear" w:color="auto" w:fill="auto"/>
                </w:tcPr>
                <w:p w:rsidR="00C87B4B" w:rsidRPr="008A6F90" w:rsidRDefault="00C87B4B" w:rsidP="008A6F90">
                  <w:pPr>
                    <w:spacing w:line="240" w:lineRule="auto"/>
                    <w:jc w:val="center"/>
                    <w:rPr>
                      <w:rFonts w:ascii="Times New Roman" w:hAnsi="Times New Roman"/>
                      <w:b/>
                      <w:bCs/>
                      <w:color w:val="000000"/>
                    </w:rPr>
                  </w:pPr>
                  <w:r w:rsidRPr="008A6F90">
                    <w:rPr>
                      <w:rFonts w:ascii="Times New Roman" w:hAnsi="Times New Roman"/>
                      <w:b/>
                      <w:bCs/>
                      <w:color w:val="000000"/>
                    </w:rPr>
                    <w:t>średnio: 371 060</w:t>
                  </w:r>
                </w:p>
              </w:tc>
              <w:tc>
                <w:tcPr>
                  <w:tcW w:w="1855" w:type="dxa"/>
                  <w:shd w:val="clear" w:color="auto" w:fill="auto"/>
                </w:tcPr>
                <w:p w:rsidR="00C87B4B" w:rsidRPr="008A6F90" w:rsidRDefault="00C87B4B" w:rsidP="008A6F90">
                  <w:pPr>
                    <w:spacing w:line="240" w:lineRule="auto"/>
                    <w:jc w:val="center"/>
                    <w:rPr>
                      <w:rFonts w:ascii="Times New Roman" w:hAnsi="Times New Roman"/>
                      <w:b/>
                      <w:bCs/>
                      <w:color w:val="000000"/>
                    </w:rPr>
                  </w:pPr>
                  <w:r w:rsidRPr="008A6F90">
                    <w:rPr>
                      <w:rFonts w:ascii="Times New Roman" w:hAnsi="Times New Roman"/>
                      <w:b/>
                      <w:bCs/>
                      <w:color w:val="000000"/>
                    </w:rPr>
                    <w:t>średnio: 1,10%</w:t>
                  </w:r>
                </w:p>
              </w:tc>
            </w:tr>
          </w:tbl>
          <w:p w:rsidR="00C87B4B" w:rsidRPr="00A57BCB" w:rsidRDefault="00C87B4B" w:rsidP="0086339C">
            <w:pPr>
              <w:spacing w:line="240" w:lineRule="auto"/>
              <w:jc w:val="center"/>
              <w:rPr>
                <w:rFonts w:ascii="Times New Roman" w:hAnsi="Times New Roman"/>
                <w:color w:val="000000"/>
              </w:rPr>
            </w:pPr>
            <w:r w:rsidRPr="00A57BCB">
              <w:rPr>
                <w:rFonts w:ascii="Times New Roman" w:hAnsi="Times New Roman"/>
                <w:color w:val="000000"/>
              </w:rPr>
              <w:t xml:space="preserve">Opracowanie własne na podstawie </w:t>
            </w:r>
            <w:hyperlink r:id="rId9" w:history="1">
              <w:r w:rsidRPr="00A57BCB">
                <w:rPr>
                  <w:rStyle w:val="Hipercze"/>
                  <w:rFonts w:ascii="Times New Roman" w:hAnsi="Times New Roman"/>
                </w:rPr>
                <w:t>https://prnews.pl/raport-prnews-pl-rynek-kredytow-hipotecznych-iii-kw-2021-462315</w:t>
              </w:r>
            </w:hyperlink>
            <w:r w:rsidRPr="00A57BCB">
              <w:rPr>
                <w:rFonts w:ascii="Times New Roman" w:hAnsi="Times New Roman"/>
                <w:color w:val="000000"/>
              </w:rPr>
              <w:t xml:space="preserve"> </w:t>
            </w:r>
            <w:r w:rsidRPr="00666474">
              <w:rPr>
                <w:rFonts w:ascii="Times New Roman" w:hAnsi="Times New Roman"/>
                <w:i/>
                <w:iCs/>
                <w:color w:val="000000"/>
                <w:sz w:val="18"/>
                <w:szCs w:val="18"/>
              </w:rPr>
              <w:t>(dostęp: 24</w:t>
            </w:r>
            <w:r w:rsidR="0086339C" w:rsidRPr="00666474">
              <w:rPr>
                <w:rFonts w:ascii="Times New Roman" w:hAnsi="Times New Roman"/>
                <w:i/>
                <w:iCs/>
                <w:color w:val="000000"/>
                <w:sz w:val="18"/>
                <w:szCs w:val="18"/>
              </w:rPr>
              <w:t>.01.</w:t>
            </w:r>
            <w:r w:rsidRPr="00666474">
              <w:rPr>
                <w:rFonts w:ascii="Times New Roman" w:hAnsi="Times New Roman"/>
                <w:i/>
                <w:iCs/>
                <w:color w:val="000000"/>
                <w:sz w:val="18"/>
                <w:szCs w:val="18"/>
              </w:rPr>
              <w:t>2022 r.)</w:t>
            </w:r>
          </w:p>
          <w:p w:rsidR="00C87B4B" w:rsidRPr="00A57BCB" w:rsidRDefault="00C87B4B" w:rsidP="00C87B4B">
            <w:pPr>
              <w:spacing w:line="240" w:lineRule="auto"/>
              <w:jc w:val="both"/>
              <w:rPr>
                <w:rFonts w:ascii="Times New Roman" w:hAnsi="Times New Roman"/>
                <w:color w:val="000000"/>
              </w:rPr>
            </w:pPr>
          </w:p>
          <w:p w:rsidR="00C87B4B" w:rsidRPr="00F45FE8" w:rsidRDefault="00C87B4B" w:rsidP="00C87B4B">
            <w:pPr>
              <w:spacing w:line="240" w:lineRule="auto"/>
              <w:jc w:val="both"/>
              <w:rPr>
                <w:rFonts w:ascii="Times New Roman" w:hAnsi="Times New Roman"/>
                <w:color w:val="000000"/>
              </w:rPr>
            </w:pPr>
            <w:r w:rsidRPr="00A57BCB">
              <w:rPr>
                <w:rFonts w:ascii="Times New Roman" w:hAnsi="Times New Roman"/>
                <w:color w:val="000000"/>
              </w:rPr>
              <w:t xml:space="preserve">Na podstawie statystyki stóp procentowych Narodowego Banku Polskiego wyliczono </w:t>
            </w:r>
            <w:r w:rsidRPr="00666474">
              <w:rPr>
                <w:rFonts w:ascii="Times New Roman" w:hAnsi="Times New Roman"/>
                <w:color w:val="000000"/>
              </w:rPr>
              <w:t>średnie oprocentowanie</w:t>
            </w:r>
            <w:r w:rsidRPr="00A57BCB">
              <w:rPr>
                <w:rFonts w:ascii="Times New Roman" w:hAnsi="Times New Roman"/>
                <w:color w:val="000000"/>
              </w:rPr>
              <w:t xml:space="preserve"> nowych </w:t>
            </w:r>
            <w:r w:rsidR="00A85C49" w:rsidRPr="00A57BCB">
              <w:rPr>
                <w:rFonts w:ascii="Times New Roman" w:hAnsi="Times New Roman"/>
                <w:color w:val="000000"/>
              </w:rPr>
              <w:br/>
            </w:r>
            <w:r w:rsidRPr="00A57BCB">
              <w:rPr>
                <w:rFonts w:ascii="Times New Roman" w:hAnsi="Times New Roman"/>
                <w:color w:val="000000"/>
              </w:rPr>
              <w:t xml:space="preserve">i renegocjowanych umów złotowych (w tym przypadku kredyty na nieruchomości mieszkaniowe) dla gospodarstw domowych i instytucji niekomercyjnych działających na rzecz gospodarstw domowych w oparciu o rzeczywistą stopę oprocentowania. </w:t>
            </w:r>
            <w:r w:rsidRPr="00F45FE8">
              <w:rPr>
                <w:rFonts w:ascii="Times New Roman" w:hAnsi="Times New Roman"/>
                <w:color w:val="000000"/>
              </w:rPr>
              <w:t>Za okres styczeń – listopad 2021 wyniosło ono 3,30%.</w:t>
            </w:r>
          </w:p>
          <w:p w:rsidR="00C87B4B" w:rsidRPr="00F45FE8" w:rsidRDefault="00C87B4B" w:rsidP="00C87B4B">
            <w:pPr>
              <w:spacing w:line="240" w:lineRule="auto"/>
              <w:jc w:val="both"/>
              <w:rPr>
                <w:rFonts w:ascii="Times New Roman" w:hAnsi="Times New Roman"/>
                <w:color w:val="000000"/>
              </w:rPr>
            </w:pPr>
            <w:r w:rsidRPr="00F45FE8">
              <w:rPr>
                <w:rFonts w:ascii="Times New Roman" w:hAnsi="Times New Roman"/>
                <w:color w:val="000000"/>
              </w:rPr>
              <w:t>Założono również średnią marżę kredytu na poziomie 2,60%, co łącznie dało średni</w:t>
            </w:r>
            <w:r w:rsidR="00AB49BB" w:rsidRPr="00F45FE8">
              <w:rPr>
                <w:rFonts w:ascii="Times New Roman" w:hAnsi="Times New Roman"/>
                <w:color w:val="000000"/>
              </w:rPr>
              <w:t>e oprocentowanie</w:t>
            </w:r>
            <w:r w:rsidRPr="00F45FE8">
              <w:rPr>
                <w:rFonts w:ascii="Times New Roman" w:hAnsi="Times New Roman"/>
                <w:color w:val="000000"/>
              </w:rPr>
              <w:t xml:space="preserve"> rat</w:t>
            </w:r>
            <w:r w:rsidR="00AB49BB" w:rsidRPr="00F45FE8">
              <w:rPr>
                <w:rFonts w:ascii="Times New Roman" w:hAnsi="Times New Roman"/>
                <w:color w:val="000000"/>
              </w:rPr>
              <w:t>y</w:t>
            </w:r>
            <w:r w:rsidRPr="00F45FE8">
              <w:rPr>
                <w:rFonts w:ascii="Times New Roman" w:hAnsi="Times New Roman"/>
                <w:color w:val="000000"/>
              </w:rPr>
              <w:t xml:space="preserve"> kredytu </w:t>
            </w:r>
            <w:r w:rsidR="00A342CF">
              <w:rPr>
                <w:rFonts w:ascii="Times New Roman" w:hAnsi="Times New Roman"/>
                <w:color w:val="000000"/>
              </w:rPr>
              <w:br/>
            </w:r>
            <w:r w:rsidRPr="00F45FE8">
              <w:rPr>
                <w:rFonts w:ascii="Times New Roman" w:hAnsi="Times New Roman"/>
                <w:color w:val="000000"/>
              </w:rPr>
              <w:t>na poziomie 5,90%.</w:t>
            </w:r>
          </w:p>
          <w:p w:rsidR="00C87B4B" w:rsidRPr="00F45FE8" w:rsidRDefault="00C87B4B" w:rsidP="00C87B4B">
            <w:pPr>
              <w:spacing w:line="240" w:lineRule="auto"/>
              <w:jc w:val="both"/>
              <w:rPr>
                <w:rFonts w:ascii="Times New Roman" w:hAnsi="Times New Roman"/>
                <w:color w:val="000000"/>
              </w:rPr>
            </w:pPr>
            <w:r w:rsidRPr="00F45FE8">
              <w:rPr>
                <w:rFonts w:ascii="Times New Roman" w:hAnsi="Times New Roman"/>
                <w:color w:val="000000"/>
              </w:rPr>
              <w:t>Na podstawie powyższych założeń średnia rata kredytu mieszkaniowego</w:t>
            </w:r>
            <w:r w:rsidR="00F45FE8">
              <w:rPr>
                <w:rFonts w:ascii="Times New Roman" w:hAnsi="Times New Roman"/>
                <w:color w:val="000000"/>
              </w:rPr>
              <w:t>,</w:t>
            </w:r>
            <w:r w:rsidR="00C62839" w:rsidRPr="00F45FE8">
              <w:rPr>
                <w:rFonts w:ascii="Times New Roman" w:hAnsi="Times New Roman"/>
                <w:color w:val="000000"/>
              </w:rPr>
              <w:t xml:space="preserve"> </w:t>
            </w:r>
            <w:r w:rsidR="00F45FE8" w:rsidRPr="00F45FE8">
              <w:rPr>
                <w:rFonts w:ascii="Times New Roman" w:hAnsi="Times New Roman"/>
                <w:color w:val="000000"/>
              </w:rPr>
              <w:t>w wysokości 371 060 zł</w:t>
            </w:r>
            <w:r w:rsidR="00F45FE8">
              <w:rPr>
                <w:rFonts w:ascii="Times New Roman" w:hAnsi="Times New Roman"/>
                <w:color w:val="000000"/>
              </w:rPr>
              <w:t>,</w:t>
            </w:r>
            <w:r w:rsidR="00F45FE8" w:rsidRPr="00F45FE8">
              <w:rPr>
                <w:rFonts w:ascii="Times New Roman" w:hAnsi="Times New Roman"/>
                <w:color w:val="000000"/>
              </w:rPr>
              <w:t xml:space="preserve"> </w:t>
            </w:r>
            <w:r w:rsidRPr="00F45FE8">
              <w:rPr>
                <w:rFonts w:ascii="Times New Roman" w:hAnsi="Times New Roman"/>
                <w:color w:val="000000"/>
              </w:rPr>
              <w:t xml:space="preserve">zaciągniętego </w:t>
            </w:r>
            <w:r w:rsidR="00A342CF">
              <w:rPr>
                <w:rFonts w:ascii="Times New Roman" w:hAnsi="Times New Roman"/>
                <w:color w:val="000000"/>
              </w:rPr>
              <w:br/>
            </w:r>
            <w:r w:rsidRPr="00F45FE8">
              <w:rPr>
                <w:rFonts w:ascii="Times New Roman" w:hAnsi="Times New Roman"/>
                <w:color w:val="000000"/>
              </w:rPr>
              <w:t>na 25 lat</w:t>
            </w:r>
            <w:r w:rsidR="00F45FE8">
              <w:rPr>
                <w:rFonts w:ascii="Times New Roman" w:hAnsi="Times New Roman"/>
                <w:color w:val="000000"/>
              </w:rPr>
              <w:t>,</w:t>
            </w:r>
            <w:r w:rsidRPr="00F45FE8">
              <w:rPr>
                <w:rFonts w:ascii="Times New Roman" w:hAnsi="Times New Roman"/>
                <w:color w:val="000000"/>
              </w:rPr>
              <w:t xml:space="preserve"> wynosi 2 368,11 zł miesięcznie. </w:t>
            </w:r>
          </w:p>
          <w:p w:rsidR="00C87B4B" w:rsidRPr="00A57BCB" w:rsidRDefault="00C87B4B" w:rsidP="00C87B4B">
            <w:pPr>
              <w:spacing w:line="240" w:lineRule="auto"/>
              <w:jc w:val="both"/>
              <w:rPr>
                <w:rFonts w:ascii="Times New Roman" w:hAnsi="Times New Roman"/>
                <w:color w:val="000000"/>
              </w:rPr>
            </w:pPr>
            <w:r w:rsidRPr="00A57BCB">
              <w:rPr>
                <w:rFonts w:ascii="Times New Roman" w:hAnsi="Times New Roman"/>
                <w:color w:val="000000"/>
              </w:rPr>
              <w:t>W przypadku</w:t>
            </w:r>
            <w:r w:rsidR="00C62839" w:rsidRPr="00A57BCB">
              <w:rPr>
                <w:rFonts w:ascii="Times New Roman" w:hAnsi="Times New Roman"/>
                <w:color w:val="000000"/>
              </w:rPr>
              <w:t>,</w:t>
            </w:r>
            <w:r w:rsidRPr="00A57BCB">
              <w:rPr>
                <w:rFonts w:ascii="Times New Roman" w:hAnsi="Times New Roman"/>
                <w:color w:val="000000"/>
              </w:rPr>
              <w:t xml:space="preserve"> gdy konsument oczekuje na wpis do księgi wieczystej jest zobowiązany do opłacania tak zwanego </w:t>
            </w:r>
            <w:r w:rsidRPr="00F45FE8">
              <w:rPr>
                <w:rFonts w:ascii="Times New Roman" w:hAnsi="Times New Roman"/>
                <w:color w:val="000000"/>
              </w:rPr>
              <w:t xml:space="preserve">ubezpieczenia pomostowego, które podnosi oprocentowanie kredytu. Zostało ono </w:t>
            </w:r>
            <w:r w:rsidR="00A85C49" w:rsidRPr="00F45FE8">
              <w:rPr>
                <w:rFonts w:ascii="Times New Roman" w:hAnsi="Times New Roman"/>
                <w:color w:val="000000"/>
              </w:rPr>
              <w:t xml:space="preserve">wyliczone </w:t>
            </w:r>
            <w:r w:rsidRPr="00F45FE8">
              <w:rPr>
                <w:rFonts w:ascii="Times New Roman" w:hAnsi="Times New Roman"/>
                <w:color w:val="000000"/>
              </w:rPr>
              <w:t>na podstawie dostępnych danych na poziomie 1,10%.</w:t>
            </w:r>
            <w:r w:rsidRPr="00A57BCB">
              <w:rPr>
                <w:rFonts w:ascii="Times New Roman" w:hAnsi="Times New Roman"/>
                <w:color w:val="000000"/>
              </w:rPr>
              <w:t xml:space="preserve"> </w:t>
            </w:r>
          </w:p>
          <w:p w:rsidR="00C87B4B" w:rsidRPr="00A57BCB" w:rsidRDefault="00C87B4B" w:rsidP="00C87B4B">
            <w:pPr>
              <w:spacing w:line="240" w:lineRule="auto"/>
              <w:jc w:val="both"/>
              <w:rPr>
                <w:rFonts w:ascii="Times New Roman" w:hAnsi="Times New Roman"/>
                <w:color w:val="000000"/>
              </w:rPr>
            </w:pPr>
            <w:r w:rsidRPr="00A57BCB">
              <w:rPr>
                <w:rFonts w:ascii="Times New Roman" w:hAnsi="Times New Roman"/>
                <w:color w:val="000000"/>
              </w:rPr>
              <w:t>Jeżeli kredytobiorca będzie zmuszony do opłacania ubezpieczenia pomostowego rata jego kredytu zwiększy się</w:t>
            </w:r>
            <w:r w:rsidRPr="00F45FE8">
              <w:rPr>
                <w:rFonts w:ascii="Times New Roman" w:hAnsi="Times New Roman"/>
                <w:b/>
                <w:bCs/>
                <w:color w:val="000000"/>
              </w:rPr>
              <w:t xml:space="preserve"> </w:t>
            </w:r>
            <w:r w:rsidR="00A342CF">
              <w:rPr>
                <w:rFonts w:ascii="Times New Roman" w:hAnsi="Times New Roman"/>
                <w:b/>
                <w:bCs/>
                <w:color w:val="000000"/>
              </w:rPr>
              <w:br/>
            </w:r>
            <w:r w:rsidRPr="00F45FE8">
              <w:rPr>
                <w:rFonts w:ascii="Times New Roman" w:hAnsi="Times New Roman"/>
                <w:color w:val="000000"/>
              </w:rPr>
              <w:t>o 253,78 zł (do wysokości 2 621,90 zł miesięcznie).</w:t>
            </w:r>
            <w:r w:rsidR="00A85C49" w:rsidRPr="00F45FE8">
              <w:rPr>
                <w:rFonts w:ascii="Times New Roman" w:hAnsi="Times New Roman"/>
                <w:b/>
                <w:bCs/>
                <w:color w:val="000000"/>
              </w:rPr>
              <w:t xml:space="preserve"> </w:t>
            </w:r>
          </w:p>
          <w:p w:rsidR="00C87B4B" w:rsidRDefault="00C87B4B" w:rsidP="00C87B4B">
            <w:pPr>
              <w:spacing w:line="240" w:lineRule="auto"/>
              <w:jc w:val="both"/>
              <w:rPr>
                <w:rFonts w:ascii="Times New Roman" w:hAnsi="Times New Roman"/>
                <w:color w:val="000000"/>
              </w:rPr>
            </w:pPr>
            <w:r w:rsidRPr="00A57BCB">
              <w:rPr>
                <w:rFonts w:ascii="Times New Roman" w:hAnsi="Times New Roman"/>
                <w:color w:val="000000"/>
              </w:rPr>
              <w:t xml:space="preserve">Nie jest możliwe dokładne stwierdzenie </w:t>
            </w:r>
            <w:r w:rsidR="00C62839" w:rsidRPr="00A57BCB">
              <w:rPr>
                <w:rFonts w:ascii="Times New Roman" w:hAnsi="Times New Roman"/>
                <w:color w:val="000000"/>
              </w:rPr>
              <w:t>jak długo dany</w:t>
            </w:r>
            <w:r w:rsidRPr="00A57BCB">
              <w:rPr>
                <w:rFonts w:ascii="Times New Roman" w:hAnsi="Times New Roman"/>
                <w:color w:val="000000"/>
              </w:rPr>
              <w:t xml:space="preserve"> konsument będzie oczekiwał na wpis do księgi wieczystej. </w:t>
            </w:r>
            <w:r w:rsidR="00A57BCB">
              <w:rPr>
                <w:rFonts w:ascii="Times New Roman" w:hAnsi="Times New Roman"/>
                <w:color w:val="000000"/>
              </w:rPr>
              <w:br/>
            </w:r>
            <w:r w:rsidRPr="00A57BCB">
              <w:rPr>
                <w:rFonts w:ascii="Times New Roman" w:hAnsi="Times New Roman"/>
                <w:color w:val="000000"/>
              </w:rPr>
              <w:t>W związku z powyższym poniżej przedstawiono założenia, zgodnie z którymi oczekiwanie będzie wynosiło 2, 5 lub 8 miesięcy.</w:t>
            </w:r>
          </w:p>
          <w:p w:rsidR="004C3512" w:rsidRPr="004C3512" w:rsidRDefault="004C3512" w:rsidP="004C3512">
            <w:pPr>
              <w:spacing w:line="240" w:lineRule="auto"/>
              <w:jc w:val="both"/>
              <w:rPr>
                <w:rFonts w:ascii="Times New Roman" w:hAnsi="Times New Roman"/>
                <w:color w:val="000000"/>
              </w:rPr>
            </w:pPr>
            <w:r w:rsidRPr="004C3512">
              <w:rPr>
                <w:rFonts w:ascii="Times New Roman" w:hAnsi="Times New Roman"/>
                <w:color w:val="000000"/>
              </w:rPr>
              <w:t>Aplikacja System</w:t>
            </w:r>
            <w:r>
              <w:rPr>
                <w:rFonts w:ascii="Times New Roman" w:hAnsi="Times New Roman"/>
                <w:color w:val="000000"/>
              </w:rPr>
              <w:t>u</w:t>
            </w:r>
            <w:r w:rsidRPr="004C3512">
              <w:rPr>
                <w:rFonts w:ascii="Times New Roman" w:hAnsi="Times New Roman"/>
                <w:color w:val="000000"/>
              </w:rPr>
              <w:t xml:space="preserve"> Obsługi Wydziałów Ksiąg Wieczystych nie przewiduje wyszukiwania spraw określając jednocześnie wniosków o </w:t>
            </w:r>
            <w:r>
              <w:rPr>
                <w:rFonts w:ascii="Times New Roman" w:hAnsi="Times New Roman"/>
                <w:color w:val="000000"/>
              </w:rPr>
              <w:t>wpis</w:t>
            </w:r>
            <w:r w:rsidRPr="004C3512">
              <w:rPr>
                <w:rFonts w:ascii="Times New Roman" w:hAnsi="Times New Roman"/>
                <w:color w:val="000000"/>
              </w:rPr>
              <w:t xml:space="preserve"> hipoteki na rzecz </w:t>
            </w:r>
            <w:r>
              <w:rPr>
                <w:rFonts w:ascii="Times New Roman" w:hAnsi="Times New Roman"/>
                <w:color w:val="000000"/>
              </w:rPr>
              <w:t>banku</w:t>
            </w:r>
            <w:r w:rsidRPr="004C3512">
              <w:rPr>
                <w:rFonts w:ascii="Times New Roman" w:hAnsi="Times New Roman"/>
                <w:color w:val="000000"/>
              </w:rPr>
              <w:t xml:space="preserve">. Podczas wyszukiwania nie ma możliwości oznaczenia również, że sprawa ma dotyczyć jedynie wpisu hipoteki na rzecz banku. System przewiduje jedynie wpisanie konkretnej nazwy wnioskodawcy lub uczestnika postępowania. Zatem wyszukanie wniosków o wpis hipoteki zabezpieczającej kredyt na rzecz banku (w tym jaki procent wniosków został oddalony) przerasta obecne możliwości </w:t>
            </w:r>
            <w:r>
              <w:rPr>
                <w:rFonts w:ascii="Times New Roman" w:hAnsi="Times New Roman"/>
                <w:color w:val="000000"/>
              </w:rPr>
              <w:t>s</w:t>
            </w:r>
            <w:r w:rsidRPr="004C3512">
              <w:rPr>
                <w:rFonts w:ascii="Times New Roman" w:hAnsi="Times New Roman"/>
                <w:color w:val="000000"/>
              </w:rPr>
              <w:t xml:space="preserve">ystemu. </w:t>
            </w:r>
            <w:r w:rsidR="00F177C2">
              <w:rPr>
                <w:rFonts w:ascii="Times New Roman" w:hAnsi="Times New Roman"/>
                <w:color w:val="000000"/>
              </w:rPr>
              <w:t>Pozyskane dane nie pozwalają również ustalić, czy wyszukany wniosek dotyczy tylko wpisu do hipoteki, ponieważ w wyszukiwanym kryterium znajdują się zarówno wnioski o wpis, zmianę i wykreślenie hipotek (hipoteki zabezpieczającej zarówno kredyty, pożyczki i hipoteki przymusowe).</w:t>
            </w:r>
          </w:p>
          <w:p w:rsidR="004C3512" w:rsidRDefault="004C3512" w:rsidP="004C3512">
            <w:pPr>
              <w:spacing w:line="240" w:lineRule="auto"/>
              <w:jc w:val="both"/>
              <w:rPr>
                <w:rFonts w:ascii="Times New Roman" w:hAnsi="Times New Roman"/>
                <w:color w:val="000000"/>
              </w:rPr>
            </w:pPr>
            <w:r w:rsidRPr="004C3512">
              <w:rPr>
                <w:rFonts w:ascii="Times New Roman" w:hAnsi="Times New Roman"/>
                <w:color w:val="000000"/>
              </w:rPr>
              <w:t>Takie dane można ustalić jedynie poprzez analizę każdego wniosku, co w przypadku dużego wydziału jest bardzo czasochłonne.</w:t>
            </w:r>
          </w:p>
          <w:p w:rsidR="004C3512" w:rsidRDefault="004C3512" w:rsidP="004C3512">
            <w:pPr>
              <w:spacing w:line="240" w:lineRule="auto"/>
              <w:jc w:val="both"/>
              <w:rPr>
                <w:rFonts w:ascii="Times New Roman" w:hAnsi="Times New Roman"/>
                <w:color w:val="000000"/>
              </w:rPr>
            </w:pPr>
            <w:r>
              <w:rPr>
                <w:rFonts w:ascii="Times New Roman" w:hAnsi="Times New Roman"/>
                <w:color w:val="000000"/>
              </w:rPr>
              <w:lastRenderedPageBreak/>
              <w:t xml:space="preserve">Wobec powyższego nie jest możliwe określenie </w:t>
            </w:r>
            <w:r w:rsidRPr="004C3512">
              <w:rPr>
                <w:rFonts w:ascii="Times New Roman" w:hAnsi="Times New Roman"/>
                <w:color w:val="000000"/>
              </w:rPr>
              <w:t>rozkładu czasu oczekiwania na wpis do księgi wieczystej w zakresie wniosków o wpis dotyczący hipoteki oraz o założenie księgi wieczystej</w:t>
            </w:r>
            <w:r w:rsidR="00600B3F">
              <w:rPr>
                <w:rFonts w:ascii="Times New Roman" w:hAnsi="Times New Roman"/>
                <w:color w:val="000000"/>
              </w:rPr>
              <w:t>.</w:t>
            </w:r>
          </w:p>
          <w:p w:rsidR="007C000E" w:rsidRDefault="007C000E" w:rsidP="00C87B4B">
            <w:pPr>
              <w:spacing w:line="240" w:lineRule="auto"/>
              <w:jc w:val="both"/>
              <w:rPr>
                <w:rFonts w:ascii="Times New Roman" w:hAnsi="Times New Roman"/>
                <w:color w:val="000000"/>
              </w:rPr>
            </w:pPr>
          </w:p>
          <w:p w:rsidR="00CF7BF4" w:rsidRPr="00A57BCB" w:rsidRDefault="00CF7BF4" w:rsidP="00CF7BF4">
            <w:pPr>
              <w:spacing w:line="240" w:lineRule="auto"/>
              <w:jc w:val="both"/>
              <w:rPr>
                <w:rFonts w:ascii="Times New Roman" w:hAnsi="Times New Roman"/>
                <w:color w:val="000000"/>
              </w:rPr>
            </w:pPr>
          </w:p>
          <w:tbl>
            <w:tblPr>
              <w:tblW w:w="0" w:type="auto"/>
              <w:jc w:val="center"/>
              <w:tblBorders>
                <w:top w:val="single" w:sz="4" w:space="0" w:color="7F7F7F"/>
                <w:bottom w:val="single" w:sz="4" w:space="0" w:color="7F7F7F"/>
              </w:tblBorders>
              <w:tblLayout w:type="fixed"/>
              <w:tblLook w:val="04A0" w:firstRow="1" w:lastRow="0" w:firstColumn="1" w:lastColumn="0" w:noHBand="0" w:noVBand="1"/>
            </w:tblPr>
            <w:tblGrid>
              <w:gridCol w:w="2673"/>
              <w:gridCol w:w="1971"/>
              <w:gridCol w:w="34"/>
              <w:gridCol w:w="3348"/>
            </w:tblGrid>
            <w:tr w:rsidR="00CF7BF4" w:rsidRPr="008A6F90" w:rsidTr="00C967CC">
              <w:trPr>
                <w:trHeight w:val="363"/>
                <w:jc w:val="center"/>
              </w:trPr>
              <w:tc>
                <w:tcPr>
                  <w:tcW w:w="8026" w:type="dxa"/>
                  <w:gridSpan w:val="4"/>
                  <w:tcBorders>
                    <w:top w:val="single" w:sz="12" w:space="0" w:color="auto"/>
                    <w:bottom w:val="single" w:sz="4" w:space="0" w:color="7F7F7F"/>
                  </w:tcBorders>
                  <w:shd w:val="clear" w:color="auto" w:fill="DEEAF6"/>
                  <w:vAlign w:val="center"/>
                </w:tcPr>
                <w:p w:rsidR="00CF7BF4" w:rsidRPr="008A6F90" w:rsidRDefault="00CF7BF4" w:rsidP="00CF7BF4">
                  <w:pPr>
                    <w:spacing w:line="240" w:lineRule="auto"/>
                    <w:jc w:val="center"/>
                    <w:rPr>
                      <w:rFonts w:ascii="Times New Roman" w:hAnsi="Times New Roman"/>
                      <w:b/>
                      <w:bCs/>
                      <w:color w:val="000000"/>
                    </w:rPr>
                  </w:pPr>
                  <w:r w:rsidRPr="008A6F90">
                    <w:rPr>
                      <w:rFonts w:ascii="Times New Roman" w:hAnsi="Times New Roman"/>
                      <w:b/>
                      <w:bCs/>
                      <w:color w:val="000000"/>
                    </w:rPr>
                    <w:t>KREDYT MIESZKANIOWY</w:t>
                  </w:r>
                </w:p>
              </w:tc>
            </w:tr>
            <w:tr w:rsidR="00CF7BF4" w:rsidRPr="008A6F90" w:rsidTr="00C967CC">
              <w:trPr>
                <w:trHeight w:val="363"/>
                <w:jc w:val="center"/>
              </w:trPr>
              <w:tc>
                <w:tcPr>
                  <w:tcW w:w="2673" w:type="dxa"/>
                  <w:tcBorders>
                    <w:top w:val="single" w:sz="12" w:space="0" w:color="auto"/>
                    <w:bottom w:val="single" w:sz="4" w:space="0" w:color="7F7F7F"/>
                  </w:tcBorders>
                  <w:shd w:val="clear" w:color="auto" w:fill="auto"/>
                </w:tcPr>
                <w:p w:rsidR="00CF7BF4" w:rsidRPr="008A6F90" w:rsidRDefault="00CF7BF4" w:rsidP="00CF7BF4">
                  <w:pPr>
                    <w:spacing w:line="240" w:lineRule="auto"/>
                    <w:jc w:val="right"/>
                    <w:rPr>
                      <w:rFonts w:ascii="Times New Roman" w:hAnsi="Times New Roman"/>
                      <w:b/>
                      <w:bCs/>
                      <w:color w:val="000000"/>
                    </w:rPr>
                  </w:pPr>
                  <w:r w:rsidRPr="008A6F90">
                    <w:rPr>
                      <w:rFonts w:ascii="Times New Roman" w:hAnsi="Times New Roman"/>
                      <w:b/>
                      <w:bCs/>
                      <w:color w:val="000000"/>
                    </w:rPr>
                    <w:t>Kredyt (średnia wysokość)</w:t>
                  </w:r>
                </w:p>
              </w:tc>
              <w:tc>
                <w:tcPr>
                  <w:tcW w:w="1971" w:type="dxa"/>
                  <w:tcBorders>
                    <w:top w:val="single" w:sz="12" w:space="0" w:color="auto"/>
                    <w:bottom w:val="single" w:sz="4" w:space="0" w:color="7F7F7F"/>
                  </w:tcBorders>
                  <w:shd w:val="clear" w:color="auto" w:fill="auto"/>
                </w:tcPr>
                <w:p w:rsidR="00CF7BF4" w:rsidRPr="008A6F90" w:rsidRDefault="00CF7BF4" w:rsidP="00CF7BF4">
                  <w:pPr>
                    <w:spacing w:line="240" w:lineRule="auto"/>
                    <w:jc w:val="right"/>
                    <w:rPr>
                      <w:rFonts w:ascii="Times New Roman" w:hAnsi="Times New Roman"/>
                      <w:b/>
                      <w:bCs/>
                      <w:color w:val="000000"/>
                    </w:rPr>
                  </w:pPr>
                  <w:r w:rsidRPr="008A6F90">
                    <w:rPr>
                      <w:rFonts w:ascii="Times New Roman" w:hAnsi="Times New Roman"/>
                      <w:b/>
                      <w:bCs/>
                      <w:color w:val="000000"/>
                    </w:rPr>
                    <w:t>okres spłaty</w:t>
                  </w:r>
                </w:p>
              </w:tc>
              <w:tc>
                <w:tcPr>
                  <w:tcW w:w="3381" w:type="dxa"/>
                  <w:gridSpan w:val="2"/>
                  <w:tcBorders>
                    <w:top w:val="single" w:sz="12" w:space="0" w:color="auto"/>
                    <w:bottom w:val="single" w:sz="4" w:space="0" w:color="7F7F7F"/>
                  </w:tcBorders>
                  <w:shd w:val="clear" w:color="auto" w:fill="auto"/>
                </w:tcPr>
                <w:p w:rsidR="00CF7BF4" w:rsidRPr="008A6F90" w:rsidRDefault="00CF7BF4" w:rsidP="00CF7BF4">
                  <w:pPr>
                    <w:spacing w:line="240" w:lineRule="auto"/>
                    <w:jc w:val="right"/>
                    <w:rPr>
                      <w:rFonts w:ascii="Times New Roman" w:hAnsi="Times New Roman"/>
                      <w:color w:val="000000"/>
                    </w:rPr>
                  </w:pPr>
                  <w:r w:rsidRPr="008A6F90">
                    <w:rPr>
                      <w:rFonts w:ascii="Times New Roman" w:hAnsi="Times New Roman"/>
                      <w:b/>
                      <w:bCs/>
                      <w:color w:val="000000"/>
                    </w:rPr>
                    <w:t>rata</w:t>
                  </w:r>
                </w:p>
              </w:tc>
            </w:tr>
            <w:tr w:rsidR="00CF7BF4" w:rsidRPr="008A6F90" w:rsidTr="00C967CC">
              <w:trPr>
                <w:trHeight w:val="363"/>
                <w:jc w:val="center"/>
              </w:trPr>
              <w:tc>
                <w:tcPr>
                  <w:tcW w:w="2673" w:type="dxa"/>
                  <w:tcBorders>
                    <w:bottom w:val="single" w:sz="12" w:space="0" w:color="auto"/>
                  </w:tcBorders>
                  <w:shd w:val="clear" w:color="auto" w:fill="auto"/>
                  <w:vAlign w:val="center"/>
                </w:tcPr>
                <w:p w:rsidR="00CF7BF4" w:rsidRPr="008A6F90" w:rsidRDefault="00CF7BF4" w:rsidP="00CF7BF4">
                  <w:pPr>
                    <w:spacing w:line="240" w:lineRule="auto"/>
                    <w:jc w:val="right"/>
                    <w:rPr>
                      <w:rFonts w:ascii="Times New Roman" w:hAnsi="Times New Roman"/>
                      <w:color w:val="000000"/>
                    </w:rPr>
                  </w:pPr>
                  <w:r w:rsidRPr="008A6F90">
                    <w:rPr>
                      <w:rFonts w:ascii="Times New Roman" w:hAnsi="Times New Roman"/>
                      <w:color w:val="000000"/>
                    </w:rPr>
                    <w:t>371 060 zł</w:t>
                  </w:r>
                </w:p>
              </w:tc>
              <w:tc>
                <w:tcPr>
                  <w:tcW w:w="2005" w:type="dxa"/>
                  <w:gridSpan w:val="2"/>
                  <w:tcBorders>
                    <w:bottom w:val="single" w:sz="12" w:space="0" w:color="auto"/>
                  </w:tcBorders>
                  <w:shd w:val="clear" w:color="auto" w:fill="auto"/>
                  <w:vAlign w:val="center"/>
                </w:tcPr>
                <w:p w:rsidR="00CF7BF4" w:rsidRPr="008A6F90" w:rsidRDefault="00CF7BF4" w:rsidP="00CF7BF4">
                  <w:pPr>
                    <w:spacing w:line="240" w:lineRule="auto"/>
                    <w:jc w:val="right"/>
                    <w:rPr>
                      <w:rFonts w:ascii="Times New Roman" w:hAnsi="Times New Roman"/>
                      <w:color w:val="000000"/>
                    </w:rPr>
                  </w:pPr>
                  <w:r w:rsidRPr="008A6F90">
                    <w:rPr>
                      <w:rFonts w:ascii="Times New Roman" w:hAnsi="Times New Roman"/>
                      <w:color w:val="000000"/>
                    </w:rPr>
                    <w:t>25 lat</w:t>
                  </w:r>
                </w:p>
              </w:tc>
              <w:tc>
                <w:tcPr>
                  <w:tcW w:w="3346" w:type="dxa"/>
                  <w:tcBorders>
                    <w:bottom w:val="single" w:sz="12" w:space="0" w:color="auto"/>
                  </w:tcBorders>
                  <w:shd w:val="clear" w:color="auto" w:fill="auto"/>
                  <w:vAlign w:val="center"/>
                </w:tcPr>
                <w:p w:rsidR="00CF7BF4" w:rsidRPr="008A6F90" w:rsidRDefault="00CF7BF4" w:rsidP="00CF7BF4">
                  <w:pPr>
                    <w:spacing w:line="240" w:lineRule="auto"/>
                    <w:jc w:val="right"/>
                    <w:rPr>
                      <w:rFonts w:ascii="Times New Roman" w:hAnsi="Times New Roman"/>
                      <w:color w:val="000000"/>
                    </w:rPr>
                  </w:pPr>
                  <w:r w:rsidRPr="008A6F90">
                    <w:rPr>
                      <w:rFonts w:ascii="Times New Roman" w:hAnsi="Times New Roman"/>
                      <w:color w:val="000000"/>
                    </w:rPr>
                    <w:t>2 368,11 zł</w:t>
                  </w:r>
                </w:p>
              </w:tc>
            </w:tr>
            <w:tr w:rsidR="00CF7BF4" w:rsidRPr="008A6F90" w:rsidTr="00C967CC">
              <w:trPr>
                <w:trHeight w:val="363"/>
                <w:jc w:val="center"/>
              </w:trPr>
              <w:tc>
                <w:tcPr>
                  <w:tcW w:w="8026" w:type="dxa"/>
                  <w:gridSpan w:val="4"/>
                  <w:tcBorders>
                    <w:top w:val="single" w:sz="4" w:space="0" w:color="7F7F7F"/>
                    <w:bottom w:val="single" w:sz="12" w:space="0" w:color="auto"/>
                  </w:tcBorders>
                  <w:shd w:val="clear" w:color="auto" w:fill="auto"/>
                </w:tcPr>
                <w:p w:rsidR="00CF7BF4" w:rsidRPr="008A6F90" w:rsidRDefault="00CF7BF4" w:rsidP="00CF7BF4">
                  <w:pPr>
                    <w:spacing w:line="240" w:lineRule="auto"/>
                    <w:jc w:val="right"/>
                    <w:rPr>
                      <w:rFonts w:ascii="Times New Roman" w:hAnsi="Times New Roman"/>
                      <w:b/>
                      <w:bCs/>
                      <w:color w:val="000000"/>
                    </w:rPr>
                  </w:pPr>
                  <w:r w:rsidRPr="008A6F90">
                    <w:rPr>
                      <w:rFonts w:ascii="Times New Roman" w:hAnsi="Times New Roman"/>
                      <w:b/>
                      <w:bCs/>
                      <w:color w:val="000000"/>
                    </w:rPr>
                    <w:t xml:space="preserve">+ 253,78 zł miesięcznie </w:t>
                  </w:r>
                </w:p>
                <w:p w:rsidR="00CF7BF4" w:rsidRPr="008A6F90" w:rsidRDefault="00CF7BF4" w:rsidP="00CF7BF4">
                  <w:pPr>
                    <w:spacing w:line="240" w:lineRule="auto"/>
                    <w:jc w:val="right"/>
                    <w:rPr>
                      <w:rFonts w:ascii="Times New Roman" w:hAnsi="Times New Roman"/>
                      <w:b/>
                      <w:bCs/>
                      <w:color w:val="000000"/>
                    </w:rPr>
                  </w:pPr>
                  <w:r w:rsidRPr="008A6F90">
                    <w:rPr>
                      <w:rFonts w:ascii="Times New Roman" w:hAnsi="Times New Roman"/>
                      <w:b/>
                      <w:bCs/>
                      <w:color w:val="000000"/>
                    </w:rPr>
                    <w:t>(koszt ubezpieczenia pomostowego)</w:t>
                  </w:r>
                </w:p>
              </w:tc>
            </w:tr>
            <w:tr w:rsidR="00CF7BF4" w:rsidRPr="008A6F90" w:rsidTr="00C967CC">
              <w:trPr>
                <w:trHeight w:val="363"/>
                <w:jc w:val="center"/>
              </w:trPr>
              <w:tc>
                <w:tcPr>
                  <w:tcW w:w="2673" w:type="dxa"/>
                  <w:tcBorders>
                    <w:top w:val="single" w:sz="12" w:space="0" w:color="auto"/>
                  </w:tcBorders>
                  <w:shd w:val="clear" w:color="auto" w:fill="auto"/>
                </w:tcPr>
                <w:p w:rsidR="00CF7BF4" w:rsidRPr="008A6F90" w:rsidRDefault="00CF7BF4" w:rsidP="00CF7BF4">
                  <w:pPr>
                    <w:spacing w:line="240" w:lineRule="auto"/>
                    <w:jc w:val="right"/>
                    <w:rPr>
                      <w:rFonts w:ascii="Times New Roman" w:hAnsi="Times New Roman"/>
                      <w:b/>
                      <w:bCs/>
                      <w:color w:val="000000"/>
                    </w:rPr>
                  </w:pPr>
                  <w:r>
                    <w:rPr>
                      <w:rFonts w:ascii="Times New Roman" w:hAnsi="Times New Roman"/>
                      <w:b/>
                      <w:bCs/>
                      <w:color w:val="000000"/>
                    </w:rPr>
                    <w:t xml:space="preserve">zakładany </w:t>
                  </w:r>
                  <w:r w:rsidRPr="008A6F90">
                    <w:rPr>
                      <w:rFonts w:ascii="Times New Roman" w:hAnsi="Times New Roman"/>
                      <w:b/>
                      <w:bCs/>
                      <w:color w:val="000000"/>
                    </w:rPr>
                    <w:t>czas oczekiwania na wpis do księgi wieczystej</w:t>
                  </w:r>
                </w:p>
              </w:tc>
              <w:tc>
                <w:tcPr>
                  <w:tcW w:w="5352" w:type="dxa"/>
                  <w:gridSpan w:val="3"/>
                  <w:tcBorders>
                    <w:top w:val="single" w:sz="12" w:space="0" w:color="auto"/>
                  </w:tcBorders>
                  <w:shd w:val="clear" w:color="auto" w:fill="auto"/>
                </w:tcPr>
                <w:p w:rsidR="00CF7BF4" w:rsidRPr="008A6F90" w:rsidRDefault="00CF7BF4" w:rsidP="00CF7BF4">
                  <w:pPr>
                    <w:spacing w:line="240" w:lineRule="auto"/>
                    <w:jc w:val="right"/>
                    <w:rPr>
                      <w:rFonts w:ascii="Times New Roman" w:hAnsi="Times New Roman"/>
                      <w:color w:val="000000"/>
                    </w:rPr>
                  </w:pPr>
                  <w:r w:rsidRPr="008A6F90">
                    <w:rPr>
                      <w:rFonts w:ascii="Times New Roman" w:hAnsi="Times New Roman"/>
                      <w:color w:val="000000"/>
                    </w:rPr>
                    <w:t>koszt</w:t>
                  </w:r>
                  <w:r>
                    <w:rPr>
                      <w:rFonts w:ascii="Times New Roman" w:hAnsi="Times New Roman"/>
                      <w:color w:val="000000"/>
                    </w:rPr>
                    <w:t xml:space="preserve"> </w:t>
                  </w:r>
                  <w:r w:rsidRPr="00D33093">
                    <w:rPr>
                      <w:rFonts w:ascii="Times New Roman" w:hAnsi="Times New Roman"/>
                      <w:color w:val="000000"/>
                    </w:rPr>
                    <w:t>ubezpieczenia pomostowego</w:t>
                  </w:r>
                  <w:r w:rsidRPr="008A6F90">
                    <w:rPr>
                      <w:rFonts w:ascii="Times New Roman" w:hAnsi="Times New Roman"/>
                      <w:color w:val="000000"/>
                    </w:rPr>
                    <w:t xml:space="preserve"> dla jednego kredytobiorcy</w:t>
                  </w:r>
                </w:p>
              </w:tc>
            </w:tr>
            <w:tr w:rsidR="00CF7BF4" w:rsidRPr="008A6F90" w:rsidTr="00C967CC">
              <w:trPr>
                <w:trHeight w:val="276"/>
                <w:jc w:val="center"/>
              </w:trPr>
              <w:tc>
                <w:tcPr>
                  <w:tcW w:w="2673" w:type="dxa"/>
                  <w:tcBorders>
                    <w:top w:val="single" w:sz="4" w:space="0" w:color="7F7F7F"/>
                    <w:bottom w:val="single" w:sz="4" w:space="0" w:color="7F7F7F"/>
                  </w:tcBorders>
                  <w:shd w:val="clear" w:color="auto" w:fill="auto"/>
                </w:tcPr>
                <w:p w:rsidR="00CF7BF4" w:rsidRPr="008A6F90" w:rsidRDefault="00CF7BF4" w:rsidP="00CF7BF4">
                  <w:pPr>
                    <w:spacing w:line="240" w:lineRule="auto"/>
                    <w:jc w:val="right"/>
                    <w:rPr>
                      <w:rFonts w:ascii="Times New Roman" w:hAnsi="Times New Roman"/>
                      <w:b/>
                      <w:bCs/>
                      <w:color w:val="000000"/>
                    </w:rPr>
                  </w:pPr>
                  <w:r w:rsidRPr="008A6F90">
                    <w:rPr>
                      <w:rFonts w:ascii="Times New Roman" w:hAnsi="Times New Roman"/>
                      <w:b/>
                      <w:bCs/>
                      <w:color w:val="000000"/>
                    </w:rPr>
                    <w:t>2 miesiące</w:t>
                  </w:r>
                </w:p>
              </w:tc>
              <w:tc>
                <w:tcPr>
                  <w:tcW w:w="5352" w:type="dxa"/>
                  <w:gridSpan w:val="3"/>
                  <w:tcBorders>
                    <w:top w:val="single" w:sz="4" w:space="0" w:color="7F7F7F"/>
                    <w:bottom w:val="single" w:sz="4" w:space="0" w:color="7F7F7F"/>
                  </w:tcBorders>
                  <w:shd w:val="clear" w:color="auto" w:fill="auto"/>
                </w:tcPr>
                <w:p w:rsidR="00CF7BF4" w:rsidRPr="008A6F90" w:rsidRDefault="00CF7BF4" w:rsidP="00CF7BF4">
                  <w:pPr>
                    <w:spacing w:line="240" w:lineRule="auto"/>
                    <w:jc w:val="right"/>
                    <w:rPr>
                      <w:rFonts w:ascii="Times New Roman" w:hAnsi="Times New Roman"/>
                      <w:color w:val="000000"/>
                    </w:rPr>
                  </w:pPr>
                  <w:r w:rsidRPr="008A6F90">
                    <w:rPr>
                      <w:rFonts w:ascii="Times New Roman" w:hAnsi="Times New Roman"/>
                      <w:color w:val="000000"/>
                    </w:rPr>
                    <w:t>507,57</w:t>
                  </w:r>
                </w:p>
              </w:tc>
            </w:tr>
            <w:tr w:rsidR="00CF7BF4" w:rsidRPr="008A6F90" w:rsidTr="00C967CC">
              <w:trPr>
                <w:trHeight w:val="271"/>
                <w:jc w:val="center"/>
              </w:trPr>
              <w:tc>
                <w:tcPr>
                  <w:tcW w:w="2673" w:type="dxa"/>
                  <w:shd w:val="clear" w:color="auto" w:fill="auto"/>
                </w:tcPr>
                <w:p w:rsidR="00CF7BF4" w:rsidRPr="008A6F90" w:rsidRDefault="00CF7BF4" w:rsidP="00CF7BF4">
                  <w:pPr>
                    <w:spacing w:line="240" w:lineRule="auto"/>
                    <w:jc w:val="right"/>
                    <w:rPr>
                      <w:rFonts w:ascii="Times New Roman" w:hAnsi="Times New Roman"/>
                      <w:b/>
                      <w:bCs/>
                      <w:color w:val="000000"/>
                    </w:rPr>
                  </w:pPr>
                  <w:r w:rsidRPr="008A6F90">
                    <w:rPr>
                      <w:rFonts w:ascii="Times New Roman" w:hAnsi="Times New Roman"/>
                      <w:b/>
                      <w:bCs/>
                      <w:color w:val="000000"/>
                    </w:rPr>
                    <w:t>5 miesięcy</w:t>
                  </w:r>
                </w:p>
              </w:tc>
              <w:tc>
                <w:tcPr>
                  <w:tcW w:w="5352" w:type="dxa"/>
                  <w:gridSpan w:val="3"/>
                  <w:shd w:val="clear" w:color="auto" w:fill="auto"/>
                </w:tcPr>
                <w:p w:rsidR="00CF7BF4" w:rsidRPr="008A6F90" w:rsidRDefault="00CF7BF4" w:rsidP="00CF7BF4">
                  <w:pPr>
                    <w:spacing w:line="240" w:lineRule="auto"/>
                    <w:jc w:val="right"/>
                    <w:rPr>
                      <w:rFonts w:ascii="Times New Roman" w:hAnsi="Times New Roman"/>
                      <w:color w:val="000000"/>
                    </w:rPr>
                  </w:pPr>
                  <w:r w:rsidRPr="008A6F90">
                    <w:rPr>
                      <w:rFonts w:ascii="Times New Roman" w:hAnsi="Times New Roman"/>
                      <w:color w:val="000000"/>
                    </w:rPr>
                    <w:t>1</w:t>
                  </w:r>
                  <w:r>
                    <w:rPr>
                      <w:rFonts w:ascii="Times New Roman" w:hAnsi="Times New Roman"/>
                      <w:color w:val="000000"/>
                    </w:rPr>
                    <w:t xml:space="preserve"> </w:t>
                  </w:r>
                  <w:r w:rsidRPr="008A6F90">
                    <w:rPr>
                      <w:rFonts w:ascii="Times New Roman" w:hAnsi="Times New Roman"/>
                      <w:color w:val="000000"/>
                    </w:rPr>
                    <w:t>268,92</w:t>
                  </w:r>
                </w:p>
              </w:tc>
            </w:tr>
            <w:tr w:rsidR="00CF7BF4" w:rsidRPr="008A6F90" w:rsidTr="00C967CC">
              <w:trPr>
                <w:trHeight w:val="273"/>
                <w:jc w:val="center"/>
              </w:trPr>
              <w:tc>
                <w:tcPr>
                  <w:tcW w:w="2673" w:type="dxa"/>
                  <w:tcBorders>
                    <w:top w:val="single" w:sz="4" w:space="0" w:color="7F7F7F"/>
                    <w:bottom w:val="single" w:sz="4" w:space="0" w:color="7F7F7F"/>
                  </w:tcBorders>
                  <w:shd w:val="clear" w:color="auto" w:fill="auto"/>
                </w:tcPr>
                <w:p w:rsidR="00CF7BF4" w:rsidRPr="008A6F90" w:rsidRDefault="00CF7BF4" w:rsidP="00CF7BF4">
                  <w:pPr>
                    <w:spacing w:line="240" w:lineRule="auto"/>
                    <w:jc w:val="right"/>
                    <w:rPr>
                      <w:rFonts w:ascii="Times New Roman" w:hAnsi="Times New Roman"/>
                      <w:b/>
                      <w:bCs/>
                      <w:color w:val="000000"/>
                    </w:rPr>
                  </w:pPr>
                  <w:r w:rsidRPr="008A6F90">
                    <w:rPr>
                      <w:rFonts w:ascii="Times New Roman" w:hAnsi="Times New Roman"/>
                      <w:b/>
                      <w:bCs/>
                      <w:color w:val="000000"/>
                    </w:rPr>
                    <w:t>8 miesięcy</w:t>
                  </w:r>
                </w:p>
              </w:tc>
              <w:tc>
                <w:tcPr>
                  <w:tcW w:w="5352" w:type="dxa"/>
                  <w:gridSpan w:val="3"/>
                  <w:tcBorders>
                    <w:top w:val="single" w:sz="4" w:space="0" w:color="7F7F7F"/>
                    <w:bottom w:val="single" w:sz="4" w:space="0" w:color="7F7F7F"/>
                  </w:tcBorders>
                  <w:shd w:val="clear" w:color="auto" w:fill="auto"/>
                </w:tcPr>
                <w:p w:rsidR="00CF7BF4" w:rsidRPr="008A6F90" w:rsidRDefault="00CF7BF4" w:rsidP="00CF7BF4">
                  <w:pPr>
                    <w:spacing w:line="240" w:lineRule="auto"/>
                    <w:jc w:val="right"/>
                    <w:rPr>
                      <w:rFonts w:ascii="Times New Roman" w:hAnsi="Times New Roman"/>
                      <w:color w:val="000000"/>
                    </w:rPr>
                  </w:pPr>
                  <w:r w:rsidRPr="008A6F90">
                    <w:rPr>
                      <w:rFonts w:ascii="Times New Roman" w:hAnsi="Times New Roman"/>
                      <w:color w:val="000000"/>
                    </w:rPr>
                    <w:t>2</w:t>
                  </w:r>
                  <w:r>
                    <w:rPr>
                      <w:rFonts w:ascii="Times New Roman" w:hAnsi="Times New Roman"/>
                      <w:color w:val="000000"/>
                    </w:rPr>
                    <w:t xml:space="preserve"> </w:t>
                  </w:r>
                  <w:r w:rsidRPr="008A6F90">
                    <w:rPr>
                      <w:rFonts w:ascii="Times New Roman" w:hAnsi="Times New Roman"/>
                      <w:color w:val="000000"/>
                    </w:rPr>
                    <w:t>030,</w:t>
                  </w:r>
                  <w:r w:rsidR="00153101" w:rsidRPr="008A6F90">
                    <w:rPr>
                      <w:rFonts w:ascii="Times New Roman" w:hAnsi="Times New Roman"/>
                      <w:color w:val="000000"/>
                    </w:rPr>
                    <w:t>2</w:t>
                  </w:r>
                  <w:r w:rsidR="00153101">
                    <w:rPr>
                      <w:rFonts w:ascii="Times New Roman" w:hAnsi="Times New Roman"/>
                      <w:color w:val="000000"/>
                    </w:rPr>
                    <w:t>4</w:t>
                  </w:r>
                </w:p>
              </w:tc>
            </w:tr>
          </w:tbl>
          <w:p w:rsidR="00CF7BF4" w:rsidRPr="00CF7BF4" w:rsidRDefault="00CF7BF4" w:rsidP="00CF7BF4">
            <w:pPr>
              <w:spacing w:line="240" w:lineRule="auto"/>
              <w:jc w:val="both"/>
              <w:rPr>
                <w:rFonts w:ascii="Times New Roman" w:hAnsi="Times New Roman"/>
              </w:rPr>
            </w:pPr>
          </w:p>
          <w:p w:rsidR="00CF7BF4" w:rsidRPr="00CF7BF4" w:rsidRDefault="00CF7BF4" w:rsidP="00CF7BF4">
            <w:pPr>
              <w:spacing w:line="240" w:lineRule="auto"/>
              <w:jc w:val="both"/>
              <w:rPr>
                <w:rFonts w:ascii="Times New Roman" w:hAnsi="Times New Roman"/>
              </w:rPr>
            </w:pPr>
            <w:r>
              <w:rPr>
                <w:rFonts w:ascii="Times New Roman" w:hAnsi="Times New Roman"/>
              </w:rPr>
              <w:t>Na podstawie powyższego</w:t>
            </w:r>
            <w:r w:rsidRPr="00CF7BF4">
              <w:rPr>
                <w:rFonts w:ascii="Times New Roman" w:hAnsi="Times New Roman"/>
              </w:rPr>
              <w:t>,</w:t>
            </w:r>
            <w:r>
              <w:rPr>
                <w:rFonts w:ascii="Times New Roman" w:hAnsi="Times New Roman"/>
              </w:rPr>
              <w:t xml:space="preserve"> można wnioskować</w:t>
            </w:r>
            <w:r w:rsidRPr="00CF7BF4">
              <w:rPr>
                <w:rFonts w:ascii="Times New Roman" w:hAnsi="Times New Roman"/>
              </w:rPr>
              <w:t xml:space="preserve"> że pojedynczy kredytobiorca w zależności od długości oczekiwania na wpis do księgi wieczystej może zaoszczędzić</w:t>
            </w:r>
            <w:r>
              <w:rPr>
                <w:rFonts w:ascii="Times New Roman" w:hAnsi="Times New Roman"/>
              </w:rPr>
              <w:t xml:space="preserve"> </w:t>
            </w:r>
            <w:r w:rsidRPr="00CF7BF4">
              <w:rPr>
                <w:rFonts w:ascii="Times New Roman" w:hAnsi="Times New Roman"/>
              </w:rPr>
              <w:t>na projektowanych zmianach od ok. 500 zł do ponad 2 000 zł.</w:t>
            </w:r>
          </w:p>
          <w:p w:rsidR="00CF7BF4" w:rsidRPr="00D33093" w:rsidRDefault="00CF7BF4" w:rsidP="00CF7BF4">
            <w:pPr>
              <w:spacing w:line="240" w:lineRule="auto"/>
              <w:jc w:val="both"/>
              <w:rPr>
                <w:rFonts w:ascii="Times New Roman" w:hAnsi="Times New Roman"/>
              </w:rPr>
            </w:pPr>
          </w:p>
          <w:p w:rsidR="00CF7BF4" w:rsidRPr="00D33093" w:rsidRDefault="00CF7BF4" w:rsidP="00CF7BF4">
            <w:pPr>
              <w:spacing w:line="240" w:lineRule="auto"/>
              <w:jc w:val="both"/>
              <w:rPr>
                <w:rFonts w:ascii="Times New Roman" w:hAnsi="Times New Roman"/>
              </w:rPr>
            </w:pPr>
          </w:p>
          <w:tbl>
            <w:tblPr>
              <w:tblW w:w="0" w:type="auto"/>
              <w:jc w:val="center"/>
              <w:tblBorders>
                <w:top w:val="single" w:sz="4" w:space="0" w:color="7F7F7F"/>
                <w:bottom w:val="single" w:sz="4" w:space="0" w:color="7F7F7F"/>
              </w:tblBorders>
              <w:tblLayout w:type="fixed"/>
              <w:tblLook w:val="04A0" w:firstRow="1" w:lastRow="0" w:firstColumn="1" w:lastColumn="0" w:noHBand="0" w:noVBand="1"/>
            </w:tblPr>
            <w:tblGrid>
              <w:gridCol w:w="2709"/>
              <w:gridCol w:w="5407"/>
            </w:tblGrid>
            <w:tr w:rsidR="00CF7BF4" w:rsidRPr="00D33093" w:rsidTr="00336A28">
              <w:trPr>
                <w:trHeight w:val="393"/>
                <w:jc w:val="center"/>
              </w:trPr>
              <w:tc>
                <w:tcPr>
                  <w:tcW w:w="2709" w:type="dxa"/>
                  <w:tcBorders>
                    <w:top w:val="single" w:sz="12" w:space="0" w:color="auto"/>
                  </w:tcBorders>
                  <w:shd w:val="clear" w:color="auto" w:fill="F2F2F2"/>
                </w:tcPr>
                <w:p w:rsidR="00CF7BF4" w:rsidRPr="00D33093" w:rsidRDefault="00CF7BF4" w:rsidP="00CF7BF4">
                  <w:pPr>
                    <w:spacing w:line="240" w:lineRule="auto"/>
                    <w:jc w:val="right"/>
                    <w:rPr>
                      <w:rFonts w:ascii="Times New Roman" w:hAnsi="Times New Roman"/>
                    </w:rPr>
                  </w:pPr>
                  <w:r w:rsidRPr="00D33093">
                    <w:rPr>
                      <w:rFonts w:ascii="Times New Roman" w:hAnsi="Times New Roman"/>
                      <w:b/>
                      <w:bCs/>
                    </w:rPr>
                    <w:t>zakładany czas oczekiwania na wpis do księgi wieczystej</w:t>
                  </w:r>
                </w:p>
              </w:tc>
              <w:tc>
                <w:tcPr>
                  <w:tcW w:w="5407" w:type="dxa"/>
                  <w:tcBorders>
                    <w:top w:val="single" w:sz="12" w:space="0" w:color="auto"/>
                  </w:tcBorders>
                  <w:shd w:val="clear" w:color="auto" w:fill="F2F2F2"/>
                </w:tcPr>
                <w:p w:rsidR="00CF7BF4" w:rsidRPr="00D33093" w:rsidRDefault="00CF7BF4" w:rsidP="00CF7BF4">
                  <w:pPr>
                    <w:spacing w:line="240" w:lineRule="auto"/>
                    <w:jc w:val="right"/>
                    <w:rPr>
                      <w:rFonts w:ascii="Times New Roman" w:hAnsi="Times New Roman"/>
                    </w:rPr>
                  </w:pPr>
                  <w:r w:rsidRPr="00D33093">
                    <w:rPr>
                      <w:rFonts w:ascii="Times New Roman" w:hAnsi="Times New Roman"/>
                    </w:rPr>
                    <w:t>koszt</w:t>
                  </w:r>
                  <w:r>
                    <w:rPr>
                      <w:rFonts w:ascii="Times New Roman" w:hAnsi="Times New Roman"/>
                    </w:rPr>
                    <w:t xml:space="preserve"> </w:t>
                  </w:r>
                  <w:r w:rsidRPr="00D33093">
                    <w:rPr>
                      <w:rFonts w:ascii="Times New Roman" w:hAnsi="Times New Roman"/>
                      <w:color w:val="000000"/>
                    </w:rPr>
                    <w:t>ubezpieczenia pomostowego</w:t>
                  </w:r>
                  <w:r w:rsidRPr="00D33093">
                    <w:rPr>
                      <w:rFonts w:ascii="Times New Roman" w:hAnsi="Times New Roman"/>
                    </w:rPr>
                    <w:t xml:space="preserve"> dla 38 722 kredytobiorców (liczba kredytobiorców odpowiada liczbie kredytów udzielonych w III kw.2021 r. </w:t>
                  </w:r>
                  <w:r w:rsidRPr="00D33093">
                    <w:rPr>
                      <w:rFonts w:ascii="Times New Roman" w:hAnsi="Times New Roman"/>
                    </w:rPr>
                    <w:br/>
                    <w:t>na podstawie tab. pow.)</w:t>
                  </w:r>
                </w:p>
              </w:tc>
            </w:tr>
            <w:tr w:rsidR="00CF7BF4" w:rsidRPr="00D33093" w:rsidTr="00336A28">
              <w:trPr>
                <w:trHeight w:val="299"/>
                <w:jc w:val="center"/>
              </w:trPr>
              <w:tc>
                <w:tcPr>
                  <w:tcW w:w="2709" w:type="dxa"/>
                  <w:tcBorders>
                    <w:top w:val="single" w:sz="4" w:space="0" w:color="7F7F7F"/>
                    <w:bottom w:val="single" w:sz="4" w:space="0" w:color="7F7F7F"/>
                  </w:tcBorders>
                  <w:shd w:val="clear" w:color="auto" w:fill="F2F2F2"/>
                </w:tcPr>
                <w:p w:rsidR="00CF7BF4" w:rsidRPr="00D33093" w:rsidRDefault="00CF7BF4" w:rsidP="00CF7BF4">
                  <w:pPr>
                    <w:spacing w:line="240" w:lineRule="auto"/>
                    <w:jc w:val="right"/>
                    <w:rPr>
                      <w:rFonts w:ascii="Times New Roman" w:hAnsi="Times New Roman"/>
                    </w:rPr>
                  </w:pPr>
                  <w:r w:rsidRPr="00D33093">
                    <w:rPr>
                      <w:rFonts w:ascii="Times New Roman" w:hAnsi="Times New Roman"/>
                      <w:b/>
                      <w:bCs/>
                    </w:rPr>
                    <w:t>2 miesiące</w:t>
                  </w:r>
                </w:p>
              </w:tc>
              <w:tc>
                <w:tcPr>
                  <w:tcW w:w="5407" w:type="dxa"/>
                  <w:tcBorders>
                    <w:top w:val="single" w:sz="4" w:space="0" w:color="7F7F7F"/>
                    <w:bottom w:val="single" w:sz="4" w:space="0" w:color="7F7F7F"/>
                  </w:tcBorders>
                  <w:shd w:val="clear" w:color="auto" w:fill="F2F2F2"/>
                </w:tcPr>
                <w:p w:rsidR="00CF7BF4" w:rsidRPr="00D33093" w:rsidRDefault="00CF7BF4" w:rsidP="00CF7BF4">
                  <w:pPr>
                    <w:spacing w:line="240" w:lineRule="auto"/>
                    <w:jc w:val="right"/>
                    <w:rPr>
                      <w:rFonts w:ascii="Times New Roman" w:hAnsi="Times New Roman"/>
                    </w:rPr>
                  </w:pPr>
                  <w:r w:rsidRPr="00D33093">
                    <w:rPr>
                      <w:rFonts w:ascii="Times New Roman" w:hAnsi="Times New Roman"/>
                    </w:rPr>
                    <w:t>19 654 063,06</w:t>
                  </w:r>
                </w:p>
              </w:tc>
            </w:tr>
            <w:tr w:rsidR="00CF7BF4" w:rsidRPr="00D33093" w:rsidTr="00336A28">
              <w:trPr>
                <w:trHeight w:val="293"/>
                <w:jc w:val="center"/>
              </w:trPr>
              <w:tc>
                <w:tcPr>
                  <w:tcW w:w="2709" w:type="dxa"/>
                  <w:shd w:val="clear" w:color="auto" w:fill="F2F2F2"/>
                </w:tcPr>
                <w:p w:rsidR="00CF7BF4" w:rsidRPr="00D33093" w:rsidRDefault="00CF7BF4" w:rsidP="00CF7BF4">
                  <w:pPr>
                    <w:spacing w:line="240" w:lineRule="auto"/>
                    <w:jc w:val="right"/>
                    <w:rPr>
                      <w:rFonts w:ascii="Times New Roman" w:hAnsi="Times New Roman"/>
                    </w:rPr>
                  </w:pPr>
                  <w:r w:rsidRPr="00D33093">
                    <w:rPr>
                      <w:rFonts w:ascii="Times New Roman" w:hAnsi="Times New Roman"/>
                      <w:b/>
                      <w:bCs/>
                    </w:rPr>
                    <w:t>5 miesięcy</w:t>
                  </w:r>
                </w:p>
              </w:tc>
              <w:tc>
                <w:tcPr>
                  <w:tcW w:w="5407" w:type="dxa"/>
                  <w:shd w:val="clear" w:color="auto" w:fill="F2F2F2"/>
                </w:tcPr>
                <w:p w:rsidR="00CF7BF4" w:rsidRPr="00D33093" w:rsidRDefault="00CF7BF4" w:rsidP="00CF7BF4">
                  <w:pPr>
                    <w:spacing w:line="240" w:lineRule="auto"/>
                    <w:jc w:val="right"/>
                    <w:rPr>
                      <w:rFonts w:ascii="Times New Roman" w:hAnsi="Times New Roman"/>
                    </w:rPr>
                  </w:pPr>
                  <w:r w:rsidRPr="00D33093">
                    <w:rPr>
                      <w:rFonts w:ascii="Times New Roman" w:hAnsi="Times New Roman"/>
                    </w:rPr>
                    <w:t>49 135 157,65</w:t>
                  </w:r>
                </w:p>
              </w:tc>
            </w:tr>
            <w:tr w:rsidR="00CF7BF4" w:rsidRPr="00D33093" w:rsidTr="00336A28">
              <w:trPr>
                <w:trHeight w:val="296"/>
                <w:jc w:val="center"/>
              </w:trPr>
              <w:tc>
                <w:tcPr>
                  <w:tcW w:w="2709" w:type="dxa"/>
                  <w:tcBorders>
                    <w:top w:val="single" w:sz="4" w:space="0" w:color="7F7F7F"/>
                    <w:bottom w:val="single" w:sz="4" w:space="0" w:color="7F7F7F"/>
                  </w:tcBorders>
                  <w:shd w:val="clear" w:color="auto" w:fill="F2F2F2"/>
                </w:tcPr>
                <w:p w:rsidR="00CF7BF4" w:rsidRPr="00D33093" w:rsidRDefault="00CF7BF4" w:rsidP="00CF7BF4">
                  <w:pPr>
                    <w:spacing w:line="240" w:lineRule="auto"/>
                    <w:jc w:val="right"/>
                    <w:rPr>
                      <w:rFonts w:ascii="Times New Roman" w:hAnsi="Times New Roman"/>
                    </w:rPr>
                  </w:pPr>
                  <w:r w:rsidRPr="00D33093">
                    <w:rPr>
                      <w:rFonts w:ascii="Times New Roman" w:hAnsi="Times New Roman"/>
                      <w:b/>
                      <w:bCs/>
                    </w:rPr>
                    <w:t>8 miesięcy</w:t>
                  </w:r>
                </w:p>
              </w:tc>
              <w:tc>
                <w:tcPr>
                  <w:tcW w:w="5407" w:type="dxa"/>
                  <w:tcBorders>
                    <w:top w:val="single" w:sz="4" w:space="0" w:color="7F7F7F"/>
                    <w:bottom w:val="single" w:sz="4" w:space="0" w:color="7F7F7F"/>
                  </w:tcBorders>
                  <w:shd w:val="clear" w:color="auto" w:fill="F2F2F2"/>
                </w:tcPr>
                <w:p w:rsidR="00CF7BF4" w:rsidRPr="00D33093" w:rsidRDefault="00CF7BF4" w:rsidP="00CF7BF4">
                  <w:pPr>
                    <w:spacing w:line="240" w:lineRule="auto"/>
                    <w:jc w:val="right"/>
                    <w:rPr>
                      <w:rFonts w:ascii="Times New Roman" w:hAnsi="Times New Roman"/>
                    </w:rPr>
                  </w:pPr>
                  <w:r w:rsidRPr="00D33093">
                    <w:rPr>
                      <w:rFonts w:ascii="Times New Roman" w:hAnsi="Times New Roman"/>
                    </w:rPr>
                    <w:t>78 616 252,23</w:t>
                  </w:r>
                </w:p>
              </w:tc>
            </w:tr>
          </w:tbl>
          <w:p w:rsidR="00CF7BF4" w:rsidRDefault="00CF7BF4" w:rsidP="00CF7BF4">
            <w:pPr>
              <w:spacing w:line="240" w:lineRule="auto"/>
              <w:jc w:val="both"/>
              <w:rPr>
                <w:rFonts w:ascii="Times New Roman" w:hAnsi="Times New Roman"/>
              </w:rPr>
            </w:pPr>
          </w:p>
          <w:p w:rsidR="00C967CC" w:rsidRDefault="00CF7BF4" w:rsidP="00CF7BF4">
            <w:pPr>
              <w:spacing w:line="240" w:lineRule="auto"/>
              <w:jc w:val="both"/>
              <w:rPr>
                <w:rFonts w:ascii="Times New Roman" w:hAnsi="Times New Roman"/>
              </w:rPr>
            </w:pPr>
            <w:r>
              <w:rPr>
                <w:rFonts w:ascii="Times New Roman" w:hAnsi="Times New Roman"/>
              </w:rPr>
              <w:t>Przedstawione powyżej wyliczenia dotyczące kosztów ubezpieczenia pomostowego pozwalają sądzić, że problem jest istotny dla kredytobiorców.</w:t>
            </w:r>
          </w:p>
          <w:p w:rsidR="00C967CC" w:rsidRDefault="00C967CC" w:rsidP="00CF7BF4">
            <w:pPr>
              <w:spacing w:line="240" w:lineRule="auto"/>
              <w:jc w:val="both"/>
              <w:rPr>
                <w:rFonts w:ascii="Times New Roman" w:hAnsi="Times New Roman"/>
              </w:rPr>
            </w:pPr>
          </w:p>
          <w:p w:rsidR="007C000E" w:rsidRPr="00C967CC" w:rsidRDefault="00C967CC" w:rsidP="00C967CC">
            <w:pPr>
              <w:spacing w:line="240" w:lineRule="auto"/>
              <w:jc w:val="both"/>
              <w:rPr>
                <w:rFonts w:ascii="Times New Roman" w:hAnsi="Times New Roman"/>
              </w:rPr>
            </w:pPr>
            <w:r>
              <w:rPr>
                <w:rFonts w:ascii="Times New Roman" w:hAnsi="Times New Roman"/>
              </w:rPr>
              <w:t xml:space="preserve">W przypadku gdy </w:t>
            </w:r>
            <w:r w:rsidRPr="00C967CC">
              <w:rPr>
                <w:rFonts w:ascii="Times New Roman" w:hAnsi="Times New Roman"/>
              </w:rPr>
              <w:t>ryzyko uzasadniające dodatkowe koszty nie ziściło się, koszty te</w:t>
            </w:r>
            <w:r>
              <w:rPr>
                <w:rFonts w:ascii="Times New Roman" w:hAnsi="Times New Roman"/>
              </w:rPr>
              <w:t xml:space="preserve"> zostaną</w:t>
            </w:r>
            <w:r w:rsidRPr="00C967CC">
              <w:rPr>
                <w:rFonts w:ascii="Times New Roman" w:hAnsi="Times New Roman"/>
              </w:rPr>
              <w:t xml:space="preserve"> kredytobiorcy zwrócone, </w:t>
            </w:r>
            <w:r>
              <w:rPr>
                <w:rFonts w:ascii="Times New Roman" w:hAnsi="Times New Roman"/>
              </w:rPr>
              <w:t>ewentualnie</w:t>
            </w:r>
            <w:r w:rsidRPr="00C967CC">
              <w:rPr>
                <w:rFonts w:ascii="Times New Roman" w:hAnsi="Times New Roman"/>
              </w:rPr>
              <w:t xml:space="preserve"> zaliczone na poczet jego umownych zobowiązań kredytowych</w:t>
            </w:r>
            <w:r>
              <w:rPr>
                <w:rFonts w:ascii="Times New Roman" w:hAnsi="Times New Roman"/>
              </w:rPr>
              <w:t>, zatem przedmiotowa regulacja pozwoli na odciążenie budżetu konsumentów.</w:t>
            </w:r>
          </w:p>
        </w:tc>
      </w:tr>
      <w:tr w:rsidR="006A701A" w:rsidRPr="00A57BCB" w:rsidTr="00676C8D">
        <w:trPr>
          <w:gridAfter w:val="1"/>
          <w:wAfter w:w="10" w:type="dxa"/>
          <w:trHeight w:val="142"/>
        </w:trPr>
        <w:tc>
          <w:tcPr>
            <w:tcW w:w="10937" w:type="dxa"/>
            <w:gridSpan w:val="28"/>
            <w:shd w:val="clear" w:color="auto" w:fill="99CCFF"/>
            <w:vAlign w:val="center"/>
          </w:tcPr>
          <w:p w:rsidR="006A701A" w:rsidRPr="00A57BCB" w:rsidRDefault="0013216E" w:rsidP="00C53F26">
            <w:pPr>
              <w:numPr>
                <w:ilvl w:val="0"/>
                <w:numId w:val="6"/>
              </w:numPr>
              <w:spacing w:before="60" w:after="60" w:line="240" w:lineRule="auto"/>
              <w:ind w:left="318" w:hanging="284"/>
              <w:jc w:val="both"/>
              <w:rPr>
                <w:rFonts w:ascii="Times New Roman" w:hAnsi="Times New Roman"/>
                <w:b/>
                <w:color w:val="000000"/>
              </w:rPr>
            </w:pPr>
            <w:r w:rsidRPr="00A57BCB">
              <w:rPr>
                <w:rFonts w:ascii="Times New Roman" w:hAnsi="Times New Roman"/>
                <w:b/>
                <w:color w:val="000000"/>
                <w:spacing w:val="-2"/>
              </w:rPr>
              <w:lastRenderedPageBreak/>
              <w:t>Rekomendowane rozwiązanie, w tym planowane narzędzia interwencji, i oczekiwany efekt</w:t>
            </w:r>
          </w:p>
        </w:tc>
      </w:tr>
      <w:tr w:rsidR="006A701A" w:rsidRPr="00A57BCB" w:rsidTr="00676C8D">
        <w:trPr>
          <w:gridAfter w:val="1"/>
          <w:wAfter w:w="10" w:type="dxa"/>
          <w:trHeight w:val="142"/>
        </w:trPr>
        <w:tc>
          <w:tcPr>
            <w:tcW w:w="10937" w:type="dxa"/>
            <w:gridSpan w:val="28"/>
            <w:shd w:val="clear" w:color="auto" w:fill="auto"/>
          </w:tcPr>
          <w:p w:rsidR="00676E1F" w:rsidRDefault="00622F5E" w:rsidP="00622F5E">
            <w:pPr>
              <w:spacing w:line="240" w:lineRule="auto"/>
              <w:jc w:val="both"/>
              <w:rPr>
                <w:rFonts w:ascii="Times New Roman" w:hAnsi="Times New Roman"/>
                <w:color w:val="000000"/>
                <w:spacing w:val="-2"/>
              </w:rPr>
            </w:pPr>
            <w:r w:rsidRPr="00A57BCB">
              <w:rPr>
                <w:rFonts w:ascii="Times New Roman" w:hAnsi="Times New Roman"/>
                <w:color w:val="000000"/>
                <w:spacing w:val="-2"/>
              </w:rPr>
              <w:t xml:space="preserve">W przypadku naliczenia przez bank dodatkowych opłat lub prowizji związanych z oczekiwaniem na wpis do księgi wieczystej ustanawianej na rzecz tego banku hipoteki zabezpieczającej spłatę kredytu udzielonego konsumentowi, </w:t>
            </w:r>
            <w:r w:rsidR="00F52836" w:rsidRPr="00A57BCB">
              <w:rPr>
                <w:rFonts w:ascii="Times New Roman" w:hAnsi="Times New Roman"/>
                <w:color w:val="000000"/>
                <w:spacing w:val="-2"/>
              </w:rPr>
              <w:t>projektuje się</w:t>
            </w:r>
            <w:r w:rsidR="00197D1C" w:rsidRPr="00A57BCB">
              <w:rPr>
                <w:rFonts w:ascii="Times New Roman" w:hAnsi="Times New Roman"/>
                <w:color w:val="000000"/>
                <w:spacing w:val="-2"/>
              </w:rPr>
              <w:t>,</w:t>
            </w:r>
            <w:r w:rsidR="00F52836" w:rsidRPr="00A57BCB">
              <w:rPr>
                <w:rFonts w:ascii="Times New Roman" w:hAnsi="Times New Roman"/>
                <w:color w:val="000000"/>
                <w:spacing w:val="-2"/>
              </w:rPr>
              <w:t xml:space="preserve"> aby </w:t>
            </w:r>
            <w:r w:rsidRPr="00A57BCB">
              <w:rPr>
                <w:rFonts w:ascii="Times New Roman" w:hAnsi="Times New Roman"/>
                <w:color w:val="000000"/>
                <w:spacing w:val="-2"/>
              </w:rPr>
              <w:t>pobrane z tego tytułu opłaty lub prowizje, po dokonaniu wpisu hipoteki, podlega</w:t>
            </w:r>
            <w:r w:rsidR="003656C0" w:rsidRPr="00A57BCB">
              <w:rPr>
                <w:rFonts w:ascii="Times New Roman" w:hAnsi="Times New Roman"/>
                <w:color w:val="000000"/>
                <w:spacing w:val="-2"/>
              </w:rPr>
              <w:t>ły</w:t>
            </w:r>
            <w:r w:rsidRPr="00A57BCB">
              <w:rPr>
                <w:rFonts w:ascii="Times New Roman" w:hAnsi="Times New Roman"/>
                <w:color w:val="000000"/>
                <w:spacing w:val="-2"/>
              </w:rPr>
              <w:t xml:space="preserve"> zwrotowi lub zaliczeniu na poczet innych należności obciążających kredytobiorcę.</w:t>
            </w:r>
          </w:p>
          <w:p w:rsidR="00A64DC9" w:rsidRDefault="00ED2831" w:rsidP="00666474">
            <w:pPr>
              <w:spacing w:line="240" w:lineRule="auto"/>
              <w:jc w:val="both"/>
              <w:rPr>
                <w:rFonts w:ascii="Times New Roman" w:hAnsi="Times New Roman"/>
                <w:color w:val="000000"/>
                <w:spacing w:val="-2"/>
              </w:rPr>
            </w:pPr>
            <w:r>
              <w:rPr>
                <w:rFonts w:ascii="Times New Roman" w:hAnsi="Times New Roman"/>
                <w:color w:val="000000"/>
                <w:spacing w:val="-2"/>
              </w:rPr>
              <w:t>W wyniku projektowanej regulacji, k</w:t>
            </w:r>
            <w:r w:rsidRPr="00ED2831">
              <w:rPr>
                <w:rFonts w:ascii="Times New Roman" w:hAnsi="Times New Roman"/>
                <w:color w:val="000000"/>
                <w:spacing w:val="-2"/>
              </w:rPr>
              <w:t xml:space="preserve">onsument nie będzie ponosił ryzyka związanego z okolicznościami od niego niezależnymi, za ryzyko, które się nie spełniło. W sytuacji, kiedy sąd dokona wpisu do księgi wieczystej, a bank otrzyma zabezpieczenie udzielonego kredytu, kredytobiorca otrzyma zwrot opłaty (rozliczenie poniesionych przez klienta opłat </w:t>
            </w:r>
            <w:r>
              <w:rPr>
                <w:rFonts w:ascii="Times New Roman" w:hAnsi="Times New Roman"/>
                <w:color w:val="000000"/>
                <w:spacing w:val="-2"/>
              </w:rPr>
              <w:br/>
            </w:r>
            <w:r w:rsidRPr="00ED2831">
              <w:rPr>
                <w:rFonts w:ascii="Times New Roman" w:hAnsi="Times New Roman"/>
                <w:color w:val="000000"/>
                <w:spacing w:val="-2"/>
              </w:rPr>
              <w:t>z tytułu zwiększonych na czas oczekiwania na wpis kosztów).</w:t>
            </w:r>
          </w:p>
          <w:p w:rsidR="007913C0" w:rsidRDefault="007913C0" w:rsidP="007913C0">
            <w:pPr>
              <w:spacing w:line="240" w:lineRule="auto"/>
              <w:jc w:val="both"/>
              <w:rPr>
                <w:rFonts w:ascii="Times New Roman" w:hAnsi="Times New Roman"/>
                <w:color w:val="000000"/>
                <w:spacing w:val="-2"/>
              </w:rPr>
            </w:pPr>
            <w:r>
              <w:rPr>
                <w:rFonts w:ascii="Times New Roman" w:hAnsi="Times New Roman"/>
                <w:color w:val="000000"/>
                <w:spacing w:val="-2"/>
              </w:rPr>
              <w:t>Ponadto należy wskazać, że projektowana regulacja nie będzie prowadziła do potencjalnego zwiększenia ryzyka dla instytucji finansowych</w:t>
            </w:r>
            <w:r w:rsidR="00216D5C">
              <w:rPr>
                <w:rFonts w:ascii="Times New Roman" w:hAnsi="Times New Roman"/>
                <w:color w:val="000000"/>
                <w:spacing w:val="-2"/>
              </w:rPr>
              <w:t xml:space="preserve"> niż ma to miejsce obecnie</w:t>
            </w:r>
            <w:r>
              <w:rPr>
                <w:rFonts w:ascii="Times New Roman" w:hAnsi="Times New Roman"/>
                <w:color w:val="000000"/>
                <w:spacing w:val="-2"/>
              </w:rPr>
              <w:t>, ponieważ kredytobiorca i tak w czasie oczekiwania na wpis do księgi wieczystej będzie ponosił opłatę związaną z ubezpieczeniem kredytu, a w przypadku braku takiego wpisu opłaty te nie będą zwracane kredytobiorcom.</w:t>
            </w:r>
          </w:p>
          <w:p w:rsidR="007913C0" w:rsidRDefault="007913C0" w:rsidP="007913C0">
            <w:pPr>
              <w:spacing w:line="240" w:lineRule="auto"/>
              <w:jc w:val="both"/>
              <w:rPr>
                <w:rFonts w:ascii="Times New Roman" w:hAnsi="Times New Roman"/>
                <w:color w:val="000000"/>
                <w:spacing w:val="-2"/>
              </w:rPr>
            </w:pPr>
            <w:r>
              <w:rPr>
                <w:rFonts w:ascii="Times New Roman" w:hAnsi="Times New Roman"/>
                <w:color w:val="000000"/>
                <w:spacing w:val="-2"/>
              </w:rPr>
              <w:t xml:space="preserve">Podkreślić należy, że </w:t>
            </w:r>
            <w:r w:rsidRPr="00E326EC">
              <w:rPr>
                <w:rFonts w:ascii="Times New Roman" w:hAnsi="Times New Roman"/>
                <w:color w:val="000000"/>
                <w:spacing w:val="-2"/>
              </w:rPr>
              <w:t>zwrot kwoty naliczonej w okresie oczekiwania na wpis do księgi wieczystej nie w pełni rekompensuje kredytobiorcom straty. Oprócz tego, że podwyżka marży zwiększa kwotę odsetek w okresie jej obowiązywania, to powoduje też spadek kwoty spłacanego w tym okresie kapitału. To z kolei wpływa na cały dalszy proces spłaty. W rezultacie nieco wyższe raty są płacone już do końca okresu spłaty</w:t>
            </w:r>
            <w:r>
              <w:rPr>
                <w:rStyle w:val="Odwoanieprzypisudolnego"/>
                <w:rFonts w:ascii="Times New Roman" w:hAnsi="Times New Roman"/>
                <w:color w:val="000000"/>
                <w:spacing w:val="-2"/>
              </w:rPr>
              <w:footnoteReference w:id="2"/>
            </w:r>
            <w:r w:rsidRPr="00E326EC">
              <w:rPr>
                <w:rFonts w:ascii="Times New Roman" w:hAnsi="Times New Roman"/>
                <w:color w:val="000000"/>
                <w:spacing w:val="-2"/>
              </w:rPr>
              <w:t>.</w:t>
            </w:r>
          </w:p>
          <w:p w:rsidR="005117F7" w:rsidRDefault="005117F7" w:rsidP="007913C0">
            <w:pPr>
              <w:spacing w:line="240" w:lineRule="auto"/>
              <w:jc w:val="both"/>
              <w:rPr>
                <w:rFonts w:ascii="Times New Roman" w:hAnsi="Times New Roman"/>
                <w:color w:val="000000"/>
                <w:spacing w:val="-2"/>
              </w:rPr>
            </w:pPr>
          </w:p>
          <w:p w:rsidR="005117F7" w:rsidRDefault="005117F7" w:rsidP="007913C0">
            <w:pPr>
              <w:spacing w:line="240" w:lineRule="auto"/>
              <w:jc w:val="both"/>
              <w:rPr>
                <w:rFonts w:ascii="Times New Roman" w:hAnsi="Times New Roman"/>
                <w:color w:val="000000"/>
                <w:spacing w:val="-2"/>
              </w:rPr>
            </w:pPr>
          </w:p>
          <w:p w:rsidR="005117F7" w:rsidRDefault="005117F7" w:rsidP="007913C0">
            <w:pPr>
              <w:spacing w:line="240" w:lineRule="auto"/>
              <w:jc w:val="both"/>
              <w:rPr>
                <w:rFonts w:ascii="Times New Roman" w:hAnsi="Times New Roman"/>
                <w:color w:val="000000"/>
                <w:spacing w:val="-2"/>
              </w:rPr>
            </w:pPr>
          </w:p>
          <w:p w:rsidR="005117F7" w:rsidRDefault="005117F7" w:rsidP="007913C0">
            <w:pPr>
              <w:spacing w:line="240" w:lineRule="auto"/>
              <w:jc w:val="both"/>
              <w:rPr>
                <w:rFonts w:ascii="Times New Roman" w:hAnsi="Times New Roman"/>
                <w:color w:val="000000"/>
                <w:spacing w:val="-2"/>
              </w:rPr>
            </w:pPr>
          </w:p>
          <w:p w:rsidR="005117F7" w:rsidRDefault="005117F7" w:rsidP="007913C0">
            <w:pPr>
              <w:spacing w:line="240" w:lineRule="auto"/>
              <w:jc w:val="both"/>
              <w:rPr>
                <w:rFonts w:ascii="Times New Roman" w:hAnsi="Times New Roman"/>
                <w:color w:val="000000"/>
                <w:spacing w:val="-2"/>
              </w:rPr>
            </w:pPr>
          </w:p>
          <w:p w:rsidR="005117F7" w:rsidRDefault="005117F7" w:rsidP="007913C0">
            <w:pPr>
              <w:spacing w:line="240" w:lineRule="auto"/>
              <w:jc w:val="both"/>
              <w:rPr>
                <w:rFonts w:ascii="Times New Roman" w:hAnsi="Times New Roman"/>
                <w:color w:val="000000"/>
                <w:spacing w:val="-2"/>
              </w:rPr>
            </w:pPr>
          </w:p>
          <w:p w:rsidR="007913C0" w:rsidRDefault="007913C0" w:rsidP="007913C0">
            <w:pPr>
              <w:spacing w:line="240" w:lineRule="auto"/>
              <w:jc w:val="both"/>
              <w:rPr>
                <w:rFonts w:ascii="Times New Roman" w:hAnsi="Times New Roman"/>
                <w:color w:val="000000"/>
                <w:spacing w:val="-2"/>
              </w:rPr>
            </w:pPr>
          </w:p>
          <w:p w:rsidR="007913C0" w:rsidRDefault="00F177C2" w:rsidP="007913C0">
            <w:pPr>
              <w:spacing w:line="240" w:lineRule="auto"/>
              <w:jc w:val="both"/>
              <w:rPr>
                <w:rFonts w:ascii="Times New Roman" w:hAnsi="Times New Roman"/>
                <w:color w:val="000000"/>
                <w:spacing w:val="-2"/>
              </w:rPr>
            </w:pPr>
            <w:r>
              <w:rPr>
                <w:rFonts w:ascii="Times New Roman" w:hAnsi="Times New Roman"/>
                <w:color w:val="000000"/>
                <w:spacing w:val="-2"/>
              </w:rPr>
              <w:t xml:space="preserve">Poniższa tabela przestawia </w:t>
            </w:r>
            <w:bookmarkStart w:id="4" w:name="_Hlk96008877"/>
            <w:r>
              <w:rPr>
                <w:rFonts w:ascii="Times New Roman" w:hAnsi="Times New Roman"/>
                <w:color w:val="000000"/>
                <w:spacing w:val="-2"/>
              </w:rPr>
              <w:t xml:space="preserve">liczbę wszystkich wniosków </w:t>
            </w:r>
            <w:r w:rsidR="005117F7">
              <w:rPr>
                <w:rFonts w:ascii="Times New Roman" w:hAnsi="Times New Roman"/>
                <w:color w:val="000000"/>
                <w:spacing w:val="-2"/>
              </w:rPr>
              <w:t>dotyczących wpisu</w:t>
            </w:r>
            <w:r w:rsidR="00126AAF">
              <w:rPr>
                <w:rFonts w:ascii="Times New Roman" w:hAnsi="Times New Roman"/>
                <w:color w:val="000000"/>
                <w:spacing w:val="-2"/>
              </w:rPr>
              <w:t>, zmiany i wykreślenia</w:t>
            </w:r>
            <w:r w:rsidR="005117F7">
              <w:rPr>
                <w:rFonts w:ascii="Times New Roman" w:hAnsi="Times New Roman"/>
                <w:color w:val="000000"/>
                <w:spacing w:val="-2"/>
              </w:rPr>
              <w:t xml:space="preserve"> hipoteki zabezpieczającej kredyt na rzecz banku w latach 2020-2021</w:t>
            </w:r>
            <w:bookmarkEnd w:id="4"/>
          </w:p>
          <w:p w:rsidR="005117F7" w:rsidRDefault="005117F7" w:rsidP="007913C0">
            <w:pPr>
              <w:spacing w:line="240" w:lineRule="auto"/>
              <w:jc w:val="both"/>
              <w:rPr>
                <w:rFonts w:ascii="Times New Roman" w:hAnsi="Times New Roman"/>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4"/>
              <w:gridCol w:w="1784"/>
              <w:gridCol w:w="1784"/>
              <w:gridCol w:w="1784"/>
              <w:gridCol w:w="1785"/>
              <w:gridCol w:w="1785"/>
            </w:tblGrid>
            <w:tr w:rsidR="00B070A4" w:rsidRPr="0074150F" w:rsidTr="0074150F">
              <w:trPr>
                <w:trHeight w:val="786"/>
              </w:trPr>
              <w:tc>
                <w:tcPr>
                  <w:tcW w:w="3568" w:type="dxa"/>
                  <w:gridSpan w:val="2"/>
                  <w:shd w:val="clear" w:color="auto" w:fill="auto"/>
                  <w:vAlign w:val="center"/>
                </w:tcPr>
                <w:p w:rsidR="00B070A4" w:rsidRPr="0074150F" w:rsidRDefault="00B070A4" w:rsidP="0074150F">
                  <w:pPr>
                    <w:spacing w:line="240" w:lineRule="auto"/>
                    <w:rPr>
                      <w:rFonts w:ascii="Times New Roman" w:hAnsi="Times New Roman"/>
                      <w:color w:val="000000"/>
                      <w:spacing w:val="-2"/>
                    </w:rPr>
                  </w:pPr>
                  <w:r w:rsidRPr="0074150F">
                    <w:rPr>
                      <w:rFonts w:ascii="Times New Roman" w:hAnsi="Times New Roman"/>
                      <w:color w:val="000000"/>
                    </w:rPr>
                    <w:t xml:space="preserve">Liczba </w:t>
                  </w:r>
                  <w:r w:rsidRPr="0074150F">
                    <w:rPr>
                      <w:rFonts w:ascii="Times New Roman" w:hAnsi="Times New Roman"/>
                      <w:b/>
                      <w:bCs/>
                      <w:color w:val="000000"/>
                      <w:u w:val="single"/>
                    </w:rPr>
                    <w:t>wszystkich wniosków</w:t>
                  </w:r>
                  <w:r w:rsidRPr="0074150F">
                    <w:rPr>
                      <w:rFonts w:ascii="Times New Roman" w:hAnsi="Times New Roman"/>
                      <w:color w:val="000000"/>
                    </w:rPr>
                    <w:t xml:space="preserve"> o wpis hipoteki zabezpieczającej kredyt na rzecz banku</w:t>
                  </w:r>
                </w:p>
              </w:tc>
              <w:tc>
                <w:tcPr>
                  <w:tcW w:w="3568" w:type="dxa"/>
                  <w:gridSpan w:val="2"/>
                  <w:shd w:val="clear" w:color="auto" w:fill="auto"/>
                  <w:vAlign w:val="center"/>
                </w:tcPr>
                <w:p w:rsidR="00B070A4" w:rsidRPr="0074150F" w:rsidRDefault="00B070A4" w:rsidP="0074150F">
                  <w:pPr>
                    <w:spacing w:line="240" w:lineRule="auto"/>
                    <w:rPr>
                      <w:rFonts w:ascii="Times New Roman" w:hAnsi="Times New Roman"/>
                      <w:color w:val="000000"/>
                      <w:spacing w:val="-2"/>
                    </w:rPr>
                  </w:pPr>
                  <w:r w:rsidRPr="0074150F">
                    <w:rPr>
                      <w:rFonts w:ascii="Times New Roman" w:hAnsi="Times New Roman"/>
                      <w:color w:val="000000"/>
                    </w:rPr>
                    <w:t xml:space="preserve">Liczba </w:t>
                  </w:r>
                  <w:r w:rsidRPr="0074150F">
                    <w:rPr>
                      <w:rFonts w:ascii="Times New Roman" w:hAnsi="Times New Roman"/>
                      <w:b/>
                      <w:bCs/>
                      <w:color w:val="000000"/>
                      <w:u w:val="single"/>
                    </w:rPr>
                    <w:t>oddalonych wniosków</w:t>
                  </w:r>
                  <w:r w:rsidRPr="0074150F">
                    <w:rPr>
                      <w:rFonts w:ascii="Times New Roman" w:hAnsi="Times New Roman"/>
                      <w:color w:val="000000"/>
                    </w:rPr>
                    <w:t xml:space="preserve"> o wpis hipoteki zabezpieczającej kredyt na rzecz banku</w:t>
                  </w:r>
                </w:p>
              </w:tc>
              <w:tc>
                <w:tcPr>
                  <w:tcW w:w="3570" w:type="dxa"/>
                  <w:gridSpan w:val="2"/>
                  <w:shd w:val="clear" w:color="auto" w:fill="auto"/>
                  <w:vAlign w:val="center"/>
                </w:tcPr>
                <w:p w:rsidR="00B070A4" w:rsidRPr="0074150F" w:rsidRDefault="00B070A4" w:rsidP="0074150F">
                  <w:pPr>
                    <w:spacing w:line="240" w:lineRule="auto"/>
                    <w:rPr>
                      <w:rFonts w:ascii="Times New Roman" w:hAnsi="Times New Roman"/>
                      <w:color w:val="000000"/>
                      <w:spacing w:val="-2"/>
                    </w:rPr>
                  </w:pPr>
                  <w:r w:rsidRPr="0074150F">
                    <w:rPr>
                      <w:rFonts w:ascii="Times New Roman" w:hAnsi="Times New Roman"/>
                      <w:color w:val="000000"/>
                    </w:rPr>
                    <w:t>Stosunek</w:t>
                  </w:r>
                  <w:r w:rsidRPr="0074150F">
                    <w:rPr>
                      <w:rFonts w:ascii="Times New Roman" w:hAnsi="Times New Roman"/>
                      <w:b/>
                      <w:bCs/>
                      <w:color w:val="000000"/>
                    </w:rPr>
                    <w:t xml:space="preserve"> wszystkich wniosków do wniosków oddalonych</w:t>
                  </w:r>
                </w:p>
              </w:tc>
            </w:tr>
            <w:tr w:rsidR="00B070A4" w:rsidRPr="0074150F" w:rsidTr="0074150F">
              <w:tc>
                <w:tcPr>
                  <w:tcW w:w="1784" w:type="dxa"/>
                  <w:shd w:val="clear" w:color="auto" w:fill="auto"/>
                  <w:vAlign w:val="center"/>
                </w:tcPr>
                <w:p w:rsidR="00B070A4" w:rsidRPr="0074150F" w:rsidRDefault="00B070A4" w:rsidP="0074150F">
                  <w:pPr>
                    <w:spacing w:line="240" w:lineRule="auto"/>
                    <w:jc w:val="center"/>
                    <w:rPr>
                      <w:rFonts w:ascii="Times New Roman" w:hAnsi="Times New Roman"/>
                      <w:color w:val="000000"/>
                      <w:spacing w:val="-2"/>
                    </w:rPr>
                  </w:pPr>
                  <w:r w:rsidRPr="0074150F">
                    <w:rPr>
                      <w:rFonts w:ascii="Times New Roman" w:hAnsi="Times New Roman"/>
                      <w:color w:val="000000"/>
                      <w:spacing w:val="-2"/>
                    </w:rPr>
                    <w:t>2020</w:t>
                  </w:r>
                </w:p>
              </w:tc>
              <w:tc>
                <w:tcPr>
                  <w:tcW w:w="1784" w:type="dxa"/>
                  <w:shd w:val="clear" w:color="auto" w:fill="auto"/>
                  <w:vAlign w:val="center"/>
                </w:tcPr>
                <w:p w:rsidR="00B070A4" w:rsidRPr="0074150F" w:rsidRDefault="00B070A4" w:rsidP="0074150F">
                  <w:pPr>
                    <w:spacing w:line="240" w:lineRule="auto"/>
                    <w:jc w:val="center"/>
                    <w:rPr>
                      <w:rFonts w:ascii="Times New Roman" w:hAnsi="Times New Roman"/>
                      <w:color w:val="000000"/>
                      <w:spacing w:val="-2"/>
                    </w:rPr>
                  </w:pPr>
                  <w:r w:rsidRPr="0074150F">
                    <w:rPr>
                      <w:rFonts w:ascii="Times New Roman" w:hAnsi="Times New Roman"/>
                      <w:color w:val="000000"/>
                      <w:spacing w:val="-2"/>
                    </w:rPr>
                    <w:t>2021</w:t>
                  </w:r>
                </w:p>
              </w:tc>
              <w:tc>
                <w:tcPr>
                  <w:tcW w:w="1784" w:type="dxa"/>
                  <w:shd w:val="clear" w:color="auto" w:fill="auto"/>
                  <w:vAlign w:val="center"/>
                </w:tcPr>
                <w:p w:rsidR="00B070A4" w:rsidRPr="0074150F" w:rsidRDefault="00B070A4" w:rsidP="0074150F">
                  <w:pPr>
                    <w:spacing w:line="240" w:lineRule="auto"/>
                    <w:jc w:val="center"/>
                    <w:rPr>
                      <w:rFonts w:ascii="Times New Roman" w:hAnsi="Times New Roman"/>
                      <w:color w:val="000000"/>
                      <w:spacing w:val="-2"/>
                    </w:rPr>
                  </w:pPr>
                  <w:r w:rsidRPr="0074150F">
                    <w:rPr>
                      <w:rFonts w:ascii="Times New Roman" w:hAnsi="Times New Roman"/>
                      <w:color w:val="000000"/>
                      <w:spacing w:val="-2"/>
                    </w:rPr>
                    <w:t>2020</w:t>
                  </w:r>
                </w:p>
              </w:tc>
              <w:tc>
                <w:tcPr>
                  <w:tcW w:w="1784" w:type="dxa"/>
                  <w:shd w:val="clear" w:color="auto" w:fill="auto"/>
                  <w:vAlign w:val="center"/>
                </w:tcPr>
                <w:p w:rsidR="00B070A4" w:rsidRPr="0074150F" w:rsidRDefault="00B070A4" w:rsidP="0074150F">
                  <w:pPr>
                    <w:spacing w:line="240" w:lineRule="auto"/>
                    <w:jc w:val="center"/>
                    <w:rPr>
                      <w:rFonts w:ascii="Times New Roman" w:hAnsi="Times New Roman"/>
                      <w:color w:val="000000"/>
                      <w:spacing w:val="-2"/>
                    </w:rPr>
                  </w:pPr>
                  <w:r w:rsidRPr="0074150F">
                    <w:rPr>
                      <w:rFonts w:ascii="Times New Roman" w:hAnsi="Times New Roman"/>
                      <w:color w:val="000000"/>
                      <w:spacing w:val="-2"/>
                    </w:rPr>
                    <w:t>2021</w:t>
                  </w:r>
                </w:p>
              </w:tc>
              <w:tc>
                <w:tcPr>
                  <w:tcW w:w="1785" w:type="dxa"/>
                  <w:shd w:val="clear" w:color="auto" w:fill="auto"/>
                  <w:vAlign w:val="center"/>
                </w:tcPr>
                <w:p w:rsidR="00B070A4" w:rsidRPr="0074150F" w:rsidRDefault="00B070A4" w:rsidP="0074150F">
                  <w:pPr>
                    <w:spacing w:line="240" w:lineRule="auto"/>
                    <w:jc w:val="center"/>
                    <w:rPr>
                      <w:rFonts w:ascii="Times New Roman" w:hAnsi="Times New Roman"/>
                      <w:color w:val="000000"/>
                      <w:spacing w:val="-2"/>
                    </w:rPr>
                  </w:pPr>
                  <w:r w:rsidRPr="0074150F">
                    <w:rPr>
                      <w:rFonts w:ascii="Times New Roman" w:hAnsi="Times New Roman"/>
                      <w:color w:val="000000"/>
                      <w:spacing w:val="-2"/>
                    </w:rPr>
                    <w:t>2020</w:t>
                  </w:r>
                </w:p>
              </w:tc>
              <w:tc>
                <w:tcPr>
                  <w:tcW w:w="1785" w:type="dxa"/>
                  <w:shd w:val="clear" w:color="auto" w:fill="auto"/>
                  <w:vAlign w:val="center"/>
                </w:tcPr>
                <w:p w:rsidR="00B070A4" w:rsidRPr="0074150F" w:rsidRDefault="00B070A4" w:rsidP="0074150F">
                  <w:pPr>
                    <w:spacing w:line="240" w:lineRule="auto"/>
                    <w:jc w:val="center"/>
                    <w:rPr>
                      <w:rFonts w:ascii="Times New Roman" w:hAnsi="Times New Roman"/>
                      <w:color w:val="000000"/>
                      <w:spacing w:val="-2"/>
                    </w:rPr>
                  </w:pPr>
                  <w:r w:rsidRPr="0074150F">
                    <w:rPr>
                      <w:rFonts w:ascii="Times New Roman" w:hAnsi="Times New Roman"/>
                      <w:color w:val="000000"/>
                      <w:spacing w:val="-2"/>
                    </w:rPr>
                    <w:t>2021</w:t>
                  </w:r>
                </w:p>
              </w:tc>
            </w:tr>
            <w:tr w:rsidR="00B070A4" w:rsidRPr="0074150F" w:rsidTr="0074150F">
              <w:tc>
                <w:tcPr>
                  <w:tcW w:w="1784" w:type="dxa"/>
                  <w:shd w:val="clear" w:color="auto" w:fill="auto"/>
                  <w:vAlign w:val="center"/>
                </w:tcPr>
                <w:p w:rsidR="00B070A4" w:rsidRPr="0074150F" w:rsidRDefault="00B070A4" w:rsidP="0074150F">
                  <w:pPr>
                    <w:spacing w:line="240" w:lineRule="auto"/>
                    <w:jc w:val="right"/>
                    <w:rPr>
                      <w:rFonts w:ascii="Times New Roman" w:hAnsi="Times New Roman"/>
                      <w:color w:val="000000"/>
                      <w:spacing w:val="-2"/>
                    </w:rPr>
                  </w:pPr>
                  <w:r w:rsidRPr="0074150F">
                    <w:rPr>
                      <w:rFonts w:ascii="Times New Roman" w:hAnsi="Times New Roman"/>
                      <w:color w:val="000000"/>
                    </w:rPr>
                    <w:t>371 674</w:t>
                  </w:r>
                </w:p>
              </w:tc>
              <w:tc>
                <w:tcPr>
                  <w:tcW w:w="1784" w:type="dxa"/>
                  <w:shd w:val="clear" w:color="auto" w:fill="auto"/>
                  <w:vAlign w:val="center"/>
                </w:tcPr>
                <w:p w:rsidR="00B070A4" w:rsidRPr="0074150F" w:rsidRDefault="00B070A4" w:rsidP="0074150F">
                  <w:pPr>
                    <w:spacing w:line="240" w:lineRule="auto"/>
                    <w:jc w:val="right"/>
                    <w:rPr>
                      <w:rFonts w:ascii="Times New Roman" w:hAnsi="Times New Roman"/>
                      <w:color w:val="000000"/>
                      <w:spacing w:val="-2"/>
                    </w:rPr>
                  </w:pPr>
                  <w:r w:rsidRPr="0074150F">
                    <w:rPr>
                      <w:rFonts w:ascii="Times New Roman" w:hAnsi="Times New Roman"/>
                      <w:color w:val="000000"/>
                    </w:rPr>
                    <w:t>429 010</w:t>
                  </w:r>
                </w:p>
              </w:tc>
              <w:tc>
                <w:tcPr>
                  <w:tcW w:w="1784" w:type="dxa"/>
                  <w:shd w:val="clear" w:color="auto" w:fill="auto"/>
                  <w:vAlign w:val="center"/>
                </w:tcPr>
                <w:p w:rsidR="00B070A4" w:rsidRPr="0074150F" w:rsidRDefault="00B070A4" w:rsidP="0074150F">
                  <w:pPr>
                    <w:spacing w:line="240" w:lineRule="auto"/>
                    <w:jc w:val="right"/>
                    <w:rPr>
                      <w:rFonts w:ascii="Times New Roman" w:hAnsi="Times New Roman"/>
                      <w:color w:val="000000"/>
                      <w:spacing w:val="-2"/>
                    </w:rPr>
                  </w:pPr>
                  <w:r w:rsidRPr="0074150F">
                    <w:rPr>
                      <w:rFonts w:ascii="Times New Roman" w:hAnsi="Times New Roman"/>
                      <w:color w:val="000000"/>
                    </w:rPr>
                    <w:t>5 860</w:t>
                  </w:r>
                </w:p>
              </w:tc>
              <w:tc>
                <w:tcPr>
                  <w:tcW w:w="1784" w:type="dxa"/>
                  <w:shd w:val="clear" w:color="auto" w:fill="auto"/>
                  <w:vAlign w:val="center"/>
                </w:tcPr>
                <w:p w:rsidR="00B070A4" w:rsidRPr="0074150F" w:rsidRDefault="00B070A4" w:rsidP="0074150F">
                  <w:pPr>
                    <w:spacing w:line="240" w:lineRule="auto"/>
                    <w:jc w:val="right"/>
                    <w:rPr>
                      <w:rFonts w:ascii="Times New Roman" w:hAnsi="Times New Roman"/>
                      <w:color w:val="000000"/>
                      <w:spacing w:val="-2"/>
                    </w:rPr>
                  </w:pPr>
                  <w:r w:rsidRPr="0074150F">
                    <w:rPr>
                      <w:rFonts w:ascii="Times New Roman" w:hAnsi="Times New Roman"/>
                      <w:color w:val="000000"/>
                    </w:rPr>
                    <w:t>6 672</w:t>
                  </w:r>
                </w:p>
              </w:tc>
              <w:tc>
                <w:tcPr>
                  <w:tcW w:w="1785" w:type="dxa"/>
                  <w:shd w:val="clear" w:color="auto" w:fill="auto"/>
                  <w:vAlign w:val="center"/>
                </w:tcPr>
                <w:p w:rsidR="00B070A4" w:rsidRPr="0074150F" w:rsidRDefault="00B070A4" w:rsidP="0074150F">
                  <w:pPr>
                    <w:spacing w:line="240" w:lineRule="auto"/>
                    <w:jc w:val="right"/>
                    <w:rPr>
                      <w:rFonts w:ascii="Times New Roman" w:hAnsi="Times New Roman"/>
                      <w:color w:val="000000"/>
                      <w:spacing w:val="-2"/>
                    </w:rPr>
                  </w:pPr>
                  <w:r w:rsidRPr="0074150F">
                    <w:rPr>
                      <w:rFonts w:ascii="Times New Roman" w:hAnsi="Times New Roman"/>
                      <w:color w:val="000000"/>
                    </w:rPr>
                    <w:t>1,6%</w:t>
                  </w:r>
                </w:p>
              </w:tc>
              <w:tc>
                <w:tcPr>
                  <w:tcW w:w="1785" w:type="dxa"/>
                  <w:shd w:val="clear" w:color="auto" w:fill="auto"/>
                  <w:vAlign w:val="center"/>
                </w:tcPr>
                <w:p w:rsidR="00B070A4" w:rsidRPr="0074150F" w:rsidRDefault="00B070A4" w:rsidP="0074150F">
                  <w:pPr>
                    <w:spacing w:line="240" w:lineRule="auto"/>
                    <w:jc w:val="right"/>
                    <w:rPr>
                      <w:rFonts w:ascii="Times New Roman" w:hAnsi="Times New Roman"/>
                      <w:color w:val="000000"/>
                      <w:spacing w:val="-2"/>
                    </w:rPr>
                  </w:pPr>
                  <w:r w:rsidRPr="0074150F">
                    <w:rPr>
                      <w:rFonts w:ascii="Times New Roman" w:hAnsi="Times New Roman"/>
                      <w:color w:val="000000"/>
                    </w:rPr>
                    <w:t>1,6%</w:t>
                  </w:r>
                </w:p>
              </w:tc>
            </w:tr>
          </w:tbl>
          <w:p w:rsidR="00B070A4" w:rsidRDefault="00B070A4" w:rsidP="007913C0">
            <w:pPr>
              <w:spacing w:line="240" w:lineRule="auto"/>
              <w:jc w:val="both"/>
              <w:rPr>
                <w:rFonts w:ascii="Times New Roman" w:hAnsi="Times New Roman"/>
                <w:color w:val="000000"/>
                <w:spacing w:val="-2"/>
              </w:rPr>
            </w:pPr>
          </w:p>
          <w:p w:rsidR="00FE53DA" w:rsidRDefault="00FE53DA" w:rsidP="007913C0">
            <w:pPr>
              <w:spacing w:line="240" w:lineRule="auto"/>
              <w:jc w:val="both"/>
              <w:rPr>
                <w:rFonts w:ascii="Times New Roman" w:hAnsi="Times New Roman"/>
                <w:color w:val="000000"/>
                <w:spacing w:val="-2"/>
              </w:rPr>
            </w:pPr>
            <w:r>
              <w:rPr>
                <w:rFonts w:ascii="Times New Roman" w:hAnsi="Times New Roman"/>
                <w:color w:val="000000"/>
                <w:spacing w:val="-2"/>
              </w:rPr>
              <w:t>Należy zaznaczyć, jak w pkt 1 OSR, że powyższa tabela nie prezentuje jedynie wniosków o wpis do hipoteki, ale również o zmianę i wykreślenie hipoteki.</w:t>
            </w:r>
          </w:p>
          <w:p w:rsidR="00B070A4" w:rsidRDefault="005117F7" w:rsidP="007913C0">
            <w:pPr>
              <w:spacing w:line="240" w:lineRule="auto"/>
              <w:jc w:val="both"/>
              <w:rPr>
                <w:rFonts w:ascii="Times New Roman" w:hAnsi="Times New Roman"/>
                <w:color w:val="000000"/>
              </w:rPr>
            </w:pPr>
            <w:r>
              <w:rPr>
                <w:rFonts w:ascii="Times New Roman" w:hAnsi="Times New Roman"/>
                <w:color w:val="000000"/>
                <w:spacing w:val="-2"/>
              </w:rPr>
              <w:t xml:space="preserve">Analiza powyżej przedstawionych danych wskazuje, że odsetek </w:t>
            </w:r>
            <w:r w:rsidR="00FE53DA">
              <w:rPr>
                <w:rFonts w:ascii="Times New Roman" w:hAnsi="Times New Roman"/>
                <w:color w:val="000000"/>
                <w:spacing w:val="-2"/>
              </w:rPr>
              <w:t xml:space="preserve">wszystkich </w:t>
            </w:r>
            <w:r>
              <w:rPr>
                <w:rFonts w:ascii="Times New Roman" w:hAnsi="Times New Roman"/>
                <w:color w:val="000000"/>
                <w:spacing w:val="-2"/>
              </w:rPr>
              <w:t>wniosków o wpis hipoteki</w:t>
            </w:r>
            <w:r w:rsidRPr="005117F7">
              <w:rPr>
                <w:rFonts w:ascii="Times New Roman" w:hAnsi="Times New Roman"/>
                <w:color w:val="000000"/>
              </w:rPr>
              <w:t xml:space="preserve"> zabezpieczającej kredyt na rzecz banku</w:t>
            </w:r>
            <w:r>
              <w:rPr>
                <w:rFonts w:ascii="Times New Roman" w:hAnsi="Times New Roman"/>
                <w:color w:val="000000"/>
              </w:rPr>
              <w:t xml:space="preserve"> w stosunku do</w:t>
            </w:r>
            <w:r w:rsidR="00126AAF">
              <w:rPr>
                <w:rFonts w:ascii="Times New Roman" w:hAnsi="Times New Roman"/>
                <w:color w:val="000000"/>
              </w:rPr>
              <w:t xml:space="preserve"> oddalonych</w:t>
            </w:r>
            <w:r>
              <w:rPr>
                <w:rFonts w:ascii="Times New Roman" w:hAnsi="Times New Roman"/>
                <w:color w:val="000000"/>
              </w:rPr>
              <w:t xml:space="preserve"> wniosków jest bardzo niski i w analizowanym okresie wyniósł zaledwie 1,6%. </w:t>
            </w:r>
          </w:p>
          <w:p w:rsidR="005117F7" w:rsidRDefault="00126AAF" w:rsidP="007913C0">
            <w:pPr>
              <w:spacing w:line="240" w:lineRule="auto"/>
              <w:jc w:val="both"/>
              <w:rPr>
                <w:rFonts w:ascii="Times New Roman" w:hAnsi="Times New Roman"/>
                <w:color w:val="000000"/>
                <w:spacing w:val="-2"/>
              </w:rPr>
            </w:pPr>
            <w:r>
              <w:rPr>
                <w:rFonts w:ascii="Times New Roman" w:hAnsi="Times New Roman"/>
                <w:color w:val="000000"/>
              </w:rPr>
              <w:t>P</w:t>
            </w:r>
            <w:r w:rsidR="005117F7">
              <w:rPr>
                <w:rFonts w:ascii="Times New Roman" w:hAnsi="Times New Roman"/>
                <w:color w:val="000000"/>
              </w:rPr>
              <w:t xml:space="preserve">owyższe dane dotyczą ogólnie wszystkich wniosków, a nie tylko wniosków o wpis </w:t>
            </w:r>
            <w:r w:rsidR="00FE53DA">
              <w:rPr>
                <w:rFonts w:ascii="Times New Roman" w:hAnsi="Times New Roman"/>
                <w:color w:val="000000"/>
              </w:rPr>
              <w:t>na rzecz banku</w:t>
            </w:r>
            <w:r>
              <w:rPr>
                <w:rFonts w:ascii="Times New Roman" w:hAnsi="Times New Roman"/>
                <w:color w:val="000000"/>
              </w:rPr>
              <w:t>, W związku z tym</w:t>
            </w:r>
            <w:r w:rsidR="00FE53DA">
              <w:rPr>
                <w:rFonts w:ascii="Times New Roman" w:hAnsi="Times New Roman"/>
                <w:color w:val="000000"/>
              </w:rPr>
              <w:t xml:space="preserve"> nie można jednoznacznie określić jaki jest odsetek takich wniosków oddalanych w stosunku do wpływających wniosków. Jednak można założyć, ze względu na podo</w:t>
            </w:r>
            <w:r>
              <w:rPr>
                <w:rFonts w:ascii="Times New Roman" w:hAnsi="Times New Roman"/>
                <w:color w:val="000000"/>
              </w:rPr>
              <w:t>bieństwo materii</w:t>
            </w:r>
            <w:r>
              <w:rPr>
                <w:rFonts w:ascii="Times New Roman" w:hAnsi="Times New Roman"/>
                <w:color w:val="000000"/>
                <w:spacing w:val="-2"/>
              </w:rPr>
              <w:t>, że te wielkości kształtują się na podobnym poziomie.</w:t>
            </w:r>
          </w:p>
          <w:p w:rsidR="007913C0" w:rsidRDefault="007913C0" w:rsidP="007913C0">
            <w:pPr>
              <w:spacing w:line="240" w:lineRule="auto"/>
              <w:jc w:val="both"/>
              <w:rPr>
                <w:rFonts w:ascii="Times New Roman" w:hAnsi="Times New Roman"/>
                <w:color w:val="000000"/>
                <w:spacing w:val="-2"/>
              </w:rPr>
            </w:pPr>
          </w:p>
          <w:p w:rsidR="007913C0" w:rsidRDefault="007913C0" w:rsidP="007913C0">
            <w:pPr>
              <w:spacing w:line="240" w:lineRule="auto"/>
              <w:jc w:val="both"/>
              <w:rPr>
                <w:rFonts w:ascii="Times New Roman" w:hAnsi="Times New Roman"/>
                <w:color w:val="000000"/>
                <w:spacing w:val="-2"/>
              </w:rPr>
            </w:pPr>
            <w:r>
              <w:rPr>
                <w:rFonts w:ascii="Times New Roman" w:hAnsi="Times New Roman"/>
                <w:color w:val="000000"/>
                <w:spacing w:val="-2"/>
              </w:rPr>
              <w:t>Istnieje pewne prawdopodobieństwo, że banki chciałyby zwiększyć zabezpieczenie swoich interesów poprzez zwiększenie ubezpieczenia pomostowego. W takim przypadku opłata ta stałaby się większym obciążeniem dla kredytobiorców. Jednak, biorąc pod uwagę powyższe dane, można sądzić, że będzie to chwilowe obciążenie, ponieważ w konsekwencji otrzymania wpisu w księdze wieczystej poniesione koszty zostaną zwrócone lub przeniesione na poczet dalszych należności.</w:t>
            </w:r>
          </w:p>
          <w:p w:rsidR="007913C0" w:rsidRDefault="007913C0" w:rsidP="007913C0">
            <w:pPr>
              <w:spacing w:line="240" w:lineRule="auto"/>
              <w:jc w:val="both"/>
              <w:rPr>
                <w:rFonts w:ascii="Times New Roman" w:hAnsi="Times New Roman"/>
                <w:color w:val="000000"/>
                <w:spacing w:val="-2"/>
              </w:rPr>
            </w:pPr>
          </w:p>
          <w:p w:rsidR="007913C0" w:rsidRPr="00E42A00" w:rsidRDefault="002D536F" w:rsidP="007913C0">
            <w:pPr>
              <w:spacing w:line="240" w:lineRule="auto"/>
              <w:jc w:val="both"/>
              <w:rPr>
                <w:rFonts w:ascii="Times New Roman" w:hAnsi="Times New Roman"/>
                <w:color w:val="000000"/>
                <w:spacing w:val="-2"/>
              </w:rPr>
            </w:pPr>
            <w:r>
              <w:rPr>
                <w:rFonts w:ascii="Times New Roman" w:hAnsi="Times New Roman"/>
                <w:color w:val="000000"/>
                <w:spacing w:val="-2"/>
              </w:rPr>
              <w:t xml:space="preserve">Obecnie ma miejsce </w:t>
            </w:r>
            <w:r w:rsidR="007913C0">
              <w:rPr>
                <w:rFonts w:ascii="Times New Roman" w:hAnsi="Times New Roman"/>
                <w:color w:val="000000"/>
                <w:spacing w:val="-2"/>
              </w:rPr>
              <w:t xml:space="preserve">odmrożenie </w:t>
            </w:r>
            <w:r w:rsidR="007913C0" w:rsidRPr="00E42A00">
              <w:rPr>
                <w:rFonts w:ascii="Times New Roman" w:hAnsi="Times New Roman"/>
                <w:color w:val="000000"/>
                <w:spacing w:val="-2"/>
              </w:rPr>
              <w:t>znaczn</w:t>
            </w:r>
            <w:r w:rsidR="007913C0">
              <w:rPr>
                <w:rFonts w:ascii="Times New Roman" w:hAnsi="Times New Roman"/>
                <w:color w:val="000000"/>
                <w:spacing w:val="-2"/>
              </w:rPr>
              <w:t>ej</w:t>
            </w:r>
            <w:r w:rsidR="007913C0" w:rsidRPr="00E42A00">
              <w:rPr>
                <w:rFonts w:ascii="Times New Roman" w:hAnsi="Times New Roman"/>
                <w:color w:val="000000"/>
                <w:spacing w:val="-2"/>
              </w:rPr>
              <w:t xml:space="preserve"> częś</w:t>
            </w:r>
            <w:r w:rsidR="007913C0">
              <w:rPr>
                <w:rFonts w:ascii="Times New Roman" w:hAnsi="Times New Roman"/>
                <w:color w:val="000000"/>
                <w:spacing w:val="-2"/>
              </w:rPr>
              <w:t>ci</w:t>
            </w:r>
            <w:r w:rsidR="007913C0" w:rsidRPr="00E42A00">
              <w:rPr>
                <w:rFonts w:ascii="Times New Roman" w:hAnsi="Times New Roman"/>
                <w:color w:val="000000"/>
                <w:spacing w:val="-2"/>
              </w:rPr>
              <w:t xml:space="preserve"> zaostrzeń wprowadzonych wiosną/latem 2020 roku. Większość banków kredytuje już osoby prowadzące działalność gospodarczą, pracujące w zawodzie kierowcy, zatrudnione na podstawie umowy zlecenie lub na podstawie umowy o pracę na czas określony. Można już też coraz częściej znaleźć finansowanie z 10% wkładem własnym</w:t>
            </w:r>
            <w:r w:rsidR="007913C0">
              <w:rPr>
                <w:rFonts w:ascii="Times New Roman" w:hAnsi="Times New Roman"/>
                <w:color w:val="000000"/>
                <w:spacing w:val="-2"/>
              </w:rPr>
              <w:t>. […] W</w:t>
            </w:r>
            <w:r w:rsidR="007913C0" w:rsidRPr="00E42A00">
              <w:rPr>
                <w:rFonts w:ascii="Times New Roman" w:hAnsi="Times New Roman"/>
                <w:color w:val="000000"/>
                <w:spacing w:val="-2"/>
              </w:rPr>
              <w:t xml:space="preserve"> ostatnim roku wzrosła ilość udzielanych kredytów na budowę czy zakup domu. </w:t>
            </w:r>
          </w:p>
          <w:p w:rsidR="007913C0" w:rsidRPr="00E42A00" w:rsidRDefault="007913C0" w:rsidP="007913C0">
            <w:pPr>
              <w:spacing w:line="240" w:lineRule="auto"/>
              <w:jc w:val="both"/>
              <w:rPr>
                <w:rFonts w:ascii="Times New Roman" w:hAnsi="Times New Roman"/>
                <w:color w:val="000000"/>
                <w:spacing w:val="-2"/>
              </w:rPr>
            </w:pPr>
            <w:r>
              <w:rPr>
                <w:rFonts w:ascii="Times New Roman" w:hAnsi="Times New Roman"/>
                <w:color w:val="000000"/>
                <w:spacing w:val="-2"/>
              </w:rPr>
              <w:t>Jednym z czynników</w:t>
            </w:r>
            <w:r w:rsidRPr="00E42A00">
              <w:rPr>
                <w:rFonts w:ascii="Times New Roman" w:hAnsi="Times New Roman"/>
                <w:color w:val="000000"/>
                <w:spacing w:val="-2"/>
              </w:rPr>
              <w:t xml:space="preserve"> jest spadek oprocentowania kredytów hipotecznych. Dzięki temu stał się on dostępny dla większej ilości osób</w:t>
            </w:r>
            <w:r>
              <w:rPr>
                <w:rFonts w:ascii="Times New Roman" w:hAnsi="Times New Roman"/>
                <w:color w:val="000000"/>
                <w:spacing w:val="-2"/>
              </w:rPr>
              <w:t xml:space="preserve"> (zwiększenie zdolności kredytowej)</w:t>
            </w:r>
            <w:r w:rsidRPr="00E42A00">
              <w:rPr>
                <w:rFonts w:ascii="Times New Roman" w:hAnsi="Times New Roman"/>
                <w:color w:val="000000"/>
                <w:spacing w:val="-2"/>
              </w:rPr>
              <w:t xml:space="preserve">. </w:t>
            </w:r>
            <w:r>
              <w:rPr>
                <w:rFonts w:ascii="Times New Roman" w:hAnsi="Times New Roman"/>
                <w:color w:val="000000"/>
                <w:spacing w:val="-2"/>
              </w:rPr>
              <w:t>D</w:t>
            </w:r>
            <w:r w:rsidRPr="00E42A00">
              <w:rPr>
                <w:rFonts w:ascii="Times New Roman" w:hAnsi="Times New Roman"/>
                <w:color w:val="000000"/>
                <w:spacing w:val="-2"/>
              </w:rPr>
              <w:t>ecydując się na skorzystanie z kredytu bankowego, zawsze trzeba mieć na uwadze, że kredyt jest najczęściej długoterminowy, a zmienne oprocentowanie może sprawić, iż jego wzrost pociągnie za sobą również wzrost wymaganej przez bank raty kredytu.</w:t>
            </w:r>
          </w:p>
          <w:p w:rsidR="007913C0" w:rsidRPr="00E42A00" w:rsidRDefault="007913C0" w:rsidP="007913C0">
            <w:pPr>
              <w:spacing w:line="240" w:lineRule="auto"/>
              <w:jc w:val="both"/>
              <w:rPr>
                <w:rFonts w:ascii="Times New Roman" w:hAnsi="Times New Roman"/>
                <w:color w:val="000000"/>
                <w:spacing w:val="-2"/>
              </w:rPr>
            </w:pPr>
            <w:r w:rsidRPr="00E42A00">
              <w:rPr>
                <w:rFonts w:ascii="Times New Roman" w:hAnsi="Times New Roman"/>
                <w:color w:val="000000"/>
                <w:spacing w:val="-2"/>
              </w:rPr>
              <w:t xml:space="preserve">W tym miejscu warto wspomnieć, że coraz więcej banków wprowadziło kredyt hipoteczny z oprocentowaniem stałym. </w:t>
            </w:r>
          </w:p>
          <w:p w:rsidR="002D536F" w:rsidRDefault="007913C0" w:rsidP="007913C0">
            <w:pPr>
              <w:spacing w:line="240" w:lineRule="auto"/>
              <w:jc w:val="both"/>
              <w:rPr>
                <w:rFonts w:ascii="Times New Roman" w:hAnsi="Times New Roman"/>
                <w:color w:val="000000"/>
                <w:spacing w:val="-2"/>
              </w:rPr>
            </w:pPr>
            <w:r w:rsidRPr="00E42A00">
              <w:rPr>
                <w:rFonts w:ascii="Times New Roman" w:hAnsi="Times New Roman"/>
                <w:color w:val="000000"/>
                <w:spacing w:val="-2"/>
              </w:rPr>
              <w:t>Reasumując, rynek kredytów hipoteczny w ostatnich miesiącach wszedł w mocną fazę wzrostową</w:t>
            </w:r>
            <w:r>
              <w:rPr>
                <w:rStyle w:val="Odwoanieprzypisudolnego"/>
                <w:rFonts w:ascii="Times New Roman" w:hAnsi="Times New Roman"/>
                <w:color w:val="000000"/>
                <w:spacing w:val="-2"/>
              </w:rPr>
              <w:footnoteReference w:id="3"/>
            </w:r>
            <w:r w:rsidRPr="00E42A00">
              <w:rPr>
                <w:rFonts w:ascii="Times New Roman" w:hAnsi="Times New Roman"/>
                <w:color w:val="000000"/>
                <w:spacing w:val="-2"/>
              </w:rPr>
              <w:t>.</w:t>
            </w:r>
            <w:r>
              <w:rPr>
                <w:rFonts w:ascii="Times New Roman" w:hAnsi="Times New Roman"/>
                <w:color w:val="000000"/>
                <w:spacing w:val="-2"/>
              </w:rPr>
              <w:t xml:space="preserve"> </w:t>
            </w:r>
          </w:p>
          <w:p w:rsidR="007913C0" w:rsidRDefault="007913C0" w:rsidP="007913C0">
            <w:pPr>
              <w:spacing w:line="240" w:lineRule="auto"/>
              <w:jc w:val="both"/>
              <w:rPr>
                <w:rFonts w:ascii="Times New Roman" w:hAnsi="Times New Roman"/>
                <w:color w:val="000000"/>
                <w:spacing w:val="-2"/>
              </w:rPr>
            </w:pPr>
            <w:r>
              <w:rPr>
                <w:rFonts w:ascii="Times New Roman" w:hAnsi="Times New Roman"/>
                <w:color w:val="000000"/>
                <w:spacing w:val="-2"/>
              </w:rPr>
              <w:t>Wydaje się więc, że w obecnej dobrej sytuacji dla</w:t>
            </w:r>
            <w:r w:rsidR="002D536F">
              <w:rPr>
                <w:rFonts w:ascii="Times New Roman" w:hAnsi="Times New Roman"/>
                <w:color w:val="000000"/>
                <w:spacing w:val="-2"/>
              </w:rPr>
              <w:t xml:space="preserve"> banków </w:t>
            </w:r>
            <w:r>
              <w:rPr>
                <w:rFonts w:ascii="Times New Roman" w:hAnsi="Times New Roman"/>
                <w:color w:val="000000"/>
                <w:spacing w:val="-2"/>
              </w:rPr>
              <w:t>nie powinny</w:t>
            </w:r>
            <w:r w:rsidR="002D536F">
              <w:rPr>
                <w:rFonts w:ascii="Times New Roman" w:hAnsi="Times New Roman"/>
                <w:color w:val="000000"/>
                <w:spacing w:val="-2"/>
              </w:rPr>
              <w:t xml:space="preserve"> one</w:t>
            </w:r>
            <w:r>
              <w:rPr>
                <w:rFonts w:ascii="Times New Roman" w:hAnsi="Times New Roman"/>
                <w:color w:val="000000"/>
                <w:spacing w:val="-2"/>
              </w:rPr>
              <w:t xml:space="preserve"> dążyć do ograniczania dostępności </w:t>
            </w:r>
            <w:r w:rsidR="000D6689">
              <w:rPr>
                <w:rFonts w:ascii="Times New Roman" w:hAnsi="Times New Roman"/>
                <w:color w:val="000000"/>
                <w:spacing w:val="-2"/>
              </w:rPr>
              <w:t xml:space="preserve">kredytów hipotecznych </w:t>
            </w:r>
            <w:r>
              <w:rPr>
                <w:rFonts w:ascii="Times New Roman" w:hAnsi="Times New Roman"/>
                <w:color w:val="000000"/>
                <w:spacing w:val="-2"/>
              </w:rPr>
              <w:t xml:space="preserve">zwłaszcza po niepewności całego sektora, która zaistniała </w:t>
            </w:r>
            <w:r w:rsidR="0029479F">
              <w:rPr>
                <w:rFonts w:ascii="Times New Roman" w:hAnsi="Times New Roman"/>
                <w:color w:val="000000"/>
                <w:spacing w:val="-2"/>
              </w:rPr>
              <w:t xml:space="preserve">na </w:t>
            </w:r>
            <w:r>
              <w:rPr>
                <w:rFonts w:ascii="Times New Roman" w:hAnsi="Times New Roman"/>
                <w:color w:val="000000"/>
                <w:spacing w:val="-2"/>
              </w:rPr>
              <w:t xml:space="preserve"> początku pandemii Covid-19. </w:t>
            </w:r>
          </w:p>
          <w:p w:rsidR="007913C0" w:rsidRDefault="007913C0" w:rsidP="007913C0">
            <w:pPr>
              <w:spacing w:line="240" w:lineRule="auto"/>
              <w:jc w:val="both"/>
              <w:rPr>
                <w:rFonts w:ascii="Times New Roman" w:hAnsi="Times New Roman"/>
                <w:color w:val="000000"/>
                <w:spacing w:val="-2"/>
              </w:rPr>
            </w:pPr>
          </w:p>
          <w:p w:rsidR="00E540E9" w:rsidRDefault="008456E1" w:rsidP="00E540E9">
            <w:pPr>
              <w:spacing w:line="240" w:lineRule="auto"/>
              <w:jc w:val="both"/>
              <w:rPr>
                <w:rFonts w:ascii="Times New Roman" w:hAnsi="Times New Roman"/>
                <w:color w:val="000000"/>
                <w:spacing w:val="-2"/>
              </w:rPr>
            </w:pPr>
            <w:r>
              <w:rPr>
                <w:rFonts w:ascii="Times New Roman" w:hAnsi="Times New Roman"/>
                <w:color w:val="000000"/>
                <w:spacing w:val="-2"/>
              </w:rPr>
              <w:t>Podkreślenia również wymaga fakt</w:t>
            </w:r>
            <w:r w:rsidR="006B2715">
              <w:rPr>
                <w:rFonts w:ascii="Times New Roman" w:hAnsi="Times New Roman"/>
                <w:color w:val="000000"/>
                <w:spacing w:val="-2"/>
              </w:rPr>
              <w:t xml:space="preserve">, że w Ministerstwie Sprawiedliwości równolegle </w:t>
            </w:r>
            <w:r w:rsidR="00E540E9">
              <w:rPr>
                <w:rFonts w:ascii="Times New Roman" w:hAnsi="Times New Roman"/>
                <w:color w:val="000000"/>
                <w:spacing w:val="-2"/>
              </w:rPr>
              <w:t>podjęto</w:t>
            </w:r>
            <w:r w:rsidR="006B2715">
              <w:rPr>
                <w:rFonts w:ascii="Times New Roman" w:hAnsi="Times New Roman"/>
                <w:color w:val="000000"/>
                <w:spacing w:val="-2"/>
              </w:rPr>
              <w:t xml:space="preserve"> prace</w:t>
            </w:r>
            <w:r w:rsidR="00E540E9">
              <w:rPr>
                <w:rFonts w:ascii="Times New Roman" w:hAnsi="Times New Roman"/>
                <w:color w:val="000000"/>
                <w:spacing w:val="-2"/>
              </w:rPr>
              <w:t xml:space="preserve"> mające na celu </w:t>
            </w:r>
            <w:r w:rsidR="00E540E9" w:rsidRPr="00E0052D">
              <w:rPr>
                <w:rFonts w:ascii="Times New Roman" w:hAnsi="Times New Roman"/>
                <w:color w:val="000000"/>
                <w:spacing w:val="-2"/>
              </w:rPr>
              <w:t>odciążenie sądów w czynnościach o charakterze bezspornym oraz skrócenie czasu na dokonanie czynności w postępowaniu wieczystoksięgowym</w:t>
            </w:r>
            <w:r w:rsidR="00E540E9">
              <w:rPr>
                <w:rFonts w:ascii="Times New Roman" w:hAnsi="Times New Roman"/>
                <w:color w:val="000000"/>
                <w:spacing w:val="-2"/>
              </w:rPr>
              <w:t xml:space="preserve">. Wstępnie zakłada się, że notariusze mogliby </w:t>
            </w:r>
            <w:r w:rsidR="00E540E9" w:rsidRPr="00E0052D">
              <w:rPr>
                <w:rFonts w:ascii="Times New Roman" w:hAnsi="Times New Roman"/>
                <w:color w:val="000000"/>
                <w:spacing w:val="-2"/>
              </w:rPr>
              <w:t>dokonywa</w:t>
            </w:r>
            <w:r w:rsidR="00E540E9">
              <w:rPr>
                <w:rFonts w:ascii="Times New Roman" w:hAnsi="Times New Roman"/>
                <w:color w:val="000000"/>
                <w:spacing w:val="-2"/>
              </w:rPr>
              <w:t>ć</w:t>
            </w:r>
            <w:r w:rsidR="00E540E9" w:rsidRPr="00E0052D">
              <w:rPr>
                <w:rFonts w:ascii="Times New Roman" w:hAnsi="Times New Roman"/>
                <w:color w:val="000000"/>
                <w:spacing w:val="-2"/>
              </w:rPr>
              <w:t xml:space="preserve"> wpisów w księgach wieczystych, które wiązałyby się z zakładaniem nowych ksiąg wieczystych poprzez wyodrębnienie nieruchomości lokalowej z zabudowanej nieruchomości gruntowej, gdy zbywcą jest przedsiębiorca oraz wpisu hipoteki.</w:t>
            </w:r>
          </w:p>
          <w:p w:rsidR="00E540E9" w:rsidRDefault="00E540E9" w:rsidP="00E540E9">
            <w:pPr>
              <w:spacing w:line="240" w:lineRule="auto"/>
              <w:jc w:val="both"/>
              <w:rPr>
                <w:rFonts w:ascii="Times New Roman" w:hAnsi="Times New Roman"/>
                <w:color w:val="000000"/>
                <w:spacing w:val="-2"/>
              </w:rPr>
            </w:pPr>
            <w:r w:rsidRPr="00E0052D">
              <w:rPr>
                <w:rFonts w:ascii="Times New Roman" w:hAnsi="Times New Roman"/>
                <w:color w:val="000000"/>
                <w:spacing w:val="-2"/>
              </w:rPr>
              <w:t xml:space="preserve">Warunkiem wdrożenia proponowanych zmian </w:t>
            </w:r>
            <w:r w:rsidR="004E7423">
              <w:rPr>
                <w:rFonts w:ascii="Times New Roman" w:hAnsi="Times New Roman"/>
                <w:color w:val="000000"/>
                <w:spacing w:val="-2"/>
              </w:rPr>
              <w:t>jest</w:t>
            </w:r>
            <w:r>
              <w:rPr>
                <w:rFonts w:ascii="Times New Roman" w:hAnsi="Times New Roman"/>
                <w:color w:val="000000"/>
                <w:spacing w:val="-2"/>
              </w:rPr>
              <w:t xml:space="preserve"> </w:t>
            </w:r>
            <w:r w:rsidRPr="00E0052D">
              <w:rPr>
                <w:rFonts w:ascii="Times New Roman" w:hAnsi="Times New Roman"/>
                <w:color w:val="000000"/>
                <w:spacing w:val="-2"/>
              </w:rPr>
              <w:t>konieczność dokonania modyfikacji w funkcjonalności systemu teleinformatycznego, które uwzględniałyby odstępstwa od normalnego toku czynności podejmowanych przez sąd w postępowaniu wieczystoksięgowym</w:t>
            </w:r>
            <w:r w:rsidR="0088208C">
              <w:rPr>
                <w:rFonts w:ascii="Times New Roman" w:hAnsi="Times New Roman"/>
                <w:color w:val="000000"/>
                <w:spacing w:val="-2"/>
              </w:rPr>
              <w:t xml:space="preserve"> oraz przeprowadzenie odpowiednich szkoleń dla notariuszy</w:t>
            </w:r>
            <w:r w:rsidRPr="00E0052D">
              <w:rPr>
                <w:rFonts w:ascii="Times New Roman" w:hAnsi="Times New Roman"/>
                <w:color w:val="000000"/>
                <w:spacing w:val="-2"/>
              </w:rPr>
              <w:t xml:space="preserve">. </w:t>
            </w:r>
          </w:p>
          <w:p w:rsidR="007913C0" w:rsidRPr="00A342CF" w:rsidRDefault="004E7423" w:rsidP="007913C0">
            <w:pPr>
              <w:spacing w:line="240" w:lineRule="auto"/>
              <w:jc w:val="both"/>
              <w:rPr>
                <w:rFonts w:ascii="Times New Roman" w:hAnsi="Times New Roman"/>
                <w:color w:val="000000"/>
                <w:spacing w:val="-2"/>
              </w:rPr>
            </w:pPr>
            <w:r>
              <w:rPr>
                <w:rFonts w:ascii="Times New Roman" w:hAnsi="Times New Roman"/>
                <w:color w:val="000000"/>
                <w:spacing w:val="-2"/>
              </w:rPr>
              <w:t xml:space="preserve">Modyfikacja takiego systemu jest czasochłonna i </w:t>
            </w:r>
            <w:r w:rsidR="0088208C">
              <w:rPr>
                <w:rFonts w:ascii="Times New Roman" w:hAnsi="Times New Roman"/>
                <w:color w:val="000000"/>
                <w:spacing w:val="-2"/>
              </w:rPr>
              <w:t>wprowadzane zmiany nie będą mogły tak szybko przynieść efektów jak omawiane w tym OSR.</w:t>
            </w:r>
          </w:p>
        </w:tc>
      </w:tr>
      <w:tr w:rsidR="006A701A" w:rsidRPr="00A57BCB" w:rsidTr="00676C8D">
        <w:trPr>
          <w:gridAfter w:val="1"/>
          <w:wAfter w:w="10" w:type="dxa"/>
          <w:trHeight w:val="307"/>
        </w:trPr>
        <w:tc>
          <w:tcPr>
            <w:tcW w:w="10937" w:type="dxa"/>
            <w:gridSpan w:val="28"/>
            <w:shd w:val="clear" w:color="auto" w:fill="99CCFF"/>
            <w:vAlign w:val="center"/>
          </w:tcPr>
          <w:p w:rsidR="006A701A" w:rsidRPr="00A57BCB" w:rsidRDefault="009E3C4B" w:rsidP="007D2192">
            <w:pPr>
              <w:numPr>
                <w:ilvl w:val="0"/>
                <w:numId w:val="6"/>
              </w:numPr>
              <w:spacing w:before="60" w:after="60" w:line="240" w:lineRule="auto"/>
              <w:ind w:left="318" w:hanging="284"/>
              <w:jc w:val="both"/>
              <w:rPr>
                <w:rFonts w:ascii="Times New Roman" w:hAnsi="Times New Roman"/>
                <w:b/>
                <w:color w:val="000000"/>
              </w:rPr>
            </w:pPr>
            <w:r w:rsidRPr="00A57BCB">
              <w:rPr>
                <w:rFonts w:ascii="Times New Roman" w:hAnsi="Times New Roman"/>
                <w:b/>
                <w:spacing w:val="-2"/>
              </w:rPr>
              <w:lastRenderedPageBreak/>
              <w:t>Jak problem został rozwiązany w innych krajach, w szczególności krajach członkowskich OECD/UE</w:t>
            </w:r>
            <w:r w:rsidR="006A701A" w:rsidRPr="00A57BCB">
              <w:rPr>
                <w:rFonts w:ascii="Times New Roman" w:hAnsi="Times New Roman"/>
                <w:b/>
                <w:color w:val="000000"/>
              </w:rPr>
              <w:t>?</w:t>
            </w:r>
            <w:r w:rsidR="006A701A" w:rsidRPr="00A57BCB">
              <w:rPr>
                <w:rFonts w:ascii="Times New Roman" w:hAnsi="Times New Roman"/>
                <w:i/>
                <w:color w:val="000000"/>
              </w:rPr>
              <w:t xml:space="preserve"> </w:t>
            </w:r>
          </w:p>
        </w:tc>
      </w:tr>
      <w:tr w:rsidR="006A701A" w:rsidRPr="00A57BCB" w:rsidTr="00676C8D">
        <w:trPr>
          <w:gridAfter w:val="1"/>
          <w:wAfter w:w="10" w:type="dxa"/>
          <w:trHeight w:val="142"/>
        </w:trPr>
        <w:tc>
          <w:tcPr>
            <w:tcW w:w="10937" w:type="dxa"/>
            <w:gridSpan w:val="28"/>
            <w:shd w:val="clear" w:color="auto" w:fill="auto"/>
          </w:tcPr>
          <w:p w:rsidR="006A701A" w:rsidRPr="00A57BCB" w:rsidRDefault="00CB2EA3" w:rsidP="00673FA5">
            <w:pPr>
              <w:spacing w:line="240" w:lineRule="auto"/>
              <w:jc w:val="both"/>
              <w:rPr>
                <w:rFonts w:ascii="Times New Roman" w:hAnsi="Times New Roman"/>
                <w:color w:val="000000"/>
                <w:spacing w:val="-2"/>
              </w:rPr>
            </w:pPr>
            <w:r w:rsidRPr="00A57BCB">
              <w:rPr>
                <w:rFonts w:ascii="Times New Roman" w:hAnsi="Times New Roman"/>
                <w:color w:val="000000"/>
                <w:spacing w:val="-2"/>
              </w:rPr>
              <w:t>Z uwagi na szczegółowy charakter regulacji odstąpiono od analizy prawno-porównawczej</w:t>
            </w:r>
          </w:p>
        </w:tc>
      </w:tr>
      <w:tr w:rsidR="006A701A" w:rsidRPr="00A57BCB" w:rsidTr="00676C8D">
        <w:trPr>
          <w:gridAfter w:val="1"/>
          <w:wAfter w:w="10" w:type="dxa"/>
          <w:trHeight w:val="359"/>
        </w:trPr>
        <w:tc>
          <w:tcPr>
            <w:tcW w:w="10937" w:type="dxa"/>
            <w:gridSpan w:val="28"/>
            <w:shd w:val="clear" w:color="auto" w:fill="99CCFF"/>
            <w:vAlign w:val="center"/>
          </w:tcPr>
          <w:p w:rsidR="006A701A" w:rsidRPr="00A57BCB" w:rsidRDefault="006A701A" w:rsidP="00213EFD">
            <w:pPr>
              <w:numPr>
                <w:ilvl w:val="0"/>
                <w:numId w:val="6"/>
              </w:numPr>
              <w:spacing w:before="60" w:after="60" w:line="240" w:lineRule="auto"/>
              <w:ind w:left="318" w:hanging="284"/>
              <w:jc w:val="both"/>
              <w:rPr>
                <w:rFonts w:ascii="Times New Roman" w:hAnsi="Times New Roman"/>
                <w:b/>
                <w:color w:val="000000"/>
              </w:rPr>
            </w:pPr>
            <w:r w:rsidRPr="00A57BCB">
              <w:rPr>
                <w:rFonts w:ascii="Times New Roman" w:hAnsi="Times New Roman"/>
                <w:b/>
                <w:color w:val="000000"/>
              </w:rPr>
              <w:t>Podmioty, na które oddziałuje projekt</w:t>
            </w:r>
          </w:p>
        </w:tc>
      </w:tr>
      <w:tr w:rsidR="00260F33" w:rsidRPr="00A57BCB" w:rsidTr="00B54CCF">
        <w:trPr>
          <w:gridAfter w:val="1"/>
          <w:wAfter w:w="10" w:type="dxa"/>
          <w:trHeight w:val="142"/>
        </w:trPr>
        <w:tc>
          <w:tcPr>
            <w:tcW w:w="1702" w:type="dxa"/>
            <w:shd w:val="clear" w:color="auto" w:fill="auto"/>
          </w:tcPr>
          <w:p w:rsidR="00260F33" w:rsidRPr="00A57BCB" w:rsidRDefault="00260F33" w:rsidP="0072636A">
            <w:pPr>
              <w:spacing w:before="40" w:line="240" w:lineRule="auto"/>
              <w:jc w:val="center"/>
              <w:rPr>
                <w:rFonts w:ascii="Times New Roman" w:hAnsi="Times New Roman"/>
                <w:color w:val="000000"/>
                <w:spacing w:val="-2"/>
              </w:rPr>
            </w:pPr>
            <w:r w:rsidRPr="00A57BCB">
              <w:rPr>
                <w:rFonts w:ascii="Times New Roman" w:hAnsi="Times New Roman"/>
                <w:color w:val="000000"/>
                <w:spacing w:val="-2"/>
              </w:rPr>
              <w:t>Grupa</w:t>
            </w:r>
          </w:p>
        </w:tc>
        <w:tc>
          <w:tcPr>
            <w:tcW w:w="2693" w:type="dxa"/>
            <w:gridSpan w:val="7"/>
            <w:shd w:val="clear" w:color="auto" w:fill="auto"/>
          </w:tcPr>
          <w:p w:rsidR="00260F33" w:rsidRPr="00A57BCB" w:rsidRDefault="00563199" w:rsidP="0072636A">
            <w:pPr>
              <w:spacing w:before="40" w:line="240" w:lineRule="auto"/>
              <w:jc w:val="center"/>
              <w:rPr>
                <w:rFonts w:ascii="Times New Roman" w:hAnsi="Times New Roman"/>
                <w:color w:val="000000"/>
                <w:spacing w:val="-2"/>
              </w:rPr>
            </w:pPr>
            <w:r w:rsidRPr="00A57BCB">
              <w:rPr>
                <w:rFonts w:ascii="Times New Roman" w:hAnsi="Times New Roman"/>
                <w:color w:val="000000"/>
                <w:spacing w:val="-2"/>
              </w:rPr>
              <w:t>Wielkość</w:t>
            </w:r>
          </w:p>
        </w:tc>
        <w:tc>
          <w:tcPr>
            <w:tcW w:w="1843" w:type="dxa"/>
            <w:gridSpan w:val="7"/>
            <w:shd w:val="clear" w:color="auto" w:fill="auto"/>
          </w:tcPr>
          <w:p w:rsidR="00260F33" w:rsidRPr="00A57BCB" w:rsidRDefault="00260F33" w:rsidP="0072636A">
            <w:pPr>
              <w:spacing w:before="40" w:line="240" w:lineRule="auto"/>
              <w:jc w:val="center"/>
              <w:rPr>
                <w:rFonts w:ascii="Times New Roman" w:hAnsi="Times New Roman"/>
                <w:color w:val="000000"/>
                <w:spacing w:val="-2"/>
              </w:rPr>
            </w:pPr>
            <w:r w:rsidRPr="00A57BCB">
              <w:rPr>
                <w:rFonts w:ascii="Times New Roman" w:hAnsi="Times New Roman"/>
                <w:color w:val="000000"/>
                <w:spacing w:val="-2"/>
              </w:rPr>
              <w:t>Źródło danych</w:t>
            </w:r>
            <w:r w:rsidRPr="00A57BCB" w:rsidDel="00260F33">
              <w:rPr>
                <w:rFonts w:ascii="Times New Roman" w:hAnsi="Times New Roman"/>
                <w:color w:val="000000"/>
                <w:spacing w:val="-2"/>
              </w:rPr>
              <w:t xml:space="preserve"> </w:t>
            </w:r>
          </w:p>
        </w:tc>
        <w:tc>
          <w:tcPr>
            <w:tcW w:w="4699" w:type="dxa"/>
            <w:gridSpan w:val="13"/>
            <w:shd w:val="clear" w:color="auto" w:fill="auto"/>
          </w:tcPr>
          <w:p w:rsidR="00260F33" w:rsidRPr="00A57BCB" w:rsidRDefault="00260F33" w:rsidP="0072636A">
            <w:pPr>
              <w:spacing w:before="40" w:line="240" w:lineRule="auto"/>
              <w:jc w:val="center"/>
              <w:rPr>
                <w:rFonts w:ascii="Times New Roman" w:hAnsi="Times New Roman"/>
                <w:color w:val="000000"/>
                <w:spacing w:val="-2"/>
              </w:rPr>
            </w:pPr>
            <w:r w:rsidRPr="00A57BCB">
              <w:rPr>
                <w:rFonts w:ascii="Times New Roman" w:hAnsi="Times New Roman"/>
                <w:color w:val="000000"/>
                <w:spacing w:val="-2"/>
              </w:rPr>
              <w:t>Oddziaływanie</w:t>
            </w:r>
          </w:p>
        </w:tc>
      </w:tr>
      <w:tr w:rsidR="00963495" w:rsidRPr="00A57BCB" w:rsidTr="00B54CCF">
        <w:trPr>
          <w:gridAfter w:val="1"/>
          <w:wAfter w:w="10" w:type="dxa"/>
          <w:trHeight w:val="142"/>
        </w:trPr>
        <w:tc>
          <w:tcPr>
            <w:tcW w:w="1702" w:type="dxa"/>
            <w:shd w:val="clear" w:color="auto" w:fill="auto"/>
          </w:tcPr>
          <w:p w:rsidR="00963495" w:rsidRDefault="00953C69" w:rsidP="00963495">
            <w:pPr>
              <w:spacing w:line="240" w:lineRule="auto"/>
              <w:rPr>
                <w:rFonts w:ascii="Times New Roman" w:hAnsi="Times New Roman"/>
                <w:color w:val="000000"/>
                <w:spacing w:val="-2"/>
              </w:rPr>
            </w:pPr>
            <w:r>
              <w:rPr>
                <w:rFonts w:ascii="Times New Roman" w:hAnsi="Times New Roman"/>
                <w:color w:val="000000"/>
                <w:spacing w:val="-2"/>
              </w:rPr>
              <w:t>Instytucje kredytowe</w:t>
            </w:r>
            <w:r w:rsidR="00B54CCF">
              <w:rPr>
                <w:rFonts w:ascii="Times New Roman" w:hAnsi="Times New Roman"/>
                <w:color w:val="000000"/>
                <w:spacing w:val="-2"/>
              </w:rPr>
              <w:t>,</w:t>
            </w:r>
            <w:r>
              <w:rPr>
                <w:rFonts w:ascii="Times New Roman" w:hAnsi="Times New Roman"/>
                <w:color w:val="000000"/>
                <w:spacing w:val="-2"/>
              </w:rPr>
              <w:t xml:space="preserve"> banki</w:t>
            </w:r>
            <w:r w:rsidR="00B54CCF">
              <w:rPr>
                <w:rFonts w:ascii="Times New Roman" w:hAnsi="Times New Roman"/>
                <w:color w:val="000000"/>
                <w:spacing w:val="-2"/>
              </w:rPr>
              <w:t>,</w:t>
            </w:r>
          </w:p>
          <w:p w:rsidR="00B54CCF" w:rsidRPr="00A57BCB" w:rsidRDefault="00C45C54" w:rsidP="00963495">
            <w:pPr>
              <w:spacing w:line="240" w:lineRule="auto"/>
              <w:rPr>
                <w:rFonts w:ascii="Times New Roman" w:hAnsi="Times New Roman"/>
                <w:color w:val="000000"/>
                <w:spacing w:val="-2"/>
              </w:rPr>
            </w:pPr>
            <w:r>
              <w:rPr>
                <w:rFonts w:ascii="Times New Roman" w:hAnsi="Times New Roman"/>
                <w:color w:val="000000"/>
                <w:spacing w:val="-2"/>
              </w:rPr>
              <w:t xml:space="preserve">spółdzielcze </w:t>
            </w:r>
            <w:r>
              <w:rPr>
                <w:rFonts w:ascii="Times New Roman" w:hAnsi="Times New Roman"/>
                <w:color w:val="000000"/>
                <w:spacing w:val="-2"/>
              </w:rPr>
              <w:lastRenderedPageBreak/>
              <w:t>kasy oszczędnościowo-kredytowe</w:t>
            </w:r>
          </w:p>
        </w:tc>
        <w:tc>
          <w:tcPr>
            <w:tcW w:w="2693" w:type="dxa"/>
            <w:gridSpan w:val="7"/>
            <w:shd w:val="clear" w:color="auto" w:fill="auto"/>
          </w:tcPr>
          <w:p w:rsidR="00963495" w:rsidRDefault="00963495" w:rsidP="00963495">
            <w:pPr>
              <w:spacing w:line="240" w:lineRule="auto"/>
              <w:rPr>
                <w:rFonts w:ascii="Times New Roman" w:hAnsi="Times New Roman"/>
                <w:color w:val="000000"/>
                <w:spacing w:val="-2"/>
              </w:rPr>
            </w:pPr>
            <w:r>
              <w:rPr>
                <w:rFonts w:ascii="Times New Roman" w:hAnsi="Times New Roman"/>
                <w:color w:val="000000"/>
                <w:spacing w:val="-2"/>
              </w:rPr>
              <w:lastRenderedPageBreak/>
              <w:t>Na koniec listopada 2021 r. działalność prowadziło:</w:t>
            </w:r>
          </w:p>
          <w:p w:rsidR="00963495" w:rsidRDefault="00963495" w:rsidP="00963495">
            <w:pPr>
              <w:spacing w:line="240" w:lineRule="auto"/>
              <w:rPr>
                <w:rFonts w:ascii="Times New Roman" w:hAnsi="Times New Roman"/>
                <w:color w:val="000000"/>
                <w:spacing w:val="-2"/>
              </w:rPr>
            </w:pPr>
            <w:r>
              <w:rPr>
                <w:rFonts w:ascii="Times New Roman" w:hAnsi="Times New Roman"/>
                <w:color w:val="000000"/>
                <w:spacing w:val="-2"/>
              </w:rPr>
              <w:t>- 30 banków komercyjnych,</w:t>
            </w:r>
          </w:p>
          <w:p w:rsidR="00963495" w:rsidRDefault="00963495" w:rsidP="00963495">
            <w:pPr>
              <w:spacing w:line="240" w:lineRule="auto"/>
              <w:rPr>
                <w:rFonts w:ascii="Times New Roman" w:hAnsi="Times New Roman"/>
                <w:color w:val="000000"/>
                <w:spacing w:val="-2"/>
              </w:rPr>
            </w:pPr>
            <w:r>
              <w:rPr>
                <w:rFonts w:ascii="Times New Roman" w:hAnsi="Times New Roman"/>
                <w:color w:val="000000"/>
                <w:spacing w:val="-2"/>
              </w:rPr>
              <w:t xml:space="preserve">- 511 banków </w:t>
            </w:r>
            <w:r>
              <w:rPr>
                <w:rFonts w:ascii="Times New Roman" w:hAnsi="Times New Roman"/>
                <w:color w:val="000000"/>
                <w:spacing w:val="-2"/>
              </w:rPr>
              <w:lastRenderedPageBreak/>
              <w:t>spółdzielczych,</w:t>
            </w:r>
          </w:p>
          <w:p w:rsidR="00963495" w:rsidRDefault="00963495" w:rsidP="00963495">
            <w:pPr>
              <w:spacing w:line="240" w:lineRule="auto"/>
              <w:rPr>
                <w:rFonts w:ascii="Times New Roman" w:hAnsi="Times New Roman"/>
                <w:color w:val="000000"/>
                <w:spacing w:val="-2"/>
              </w:rPr>
            </w:pPr>
            <w:r>
              <w:rPr>
                <w:rFonts w:ascii="Times New Roman" w:hAnsi="Times New Roman"/>
                <w:color w:val="000000"/>
                <w:spacing w:val="-2"/>
              </w:rPr>
              <w:t>- 37 oddziałów instytucji kredytowych</w:t>
            </w:r>
            <w:r>
              <w:rPr>
                <w:rStyle w:val="Odwoanieprzypisudolnego"/>
                <w:rFonts w:ascii="Times New Roman" w:hAnsi="Times New Roman"/>
                <w:color w:val="000000"/>
                <w:spacing w:val="-2"/>
              </w:rPr>
              <w:footnoteReference w:id="4"/>
            </w:r>
          </w:p>
          <w:p w:rsidR="00963495" w:rsidRPr="00A57BCB" w:rsidRDefault="00C45C54" w:rsidP="00963495">
            <w:pPr>
              <w:spacing w:line="240" w:lineRule="auto"/>
              <w:rPr>
                <w:rFonts w:ascii="Times New Roman" w:hAnsi="Times New Roman"/>
                <w:color w:val="000000"/>
                <w:spacing w:val="-2"/>
              </w:rPr>
            </w:pPr>
            <w:r>
              <w:rPr>
                <w:rFonts w:ascii="Times New Roman" w:hAnsi="Times New Roman"/>
                <w:color w:val="000000"/>
                <w:spacing w:val="-2"/>
              </w:rPr>
              <w:t>- 24 spółdzielcze kasy oszczędnościowo-kredytowe</w:t>
            </w:r>
          </w:p>
        </w:tc>
        <w:tc>
          <w:tcPr>
            <w:tcW w:w="1843" w:type="dxa"/>
            <w:gridSpan w:val="7"/>
            <w:shd w:val="clear" w:color="auto" w:fill="auto"/>
          </w:tcPr>
          <w:p w:rsidR="00963495" w:rsidRDefault="00963495" w:rsidP="00963495">
            <w:pPr>
              <w:spacing w:line="240" w:lineRule="auto"/>
              <w:rPr>
                <w:rFonts w:ascii="Times New Roman" w:hAnsi="Times New Roman"/>
                <w:color w:val="000000"/>
                <w:spacing w:val="-2"/>
              </w:rPr>
            </w:pPr>
            <w:r w:rsidRPr="00A57BCB">
              <w:rPr>
                <w:rFonts w:ascii="Times New Roman" w:hAnsi="Times New Roman"/>
                <w:color w:val="000000"/>
                <w:spacing w:val="-2"/>
              </w:rPr>
              <w:lastRenderedPageBreak/>
              <w:t>Informacje ogólnodostępne</w:t>
            </w:r>
            <w:r>
              <w:rPr>
                <w:rFonts w:ascii="Times New Roman" w:hAnsi="Times New Roman"/>
                <w:color w:val="000000"/>
                <w:spacing w:val="-2"/>
              </w:rPr>
              <w:t>_</w:t>
            </w:r>
          </w:p>
          <w:p w:rsidR="00963495" w:rsidRDefault="00963495" w:rsidP="00963495">
            <w:pPr>
              <w:spacing w:line="240" w:lineRule="auto"/>
              <w:rPr>
                <w:rFonts w:ascii="Times New Roman" w:hAnsi="Times New Roman"/>
                <w:color w:val="000000"/>
                <w:spacing w:val="-2"/>
              </w:rPr>
            </w:pPr>
            <w:r>
              <w:rPr>
                <w:rFonts w:ascii="Times New Roman" w:hAnsi="Times New Roman"/>
                <w:color w:val="000000"/>
                <w:spacing w:val="-2"/>
              </w:rPr>
              <w:t>KNF</w:t>
            </w:r>
            <w:r w:rsidR="00C45C54">
              <w:rPr>
                <w:rFonts w:ascii="Times New Roman" w:hAnsi="Times New Roman"/>
                <w:color w:val="000000"/>
                <w:spacing w:val="-2"/>
              </w:rPr>
              <w:t xml:space="preserve"> -</w:t>
            </w:r>
            <w:r>
              <w:rPr>
                <w:rFonts w:ascii="Times New Roman" w:hAnsi="Times New Roman"/>
                <w:color w:val="000000"/>
                <w:spacing w:val="-2"/>
              </w:rPr>
              <w:t xml:space="preserve"> dane miesięczne </w:t>
            </w:r>
            <w:r>
              <w:rPr>
                <w:rFonts w:ascii="Times New Roman" w:hAnsi="Times New Roman"/>
                <w:color w:val="000000"/>
                <w:spacing w:val="-2"/>
              </w:rPr>
              <w:lastRenderedPageBreak/>
              <w:t>sektora bankowego listopad 2021</w:t>
            </w:r>
            <w:r w:rsidR="007B2F1D">
              <w:rPr>
                <w:rFonts w:ascii="Times New Roman" w:hAnsi="Times New Roman"/>
                <w:color w:val="000000"/>
                <w:spacing w:val="-2"/>
              </w:rPr>
              <w:t>;</w:t>
            </w:r>
          </w:p>
          <w:p w:rsidR="007B2F1D" w:rsidRPr="00A57BCB" w:rsidRDefault="00C45C54" w:rsidP="00963495">
            <w:pPr>
              <w:spacing w:line="240" w:lineRule="auto"/>
              <w:rPr>
                <w:rFonts w:ascii="Times New Roman" w:hAnsi="Times New Roman"/>
                <w:color w:val="000000"/>
                <w:spacing w:val="-2"/>
              </w:rPr>
            </w:pPr>
            <w:r>
              <w:rPr>
                <w:rFonts w:ascii="Times New Roman" w:hAnsi="Times New Roman"/>
                <w:color w:val="000000"/>
                <w:spacing w:val="-2"/>
              </w:rPr>
              <w:t>Podmioty sektora kas spółdzielczych</w:t>
            </w:r>
          </w:p>
        </w:tc>
        <w:tc>
          <w:tcPr>
            <w:tcW w:w="4699" w:type="dxa"/>
            <w:gridSpan w:val="13"/>
            <w:shd w:val="clear" w:color="auto" w:fill="auto"/>
          </w:tcPr>
          <w:p w:rsidR="00963495" w:rsidRPr="00A57BCB" w:rsidRDefault="00963495" w:rsidP="00963495">
            <w:pPr>
              <w:spacing w:line="240" w:lineRule="auto"/>
              <w:jc w:val="both"/>
              <w:rPr>
                <w:rFonts w:ascii="Times New Roman" w:hAnsi="Times New Roman"/>
                <w:color w:val="000000"/>
                <w:spacing w:val="-2"/>
              </w:rPr>
            </w:pPr>
            <w:r w:rsidRPr="00A57BCB">
              <w:rPr>
                <w:rFonts w:ascii="Times New Roman" w:hAnsi="Times New Roman"/>
                <w:color w:val="000000"/>
                <w:spacing w:val="-2"/>
              </w:rPr>
              <w:lastRenderedPageBreak/>
              <w:t xml:space="preserve">W przypadku naliczenia przez bank dodatkowych opłat lub prowizji związanych z oczekiwaniem na wpis do księgi wieczystej ustanawianej na rzecz tego banku hipoteki zabezpieczającej spłatę kredytu </w:t>
            </w:r>
            <w:r w:rsidRPr="00A57BCB">
              <w:rPr>
                <w:rFonts w:ascii="Times New Roman" w:hAnsi="Times New Roman"/>
                <w:color w:val="000000"/>
                <w:spacing w:val="-2"/>
              </w:rPr>
              <w:lastRenderedPageBreak/>
              <w:t xml:space="preserve">udzielonego konsumentowi, projektuje się aby pobrane z tego tytułu opłaty lub prowizje, </w:t>
            </w:r>
            <w:r w:rsidRPr="00A57BCB">
              <w:rPr>
                <w:rFonts w:ascii="Times New Roman" w:hAnsi="Times New Roman"/>
                <w:color w:val="000000"/>
                <w:spacing w:val="-2"/>
              </w:rPr>
              <w:br/>
              <w:t>po dokonaniu wpisu hipoteki, podlegały zwrotowi lub zaliczeniu na poczet innych należności obciążających kredytobiorcę.</w:t>
            </w:r>
          </w:p>
        </w:tc>
      </w:tr>
      <w:tr w:rsidR="00963495" w:rsidRPr="00A57BCB" w:rsidTr="00B54CCF">
        <w:trPr>
          <w:gridAfter w:val="1"/>
          <w:wAfter w:w="10" w:type="dxa"/>
          <w:trHeight w:val="142"/>
        </w:trPr>
        <w:tc>
          <w:tcPr>
            <w:tcW w:w="1702" w:type="dxa"/>
            <w:shd w:val="clear" w:color="auto" w:fill="auto"/>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spacing w:val="-2"/>
              </w:rPr>
              <w:lastRenderedPageBreak/>
              <w:t>Kredytobiorcy</w:t>
            </w:r>
            <w:r w:rsidRPr="00A57BCB">
              <w:rPr>
                <w:rFonts w:ascii="Times New Roman" w:hAnsi="Times New Roman"/>
                <w:color w:val="000000"/>
              </w:rPr>
              <w:t xml:space="preserve"> </w:t>
            </w:r>
          </w:p>
          <w:p w:rsidR="00963495" w:rsidRPr="00A57BCB" w:rsidRDefault="00963495" w:rsidP="00963495">
            <w:pPr>
              <w:spacing w:line="240" w:lineRule="auto"/>
              <w:rPr>
                <w:rFonts w:ascii="Times New Roman" w:hAnsi="Times New Roman"/>
                <w:color w:val="000000"/>
                <w:spacing w:val="-2"/>
              </w:rPr>
            </w:pPr>
            <w:r w:rsidRPr="00A57BCB">
              <w:rPr>
                <w:rFonts w:ascii="Times New Roman" w:hAnsi="Times New Roman"/>
                <w:color w:val="000000"/>
              </w:rPr>
              <w:t>(kredyty hipoteczne)</w:t>
            </w:r>
          </w:p>
        </w:tc>
        <w:tc>
          <w:tcPr>
            <w:tcW w:w="2693" w:type="dxa"/>
            <w:gridSpan w:val="7"/>
            <w:shd w:val="clear" w:color="auto" w:fill="auto"/>
          </w:tcPr>
          <w:p w:rsidR="00963495" w:rsidRDefault="00963495" w:rsidP="00963495">
            <w:pPr>
              <w:spacing w:line="240" w:lineRule="auto"/>
              <w:rPr>
                <w:rFonts w:ascii="Times New Roman" w:hAnsi="Times New Roman"/>
                <w:color w:val="000000"/>
                <w:spacing w:val="-2"/>
              </w:rPr>
            </w:pPr>
            <w:r>
              <w:rPr>
                <w:rFonts w:ascii="Times New Roman" w:hAnsi="Times New Roman"/>
                <w:color w:val="000000"/>
                <w:spacing w:val="-2"/>
              </w:rPr>
              <w:t xml:space="preserve">Ok. </w:t>
            </w:r>
            <w:r w:rsidRPr="00A57BCB">
              <w:rPr>
                <w:rFonts w:ascii="Times New Roman" w:hAnsi="Times New Roman"/>
                <w:color w:val="000000"/>
                <w:spacing w:val="-2"/>
              </w:rPr>
              <w:t>200 tysięcy</w:t>
            </w:r>
          </w:p>
          <w:p w:rsidR="00963495" w:rsidRDefault="00963495" w:rsidP="00963495">
            <w:pPr>
              <w:spacing w:line="240" w:lineRule="auto"/>
              <w:rPr>
                <w:rFonts w:ascii="Times New Roman" w:hAnsi="Times New Roman"/>
                <w:color w:val="000000"/>
                <w:spacing w:val="-2"/>
              </w:rPr>
            </w:pPr>
          </w:p>
          <w:p w:rsidR="00963495" w:rsidRPr="00A57BCB" w:rsidRDefault="00963495" w:rsidP="00963495">
            <w:pPr>
              <w:spacing w:line="240" w:lineRule="auto"/>
              <w:rPr>
                <w:rFonts w:ascii="Times New Roman" w:hAnsi="Times New Roman"/>
                <w:color w:val="000000"/>
                <w:spacing w:val="-2"/>
              </w:rPr>
            </w:pPr>
            <w:r>
              <w:rPr>
                <w:rFonts w:ascii="Times New Roman" w:hAnsi="Times New Roman"/>
                <w:color w:val="000000"/>
                <w:spacing w:val="-2"/>
              </w:rPr>
              <w:t>(zakładana liczba nowo udzielonych kredytów mieszkaniowych (na podstawie danych z 2020 r.))</w:t>
            </w:r>
          </w:p>
        </w:tc>
        <w:tc>
          <w:tcPr>
            <w:tcW w:w="1843" w:type="dxa"/>
            <w:gridSpan w:val="7"/>
            <w:shd w:val="clear" w:color="auto" w:fill="auto"/>
          </w:tcPr>
          <w:p w:rsidR="00963495" w:rsidRPr="00A57BCB" w:rsidRDefault="00963495" w:rsidP="00963495">
            <w:pPr>
              <w:spacing w:line="240" w:lineRule="auto"/>
              <w:rPr>
                <w:rFonts w:ascii="Times New Roman" w:hAnsi="Times New Roman"/>
                <w:color w:val="000000"/>
                <w:spacing w:val="-2"/>
              </w:rPr>
            </w:pPr>
            <w:r w:rsidRPr="00A57BCB">
              <w:rPr>
                <w:rFonts w:ascii="Times New Roman" w:hAnsi="Times New Roman"/>
                <w:color w:val="000000"/>
                <w:spacing w:val="-2"/>
              </w:rPr>
              <w:t>Informacje ogólnodostępne</w:t>
            </w:r>
          </w:p>
        </w:tc>
        <w:tc>
          <w:tcPr>
            <w:tcW w:w="4699" w:type="dxa"/>
            <w:gridSpan w:val="13"/>
            <w:shd w:val="clear" w:color="auto" w:fill="auto"/>
          </w:tcPr>
          <w:p w:rsidR="00963495" w:rsidRDefault="00963495" w:rsidP="00963495">
            <w:pPr>
              <w:spacing w:line="240" w:lineRule="auto"/>
              <w:jc w:val="both"/>
              <w:rPr>
                <w:rFonts w:ascii="Times New Roman" w:hAnsi="Times New Roman"/>
                <w:color w:val="000000"/>
                <w:spacing w:val="-2"/>
              </w:rPr>
            </w:pPr>
            <w:r w:rsidRPr="00A57BCB">
              <w:rPr>
                <w:rFonts w:ascii="Times New Roman" w:hAnsi="Times New Roman"/>
                <w:color w:val="000000"/>
                <w:spacing w:val="-2"/>
              </w:rPr>
              <w:t xml:space="preserve">Możliwość uzyskania zwrotu dodatkowo poniesionych kosztów z tytułu prowizji związanej </w:t>
            </w:r>
            <w:r w:rsidRPr="00A57BCB">
              <w:rPr>
                <w:rFonts w:ascii="Times New Roman" w:hAnsi="Times New Roman"/>
                <w:color w:val="000000"/>
                <w:spacing w:val="-2"/>
              </w:rPr>
              <w:br/>
              <w:t>z oczekiwaniem na wpis do księgi wieczystej .</w:t>
            </w:r>
          </w:p>
          <w:p w:rsidR="00963495" w:rsidRDefault="00963495" w:rsidP="00963495">
            <w:pPr>
              <w:spacing w:line="240" w:lineRule="auto"/>
              <w:jc w:val="both"/>
              <w:rPr>
                <w:rFonts w:ascii="Times New Roman" w:hAnsi="Times New Roman"/>
                <w:color w:val="000000"/>
                <w:spacing w:val="-2"/>
              </w:rPr>
            </w:pPr>
          </w:p>
          <w:p w:rsidR="00963495" w:rsidRPr="00A57BCB" w:rsidRDefault="00963495" w:rsidP="00963495">
            <w:pPr>
              <w:spacing w:line="240" w:lineRule="auto"/>
              <w:jc w:val="both"/>
              <w:rPr>
                <w:rFonts w:ascii="Times New Roman" w:hAnsi="Times New Roman"/>
                <w:color w:val="000000"/>
                <w:spacing w:val="-2"/>
              </w:rPr>
            </w:pPr>
            <w:r w:rsidRPr="009D6141">
              <w:rPr>
                <w:rFonts w:ascii="Times New Roman" w:hAnsi="Times New Roman"/>
                <w:color w:val="000000"/>
                <w:spacing w:val="-2"/>
              </w:rPr>
              <w:t xml:space="preserve">Konsument nie będzie ponosił ryzyka związanego z okolicznościami od niego niezależnymi, za ryzyko, które się nie spełniło. Skoro konsument złożył wniosek, a wpis został dokonany, to nie ma podstaw do obciążania klienta. W sytuacji, kiedy sąd dokona wpisu do księgi wieczystej, </w:t>
            </w:r>
            <w:r>
              <w:rPr>
                <w:rFonts w:ascii="Times New Roman" w:hAnsi="Times New Roman"/>
                <w:color w:val="000000"/>
                <w:spacing w:val="-2"/>
              </w:rPr>
              <w:t xml:space="preserve">a </w:t>
            </w:r>
            <w:r w:rsidRPr="009D6141">
              <w:rPr>
                <w:rFonts w:ascii="Times New Roman" w:hAnsi="Times New Roman"/>
                <w:color w:val="000000"/>
                <w:spacing w:val="-2"/>
              </w:rPr>
              <w:t>bank otrzym</w:t>
            </w:r>
            <w:r>
              <w:rPr>
                <w:rFonts w:ascii="Times New Roman" w:hAnsi="Times New Roman"/>
                <w:color w:val="000000"/>
                <w:spacing w:val="-2"/>
              </w:rPr>
              <w:t>a</w:t>
            </w:r>
            <w:r w:rsidRPr="009D6141">
              <w:rPr>
                <w:rFonts w:ascii="Times New Roman" w:hAnsi="Times New Roman"/>
                <w:color w:val="000000"/>
                <w:spacing w:val="-2"/>
              </w:rPr>
              <w:t xml:space="preserve"> zabezpieczenie udzielonego kredytu</w:t>
            </w:r>
            <w:r>
              <w:rPr>
                <w:rFonts w:ascii="Times New Roman" w:hAnsi="Times New Roman"/>
                <w:color w:val="000000"/>
                <w:spacing w:val="-2"/>
              </w:rPr>
              <w:t xml:space="preserve">, kredytobiorca </w:t>
            </w:r>
            <w:r w:rsidRPr="009D6141">
              <w:rPr>
                <w:rFonts w:ascii="Times New Roman" w:hAnsi="Times New Roman"/>
                <w:color w:val="000000"/>
                <w:spacing w:val="-2"/>
              </w:rPr>
              <w:t xml:space="preserve"> </w:t>
            </w:r>
            <w:r>
              <w:rPr>
                <w:rFonts w:ascii="Times New Roman" w:hAnsi="Times New Roman"/>
                <w:color w:val="000000"/>
                <w:spacing w:val="-2"/>
              </w:rPr>
              <w:t>otrzyma</w:t>
            </w:r>
            <w:r w:rsidRPr="009D6141">
              <w:rPr>
                <w:rFonts w:ascii="Times New Roman" w:hAnsi="Times New Roman"/>
                <w:color w:val="000000"/>
                <w:spacing w:val="-2"/>
              </w:rPr>
              <w:t xml:space="preserve"> zwrot</w:t>
            </w:r>
            <w:r>
              <w:rPr>
                <w:rFonts w:ascii="Times New Roman" w:hAnsi="Times New Roman"/>
                <w:color w:val="000000"/>
                <w:spacing w:val="-2"/>
              </w:rPr>
              <w:t xml:space="preserve"> opłaty</w:t>
            </w:r>
            <w:r w:rsidRPr="009D6141">
              <w:rPr>
                <w:rFonts w:ascii="Times New Roman" w:hAnsi="Times New Roman"/>
                <w:color w:val="000000"/>
                <w:spacing w:val="-2"/>
              </w:rPr>
              <w:t xml:space="preserve"> </w:t>
            </w:r>
            <w:r>
              <w:rPr>
                <w:rFonts w:ascii="Times New Roman" w:hAnsi="Times New Roman"/>
                <w:color w:val="000000"/>
                <w:spacing w:val="-2"/>
              </w:rPr>
              <w:t>(</w:t>
            </w:r>
            <w:r w:rsidRPr="009D6141">
              <w:rPr>
                <w:rFonts w:ascii="Times New Roman" w:hAnsi="Times New Roman"/>
                <w:color w:val="000000"/>
                <w:spacing w:val="-2"/>
              </w:rPr>
              <w:t>rozliczeni</w:t>
            </w:r>
            <w:r>
              <w:rPr>
                <w:rFonts w:ascii="Times New Roman" w:hAnsi="Times New Roman"/>
                <w:color w:val="000000"/>
                <w:spacing w:val="-2"/>
              </w:rPr>
              <w:t>e</w:t>
            </w:r>
            <w:r w:rsidRPr="009D6141">
              <w:rPr>
                <w:rFonts w:ascii="Times New Roman" w:hAnsi="Times New Roman"/>
                <w:color w:val="000000"/>
                <w:spacing w:val="-2"/>
              </w:rPr>
              <w:t xml:space="preserve"> poniesionych przez klienta opłat z tytułu zwiększonych na czas oczekiwania na wpis kosztów</w:t>
            </w:r>
            <w:r>
              <w:rPr>
                <w:rFonts w:ascii="Times New Roman" w:hAnsi="Times New Roman"/>
                <w:color w:val="000000"/>
                <w:spacing w:val="-2"/>
              </w:rPr>
              <w:t>).</w:t>
            </w:r>
          </w:p>
        </w:tc>
      </w:tr>
      <w:tr w:rsidR="00963495" w:rsidRPr="00A57BCB" w:rsidTr="00676C8D">
        <w:trPr>
          <w:gridAfter w:val="1"/>
          <w:wAfter w:w="10" w:type="dxa"/>
          <w:trHeight w:val="302"/>
        </w:trPr>
        <w:tc>
          <w:tcPr>
            <w:tcW w:w="10937" w:type="dxa"/>
            <w:gridSpan w:val="28"/>
            <w:shd w:val="clear" w:color="auto" w:fill="99CCFF"/>
            <w:vAlign w:val="center"/>
          </w:tcPr>
          <w:p w:rsidR="00963495" w:rsidRPr="00A57BCB" w:rsidRDefault="00963495" w:rsidP="00963495">
            <w:pPr>
              <w:numPr>
                <w:ilvl w:val="0"/>
                <w:numId w:val="6"/>
              </w:numPr>
              <w:spacing w:before="60" w:after="60" w:line="240" w:lineRule="auto"/>
              <w:ind w:left="318" w:hanging="284"/>
              <w:jc w:val="both"/>
              <w:rPr>
                <w:rFonts w:ascii="Times New Roman" w:hAnsi="Times New Roman"/>
                <w:b/>
                <w:color w:val="000000"/>
              </w:rPr>
            </w:pPr>
            <w:r w:rsidRPr="00A57BCB">
              <w:rPr>
                <w:rFonts w:ascii="Times New Roman" w:hAnsi="Times New Roman"/>
                <w:b/>
                <w:color w:val="000000"/>
              </w:rPr>
              <w:t>Informacje na temat zakresu, czasu trwania i podsumowanie wyników konsultacji</w:t>
            </w:r>
          </w:p>
        </w:tc>
      </w:tr>
      <w:tr w:rsidR="00963495" w:rsidRPr="00A57BCB" w:rsidTr="00676C8D">
        <w:trPr>
          <w:gridAfter w:val="1"/>
          <w:wAfter w:w="10" w:type="dxa"/>
          <w:trHeight w:val="342"/>
        </w:trPr>
        <w:tc>
          <w:tcPr>
            <w:tcW w:w="10937" w:type="dxa"/>
            <w:gridSpan w:val="28"/>
            <w:shd w:val="clear" w:color="auto" w:fill="FFFFFF"/>
          </w:tcPr>
          <w:p w:rsidR="00963495" w:rsidRDefault="0015490D" w:rsidP="00963495">
            <w:pPr>
              <w:spacing w:line="240" w:lineRule="auto"/>
              <w:jc w:val="both"/>
              <w:rPr>
                <w:rFonts w:ascii="Times New Roman" w:hAnsi="Times New Roman"/>
                <w:color w:val="000000"/>
                <w:spacing w:val="-2"/>
              </w:rPr>
            </w:pPr>
            <w:r w:rsidRPr="0015490D">
              <w:rPr>
                <w:rFonts w:ascii="Times New Roman" w:hAnsi="Times New Roman"/>
                <w:color w:val="000000"/>
                <w:spacing w:val="-2"/>
              </w:rPr>
              <w:t>Projekt zostanie zamieszczony w Biuletynie Informacji Publicznej Rządowego Centrum Legislacji, stosownie do wymogów art. 5 ustawy z dnia 7 lipca 2005 r. o działalności lobbingowej w procesie stanowienia prawa (Dz. U. z 2017 r. poz. 248) oraz § 52 ust. 1 uchwały nr 190 Rady Ministrów z dnia 29 października 2013 r. – Regulamin pracy Rady Ministrów (M. P. z 2016 r. poz. 1006, z późn. zm.).</w:t>
            </w:r>
          </w:p>
          <w:p w:rsidR="0015490D" w:rsidRDefault="0015490D" w:rsidP="00963495">
            <w:pPr>
              <w:spacing w:line="240" w:lineRule="auto"/>
              <w:jc w:val="both"/>
              <w:rPr>
                <w:rFonts w:ascii="Times New Roman" w:hAnsi="Times New Roman"/>
                <w:color w:val="000000"/>
                <w:spacing w:val="-2"/>
              </w:rPr>
            </w:pPr>
          </w:p>
          <w:p w:rsidR="0015490D" w:rsidRPr="0015490D" w:rsidRDefault="0015490D" w:rsidP="0015490D">
            <w:pPr>
              <w:spacing w:after="60" w:line="240" w:lineRule="auto"/>
              <w:jc w:val="both"/>
              <w:rPr>
                <w:rFonts w:ascii="Times New Roman" w:hAnsi="Times New Roman"/>
                <w:color w:val="000000"/>
                <w:spacing w:val="-2"/>
              </w:rPr>
            </w:pPr>
            <w:r w:rsidRPr="0015490D">
              <w:rPr>
                <w:rFonts w:ascii="Times New Roman" w:hAnsi="Times New Roman"/>
                <w:color w:val="000000"/>
                <w:spacing w:val="-2"/>
              </w:rPr>
              <w:t>Projekt zostanie skierowany do konsultacji publicznych przedstawionym poniżej podmiotom:</w:t>
            </w:r>
          </w:p>
          <w:p w:rsidR="0015490D" w:rsidRPr="0015490D" w:rsidRDefault="0015490D" w:rsidP="0015490D">
            <w:pPr>
              <w:numPr>
                <w:ilvl w:val="0"/>
                <w:numId w:val="26"/>
              </w:numPr>
              <w:spacing w:after="60" w:line="240" w:lineRule="auto"/>
              <w:ind w:left="459" w:hanging="357"/>
              <w:jc w:val="both"/>
              <w:rPr>
                <w:rFonts w:ascii="Times New Roman" w:hAnsi="Times New Roman"/>
                <w:color w:val="000000"/>
                <w:spacing w:val="-2"/>
              </w:rPr>
            </w:pPr>
            <w:r w:rsidRPr="0015490D">
              <w:rPr>
                <w:rFonts w:ascii="Times New Roman" w:hAnsi="Times New Roman"/>
                <w:color w:val="000000"/>
                <w:spacing w:val="-2"/>
              </w:rPr>
              <w:t>Związek Banków Polskich,</w:t>
            </w:r>
          </w:p>
          <w:p w:rsidR="0015490D" w:rsidRPr="0015490D" w:rsidRDefault="0015490D" w:rsidP="0015490D">
            <w:pPr>
              <w:numPr>
                <w:ilvl w:val="0"/>
                <w:numId w:val="26"/>
              </w:numPr>
              <w:spacing w:after="60" w:line="240" w:lineRule="auto"/>
              <w:ind w:left="459" w:hanging="357"/>
              <w:jc w:val="both"/>
              <w:rPr>
                <w:rFonts w:ascii="Times New Roman" w:hAnsi="Times New Roman"/>
                <w:color w:val="000000"/>
                <w:spacing w:val="-2"/>
              </w:rPr>
            </w:pPr>
            <w:r w:rsidRPr="0015490D">
              <w:rPr>
                <w:rFonts w:ascii="Times New Roman" w:hAnsi="Times New Roman"/>
                <w:color w:val="000000"/>
                <w:spacing w:val="-2"/>
              </w:rPr>
              <w:t>Krajowa Izba Gospodarcza,</w:t>
            </w:r>
          </w:p>
          <w:p w:rsidR="0015490D" w:rsidRPr="0015490D" w:rsidRDefault="0015490D" w:rsidP="0015490D">
            <w:pPr>
              <w:numPr>
                <w:ilvl w:val="0"/>
                <w:numId w:val="26"/>
              </w:numPr>
              <w:spacing w:after="60" w:line="240" w:lineRule="auto"/>
              <w:ind w:left="459" w:hanging="357"/>
              <w:jc w:val="both"/>
              <w:rPr>
                <w:rFonts w:ascii="Times New Roman" w:hAnsi="Times New Roman"/>
                <w:color w:val="000000"/>
                <w:spacing w:val="-2"/>
              </w:rPr>
            </w:pPr>
            <w:r w:rsidRPr="0015490D">
              <w:rPr>
                <w:rFonts w:ascii="Times New Roman" w:hAnsi="Times New Roman"/>
                <w:color w:val="000000"/>
                <w:spacing w:val="-2"/>
              </w:rPr>
              <w:t>Polska Konfederacja Pracodawców Prywatnych „Lewiatan”,</w:t>
            </w:r>
          </w:p>
          <w:p w:rsidR="0015490D" w:rsidRPr="0015490D" w:rsidRDefault="0015490D" w:rsidP="0015490D">
            <w:pPr>
              <w:numPr>
                <w:ilvl w:val="0"/>
                <w:numId w:val="26"/>
              </w:numPr>
              <w:spacing w:after="60" w:line="240" w:lineRule="auto"/>
              <w:ind w:left="459" w:hanging="357"/>
              <w:jc w:val="both"/>
              <w:rPr>
                <w:rFonts w:ascii="Times New Roman" w:hAnsi="Times New Roman"/>
                <w:color w:val="000000"/>
                <w:spacing w:val="-2"/>
              </w:rPr>
            </w:pPr>
            <w:r w:rsidRPr="0015490D">
              <w:rPr>
                <w:rFonts w:ascii="Times New Roman" w:hAnsi="Times New Roman"/>
                <w:color w:val="000000"/>
                <w:spacing w:val="-2"/>
              </w:rPr>
              <w:t>Polska Rada Biznesu,</w:t>
            </w:r>
          </w:p>
          <w:p w:rsidR="0015490D" w:rsidRPr="0015490D" w:rsidRDefault="0015490D" w:rsidP="0015490D">
            <w:pPr>
              <w:numPr>
                <w:ilvl w:val="0"/>
                <w:numId w:val="26"/>
              </w:numPr>
              <w:spacing w:after="60" w:line="240" w:lineRule="auto"/>
              <w:ind w:left="459" w:hanging="357"/>
              <w:jc w:val="both"/>
              <w:rPr>
                <w:rFonts w:ascii="Times New Roman" w:hAnsi="Times New Roman"/>
                <w:color w:val="000000"/>
                <w:spacing w:val="-2"/>
              </w:rPr>
            </w:pPr>
            <w:r w:rsidRPr="0015490D">
              <w:rPr>
                <w:rFonts w:ascii="Times New Roman" w:hAnsi="Times New Roman"/>
                <w:color w:val="000000"/>
                <w:spacing w:val="-2"/>
              </w:rPr>
              <w:t>Biuro Informacji Kredytowej,</w:t>
            </w:r>
          </w:p>
          <w:p w:rsidR="0015490D" w:rsidRPr="0015490D" w:rsidRDefault="0015490D" w:rsidP="0015490D">
            <w:pPr>
              <w:numPr>
                <w:ilvl w:val="0"/>
                <w:numId w:val="26"/>
              </w:numPr>
              <w:spacing w:after="60" w:line="240" w:lineRule="auto"/>
              <w:ind w:left="459" w:hanging="357"/>
              <w:jc w:val="both"/>
              <w:rPr>
                <w:rFonts w:ascii="Times New Roman" w:hAnsi="Times New Roman"/>
                <w:color w:val="000000"/>
                <w:spacing w:val="-2"/>
              </w:rPr>
            </w:pPr>
            <w:r w:rsidRPr="0015490D">
              <w:rPr>
                <w:rFonts w:ascii="Times New Roman" w:hAnsi="Times New Roman"/>
                <w:color w:val="000000"/>
                <w:spacing w:val="-2"/>
              </w:rPr>
              <w:t>Fundacja im. Stefana Batorego,</w:t>
            </w:r>
          </w:p>
          <w:p w:rsidR="0015490D" w:rsidRPr="0015490D" w:rsidRDefault="0015490D" w:rsidP="0015490D">
            <w:pPr>
              <w:numPr>
                <w:ilvl w:val="0"/>
                <w:numId w:val="26"/>
              </w:numPr>
              <w:spacing w:after="60" w:line="240" w:lineRule="auto"/>
              <w:ind w:left="459" w:hanging="357"/>
              <w:jc w:val="both"/>
              <w:rPr>
                <w:rFonts w:ascii="Times New Roman" w:hAnsi="Times New Roman"/>
                <w:color w:val="000000"/>
                <w:spacing w:val="-2"/>
              </w:rPr>
            </w:pPr>
            <w:r w:rsidRPr="0015490D">
              <w:rPr>
                <w:rFonts w:ascii="Times New Roman" w:hAnsi="Times New Roman"/>
                <w:color w:val="000000"/>
                <w:spacing w:val="-2"/>
              </w:rPr>
              <w:t>Fundacja na Rzecz Bezpiecznego Obrotu Prawnego,</w:t>
            </w:r>
          </w:p>
          <w:p w:rsidR="0015490D" w:rsidRPr="0015490D" w:rsidRDefault="0015490D" w:rsidP="0015490D">
            <w:pPr>
              <w:numPr>
                <w:ilvl w:val="0"/>
                <w:numId w:val="26"/>
              </w:numPr>
              <w:spacing w:after="60" w:line="240" w:lineRule="auto"/>
              <w:ind w:left="459" w:hanging="357"/>
              <w:jc w:val="both"/>
              <w:rPr>
                <w:rFonts w:ascii="Times New Roman" w:hAnsi="Times New Roman"/>
                <w:color w:val="000000"/>
                <w:spacing w:val="-2"/>
              </w:rPr>
            </w:pPr>
            <w:r w:rsidRPr="0015490D">
              <w:rPr>
                <w:rFonts w:ascii="Times New Roman" w:hAnsi="Times New Roman"/>
                <w:color w:val="000000"/>
                <w:spacing w:val="-2"/>
              </w:rPr>
              <w:t>Konfederacja Lewiatan,</w:t>
            </w:r>
          </w:p>
          <w:p w:rsidR="0015490D" w:rsidRPr="0015490D" w:rsidRDefault="0015490D" w:rsidP="0015490D">
            <w:pPr>
              <w:numPr>
                <w:ilvl w:val="0"/>
                <w:numId w:val="26"/>
              </w:numPr>
              <w:spacing w:after="60" w:line="240" w:lineRule="auto"/>
              <w:ind w:left="459" w:hanging="357"/>
              <w:jc w:val="both"/>
              <w:rPr>
                <w:rFonts w:ascii="Times New Roman" w:hAnsi="Times New Roman"/>
                <w:color w:val="000000"/>
                <w:spacing w:val="-2"/>
              </w:rPr>
            </w:pPr>
            <w:r w:rsidRPr="0015490D">
              <w:rPr>
                <w:rFonts w:ascii="Times New Roman" w:hAnsi="Times New Roman"/>
                <w:color w:val="000000"/>
                <w:spacing w:val="-2"/>
              </w:rPr>
              <w:t>Pracodawcy Rzeczypospolitej Polskiej,</w:t>
            </w:r>
          </w:p>
          <w:p w:rsidR="0015490D" w:rsidRPr="0015490D" w:rsidRDefault="0015490D" w:rsidP="0015490D">
            <w:pPr>
              <w:numPr>
                <w:ilvl w:val="0"/>
                <w:numId w:val="26"/>
              </w:numPr>
              <w:spacing w:after="60" w:line="240" w:lineRule="auto"/>
              <w:ind w:left="459" w:hanging="357"/>
              <w:jc w:val="both"/>
              <w:rPr>
                <w:rFonts w:ascii="Times New Roman" w:hAnsi="Times New Roman"/>
                <w:color w:val="000000"/>
                <w:spacing w:val="-2"/>
              </w:rPr>
            </w:pPr>
            <w:r w:rsidRPr="0015490D">
              <w:rPr>
                <w:rFonts w:ascii="Times New Roman" w:hAnsi="Times New Roman"/>
                <w:color w:val="000000"/>
                <w:spacing w:val="-2"/>
              </w:rPr>
              <w:t>Związek Pracodawców Business Centre Club,</w:t>
            </w:r>
          </w:p>
          <w:p w:rsidR="0015490D" w:rsidRPr="0015490D" w:rsidRDefault="0015490D" w:rsidP="0015490D">
            <w:pPr>
              <w:numPr>
                <w:ilvl w:val="0"/>
                <w:numId w:val="26"/>
              </w:numPr>
              <w:spacing w:after="60" w:line="240" w:lineRule="auto"/>
              <w:ind w:left="459" w:hanging="357"/>
              <w:jc w:val="both"/>
              <w:rPr>
                <w:rFonts w:ascii="Times New Roman" w:hAnsi="Times New Roman"/>
                <w:color w:val="000000"/>
                <w:spacing w:val="-2"/>
              </w:rPr>
            </w:pPr>
            <w:r w:rsidRPr="0015490D">
              <w:rPr>
                <w:rFonts w:ascii="Times New Roman" w:hAnsi="Times New Roman"/>
                <w:color w:val="000000"/>
                <w:spacing w:val="-2"/>
              </w:rPr>
              <w:t>Związek Przedsiębiorców i Pracodawców,</w:t>
            </w:r>
          </w:p>
          <w:p w:rsidR="0015490D" w:rsidRPr="0015490D" w:rsidRDefault="0015490D" w:rsidP="0015490D">
            <w:pPr>
              <w:numPr>
                <w:ilvl w:val="0"/>
                <w:numId w:val="26"/>
              </w:numPr>
              <w:spacing w:after="60" w:line="240" w:lineRule="auto"/>
              <w:ind w:left="459" w:hanging="357"/>
              <w:jc w:val="both"/>
              <w:rPr>
                <w:rFonts w:ascii="Times New Roman" w:hAnsi="Times New Roman"/>
                <w:color w:val="000000"/>
                <w:spacing w:val="-2"/>
              </w:rPr>
            </w:pPr>
            <w:r w:rsidRPr="0015490D">
              <w:rPr>
                <w:rFonts w:ascii="Times New Roman" w:hAnsi="Times New Roman"/>
                <w:color w:val="000000"/>
                <w:spacing w:val="-2"/>
              </w:rPr>
              <w:t>Federacja Przedsiębiorców Polskich,</w:t>
            </w:r>
          </w:p>
          <w:p w:rsidR="0015490D" w:rsidRPr="0015490D" w:rsidRDefault="0015490D" w:rsidP="0015490D">
            <w:pPr>
              <w:numPr>
                <w:ilvl w:val="0"/>
                <w:numId w:val="26"/>
              </w:numPr>
              <w:spacing w:after="60" w:line="240" w:lineRule="auto"/>
              <w:ind w:left="459" w:hanging="357"/>
              <w:jc w:val="both"/>
              <w:rPr>
                <w:rFonts w:ascii="Times New Roman" w:hAnsi="Times New Roman"/>
                <w:color w:val="000000"/>
                <w:spacing w:val="-2"/>
              </w:rPr>
            </w:pPr>
            <w:r w:rsidRPr="0015490D">
              <w:rPr>
                <w:rFonts w:ascii="Times New Roman" w:hAnsi="Times New Roman"/>
                <w:color w:val="000000"/>
                <w:spacing w:val="-2"/>
              </w:rPr>
              <w:t>Kongres Polskiego Biznesu,</w:t>
            </w:r>
          </w:p>
          <w:p w:rsidR="0015490D" w:rsidRPr="0015490D" w:rsidRDefault="0015490D" w:rsidP="0015490D">
            <w:pPr>
              <w:numPr>
                <w:ilvl w:val="0"/>
                <w:numId w:val="26"/>
              </w:numPr>
              <w:spacing w:after="60" w:line="240" w:lineRule="auto"/>
              <w:ind w:left="459" w:hanging="357"/>
              <w:jc w:val="both"/>
              <w:rPr>
                <w:rFonts w:ascii="Times New Roman" w:hAnsi="Times New Roman"/>
                <w:color w:val="000000"/>
                <w:spacing w:val="-2"/>
              </w:rPr>
            </w:pPr>
            <w:r w:rsidRPr="0015490D">
              <w:rPr>
                <w:rFonts w:ascii="Times New Roman" w:hAnsi="Times New Roman"/>
                <w:color w:val="000000"/>
                <w:spacing w:val="-2"/>
              </w:rPr>
              <w:t>Krajowa Spółdzielcza Kasa Oszczędnościowo-Kredytowa,</w:t>
            </w:r>
          </w:p>
          <w:p w:rsidR="0015490D" w:rsidRPr="0015490D" w:rsidRDefault="0015490D" w:rsidP="0015490D">
            <w:pPr>
              <w:numPr>
                <w:ilvl w:val="0"/>
                <w:numId w:val="26"/>
              </w:numPr>
              <w:spacing w:after="60" w:line="240" w:lineRule="auto"/>
              <w:ind w:left="459" w:hanging="357"/>
              <w:jc w:val="both"/>
              <w:rPr>
                <w:rFonts w:ascii="Times New Roman" w:hAnsi="Times New Roman"/>
                <w:color w:val="000000"/>
                <w:spacing w:val="-2"/>
              </w:rPr>
            </w:pPr>
            <w:r w:rsidRPr="0015490D">
              <w:rPr>
                <w:rFonts w:ascii="Times New Roman" w:hAnsi="Times New Roman"/>
                <w:color w:val="000000"/>
                <w:spacing w:val="-2"/>
              </w:rPr>
              <w:t>Związek Przedsiębiorstw Finansowych w Polsce,</w:t>
            </w:r>
          </w:p>
          <w:p w:rsidR="0015490D" w:rsidRPr="0015490D" w:rsidRDefault="0015490D" w:rsidP="0015490D">
            <w:pPr>
              <w:numPr>
                <w:ilvl w:val="0"/>
                <w:numId w:val="26"/>
              </w:numPr>
              <w:spacing w:after="60" w:line="240" w:lineRule="auto"/>
              <w:ind w:left="459" w:hanging="357"/>
              <w:jc w:val="both"/>
              <w:rPr>
                <w:rFonts w:ascii="Times New Roman" w:hAnsi="Times New Roman"/>
                <w:color w:val="000000"/>
                <w:spacing w:val="-2"/>
              </w:rPr>
            </w:pPr>
            <w:r w:rsidRPr="0015490D">
              <w:rPr>
                <w:rFonts w:ascii="Times New Roman" w:hAnsi="Times New Roman"/>
                <w:color w:val="000000"/>
                <w:spacing w:val="-2"/>
              </w:rPr>
              <w:t>Krajowy Związek Banków Spółdzielczych,</w:t>
            </w:r>
          </w:p>
          <w:p w:rsidR="0015490D" w:rsidRPr="0015490D" w:rsidRDefault="0015490D" w:rsidP="0015490D">
            <w:pPr>
              <w:numPr>
                <w:ilvl w:val="0"/>
                <w:numId w:val="26"/>
              </w:numPr>
              <w:spacing w:after="60" w:line="240" w:lineRule="auto"/>
              <w:ind w:left="459" w:hanging="357"/>
              <w:jc w:val="both"/>
              <w:rPr>
                <w:rFonts w:ascii="Times New Roman" w:hAnsi="Times New Roman"/>
                <w:color w:val="000000"/>
                <w:spacing w:val="-2"/>
              </w:rPr>
            </w:pPr>
            <w:r w:rsidRPr="0015490D">
              <w:rPr>
                <w:rFonts w:ascii="Times New Roman" w:hAnsi="Times New Roman"/>
                <w:color w:val="000000"/>
                <w:spacing w:val="-2"/>
              </w:rPr>
              <w:t>Stowarzyszenie Konsumentów Polskich,</w:t>
            </w:r>
          </w:p>
          <w:p w:rsidR="0015490D" w:rsidRPr="0015490D" w:rsidRDefault="0015490D" w:rsidP="0015490D">
            <w:pPr>
              <w:numPr>
                <w:ilvl w:val="0"/>
                <w:numId w:val="26"/>
              </w:numPr>
              <w:spacing w:after="60" w:line="240" w:lineRule="auto"/>
              <w:ind w:left="459" w:hanging="357"/>
              <w:jc w:val="both"/>
              <w:rPr>
                <w:rFonts w:ascii="Times New Roman" w:hAnsi="Times New Roman"/>
                <w:color w:val="000000"/>
                <w:spacing w:val="-2"/>
              </w:rPr>
            </w:pPr>
            <w:r w:rsidRPr="0015490D">
              <w:rPr>
                <w:rFonts w:ascii="Times New Roman" w:hAnsi="Times New Roman"/>
                <w:color w:val="000000"/>
                <w:spacing w:val="-2"/>
              </w:rPr>
              <w:t>Federacja Konsumentów,</w:t>
            </w:r>
          </w:p>
          <w:p w:rsidR="0015490D" w:rsidRPr="0015490D" w:rsidRDefault="0015490D" w:rsidP="0015490D">
            <w:pPr>
              <w:numPr>
                <w:ilvl w:val="0"/>
                <w:numId w:val="26"/>
              </w:numPr>
              <w:spacing w:after="60" w:line="240" w:lineRule="auto"/>
              <w:ind w:left="459" w:hanging="357"/>
              <w:jc w:val="both"/>
              <w:rPr>
                <w:rFonts w:ascii="Times New Roman" w:hAnsi="Times New Roman"/>
                <w:color w:val="000000"/>
                <w:spacing w:val="-2"/>
              </w:rPr>
            </w:pPr>
            <w:r w:rsidRPr="0015490D">
              <w:rPr>
                <w:rFonts w:ascii="Times New Roman" w:hAnsi="Times New Roman"/>
                <w:color w:val="000000"/>
                <w:spacing w:val="-2"/>
              </w:rPr>
              <w:t>Polskie Towarzystwo Gospodarcze.</w:t>
            </w:r>
          </w:p>
          <w:p w:rsidR="0015490D" w:rsidRPr="0015490D" w:rsidRDefault="0015490D" w:rsidP="0015490D">
            <w:pPr>
              <w:spacing w:line="240" w:lineRule="auto"/>
              <w:jc w:val="both"/>
              <w:rPr>
                <w:rFonts w:ascii="Times New Roman" w:hAnsi="Times New Roman"/>
                <w:color w:val="000000"/>
                <w:spacing w:val="-2"/>
              </w:rPr>
            </w:pPr>
          </w:p>
          <w:p w:rsidR="007354B3" w:rsidRPr="00A57BCB" w:rsidRDefault="0015490D" w:rsidP="0015490D">
            <w:pPr>
              <w:spacing w:line="240" w:lineRule="auto"/>
              <w:jc w:val="both"/>
              <w:rPr>
                <w:rFonts w:ascii="Times New Roman" w:hAnsi="Times New Roman"/>
                <w:color w:val="000000"/>
                <w:spacing w:val="-2"/>
              </w:rPr>
            </w:pPr>
            <w:r w:rsidRPr="0015490D">
              <w:rPr>
                <w:rFonts w:ascii="Times New Roman" w:hAnsi="Times New Roman"/>
                <w:color w:val="000000"/>
                <w:spacing w:val="-2"/>
              </w:rPr>
              <w:t>Czas trwania konsultacji przewidziany jest na 30 dni.</w:t>
            </w:r>
          </w:p>
        </w:tc>
      </w:tr>
      <w:tr w:rsidR="00963495" w:rsidRPr="00A57BCB" w:rsidTr="00676C8D">
        <w:trPr>
          <w:gridAfter w:val="1"/>
          <w:wAfter w:w="10" w:type="dxa"/>
          <w:trHeight w:val="363"/>
        </w:trPr>
        <w:tc>
          <w:tcPr>
            <w:tcW w:w="10937" w:type="dxa"/>
            <w:gridSpan w:val="28"/>
            <w:shd w:val="clear" w:color="auto" w:fill="99CCFF"/>
            <w:vAlign w:val="center"/>
          </w:tcPr>
          <w:p w:rsidR="00963495" w:rsidRPr="00A57BCB" w:rsidRDefault="00963495" w:rsidP="00963495">
            <w:pPr>
              <w:numPr>
                <w:ilvl w:val="0"/>
                <w:numId w:val="6"/>
              </w:numPr>
              <w:spacing w:before="60" w:after="60" w:line="240" w:lineRule="auto"/>
              <w:ind w:left="318" w:hanging="284"/>
              <w:jc w:val="both"/>
              <w:rPr>
                <w:rFonts w:ascii="Times New Roman" w:hAnsi="Times New Roman"/>
                <w:b/>
                <w:color w:val="000000"/>
              </w:rPr>
            </w:pPr>
            <w:r w:rsidRPr="00A57BCB">
              <w:rPr>
                <w:rFonts w:ascii="Times New Roman" w:hAnsi="Times New Roman"/>
                <w:b/>
                <w:color w:val="000000"/>
              </w:rPr>
              <w:t xml:space="preserve"> Wpływ na sektor finansów publicznych</w:t>
            </w:r>
          </w:p>
        </w:tc>
      </w:tr>
      <w:tr w:rsidR="00963495" w:rsidRPr="00A57BCB" w:rsidTr="00676C8D">
        <w:trPr>
          <w:gridAfter w:val="1"/>
          <w:wAfter w:w="10" w:type="dxa"/>
          <w:trHeight w:val="142"/>
        </w:trPr>
        <w:tc>
          <w:tcPr>
            <w:tcW w:w="3133" w:type="dxa"/>
            <w:gridSpan w:val="3"/>
            <w:vMerge w:val="restart"/>
            <w:shd w:val="clear" w:color="auto" w:fill="FFFFFF"/>
          </w:tcPr>
          <w:p w:rsidR="00963495" w:rsidRPr="00A57BCB" w:rsidRDefault="00963495" w:rsidP="00963495">
            <w:pPr>
              <w:spacing w:before="40" w:after="40"/>
              <w:rPr>
                <w:rFonts w:ascii="Times New Roman" w:hAnsi="Times New Roman"/>
                <w:i/>
                <w:color w:val="000000"/>
              </w:rPr>
            </w:pPr>
            <w:r w:rsidRPr="00A57BCB">
              <w:rPr>
                <w:rFonts w:ascii="Times New Roman" w:hAnsi="Times New Roman"/>
                <w:color w:val="000000"/>
              </w:rPr>
              <w:t>(ceny stałe z …… r.)</w:t>
            </w:r>
          </w:p>
        </w:tc>
        <w:tc>
          <w:tcPr>
            <w:tcW w:w="7804" w:type="dxa"/>
            <w:gridSpan w:val="25"/>
            <w:shd w:val="clear" w:color="auto" w:fill="FFFFFF"/>
          </w:tcPr>
          <w:p w:rsidR="00963495" w:rsidRPr="00A57BCB" w:rsidRDefault="00963495" w:rsidP="00963495">
            <w:pPr>
              <w:spacing w:before="40" w:after="40" w:line="240" w:lineRule="auto"/>
              <w:jc w:val="center"/>
              <w:rPr>
                <w:rFonts w:ascii="Times New Roman" w:hAnsi="Times New Roman"/>
                <w:i/>
                <w:color w:val="000000"/>
                <w:spacing w:val="-2"/>
              </w:rPr>
            </w:pPr>
            <w:r w:rsidRPr="00A57BCB">
              <w:rPr>
                <w:rFonts w:ascii="Times New Roman" w:hAnsi="Times New Roman"/>
                <w:color w:val="000000"/>
              </w:rPr>
              <w:t>Skutki w okresie 10 lat od wejścia w życie zmian [mln zł]</w:t>
            </w:r>
          </w:p>
        </w:tc>
      </w:tr>
      <w:tr w:rsidR="00963495" w:rsidRPr="00A57BCB" w:rsidTr="00676C8D">
        <w:trPr>
          <w:gridAfter w:val="1"/>
          <w:wAfter w:w="10" w:type="dxa"/>
          <w:trHeight w:val="142"/>
        </w:trPr>
        <w:tc>
          <w:tcPr>
            <w:tcW w:w="3133" w:type="dxa"/>
            <w:gridSpan w:val="3"/>
            <w:vMerge/>
            <w:shd w:val="clear" w:color="auto" w:fill="FFFFFF"/>
          </w:tcPr>
          <w:p w:rsidR="00963495" w:rsidRPr="00A57BCB" w:rsidRDefault="00963495" w:rsidP="00963495">
            <w:pPr>
              <w:spacing w:before="40" w:after="40" w:line="240" w:lineRule="auto"/>
              <w:rPr>
                <w:rFonts w:ascii="Times New Roman" w:hAnsi="Times New Roman"/>
                <w:i/>
                <w:color w:val="000000"/>
              </w:rPr>
            </w:pPr>
          </w:p>
        </w:tc>
        <w:tc>
          <w:tcPr>
            <w:tcW w:w="569" w:type="dxa"/>
            <w:gridSpan w:val="2"/>
            <w:shd w:val="clear" w:color="auto" w:fill="FFFFFF"/>
          </w:tcPr>
          <w:p w:rsidR="00963495" w:rsidRPr="00A57BCB" w:rsidRDefault="00963495" w:rsidP="00963495">
            <w:pPr>
              <w:spacing w:line="240" w:lineRule="auto"/>
              <w:jc w:val="center"/>
              <w:rPr>
                <w:rFonts w:ascii="Times New Roman" w:hAnsi="Times New Roman"/>
                <w:color w:val="000000"/>
              </w:rPr>
            </w:pPr>
            <w:r w:rsidRPr="00A57BCB">
              <w:rPr>
                <w:rFonts w:ascii="Times New Roman" w:hAnsi="Times New Roman"/>
                <w:color w:val="000000"/>
              </w:rPr>
              <w:t>0</w:t>
            </w:r>
          </w:p>
        </w:tc>
        <w:tc>
          <w:tcPr>
            <w:tcW w:w="570" w:type="dxa"/>
            <w:gridSpan w:val="2"/>
            <w:shd w:val="clear" w:color="auto" w:fill="FFFFFF"/>
          </w:tcPr>
          <w:p w:rsidR="00963495" w:rsidRPr="00A57BCB" w:rsidRDefault="00963495" w:rsidP="00963495">
            <w:pPr>
              <w:spacing w:line="240" w:lineRule="auto"/>
              <w:jc w:val="center"/>
              <w:rPr>
                <w:rFonts w:ascii="Times New Roman" w:hAnsi="Times New Roman"/>
                <w:color w:val="000000"/>
              </w:rPr>
            </w:pPr>
            <w:r w:rsidRPr="00A57BCB">
              <w:rPr>
                <w:rFonts w:ascii="Times New Roman" w:hAnsi="Times New Roman"/>
                <w:color w:val="000000"/>
              </w:rPr>
              <w:t>1</w:t>
            </w:r>
          </w:p>
        </w:tc>
        <w:tc>
          <w:tcPr>
            <w:tcW w:w="570" w:type="dxa"/>
            <w:gridSpan w:val="3"/>
            <w:shd w:val="clear" w:color="auto" w:fill="FFFFFF"/>
          </w:tcPr>
          <w:p w:rsidR="00963495" w:rsidRPr="00A57BCB" w:rsidRDefault="00963495" w:rsidP="00963495">
            <w:pPr>
              <w:spacing w:line="240" w:lineRule="auto"/>
              <w:jc w:val="center"/>
              <w:rPr>
                <w:rFonts w:ascii="Times New Roman" w:hAnsi="Times New Roman"/>
                <w:color w:val="000000"/>
              </w:rPr>
            </w:pPr>
            <w:r w:rsidRPr="00A57BCB">
              <w:rPr>
                <w:rFonts w:ascii="Times New Roman" w:hAnsi="Times New Roman"/>
                <w:color w:val="000000"/>
              </w:rPr>
              <w:t>2</w:t>
            </w:r>
          </w:p>
        </w:tc>
        <w:tc>
          <w:tcPr>
            <w:tcW w:w="569" w:type="dxa"/>
            <w:gridSpan w:val="2"/>
            <w:shd w:val="clear" w:color="auto" w:fill="FFFFFF"/>
          </w:tcPr>
          <w:p w:rsidR="00963495" w:rsidRPr="00A57BCB" w:rsidRDefault="00963495" w:rsidP="00963495">
            <w:pPr>
              <w:spacing w:line="240" w:lineRule="auto"/>
              <w:jc w:val="center"/>
              <w:rPr>
                <w:rFonts w:ascii="Times New Roman" w:hAnsi="Times New Roman"/>
                <w:color w:val="000000"/>
              </w:rPr>
            </w:pPr>
            <w:r w:rsidRPr="00A57BCB">
              <w:rPr>
                <w:rFonts w:ascii="Times New Roman" w:hAnsi="Times New Roman"/>
                <w:color w:val="000000"/>
              </w:rPr>
              <w:t>3</w:t>
            </w:r>
          </w:p>
        </w:tc>
        <w:tc>
          <w:tcPr>
            <w:tcW w:w="570" w:type="dxa"/>
            <w:gridSpan w:val="2"/>
            <w:shd w:val="clear" w:color="auto" w:fill="FFFFFF"/>
          </w:tcPr>
          <w:p w:rsidR="00963495" w:rsidRPr="00A57BCB" w:rsidRDefault="00963495" w:rsidP="00963495">
            <w:pPr>
              <w:spacing w:line="240" w:lineRule="auto"/>
              <w:jc w:val="center"/>
              <w:rPr>
                <w:rFonts w:ascii="Times New Roman" w:hAnsi="Times New Roman"/>
                <w:color w:val="000000"/>
              </w:rPr>
            </w:pPr>
            <w:r w:rsidRPr="00A57BCB">
              <w:rPr>
                <w:rFonts w:ascii="Times New Roman" w:hAnsi="Times New Roman"/>
                <w:color w:val="000000"/>
              </w:rPr>
              <w:t>4</w:t>
            </w:r>
          </w:p>
        </w:tc>
        <w:tc>
          <w:tcPr>
            <w:tcW w:w="570" w:type="dxa"/>
            <w:gridSpan w:val="2"/>
            <w:shd w:val="clear" w:color="auto" w:fill="FFFFFF"/>
          </w:tcPr>
          <w:p w:rsidR="00963495" w:rsidRPr="00A57BCB" w:rsidRDefault="00963495" w:rsidP="00963495">
            <w:pPr>
              <w:spacing w:line="240" w:lineRule="auto"/>
              <w:jc w:val="center"/>
              <w:rPr>
                <w:rFonts w:ascii="Times New Roman" w:hAnsi="Times New Roman"/>
                <w:color w:val="000000"/>
              </w:rPr>
            </w:pPr>
            <w:r w:rsidRPr="00A57BCB">
              <w:rPr>
                <w:rFonts w:ascii="Times New Roman" w:hAnsi="Times New Roman"/>
                <w:color w:val="000000"/>
              </w:rPr>
              <w:t>5</w:t>
            </w:r>
          </w:p>
        </w:tc>
        <w:tc>
          <w:tcPr>
            <w:tcW w:w="570" w:type="dxa"/>
            <w:gridSpan w:val="3"/>
            <w:shd w:val="clear" w:color="auto" w:fill="FFFFFF"/>
          </w:tcPr>
          <w:p w:rsidR="00963495" w:rsidRPr="00A57BCB" w:rsidRDefault="00963495" w:rsidP="00963495">
            <w:pPr>
              <w:spacing w:line="240" w:lineRule="auto"/>
              <w:jc w:val="center"/>
              <w:rPr>
                <w:rFonts w:ascii="Times New Roman" w:hAnsi="Times New Roman"/>
                <w:color w:val="000000"/>
              </w:rPr>
            </w:pPr>
            <w:r w:rsidRPr="00A57BCB">
              <w:rPr>
                <w:rFonts w:ascii="Times New Roman" w:hAnsi="Times New Roman"/>
                <w:color w:val="000000"/>
              </w:rPr>
              <w:t>6</w:t>
            </w:r>
          </w:p>
        </w:tc>
        <w:tc>
          <w:tcPr>
            <w:tcW w:w="569" w:type="dxa"/>
            <w:gridSpan w:val="3"/>
            <w:shd w:val="clear" w:color="auto" w:fill="FFFFFF"/>
          </w:tcPr>
          <w:p w:rsidR="00963495" w:rsidRPr="00A57BCB" w:rsidRDefault="00963495" w:rsidP="00963495">
            <w:pPr>
              <w:spacing w:line="240" w:lineRule="auto"/>
              <w:jc w:val="center"/>
              <w:rPr>
                <w:rFonts w:ascii="Times New Roman" w:hAnsi="Times New Roman"/>
                <w:color w:val="000000"/>
              </w:rPr>
            </w:pPr>
            <w:r w:rsidRPr="00A57BCB">
              <w:rPr>
                <w:rFonts w:ascii="Times New Roman" w:hAnsi="Times New Roman"/>
                <w:color w:val="000000"/>
              </w:rPr>
              <w:t>7</w:t>
            </w:r>
          </w:p>
        </w:tc>
        <w:tc>
          <w:tcPr>
            <w:tcW w:w="570" w:type="dxa"/>
            <w:shd w:val="clear" w:color="auto" w:fill="FFFFFF"/>
          </w:tcPr>
          <w:p w:rsidR="00963495" w:rsidRPr="00A57BCB" w:rsidRDefault="00963495" w:rsidP="00963495">
            <w:pPr>
              <w:spacing w:line="240" w:lineRule="auto"/>
              <w:jc w:val="center"/>
              <w:rPr>
                <w:rFonts w:ascii="Times New Roman" w:hAnsi="Times New Roman"/>
                <w:color w:val="000000"/>
              </w:rPr>
            </w:pPr>
            <w:r w:rsidRPr="00A57BCB">
              <w:rPr>
                <w:rFonts w:ascii="Times New Roman" w:hAnsi="Times New Roman"/>
                <w:color w:val="000000"/>
              </w:rPr>
              <w:t>8</w:t>
            </w:r>
          </w:p>
        </w:tc>
        <w:tc>
          <w:tcPr>
            <w:tcW w:w="570" w:type="dxa"/>
            <w:gridSpan w:val="2"/>
            <w:shd w:val="clear" w:color="auto" w:fill="FFFFFF"/>
          </w:tcPr>
          <w:p w:rsidR="00963495" w:rsidRPr="00A57BCB" w:rsidRDefault="00963495" w:rsidP="00963495">
            <w:pPr>
              <w:spacing w:line="240" w:lineRule="auto"/>
              <w:jc w:val="center"/>
              <w:rPr>
                <w:rFonts w:ascii="Times New Roman" w:hAnsi="Times New Roman"/>
                <w:color w:val="000000"/>
              </w:rPr>
            </w:pPr>
            <w:r w:rsidRPr="00A57BCB">
              <w:rPr>
                <w:rFonts w:ascii="Times New Roman" w:hAnsi="Times New Roman"/>
                <w:color w:val="000000"/>
              </w:rPr>
              <w:t>9</w:t>
            </w:r>
          </w:p>
        </w:tc>
        <w:tc>
          <w:tcPr>
            <w:tcW w:w="570" w:type="dxa"/>
            <w:shd w:val="clear" w:color="auto" w:fill="FFFFFF"/>
          </w:tcPr>
          <w:p w:rsidR="00963495" w:rsidRPr="00A57BCB" w:rsidRDefault="00963495" w:rsidP="00963495">
            <w:pPr>
              <w:spacing w:line="240" w:lineRule="auto"/>
              <w:jc w:val="center"/>
              <w:rPr>
                <w:rFonts w:ascii="Times New Roman" w:hAnsi="Times New Roman"/>
                <w:color w:val="000000"/>
              </w:rPr>
            </w:pPr>
            <w:r w:rsidRPr="00A57BCB">
              <w:rPr>
                <w:rFonts w:ascii="Times New Roman" w:hAnsi="Times New Roman"/>
                <w:color w:val="000000"/>
              </w:rPr>
              <w:t>10</w:t>
            </w:r>
          </w:p>
        </w:tc>
        <w:tc>
          <w:tcPr>
            <w:tcW w:w="1537" w:type="dxa"/>
            <w:gridSpan w:val="2"/>
            <w:shd w:val="clear" w:color="auto" w:fill="FFFFFF"/>
          </w:tcPr>
          <w:p w:rsidR="00963495" w:rsidRPr="00A57BCB" w:rsidRDefault="00963495" w:rsidP="00963495">
            <w:pPr>
              <w:spacing w:before="40" w:after="40" w:line="240" w:lineRule="auto"/>
              <w:jc w:val="center"/>
              <w:rPr>
                <w:rFonts w:ascii="Times New Roman" w:hAnsi="Times New Roman"/>
                <w:i/>
                <w:color w:val="000000"/>
                <w:spacing w:val="-2"/>
              </w:rPr>
            </w:pPr>
            <w:r w:rsidRPr="00A57BCB">
              <w:rPr>
                <w:rFonts w:ascii="Times New Roman" w:hAnsi="Times New Roman"/>
                <w:i/>
                <w:color w:val="000000"/>
                <w:spacing w:val="-2"/>
              </w:rPr>
              <w:t>Łącznie (0-10)</w:t>
            </w:r>
          </w:p>
        </w:tc>
      </w:tr>
      <w:tr w:rsidR="00963495" w:rsidRPr="00A57BCB" w:rsidTr="00676C8D">
        <w:trPr>
          <w:trHeight w:val="321"/>
        </w:trPr>
        <w:tc>
          <w:tcPr>
            <w:tcW w:w="3133" w:type="dxa"/>
            <w:gridSpan w:val="3"/>
            <w:shd w:val="clear" w:color="auto" w:fill="FFFFFF"/>
            <w:vAlign w:val="center"/>
          </w:tcPr>
          <w:p w:rsidR="00963495" w:rsidRPr="00A57BCB" w:rsidRDefault="00963495" w:rsidP="00963495">
            <w:pPr>
              <w:spacing w:line="240" w:lineRule="auto"/>
              <w:rPr>
                <w:rFonts w:ascii="Times New Roman" w:hAnsi="Times New Roman"/>
                <w:color w:val="000000"/>
              </w:rPr>
            </w:pPr>
            <w:r w:rsidRPr="00A57BCB">
              <w:rPr>
                <w:rFonts w:ascii="Times New Roman" w:hAnsi="Times New Roman"/>
                <w:b/>
                <w:color w:val="000000"/>
              </w:rPr>
              <w:lastRenderedPageBreak/>
              <w:t>Dochody ogółem</w:t>
            </w: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1547" w:type="dxa"/>
            <w:gridSpan w:val="3"/>
            <w:shd w:val="clear" w:color="auto" w:fill="FFFFFF"/>
          </w:tcPr>
          <w:p w:rsidR="00963495" w:rsidRPr="00A57BCB" w:rsidRDefault="00963495" w:rsidP="00963495">
            <w:pPr>
              <w:spacing w:line="240" w:lineRule="auto"/>
              <w:rPr>
                <w:rFonts w:ascii="Times New Roman" w:hAnsi="Times New Roman"/>
                <w:color w:val="000000"/>
                <w:spacing w:val="-2"/>
              </w:rPr>
            </w:pPr>
          </w:p>
        </w:tc>
      </w:tr>
      <w:tr w:rsidR="00963495" w:rsidRPr="00A57BCB" w:rsidTr="00676C8D">
        <w:trPr>
          <w:trHeight w:val="321"/>
        </w:trPr>
        <w:tc>
          <w:tcPr>
            <w:tcW w:w="3133" w:type="dxa"/>
            <w:gridSpan w:val="3"/>
            <w:shd w:val="clear" w:color="auto" w:fill="FFFFFF"/>
            <w:vAlign w:val="center"/>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t>budżet państwa</w:t>
            </w: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1547" w:type="dxa"/>
            <w:gridSpan w:val="3"/>
            <w:shd w:val="clear" w:color="auto" w:fill="FFFFFF"/>
          </w:tcPr>
          <w:p w:rsidR="00963495" w:rsidRPr="00A57BCB" w:rsidRDefault="00963495" w:rsidP="00963495">
            <w:pPr>
              <w:spacing w:line="240" w:lineRule="auto"/>
              <w:rPr>
                <w:rFonts w:ascii="Times New Roman" w:hAnsi="Times New Roman"/>
                <w:color w:val="000000"/>
                <w:spacing w:val="-2"/>
              </w:rPr>
            </w:pPr>
          </w:p>
        </w:tc>
      </w:tr>
      <w:tr w:rsidR="00963495" w:rsidRPr="00A57BCB" w:rsidTr="00676C8D">
        <w:trPr>
          <w:trHeight w:val="344"/>
        </w:trPr>
        <w:tc>
          <w:tcPr>
            <w:tcW w:w="3133" w:type="dxa"/>
            <w:gridSpan w:val="3"/>
            <w:shd w:val="clear" w:color="auto" w:fill="FFFFFF"/>
            <w:vAlign w:val="center"/>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t>JST</w:t>
            </w: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1547" w:type="dxa"/>
            <w:gridSpan w:val="3"/>
            <w:shd w:val="clear" w:color="auto" w:fill="FFFFFF"/>
          </w:tcPr>
          <w:p w:rsidR="00963495" w:rsidRPr="00A57BCB" w:rsidRDefault="00963495" w:rsidP="00963495">
            <w:pPr>
              <w:spacing w:line="240" w:lineRule="auto"/>
              <w:rPr>
                <w:rFonts w:ascii="Times New Roman" w:hAnsi="Times New Roman"/>
                <w:color w:val="000000"/>
              </w:rPr>
            </w:pPr>
          </w:p>
        </w:tc>
      </w:tr>
      <w:tr w:rsidR="00963495" w:rsidRPr="00A57BCB" w:rsidTr="00676C8D">
        <w:trPr>
          <w:trHeight w:val="344"/>
        </w:trPr>
        <w:tc>
          <w:tcPr>
            <w:tcW w:w="3133" w:type="dxa"/>
            <w:gridSpan w:val="3"/>
            <w:shd w:val="clear" w:color="auto" w:fill="FFFFFF"/>
            <w:vAlign w:val="center"/>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t>pozostałe jednostki (oddzielnie)</w:t>
            </w: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1547" w:type="dxa"/>
            <w:gridSpan w:val="3"/>
            <w:shd w:val="clear" w:color="auto" w:fill="FFFFFF"/>
          </w:tcPr>
          <w:p w:rsidR="00963495" w:rsidRPr="00A57BCB" w:rsidRDefault="00963495" w:rsidP="00963495">
            <w:pPr>
              <w:spacing w:line="240" w:lineRule="auto"/>
              <w:rPr>
                <w:rFonts w:ascii="Times New Roman" w:hAnsi="Times New Roman"/>
                <w:color w:val="000000"/>
              </w:rPr>
            </w:pPr>
          </w:p>
        </w:tc>
      </w:tr>
      <w:tr w:rsidR="00963495" w:rsidRPr="00A57BCB" w:rsidTr="00676C8D">
        <w:trPr>
          <w:trHeight w:val="330"/>
        </w:trPr>
        <w:tc>
          <w:tcPr>
            <w:tcW w:w="3133" w:type="dxa"/>
            <w:gridSpan w:val="3"/>
            <w:shd w:val="clear" w:color="auto" w:fill="FFFFFF"/>
            <w:vAlign w:val="center"/>
          </w:tcPr>
          <w:p w:rsidR="00963495" w:rsidRPr="00A57BCB" w:rsidRDefault="00963495" w:rsidP="00963495">
            <w:pPr>
              <w:spacing w:line="240" w:lineRule="auto"/>
              <w:rPr>
                <w:rFonts w:ascii="Times New Roman" w:hAnsi="Times New Roman"/>
                <w:color w:val="000000"/>
              </w:rPr>
            </w:pPr>
            <w:r w:rsidRPr="00A57BCB">
              <w:rPr>
                <w:rFonts w:ascii="Times New Roman" w:hAnsi="Times New Roman"/>
                <w:b/>
                <w:color w:val="000000"/>
              </w:rPr>
              <w:t>Wydatki ogółem</w:t>
            </w: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1547" w:type="dxa"/>
            <w:gridSpan w:val="3"/>
            <w:shd w:val="clear" w:color="auto" w:fill="FFFFFF"/>
          </w:tcPr>
          <w:p w:rsidR="00963495" w:rsidRPr="00A57BCB" w:rsidRDefault="00963495" w:rsidP="00963495">
            <w:pPr>
              <w:spacing w:line="240" w:lineRule="auto"/>
              <w:rPr>
                <w:rFonts w:ascii="Times New Roman" w:hAnsi="Times New Roman"/>
                <w:color w:val="000000"/>
              </w:rPr>
            </w:pPr>
          </w:p>
        </w:tc>
      </w:tr>
      <w:tr w:rsidR="00963495" w:rsidRPr="00A57BCB" w:rsidTr="00676C8D">
        <w:trPr>
          <w:trHeight w:val="330"/>
        </w:trPr>
        <w:tc>
          <w:tcPr>
            <w:tcW w:w="3133" w:type="dxa"/>
            <w:gridSpan w:val="3"/>
            <w:shd w:val="clear" w:color="auto" w:fill="FFFFFF"/>
            <w:vAlign w:val="center"/>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t>budżet państwa</w:t>
            </w: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1547" w:type="dxa"/>
            <w:gridSpan w:val="3"/>
            <w:shd w:val="clear" w:color="auto" w:fill="FFFFFF"/>
          </w:tcPr>
          <w:p w:rsidR="00963495" w:rsidRPr="00A57BCB" w:rsidRDefault="00963495" w:rsidP="00963495">
            <w:pPr>
              <w:spacing w:line="240" w:lineRule="auto"/>
              <w:rPr>
                <w:rFonts w:ascii="Times New Roman" w:hAnsi="Times New Roman"/>
                <w:color w:val="000000"/>
              </w:rPr>
            </w:pPr>
          </w:p>
        </w:tc>
      </w:tr>
      <w:tr w:rsidR="00963495" w:rsidRPr="00A57BCB" w:rsidTr="00676C8D">
        <w:trPr>
          <w:trHeight w:val="351"/>
        </w:trPr>
        <w:tc>
          <w:tcPr>
            <w:tcW w:w="3133" w:type="dxa"/>
            <w:gridSpan w:val="3"/>
            <w:shd w:val="clear" w:color="auto" w:fill="FFFFFF"/>
            <w:vAlign w:val="center"/>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t>JST</w:t>
            </w: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1547" w:type="dxa"/>
            <w:gridSpan w:val="3"/>
            <w:shd w:val="clear" w:color="auto" w:fill="FFFFFF"/>
          </w:tcPr>
          <w:p w:rsidR="00963495" w:rsidRPr="00A57BCB" w:rsidRDefault="00963495" w:rsidP="00963495">
            <w:pPr>
              <w:spacing w:line="240" w:lineRule="auto"/>
              <w:rPr>
                <w:rFonts w:ascii="Times New Roman" w:hAnsi="Times New Roman"/>
                <w:color w:val="000000"/>
              </w:rPr>
            </w:pPr>
          </w:p>
        </w:tc>
      </w:tr>
      <w:tr w:rsidR="00963495" w:rsidRPr="00A57BCB" w:rsidTr="00676C8D">
        <w:trPr>
          <w:trHeight w:val="351"/>
        </w:trPr>
        <w:tc>
          <w:tcPr>
            <w:tcW w:w="3133" w:type="dxa"/>
            <w:gridSpan w:val="3"/>
            <w:shd w:val="clear" w:color="auto" w:fill="FFFFFF"/>
            <w:vAlign w:val="center"/>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t>pozostałe jednostki (oddzielnie)</w:t>
            </w: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1547" w:type="dxa"/>
            <w:gridSpan w:val="3"/>
            <w:shd w:val="clear" w:color="auto" w:fill="FFFFFF"/>
          </w:tcPr>
          <w:p w:rsidR="00963495" w:rsidRPr="00A57BCB" w:rsidRDefault="00963495" w:rsidP="00963495">
            <w:pPr>
              <w:spacing w:line="240" w:lineRule="auto"/>
              <w:rPr>
                <w:rFonts w:ascii="Times New Roman" w:hAnsi="Times New Roman"/>
                <w:color w:val="000000"/>
              </w:rPr>
            </w:pPr>
          </w:p>
        </w:tc>
      </w:tr>
      <w:tr w:rsidR="00963495" w:rsidRPr="00A57BCB" w:rsidTr="00676C8D">
        <w:trPr>
          <w:trHeight w:val="360"/>
        </w:trPr>
        <w:tc>
          <w:tcPr>
            <w:tcW w:w="3133" w:type="dxa"/>
            <w:gridSpan w:val="3"/>
            <w:shd w:val="clear" w:color="auto" w:fill="FFFFFF"/>
            <w:vAlign w:val="center"/>
          </w:tcPr>
          <w:p w:rsidR="00963495" w:rsidRPr="00A57BCB" w:rsidRDefault="00963495" w:rsidP="00963495">
            <w:pPr>
              <w:spacing w:line="240" w:lineRule="auto"/>
              <w:rPr>
                <w:rFonts w:ascii="Times New Roman" w:hAnsi="Times New Roman"/>
                <w:color w:val="000000"/>
              </w:rPr>
            </w:pPr>
            <w:r w:rsidRPr="00A57BCB">
              <w:rPr>
                <w:rFonts w:ascii="Times New Roman" w:hAnsi="Times New Roman"/>
                <w:b/>
                <w:color w:val="000000"/>
              </w:rPr>
              <w:t>Saldo ogółem</w:t>
            </w: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1547" w:type="dxa"/>
            <w:gridSpan w:val="3"/>
            <w:shd w:val="clear" w:color="auto" w:fill="FFFFFF"/>
          </w:tcPr>
          <w:p w:rsidR="00963495" w:rsidRPr="00A57BCB" w:rsidRDefault="00963495" w:rsidP="00963495">
            <w:pPr>
              <w:spacing w:line="240" w:lineRule="auto"/>
              <w:rPr>
                <w:rFonts w:ascii="Times New Roman" w:hAnsi="Times New Roman"/>
                <w:color w:val="000000"/>
              </w:rPr>
            </w:pPr>
          </w:p>
        </w:tc>
      </w:tr>
      <w:tr w:rsidR="00963495" w:rsidRPr="00A57BCB" w:rsidTr="00676C8D">
        <w:trPr>
          <w:trHeight w:val="360"/>
        </w:trPr>
        <w:tc>
          <w:tcPr>
            <w:tcW w:w="3133" w:type="dxa"/>
            <w:gridSpan w:val="3"/>
            <w:shd w:val="clear" w:color="auto" w:fill="FFFFFF"/>
            <w:vAlign w:val="center"/>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t>budżet państwa</w:t>
            </w: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1547" w:type="dxa"/>
            <w:gridSpan w:val="3"/>
            <w:shd w:val="clear" w:color="auto" w:fill="FFFFFF"/>
          </w:tcPr>
          <w:p w:rsidR="00963495" w:rsidRPr="00A57BCB" w:rsidRDefault="00963495" w:rsidP="00963495">
            <w:pPr>
              <w:spacing w:line="240" w:lineRule="auto"/>
              <w:rPr>
                <w:rFonts w:ascii="Times New Roman" w:hAnsi="Times New Roman"/>
                <w:color w:val="000000"/>
              </w:rPr>
            </w:pPr>
          </w:p>
        </w:tc>
      </w:tr>
      <w:tr w:rsidR="00963495" w:rsidRPr="00A57BCB" w:rsidTr="00676C8D">
        <w:trPr>
          <w:trHeight w:val="357"/>
        </w:trPr>
        <w:tc>
          <w:tcPr>
            <w:tcW w:w="3133" w:type="dxa"/>
            <w:gridSpan w:val="3"/>
            <w:shd w:val="clear" w:color="auto" w:fill="FFFFFF"/>
            <w:vAlign w:val="center"/>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t>JST</w:t>
            </w: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1547" w:type="dxa"/>
            <w:gridSpan w:val="3"/>
            <w:shd w:val="clear" w:color="auto" w:fill="FFFFFF"/>
          </w:tcPr>
          <w:p w:rsidR="00963495" w:rsidRPr="00A57BCB" w:rsidRDefault="00963495" w:rsidP="00963495">
            <w:pPr>
              <w:spacing w:line="240" w:lineRule="auto"/>
              <w:rPr>
                <w:rFonts w:ascii="Times New Roman" w:hAnsi="Times New Roman"/>
                <w:color w:val="000000"/>
              </w:rPr>
            </w:pPr>
          </w:p>
        </w:tc>
      </w:tr>
      <w:tr w:rsidR="00963495" w:rsidRPr="00A57BCB" w:rsidTr="00676C8D">
        <w:trPr>
          <w:trHeight w:val="357"/>
        </w:trPr>
        <w:tc>
          <w:tcPr>
            <w:tcW w:w="3133" w:type="dxa"/>
            <w:gridSpan w:val="3"/>
            <w:shd w:val="clear" w:color="auto" w:fill="FFFFFF"/>
            <w:vAlign w:val="center"/>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t>pozostałe jednostki (oddzielnie)</w:t>
            </w: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69" w:type="dxa"/>
            <w:gridSpan w:val="3"/>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570" w:type="dxa"/>
            <w:gridSpan w:val="2"/>
            <w:shd w:val="clear" w:color="auto" w:fill="FFFFFF"/>
          </w:tcPr>
          <w:p w:rsidR="00963495" w:rsidRPr="00A57BCB" w:rsidRDefault="00963495" w:rsidP="00963495">
            <w:pPr>
              <w:spacing w:line="240" w:lineRule="auto"/>
              <w:rPr>
                <w:rFonts w:ascii="Times New Roman" w:hAnsi="Times New Roman"/>
                <w:color w:val="000000"/>
              </w:rPr>
            </w:pPr>
          </w:p>
        </w:tc>
        <w:tc>
          <w:tcPr>
            <w:tcW w:w="570" w:type="dxa"/>
            <w:shd w:val="clear" w:color="auto" w:fill="FFFFFF"/>
          </w:tcPr>
          <w:p w:rsidR="00963495" w:rsidRPr="00A57BCB" w:rsidRDefault="00963495" w:rsidP="00963495">
            <w:pPr>
              <w:spacing w:line="240" w:lineRule="auto"/>
              <w:rPr>
                <w:rFonts w:ascii="Times New Roman" w:hAnsi="Times New Roman"/>
                <w:color w:val="000000"/>
              </w:rPr>
            </w:pPr>
          </w:p>
        </w:tc>
        <w:tc>
          <w:tcPr>
            <w:tcW w:w="1547" w:type="dxa"/>
            <w:gridSpan w:val="3"/>
            <w:shd w:val="clear" w:color="auto" w:fill="FFFFFF"/>
          </w:tcPr>
          <w:p w:rsidR="00963495" w:rsidRPr="00A57BCB" w:rsidRDefault="00963495" w:rsidP="00963495">
            <w:pPr>
              <w:spacing w:line="240" w:lineRule="auto"/>
              <w:rPr>
                <w:rFonts w:ascii="Times New Roman" w:hAnsi="Times New Roman"/>
                <w:color w:val="000000"/>
              </w:rPr>
            </w:pPr>
          </w:p>
        </w:tc>
      </w:tr>
      <w:tr w:rsidR="00963495" w:rsidRPr="00A57BCB" w:rsidTr="00676C8D">
        <w:trPr>
          <w:gridAfter w:val="1"/>
          <w:wAfter w:w="10" w:type="dxa"/>
          <w:trHeight w:val="348"/>
        </w:trPr>
        <w:tc>
          <w:tcPr>
            <w:tcW w:w="2243" w:type="dxa"/>
            <w:gridSpan w:val="2"/>
            <w:shd w:val="clear" w:color="auto" w:fill="FFFFFF"/>
            <w:vAlign w:val="center"/>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t xml:space="preserve">Źródła finansowania </w:t>
            </w:r>
          </w:p>
        </w:tc>
        <w:tc>
          <w:tcPr>
            <w:tcW w:w="8694" w:type="dxa"/>
            <w:gridSpan w:val="26"/>
            <w:shd w:val="clear" w:color="auto" w:fill="FFFFFF"/>
            <w:vAlign w:val="center"/>
          </w:tcPr>
          <w:p w:rsidR="00963495" w:rsidRPr="00A57BCB" w:rsidRDefault="00963495" w:rsidP="00963495">
            <w:pPr>
              <w:spacing w:line="240" w:lineRule="auto"/>
              <w:jc w:val="both"/>
              <w:rPr>
                <w:rFonts w:ascii="Times New Roman" w:hAnsi="Times New Roman"/>
                <w:color w:val="000000"/>
              </w:rPr>
            </w:pPr>
            <w:r w:rsidRPr="00A57BCB">
              <w:rPr>
                <w:rFonts w:ascii="Times New Roman" w:hAnsi="Times New Roman"/>
                <w:color w:val="000000"/>
              </w:rPr>
              <w:t>Projektowana regulacja nie będzie miała wpływu na wydatki Budżetu Państwa</w:t>
            </w:r>
          </w:p>
        </w:tc>
      </w:tr>
      <w:tr w:rsidR="00963495" w:rsidRPr="00A57BCB" w:rsidTr="00CB2EA3">
        <w:trPr>
          <w:gridAfter w:val="1"/>
          <w:wAfter w:w="10" w:type="dxa"/>
          <w:trHeight w:val="1117"/>
        </w:trPr>
        <w:tc>
          <w:tcPr>
            <w:tcW w:w="2243" w:type="dxa"/>
            <w:gridSpan w:val="2"/>
            <w:shd w:val="clear" w:color="auto" w:fill="FFFFFF"/>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t>Dodatkowe informacje, w tym wskazanie źródeł danych i przyjętych do obliczeń założeń</w:t>
            </w:r>
          </w:p>
        </w:tc>
        <w:tc>
          <w:tcPr>
            <w:tcW w:w="8694" w:type="dxa"/>
            <w:gridSpan w:val="26"/>
            <w:shd w:val="clear" w:color="auto" w:fill="FFFFFF"/>
          </w:tcPr>
          <w:p w:rsidR="00963495" w:rsidRPr="00A57BCB" w:rsidRDefault="00963495" w:rsidP="00963495">
            <w:pPr>
              <w:spacing w:line="240" w:lineRule="auto"/>
              <w:jc w:val="both"/>
              <w:rPr>
                <w:rFonts w:ascii="Times New Roman" w:hAnsi="Times New Roman"/>
                <w:color w:val="000000"/>
              </w:rPr>
            </w:pPr>
          </w:p>
          <w:p w:rsidR="00963495" w:rsidRPr="00A57BCB" w:rsidRDefault="00963495" w:rsidP="00963495">
            <w:pPr>
              <w:spacing w:line="240" w:lineRule="auto"/>
              <w:jc w:val="both"/>
              <w:rPr>
                <w:rFonts w:ascii="Times New Roman" w:hAnsi="Times New Roman"/>
                <w:color w:val="000000"/>
              </w:rPr>
            </w:pPr>
          </w:p>
        </w:tc>
      </w:tr>
      <w:tr w:rsidR="00963495" w:rsidRPr="00A57BCB" w:rsidTr="00676C8D">
        <w:trPr>
          <w:gridAfter w:val="1"/>
          <w:wAfter w:w="10" w:type="dxa"/>
          <w:trHeight w:val="345"/>
        </w:trPr>
        <w:tc>
          <w:tcPr>
            <w:tcW w:w="10937" w:type="dxa"/>
            <w:gridSpan w:val="28"/>
            <w:shd w:val="clear" w:color="auto" w:fill="99CCFF"/>
          </w:tcPr>
          <w:p w:rsidR="00963495" w:rsidRPr="00A57BCB" w:rsidRDefault="00963495" w:rsidP="00963495">
            <w:pPr>
              <w:numPr>
                <w:ilvl w:val="0"/>
                <w:numId w:val="6"/>
              </w:numPr>
              <w:spacing w:before="120" w:after="120" w:line="240" w:lineRule="auto"/>
              <w:jc w:val="both"/>
              <w:rPr>
                <w:rFonts w:ascii="Times New Roman" w:hAnsi="Times New Roman"/>
                <w:b/>
                <w:color w:val="000000"/>
                <w:spacing w:val="-2"/>
              </w:rPr>
            </w:pPr>
            <w:r w:rsidRPr="00A57BCB">
              <w:rPr>
                <w:rFonts w:ascii="Times New Roman" w:hAnsi="Times New Roman"/>
                <w:b/>
                <w:color w:val="000000"/>
                <w:spacing w:val="-2"/>
              </w:rPr>
              <w:t xml:space="preserve">Wpływ na </w:t>
            </w:r>
            <w:r w:rsidRPr="00A57BCB">
              <w:rPr>
                <w:rFonts w:ascii="Times New Roman" w:hAnsi="Times New Roman"/>
                <w:b/>
                <w:color w:val="000000"/>
              </w:rPr>
              <w:t xml:space="preserve">konkurencyjność gospodarki i przedsiębiorczość, w tym funkcjonowanie przedsiębiorców oraz na rodzinę, obywateli i gospodarstwa domowe </w:t>
            </w:r>
          </w:p>
        </w:tc>
      </w:tr>
      <w:tr w:rsidR="00963495" w:rsidRPr="00A57BCB" w:rsidTr="00676C8D">
        <w:trPr>
          <w:gridAfter w:val="1"/>
          <w:wAfter w:w="10" w:type="dxa"/>
          <w:trHeight w:val="142"/>
        </w:trPr>
        <w:tc>
          <w:tcPr>
            <w:tcW w:w="10937" w:type="dxa"/>
            <w:gridSpan w:val="28"/>
            <w:shd w:val="clear" w:color="auto" w:fill="FFFFFF"/>
          </w:tcPr>
          <w:p w:rsidR="00963495" w:rsidRPr="00A57BCB" w:rsidRDefault="00963495" w:rsidP="00963495">
            <w:pPr>
              <w:spacing w:line="240" w:lineRule="auto"/>
              <w:jc w:val="center"/>
              <w:rPr>
                <w:rFonts w:ascii="Times New Roman" w:hAnsi="Times New Roman"/>
                <w:color w:val="000000"/>
                <w:spacing w:val="-2"/>
              </w:rPr>
            </w:pPr>
            <w:r w:rsidRPr="00A57BCB">
              <w:rPr>
                <w:rFonts w:ascii="Times New Roman" w:hAnsi="Times New Roman"/>
                <w:color w:val="000000"/>
                <w:spacing w:val="-2"/>
              </w:rPr>
              <w:t>Skutki</w:t>
            </w:r>
          </w:p>
        </w:tc>
      </w:tr>
      <w:tr w:rsidR="00963495" w:rsidRPr="00A57BCB" w:rsidTr="00676C8D">
        <w:trPr>
          <w:gridAfter w:val="1"/>
          <w:wAfter w:w="10" w:type="dxa"/>
          <w:trHeight w:val="142"/>
        </w:trPr>
        <w:tc>
          <w:tcPr>
            <w:tcW w:w="3889" w:type="dxa"/>
            <w:gridSpan w:val="6"/>
            <w:shd w:val="clear" w:color="auto" w:fill="FFFFFF"/>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t>Czas w latach od wejścia w życie zmian</w:t>
            </w:r>
          </w:p>
        </w:tc>
        <w:tc>
          <w:tcPr>
            <w:tcW w:w="937" w:type="dxa"/>
            <w:gridSpan w:val="3"/>
            <w:shd w:val="clear" w:color="auto" w:fill="FFFFFF"/>
          </w:tcPr>
          <w:p w:rsidR="00963495" w:rsidRPr="00A57BCB" w:rsidRDefault="00963495" w:rsidP="00963495">
            <w:pPr>
              <w:spacing w:line="240" w:lineRule="auto"/>
              <w:jc w:val="center"/>
              <w:rPr>
                <w:rFonts w:ascii="Times New Roman" w:hAnsi="Times New Roman"/>
                <w:color w:val="000000"/>
              </w:rPr>
            </w:pPr>
            <w:r w:rsidRPr="00A57BCB">
              <w:rPr>
                <w:rFonts w:ascii="Times New Roman" w:hAnsi="Times New Roman"/>
                <w:color w:val="000000"/>
              </w:rPr>
              <w:t>0</w:t>
            </w:r>
          </w:p>
        </w:tc>
        <w:tc>
          <w:tcPr>
            <w:tcW w:w="938" w:type="dxa"/>
            <w:gridSpan w:val="4"/>
            <w:shd w:val="clear" w:color="auto" w:fill="FFFFFF"/>
          </w:tcPr>
          <w:p w:rsidR="00963495" w:rsidRPr="00A57BCB" w:rsidRDefault="00963495" w:rsidP="00963495">
            <w:pPr>
              <w:spacing w:line="240" w:lineRule="auto"/>
              <w:jc w:val="center"/>
              <w:rPr>
                <w:rFonts w:ascii="Times New Roman" w:hAnsi="Times New Roman"/>
                <w:color w:val="000000"/>
              </w:rPr>
            </w:pPr>
            <w:r w:rsidRPr="00A57BCB">
              <w:rPr>
                <w:rFonts w:ascii="Times New Roman" w:hAnsi="Times New Roman"/>
                <w:color w:val="000000"/>
              </w:rPr>
              <w:t>1</w:t>
            </w:r>
          </w:p>
        </w:tc>
        <w:tc>
          <w:tcPr>
            <w:tcW w:w="938" w:type="dxa"/>
            <w:gridSpan w:val="5"/>
            <w:shd w:val="clear" w:color="auto" w:fill="FFFFFF"/>
          </w:tcPr>
          <w:p w:rsidR="00963495" w:rsidRPr="00A57BCB" w:rsidRDefault="00963495" w:rsidP="00963495">
            <w:pPr>
              <w:spacing w:line="240" w:lineRule="auto"/>
              <w:jc w:val="center"/>
              <w:rPr>
                <w:rFonts w:ascii="Times New Roman" w:hAnsi="Times New Roman"/>
                <w:color w:val="000000"/>
              </w:rPr>
            </w:pPr>
            <w:r w:rsidRPr="00A57BCB">
              <w:rPr>
                <w:rFonts w:ascii="Times New Roman" w:hAnsi="Times New Roman"/>
                <w:color w:val="000000"/>
              </w:rPr>
              <w:t>2</w:t>
            </w:r>
          </w:p>
        </w:tc>
        <w:tc>
          <w:tcPr>
            <w:tcW w:w="937" w:type="dxa"/>
            <w:gridSpan w:val="3"/>
            <w:shd w:val="clear" w:color="auto" w:fill="FFFFFF"/>
          </w:tcPr>
          <w:p w:rsidR="00963495" w:rsidRPr="00A57BCB" w:rsidRDefault="00963495" w:rsidP="00963495">
            <w:pPr>
              <w:spacing w:line="240" w:lineRule="auto"/>
              <w:jc w:val="center"/>
              <w:rPr>
                <w:rFonts w:ascii="Times New Roman" w:hAnsi="Times New Roman"/>
                <w:color w:val="000000"/>
              </w:rPr>
            </w:pPr>
            <w:r w:rsidRPr="00A57BCB">
              <w:rPr>
                <w:rFonts w:ascii="Times New Roman" w:hAnsi="Times New Roman"/>
                <w:color w:val="000000"/>
              </w:rPr>
              <w:t>3</w:t>
            </w:r>
          </w:p>
        </w:tc>
        <w:tc>
          <w:tcPr>
            <w:tcW w:w="938" w:type="dxa"/>
            <w:gridSpan w:val="3"/>
            <w:shd w:val="clear" w:color="auto" w:fill="FFFFFF"/>
          </w:tcPr>
          <w:p w:rsidR="00963495" w:rsidRPr="00A57BCB" w:rsidRDefault="00963495" w:rsidP="00963495">
            <w:pPr>
              <w:spacing w:line="240" w:lineRule="auto"/>
              <w:jc w:val="center"/>
              <w:rPr>
                <w:rFonts w:ascii="Times New Roman" w:hAnsi="Times New Roman"/>
                <w:color w:val="000000"/>
              </w:rPr>
            </w:pPr>
            <w:r w:rsidRPr="00A57BCB">
              <w:rPr>
                <w:rFonts w:ascii="Times New Roman" w:hAnsi="Times New Roman"/>
                <w:color w:val="000000"/>
              </w:rPr>
              <w:t>5</w:t>
            </w:r>
          </w:p>
        </w:tc>
        <w:tc>
          <w:tcPr>
            <w:tcW w:w="938" w:type="dxa"/>
            <w:gridSpan w:val="3"/>
            <w:shd w:val="clear" w:color="auto" w:fill="FFFFFF"/>
          </w:tcPr>
          <w:p w:rsidR="00963495" w:rsidRPr="00A57BCB" w:rsidRDefault="00963495" w:rsidP="00963495">
            <w:pPr>
              <w:spacing w:line="240" w:lineRule="auto"/>
              <w:jc w:val="center"/>
              <w:rPr>
                <w:rFonts w:ascii="Times New Roman" w:hAnsi="Times New Roman"/>
                <w:color w:val="000000"/>
              </w:rPr>
            </w:pPr>
            <w:r w:rsidRPr="00A57BCB">
              <w:rPr>
                <w:rFonts w:ascii="Times New Roman" w:hAnsi="Times New Roman"/>
                <w:color w:val="000000"/>
              </w:rPr>
              <w:t>10</w:t>
            </w:r>
          </w:p>
        </w:tc>
        <w:tc>
          <w:tcPr>
            <w:tcW w:w="1422" w:type="dxa"/>
            <w:shd w:val="clear" w:color="auto" w:fill="FFFFFF"/>
          </w:tcPr>
          <w:p w:rsidR="00963495" w:rsidRPr="00A57BCB" w:rsidRDefault="00963495" w:rsidP="00963495">
            <w:pPr>
              <w:spacing w:line="240" w:lineRule="auto"/>
              <w:jc w:val="center"/>
              <w:rPr>
                <w:rFonts w:ascii="Times New Roman" w:hAnsi="Times New Roman"/>
                <w:i/>
                <w:color w:val="000000"/>
                <w:spacing w:val="-2"/>
              </w:rPr>
            </w:pPr>
            <w:r w:rsidRPr="00A57BCB">
              <w:rPr>
                <w:rFonts w:ascii="Times New Roman" w:hAnsi="Times New Roman"/>
                <w:i/>
                <w:color w:val="000000"/>
                <w:spacing w:val="-2"/>
              </w:rPr>
              <w:t>Łącznie</w:t>
            </w:r>
            <w:r w:rsidRPr="00A57BCB" w:rsidDel="0073273A">
              <w:rPr>
                <w:rFonts w:ascii="Times New Roman" w:hAnsi="Times New Roman"/>
                <w:i/>
                <w:color w:val="000000"/>
                <w:spacing w:val="-2"/>
              </w:rPr>
              <w:t xml:space="preserve"> </w:t>
            </w:r>
            <w:r w:rsidRPr="00A57BCB">
              <w:rPr>
                <w:rFonts w:ascii="Times New Roman" w:hAnsi="Times New Roman"/>
                <w:i/>
                <w:color w:val="000000"/>
                <w:spacing w:val="-2"/>
              </w:rPr>
              <w:t>(0-10)</w:t>
            </w:r>
          </w:p>
        </w:tc>
      </w:tr>
      <w:tr w:rsidR="001943BE" w:rsidRPr="00A57BCB" w:rsidTr="00465479">
        <w:trPr>
          <w:gridAfter w:val="1"/>
          <w:wAfter w:w="10" w:type="dxa"/>
          <w:trHeight w:val="446"/>
        </w:trPr>
        <w:tc>
          <w:tcPr>
            <w:tcW w:w="1702" w:type="dxa"/>
            <w:vMerge w:val="restart"/>
            <w:shd w:val="clear" w:color="auto" w:fill="FFFFFF"/>
          </w:tcPr>
          <w:p w:rsidR="001943BE" w:rsidRPr="00A57BCB" w:rsidRDefault="001943BE" w:rsidP="001943BE">
            <w:pPr>
              <w:rPr>
                <w:rFonts w:ascii="Times New Roman" w:hAnsi="Times New Roman"/>
                <w:color w:val="000000"/>
              </w:rPr>
            </w:pPr>
            <w:r w:rsidRPr="00A57BCB">
              <w:rPr>
                <w:rFonts w:ascii="Times New Roman" w:hAnsi="Times New Roman"/>
                <w:color w:val="000000"/>
              </w:rPr>
              <w:t>W ujęciu pieniężnym</w:t>
            </w:r>
          </w:p>
          <w:p w:rsidR="001943BE" w:rsidRPr="00A57BCB" w:rsidRDefault="001943BE" w:rsidP="001943BE">
            <w:pPr>
              <w:rPr>
                <w:rFonts w:ascii="Times New Roman" w:hAnsi="Times New Roman"/>
                <w:spacing w:val="-2"/>
              </w:rPr>
            </w:pPr>
            <w:r w:rsidRPr="00A57BCB">
              <w:rPr>
                <w:rFonts w:ascii="Times New Roman" w:hAnsi="Times New Roman"/>
                <w:spacing w:val="-2"/>
              </w:rPr>
              <w:t xml:space="preserve">(w mln zł, </w:t>
            </w:r>
          </w:p>
          <w:p w:rsidR="001943BE" w:rsidRPr="00A57BCB" w:rsidRDefault="001943BE" w:rsidP="001943BE">
            <w:pPr>
              <w:spacing w:line="240" w:lineRule="auto"/>
              <w:rPr>
                <w:rFonts w:ascii="Times New Roman" w:hAnsi="Times New Roman"/>
                <w:color w:val="000000"/>
              </w:rPr>
            </w:pPr>
            <w:r w:rsidRPr="00A57BCB">
              <w:rPr>
                <w:rFonts w:ascii="Times New Roman" w:hAnsi="Times New Roman"/>
                <w:spacing w:val="-2"/>
              </w:rPr>
              <w:t xml:space="preserve">ceny stałe z </w:t>
            </w:r>
            <w:r>
              <w:rPr>
                <w:rFonts w:ascii="Times New Roman" w:hAnsi="Times New Roman"/>
                <w:spacing w:val="-2"/>
              </w:rPr>
              <w:t>2022</w:t>
            </w:r>
            <w:r w:rsidRPr="00A57BCB">
              <w:rPr>
                <w:rFonts w:ascii="Times New Roman" w:hAnsi="Times New Roman"/>
                <w:spacing w:val="-2"/>
              </w:rPr>
              <w:t xml:space="preserve"> r.)</w:t>
            </w:r>
          </w:p>
        </w:tc>
        <w:tc>
          <w:tcPr>
            <w:tcW w:w="2187" w:type="dxa"/>
            <w:gridSpan w:val="5"/>
            <w:shd w:val="clear" w:color="auto" w:fill="FFFFFF"/>
          </w:tcPr>
          <w:p w:rsidR="001943BE" w:rsidRPr="00A57BCB" w:rsidRDefault="001943BE" w:rsidP="001943BE">
            <w:pPr>
              <w:spacing w:line="240" w:lineRule="auto"/>
              <w:rPr>
                <w:rFonts w:ascii="Times New Roman" w:hAnsi="Times New Roman"/>
                <w:color w:val="000000"/>
              </w:rPr>
            </w:pPr>
            <w:r>
              <w:rPr>
                <w:rFonts w:ascii="Times New Roman" w:hAnsi="Times New Roman"/>
                <w:color w:val="000000"/>
              </w:rPr>
              <w:t>instytucje kredytowe</w:t>
            </w:r>
          </w:p>
        </w:tc>
        <w:tc>
          <w:tcPr>
            <w:tcW w:w="937" w:type="dxa"/>
            <w:gridSpan w:val="3"/>
            <w:shd w:val="clear" w:color="auto" w:fill="FFFFFF"/>
            <w:vAlign w:val="center"/>
          </w:tcPr>
          <w:p w:rsidR="001943BE" w:rsidRPr="00465479" w:rsidRDefault="001943BE" w:rsidP="00465479">
            <w:pPr>
              <w:spacing w:line="240" w:lineRule="auto"/>
              <w:jc w:val="center"/>
              <w:rPr>
                <w:rFonts w:ascii="Times New Roman" w:hAnsi="Times New Roman"/>
                <w:color w:val="000000"/>
              </w:rPr>
            </w:pPr>
            <w:r>
              <w:rPr>
                <w:rFonts w:ascii="Times New Roman" w:hAnsi="Times New Roman"/>
                <w:color w:val="000000"/>
              </w:rPr>
              <w:t>-</w:t>
            </w:r>
            <w:r w:rsidRPr="00465479">
              <w:rPr>
                <w:rFonts w:ascii="Times New Roman" w:hAnsi="Times New Roman"/>
                <w:color w:val="000000"/>
              </w:rPr>
              <w:t>406,05</w:t>
            </w:r>
          </w:p>
        </w:tc>
        <w:tc>
          <w:tcPr>
            <w:tcW w:w="938" w:type="dxa"/>
            <w:gridSpan w:val="4"/>
            <w:shd w:val="clear" w:color="auto" w:fill="FFFFFF"/>
            <w:vAlign w:val="center"/>
          </w:tcPr>
          <w:p w:rsidR="001943BE" w:rsidRPr="00465479" w:rsidRDefault="001943BE" w:rsidP="00465479">
            <w:pPr>
              <w:spacing w:line="240" w:lineRule="auto"/>
              <w:jc w:val="center"/>
              <w:rPr>
                <w:rFonts w:ascii="Times New Roman" w:hAnsi="Times New Roman"/>
                <w:color w:val="000000"/>
              </w:rPr>
            </w:pPr>
            <w:r>
              <w:rPr>
                <w:rFonts w:ascii="Times New Roman" w:hAnsi="Times New Roman"/>
                <w:color w:val="000000"/>
              </w:rPr>
              <w:t>-</w:t>
            </w:r>
            <w:r w:rsidRPr="00465479">
              <w:rPr>
                <w:rFonts w:ascii="Times New Roman" w:hAnsi="Times New Roman"/>
                <w:color w:val="000000"/>
              </w:rPr>
              <w:t>406,05</w:t>
            </w:r>
          </w:p>
        </w:tc>
        <w:tc>
          <w:tcPr>
            <w:tcW w:w="938" w:type="dxa"/>
            <w:gridSpan w:val="5"/>
            <w:shd w:val="clear" w:color="auto" w:fill="FFFFFF"/>
            <w:vAlign w:val="center"/>
          </w:tcPr>
          <w:p w:rsidR="001943BE" w:rsidRPr="00465479" w:rsidRDefault="001943BE" w:rsidP="00465479">
            <w:pPr>
              <w:spacing w:line="240" w:lineRule="auto"/>
              <w:jc w:val="center"/>
              <w:rPr>
                <w:rFonts w:ascii="Times New Roman" w:hAnsi="Times New Roman"/>
                <w:color w:val="000000"/>
              </w:rPr>
            </w:pPr>
            <w:r>
              <w:rPr>
                <w:rFonts w:ascii="Times New Roman" w:hAnsi="Times New Roman"/>
                <w:color w:val="000000"/>
              </w:rPr>
              <w:t>-</w:t>
            </w:r>
            <w:r w:rsidRPr="00465479">
              <w:rPr>
                <w:rFonts w:ascii="Times New Roman" w:hAnsi="Times New Roman"/>
                <w:color w:val="000000"/>
              </w:rPr>
              <w:t>406,05</w:t>
            </w:r>
          </w:p>
        </w:tc>
        <w:tc>
          <w:tcPr>
            <w:tcW w:w="937" w:type="dxa"/>
            <w:gridSpan w:val="3"/>
            <w:shd w:val="clear" w:color="auto" w:fill="FFFFFF"/>
            <w:vAlign w:val="center"/>
          </w:tcPr>
          <w:p w:rsidR="001943BE" w:rsidRPr="00465479" w:rsidRDefault="001943BE" w:rsidP="00465479">
            <w:pPr>
              <w:spacing w:line="240" w:lineRule="auto"/>
              <w:jc w:val="center"/>
              <w:rPr>
                <w:rFonts w:ascii="Times New Roman" w:hAnsi="Times New Roman"/>
                <w:color w:val="000000"/>
              </w:rPr>
            </w:pPr>
            <w:r>
              <w:rPr>
                <w:rFonts w:ascii="Times New Roman" w:hAnsi="Times New Roman"/>
                <w:color w:val="000000"/>
              </w:rPr>
              <w:t>-</w:t>
            </w:r>
            <w:r w:rsidRPr="00465479">
              <w:rPr>
                <w:rFonts w:ascii="Times New Roman" w:hAnsi="Times New Roman"/>
                <w:color w:val="000000"/>
              </w:rPr>
              <w:t>406,05</w:t>
            </w:r>
          </w:p>
        </w:tc>
        <w:tc>
          <w:tcPr>
            <w:tcW w:w="938" w:type="dxa"/>
            <w:gridSpan w:val="3"/>
            <w:shd w:val="clear" w:color="auto" w:fill="FFFFFF"/>
            <w:vAlign w:val="center"/>
          </w:tcPr>
          <w:p w:rsidR="001943BE" w:rsidRPr="00465479" w:rsidRDefault="001943BE" w:rsidP="00465479">
            <w:pPr>
              <w:spacing w:line="240" w:lineRule="auto"/>
              <w:jc w:val="center"/>
              <w:rPr>
                <w:rFonts w:ascii="Times New Roman" w:hAnsi="Times New Roman"/>
                <w:color w:val="000000"/>
              </w:rPr>
            </w:pPr>
            <w:r>
              <w:rPr>
                <w:rFonts w:ascii="Times New Roman" w:hAnsi="Times New Roman"/>
                <w:color w:val="000000"/>
              </w:rPr>
              <w:t>-</w:t>
            </w:r>
            <w:r w:rsidRPr="00465479">
              <w:rPr>
                <w:rFonts w:ascii="Times New Roman" w:hAnsi="Times New Roman"/>
                <w:color w:val="000000"/>
              </w:rPr>
              <w:t>406,05</w:t>
            </w:r>
          </w:p>
        </w:tc>
        <w:tc>
          <w:tcPr>
            <w:tcW w:w="938" w:type="dxa"/>
            <w:gridSpan w:val="3"/>
            <w:shd w:val="clear" w:color="auto" w:fill="FFFFFF"/>
            <w:vAlign w:val="center"/>
          </w:tcPr>
          <w:p w:rsidR="001943BE" w:rsidRPr="00465479" w:rsidRDefault="001943BE" w:rsidP="00465479">
            <w:pPr>
              <w:spacing w:line="240" w:lineRule="auto"/>
              <w:jc w:val="center"/>
              <w:rPr>
                <w:rFonts w:ascii="Times New Roman" w:hAnsi="Times New Roman"/>
                <w:color w:val="000000"/>
              </w:rPr>
            </w:pPr>
            <w:r>
              <w:rPr>
                <w:rFonts w:ascii="Times New Roman" w:hAnsi="Times New Roman"/>
                <w:color w:val="000000"/>
              </w:rPr>
              <w:t>-</w:t>
            </w:r>
            <w:r w:rsidRPr="00465479">
              <w:rPr>
                <w:rFonts w:ascii="Times New Roman" w:hAnsi="Times New Roman"/>
                <w:color w:val="000000"/>
              </w:rPr>
              <w:t>406,05</w:t>
            </w:r>
          </w:p>
        </w:tc>
        <w:tc>
          <w:tcPr>
            <w:tcW w:w="1422" w:type="dxa"/>
            <w:shd w:val="clear" w:color="auto" w:fill="FFFFFF"/>
            <w:vAlign w:val="center"/>
          </w:tcPr>
          <w:p w:rsidR="001943BE" w:rsidRPr="00465479" w:rsidRDefault="001943BE" w:rsidP="00465479">
            <w:pPr>
              <w:spacing w:line="240" w:lineRule="auto"/>
              <w:jc w:val="right"/>
              <w:rPr>
                <w:rFonts w:ascii="Times New Roman" w:hAnsi="Times New Roman"/>
                <w:color w:val="000000"/>
                <w:spacing w:val="-2"/>
              </w:rPr>
            </w:pPr>
            <w:r>
              <w:rPr>
                <w:rFonts w:ascii="Times New Roman" w:hAnsi="Times New Roman"/>
                <w:color w:val="000000"/>
              </w:rPr>
              <w:t>-</w:t>
            </w:r>
            <w:r w:rsidRPr="00465479">
              <w:rPr>
                <w:rFonts w:ascii="Times New Roman" w:hAnsi="Times New Roman"/>
                <w:color w:val="000000"/>
              </w:rPr>
              <w:t>4466,53</w:t>
            </w:r>
          </w:p>
        </w:tc>
      </w:tr>
      <w:tr w:rsidR="001943BE" w:rsidRPr="00A57BCB" w:rsidTr="00465479">
        <w:trPr>
          <w:gridAfter w:val="1"/>
          <w:wAfter w:w="10" w:type="dxa"/>
          <w:trHeight w:val="142"/>
        </w:trPr>
        <w:tc>
          <w:tcPr>
            <w:tcW w:w="1702" w:type="dxa"/>
            <w:vMerge/>
            <w:shd w:val="clear" w:color="auto" w:fill="FFFFFF"/>
          </w:tcPr>
          <w:p w:rsidR="001943BE" w:rsidRPr="00A57BCB" w:rsidRDefault="001943BE" w:rsidP="001943BE">
            <w:pPr>
              <w:spacing w:line="240" w:lineRule="auto"/>
              <w:rPr>
                <w:rFonts w:ascii="Times New Roman" w:hAnsi="Times New Roman"/>
                <w:color w:val="000000"/>
              </w:rPr>
            </w:pPr>
          </w:p>
        </w:tc>
        <w:tc>
          <w:tcPr>
            <w:tcW w:w="2187" w:type="dxa"/>
            <w:gridSpan w:val="5"/>
            <w:shd w:val="clear" w:color="auto" w:fill="FFFFFF"/>
          </w:tcPr>
          <w:p w:rsidR="001943BE" w:rsidRPr="00A57BCB" w:rsidRDefault="001943BE" w:rsidP="001943BE">
            <w:pPr>
              <w:spacing w:line="240" w:lineRule="auto"/>
              <w:rPr>
                <w:rFonts w:ascii="Times New Roman" w:hAnsi="Times New Roman"/>
                <w:color w:val="000000"/>
              </w:rPr>
            </w:pPr>
            <w:r w:rsidRPr="00A57BCB">
              <w:rPr>
                <w:rFonts w:ascii="Times New Roman" w:hAnsi="Times New Roman"/>
              </w:rPr>
              <w:t>rodzina, obywatele oraz gospodarstwa domowe</w:t>
            </w:r>
          </w:p>
        </w:tc>
        <w:tc>
          <w:tcPr>
            <w:tcW w:w="937" w:type="dxa"/>
            <w:gridSpan w:val="3"/>
            <w:shd w:val="clear" w:color="auto" w:fill="FFFFFF"/>
            <w:vAlign w:val="center"/>
          </w:tcPr>
          <w:p w:rsidR="001943BE" w:rsidRPr="00465479" w:rsidRDefault="001943BE" w:rsidP="00465479">
            <w:pPr>
              <w:spacing w:line="240" w:lineRule="auto"/>
              <w:jc w:val="center"/>
              <w:rPr>
                <w:rFonts w:ascii="Times New Roman" w:hAnsi="Times New Roman"/>
                <w:color w:val="000000"/>
              </w:rPr>
            </w:pPr>
            <w:r w:rsidRPr="00465479">
              <w:rPr>
                <w:rFonts w:ascii="Times New Roman" w:hAnsi="Times New Roman"/>
                <w:color w:val="000000"/>
              </w:rPr>
              <w:t>406,05</w:t>
            </w:r>
          </w:p>
        </w:tc>
        <w:tc>
          <w:tcPr>
            <w:tcW w:w="938" w:type="dxa"/>
            <w:gridSpan w:val="4"/>
            <w:shd w:val="clear" w:color="auto" w:fill="FFFFFF"/>
            <w:vAlign w:val="center"/>
          </w:tcPr>
          <w:p w:rsidR="001943BE" w:rsidRPr="00465479" w:rsidRDefault="001943BE" w:rsidP="00465479">
            <w:pPr>
              <w:spacing w:line="240" w:lineRule="auto"/>
              <w:jc w:val="center"/>
              <w:rPr>
                <w:rFonts w:ascii="Times New Roman" w:hAnsi="Times New Roman"/>
                <w:color w:val="000000"/>
              </w:rPr>
            </w:pPr>
            <w:r w:rsidRPr="00465479">
              <w:rPr>
                <w:rFonts w:ascii="Times New Roman" w:hAnsi="Times New Roman"/>
                <w:color w:val="000000"/>
              </w:rPr>
              <w:t>406,05</w:t>
            </w:r>
          </w:p>
        </w:tc>
        <w:tc>
          <w:tcPr>
            <w:tcW w:w="938" w:type="dxa"/>
            <w:gridSpan w:val="5"/>
            <w:shd w:val="clear" w:color="auto" w:fill="FFFFFF"/>
            <w:vAlign w:val="center"/>
          </w:tcPr>
          <w:p w:rsidR="001943BE" w:rsidRPr="00465479" w:rsidRDefault="001943BE" w:rsidP="00465479">
            <w:pPr>
              <w:spacing w:line="240" w:lineRule="auto"/>
              <w:jc w:val="center"/>
              <w:rPr>
                <w:rFonts w:ascii="Times New Roman" w:hAnsi="Times New Roman"/>
                <w:color w:val="000000"/>
              </w:rPr>
            </w:pPr>
            <w:r w:rsidRPr="00465479">
              <w:rPr>
                <w:rFonts w:ascii="Times New Roman" w:hAnsi="Times New Roman"/>
                <w:color w:val="000000"/>
              </w:rPr>
              <w:t>406,05</w:t>
            </w:r>
          </w:p>
        </w:tc>
        <w:tc>
          <w:tcPr>
            <w:tcW w:w="937" w:type="dxa"/>
            <w:gridSpan w:val="3"/>
            <w:shd w:val="clear" w:color="auto" w:fill="FFFFFF"/>
            <w:vAlign w:val="center"/>
          </w:tcPr>
          <w:p w:rsidR="001943BE" w:rsidRPr="00465479" w:rsidRDefault="001943BE" w:rsidP="00465479">
            <w:pPr>
              <w:spacing w:line="240" w:lineRule="auto"/>
              <w:jc w:val="center"/>
              <w:rPr>
                <w:rFonts w:ascii="Times New Roman" w:hAnsi="Times New Roman"/>
                <w:color w:val="000000"/>
              </w:rPr>
            </w:pPr>
            <w:r w:rsidRPr="00465479">
              <w:rPr>
                <w:rFonts w:ascii="Times New Roman" w:hAnsi="Times New Roman"/>
                <w:color w:val="000000"/>
              </w:rPr>
              <w:t>406,05</w:t>
            </w:r>
          </w:p>
        </w:tc>
        <w:tc>
          <w:tcPr>
            <w:tcW w:w="938" w:type="dxa"/>
            <w:gridSpan w:val="3"/>
            <w:shd w:val="clear" w:color="auto" w:fill="FFFFFF"/>
            <w:vAlign w:val="center"/>
          </w:tcPr>
          <w:p w:rsidR="001943BE" w:rsidRPr="00465479" w:rsidRDefault="001943BE" w:rsidP="00465479">
            <w:pPr>
              <w:spacing w:line="240" w:lineRule="auto"/>
              <w:jc w:val="center"/>
              <w:rPr>
                <w:rFonts w:ascii="Times New Roman" w:hAnsi="Times New Roman"/>
                <w:color w:val="000000"/>
              </w:rPr>
            </w:pPr>
            <w:r w:rsidRPr="00465479">
              <w:rPr>
                <w:rFonts w:ascii="Times New Roman" w:hAnsi="Times New Roman"/>
                <w:color w:val="000000"/>
              </w:rPr>
              <w:t>406,05</w:t>
            </w:r>
          </w:p>
        </w:tc>
        <w:tc>
          <w:tcPr>
            <w:tcW w:w="938" w:type="dxa"/>
            <w:gridSpan w:val="3"/>
            <w:shd w:val="clear" w:color="auto" w:fill="FFFFFF"/>
            <w:vAlign w:val="center"/>
          </w:tcPr>
          <w:p w:rsidR="001943BE" w:rsidRPr="00465479" w:rsidRDefault="001943BE" w:rsidP="00465479">
            <w:pPr>
              <w:spacing w:line="240" w:lineRule="auto"/>
              <w:jc w:val="center"/>
              <w:rPr>
                <w:rFonts w:ascii="Times New Roman" w:hAnsi="Times New Roman"/>
                <w:color w:val="000000"/>
              </w:rPr>
            </w:pPr>
            <w:r w:rsidRPr="00465479">
              <w:rPr>
                <w:rFonts w:ascii="Times New Roman" w:hAnsi="Times New Roman"/>
                <w:color w:val="000000"/>
              </w:rPr>
              <w:t>406,05</w:t>
            </w:r>
          </w:p>
        </w:tc>
        <w:tc>
          <w:tcPr>
            <w:tcW w:w="1422" w:type="dxa"/>
            <w:shd w:val="clear" w:color="auto" w:fill="FFFFFF"/>
            <w:vAlign w:val="center"/>
          </w:tcPr>
          <w:p w:rsidR="001943BE" w:rsidRPr="00465479" w:rsidRDefault="001943BE" w:rsidP="00465479">
            <w:pPr>
              <w:spacing w:line="240" w:lineRule="auto"/>
              <w:jc w:val="right"/>
              <w:rPr>
                <w:rFonts w:ascii="Times New Roman" w:hAnsi="Times New Roman"/>
                <w:color w:val="000000"/>
                <w:spacing w:val="-2"/>
              </w:rPr>
            </w:pPr>
            <w:r w:rsidRPr="00465479">
              <w:rPr>
                <w:rFonts w:ascii="Times New Roman" w:hAnsi="Times New Roman"/>
                <w:color w:val="000000"/>
              </w:rPr>
              <w:t>4466,53</w:t>
            </w:r>
          </w:p>
        </w:tc>
      </w:tr>
      <w:tr w:rsidR="00963495" w:rsidRPr="00A57BCB" w:rsidTr="00B54CCF">
        <w:trPr>
          <w:gridAfter w:val="1"/>
          <w:wAfter w:w="10" w:type="dxa"/>
          <w:trHeight w:val="142"/>
        </w:trPr>
        <w:tc>
          <w:tcPr>
            <w:tcW w:w="1702" w:type="dxa"/>
            <w:vMerge w:val="restart"/>
            <w:shd w:val="clear" w:color="auto" w:fill="FFFFFF"/>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t>W ujęciu niepieniężnym</w:t>
            </w:r>
          </w:p>
        </w:tc>
        <w:tc>
          <w:tcPr>
            <w:tcW w:w="2187" w:type="dxa"/>
            <w:gridSpan w:val="5"/>
            <w:shd w:val="clear" w:color="auto" w:fill="FFFFFF"/>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t>duże przedsiębiorstwa</w:t>
            </w:r>
          </w:p>
        </w:tc>
        <w:tc>
          <w:tcPr>
            <w:tcW w:w="7048" w:type="dxa"/>
            <w:gridSpan w:val="22"/>
            <w:vMerge w:val="restart"/>
            <w:shd w:val="clear" w:color="auto" w:fill="FFFFFF"/>
          </w:tcPr>
          <w:p w:rsidR="00963495" w:rsidRDefault="00963495" w:rsidP="00963495">
            <w:pPr>
              <w:spacing w:line="240" w:lineRule="auto"/>
              <w:jc w:val="both"/>
              <w:rPr>
                <w:rFonts w:ascii="Times New Roman" w:hAnsi="Times New Roman"/>
                <w:color w:val="000000"/>
                <w:spacing w:val="-2"/>
              </w:rPr>
            </w:pPr>
            <w:r w:rsidRPr="00A342CF">
              <w:rPr>
                <w:rFonts w:ascii="Times New Roman" w:hAnsi="Times New Roman"/>
                <w:color w:val="000000"/>
                <w:spacing w:val="-2"/>
              </w:rPr>
              <w:t xml:space="preserve">W przypadku naliczenia przez bank </w:t>
            </w:r>
            <w:r w:rsidR="00C967CC">
              <w:rPr>
                <w:rFonts w:ascii="Times New Roman" w:hAnsi="Times New Roman"/>
                <w:color w:val="000000"/>
                <w:spacing w:val="-2"/>
              </w:rPr>
              <w:t xml:space="preserve">(instytucji kredytowych) </w:t>
            </w:r>
            <w:r w:rsidRPr="00A342CF">
              <w:rPr>
                <w:rFonts w:ascii="Times New Roman" w:hAnsi="Times New Roman"/>
                <w:color w:val="000000"/>
                <w:spacing w:val="-2"/>
              </w:rPr>
              <w:t>dodatkowych opłat lub prowizji związanych z oczekiwaniem na wpis do księgi wieczystej ustanawianej na rzecz tego banku hipoteki zabezpieczającej spłatę kredytu udzielonego konsumentowi, projektuje się, aby pobrane z tego tytułu opłaty lub prowizje, po dokonaniu wpisu hipoteki, podlegały zwrotowi lub zaliczeniu na poczet innych należności obciążających kredytobiorcę.</w:t>
            </w:r>
          </w:p>
          <w:p w:rsidR="00C967CC" w:rsidRPr="00A57BCB" w:rsidRDefault="00963495" w:rsidP="00963495">
            <w:pPr>
              <w:spacing w:line="240" w:lineRule="auto"/>
              <w:jc w:val="both"/>
              <w:rPr>
                <w:rFonts w:ascii="Times New Roman" w:hAnsi="Times New Roman"/>
                <w:color w:val="000000"/>
                <w:spacing w:val="-2"/>
              </w:rPr>
            </w:pPr>
            <w:r>
              <w:rPr>
                <w:rFonts w:ascii="Times New Roman" w:hAnsi="Times New Roman"/>
                <w:color w:val="000000"/>
                <w:spacing w:val="-2"/>
              </w:rPr>
              <w:t>Szacunkowe dane zostały omówione w pkt 1 OSR.</w:t>
            </w:r>
          </w:p>
        </w:tc>
      </w:tr>
      <w:tr w:rsidR="00963495" w:rsidRPr="00A57BCB" w:rsidTr="00B54CCF">
        <w:trPr>
          <w:gridAfter w:val="1"/>
          <w:wAfter w:w="10" w:type="dxa"/>
          <w:trHeight w:val="142"/>
        </w:trPr>
        <w:tc>
          <w:tcPr>
            <w:tcW w:w="1702" w:type="dxa"/>
            <w:vMerge/>
            <w:shd w:val="clear" w:color="auto" w:fill="FFFFFF"/>
          </w:tcPr>
          <w:p w:rsidR="00963495" w:rsidRPr="00A57BCB" w:rsidRDefault="00963495" w:rsidP="00963495">
            <w:pPr>
              <w:spacing w:line="240" w:lineRule="auto"/>
              <w:rPr>
                <w:rFonts w:ascii="Times New Roman" w:hAnsi="Times New Roman"/>
                <w:color w:val="000000"/>
              </w:rPr>
            </w:pPr>
          </w:p>
        </w:tc>
        <w:tc>
          <w:tcPr>
            <w:tcW w:w="2187" w:type="dxa"/>
            <w:gridSpan w:val="5"/>
            <w:shd w:val="clear" w:color="auto" w:fill="FFFFFF"/>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t>sektor mikro-, małych i średnich przedsiębiorstw</w:t>
            </w:r>
          </w:p>
        </w:tc>
        <w:tc>
          <w:tcPr>
            <w:tcW w:w="7048" w:type="dxa"/>
            <w:gridSpan w:val="22"/>
            <w:vMerge/>
            <w:shd w:val="clear" w:color="auto" w:fill="FFFFFF"/>
          </w:tcPr>
          <w:p w:rsidR="00963495" w:rsidRPr="00A57BCB" w:rsidRDefault="00963495" w:rsidP="00963495">
            <w:pPr>
              <w:spacing w:line="240" w:lineRule="auto"/>
              <w:rPr>
                <w:rFonts w:ascii="Times New Roman" w:hAnsi="Times New Roman"/>
                <w:color w:val="000000"/>
                <w:spacing w:val="-2"/>
              </w:rPr>
            </w:pPr>
          </w:p>
        </w:tc>
      </w:tr>
      <w:tr w:rsidR="00963495" w:rsidRPr="00A57BCB" w:rsidTr="00B54CCF">
        <w:trPr>
          <w:gridAfter w:val="1"/>
          <w:wAfter w:w="10" w:type="dxa"/>
          <w:trHeight w:val="596"/>
        </w:trPr>
        <w:tc>
          <w:tcPr>
            <w:tcW w:w="1702" w:type="dxa"/>
            <w:vMerge/>
            <w:shd w:val="clear" w:color="auto" w:fill="FFFFFF"/>
          </w:tcPr>
          <w:p w:rsidR="00963495" w:rsidRPr="00A57BCB" w:rsidRDefault="00963495" w:rsidP="00963495">
            <w:pPr>
              <w:spacing w:line="240" w:lineRule="auto"/>
              <w:rPr>
                <w:rFonts w:ascii="Times New Roman" w:hAnsi="Times New Roman"/>
                <w:color w:val="000000"/>
              </w:rPr>
            </w:pPr>
          </w:p>
        </w:tc>
        <w:tc>
          <w:tcPr>
            <w:tcW w:w="2187" w:type="dxa"/>
            <w:gridSpan w:val="5"/>
            <w:shd w:val="clear" w:color="auto" w:fill="FFFFFF"/>
          </w:tcPr>
          <w:p w:rsidR="00963495" w:rsidRPr="00A57BCB" w:rsidRDefault="00963495" w:rsidP="00963495">
            <w:pPr>
              <w:tabs>
                <w:tab w:val="right" w:pos="1936"/>
              </w:tabs>
              <w:spacing w:line="240" w:lineRule="auto"/>
              <w:rPr>
                <w:rFonts w:ascii="Times New Roman" w:hAnsi="Times New Roman"/>
                <w:color w:val="000000"/>
              </w:rPr>
            </w:pPr>
            <w:r w:rsidRPr="00A57BCB">
              <w:rPr>
                <w:rFonts w:ascii="Times New Roman" w:hAnsi="Times New Roman"/>
              </w:rPr>
              <w:t>rodzina, obywatele oraz gospodarstwa domowe</w:t>
            </w:r>
            <w:r w:rsidRPr="00A57BCB">
              <w:rPr>
                <w:rFonts w:ascii="Times New Roman" w:hAnsi="Times New Roman"/>
                <w:color w:val="000000"/>
              </w:rPr>
              <w:t xml:space="preserve"> </w:t>
            </w:r>
          </w:p>
        </w:tc>
        <w:tc>
          <w:tcPr>
            <w:tcW w:w="7048" w:type="dxa"/>
            <w:gridSpan w:val="22"/>
            <w:shd w:val="clear" w:color="auto" w:fill="FFFFFF"/>
          </w:tcPr>
          <w:p w:rsidR="00963495" w:rsidRPr="00A57BCB" w:rsidRDefault="00963495" w:rsidP="00963495">
            <w:pPr>
              <w:spacing w:line="240" w:lineRule="auto"/>
              <w:jc w:val="both"/>
              <w:rPr>
                <w:rFonts w:ascii="Times New Roman" w:hAnsi="Times New Roman"/>
                <w:color w:val="000000"/>
                <w:spacing w:val="-2"/>
              </w:rPr>
            </w:pPr>
            <w:r w:rsidRPr="00A64DC9">
              <w:rPr>
                <w:rFonts w:ascii="Times New Roman" w:hAnsi="Times New Roman"/>
                <w:color w:val="000000"/>
                <w:spacing w:val="-2"/>
              </w:rPr>
              <w:t>Możliwość uzyskania zwrotu dodatkowo poniesionych kosztów z tytułu prowizji związanej z oczekiwaniem na wpis do księgi wieczystej.</w:t>
            </w:r>
          </w:p>
        </w:tc>
      </w:tr>
      <w:tr w:rsidR="00963495" w:rsidRPr="00A57BCB" w:rsidTr="00B54CCF">
        <w:trPr>
          <w:gridAfter w:val="1"/>
          <w:wAfter w:w="10" w:type="dxa"/>
          <w:trHeight w:val="142"/>
        </w:trPr>
        <w:tc>
          <w:tcPr>
            <w:tcW w:w="1702" w:type="dxa"/>
            <w:shd w:val="clear" w:color="auto" w:fill="FFFFFF"/>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t>Niemierzalne</w:t>
            </w:r>
          </w:p>
        </w:tc>
        <w:tc>
          <w:tcPr>
            <w:tcW w:w="2187" w:type="dxa"/>
            <w:gridSpan w:val="5"/>
            <w:shd w:val="clear" w:color="auto" w:fill="FFFFFF"/>
          </w:tcPr>
          <w:p w:rsidR="00963495" w:rsidRPr="00A57BCB" w:rsidRDefault="00963495" w:rsidP="00963495">
            <w:pPr>
              <w:spacing w:line="240" w:lineRule="auto"/>
              <w:rPr>
                <w:rFonts w:ascii="Times New Roman" w:hAnsi="Times New Roman"/>
                <w:color w:val="000000"/>
              </w:rPr>
            </w:pPr>
          </w:p>
        </w:tc>
        <w:tc>
          <w:tcPr>
            <w:tcW w:w="7048" w:type="dxa"/>
            <w:gridSpan w:val="22"/>
            <w:shd w:val="clear" w:color="auto" w:fill="FFFFFF"/>
          </w:tcPr>
          <w:p w:rsidR="00963495" w:rsidRPr="00A57BCB" w:rsidRDefault="00963495" w:rsidP="00963495">
            <w:pPr>
              <w:spacing w:line="240" w:lineRule="auto"/>
              <w:rPr>
                <w:rFonts w:ascii="Times New Roman" w:hAnsi="Times New Roman"/>
                <w:color w:val="000000"/>
                <w:spacing w:val="-2"/>
              </w:rPr>
            </w:pPr>
          </w:p>
        </w:tc>
      </w:tr>
      <w:tr w:rsidR="00963495" w:rsidRPr="00A57BCB" w:rsidTr="00A57BCB">
        <w:trPr>
          <w:gridAfter w:val="1"/>
          <w:wAfter w:w="10" w:type="dxa"/>
          <w:trHeight w:val="1243"/>
        </w:trPr>
        <w:tc>
          <w:tcPr>
            <w:tcW w:w="2243" w:type="dxa"/>
            <w:gridSpan w:val="2"/>
            <w:shd w:val="clear" w:color="auto" w:fill="FFFFFF"/>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t xml:space="preserve">Dodatkowe informacje, w tym wskazanie źródeł danych i przyjętych do obliczeń założeń </w:t>
            </w:r>
          </w:p>
        </w:tc>
        <w:tc>
          <w:tcPr>
            <w:tcW w:w="8694" w:type="dxa"/>
            <w:gridSpan w:val="26"/>
            <w:shd w:val="clear" w:color="auto" w:fill="FFFFFF"/>
            <w:vAlign w:val="center"/>
          </w:tcPr>
          <w:p w:rsidR="00A57841" w:rsidRDefault="00A57841" w:rsidP="00A57841">
            <w:pPr>
              <w:spacing w:line="240" w:lineRule="auto"/>
              <w:jc w:val="both"/>
              <w:rPr>
                <w:rFonts w:ascii="Times New Roman" w:hAnsi="Times New Roman"/>
                <w:color w:val="000000"/>
              </w:rPr>
            </w:pPr>
            <w:r>
              <w:rPr>
                <w:rFonts w:ascii="Times New Roman" w:hAnsi="Times New Roman"/>
                <w:color w:val="000000"/>
              </w:rPr>
              <w:t>Jak już wskazano w pkt 1 OSR nie jest możliwe jednoznaczne wyliczenie skali potencjalnych korzyści konsumentów, ponieważ każda z instytucji finansowych udzielających kredytów posiada zróżnicowane elementy składające się na wysokość oprocentowania i w konsekwencji na wysokość raty kredytu hipotecznego. Do tego należy wziąć pod uwagę zróżnicowany czas oczekiwania na wpis do księgi wieczystej, który w omawianym projekcie również ma bezpośredni wpływ na wielkość poniesionych kosztów przez konsumentów.</w:t>
            </w:r>
          </w:p>
          <w:p w:rsidR="00A57841" w:rsidRDefault="00A57841" w:rsidP="00A57841">
            <w:pPr>
              <w:spacing w:line="240" w:lineRule="auto"/>
              <w:jc w:val="both"/>
              <w:rPr>
                <w:rFonts w:ascii="Times New Roman" w:hAnsi="Times New Roman"/>
                <w:color w:val="000000"/>
              </w:rPr>
            </w:pPr>
          </w:p>
          <w:p w:rsidR="00A57841" w:rsidRDefault="00A57841" w:rsidP="00A57841">
            <w:pPr>
              <w:spacing w:line="240" w:lineRule="auto"/>
              <w:jc w:val="both"/>
              <w:rPr>
                <w:rFonts w:ascii="Times New Roman" w:hAnsi="Times New Roman"/>
                <w:color w:val="000000"/>
              </w:rPr>
            </w:pPr>
            <w:r>
              <w:rPr>
                <w:rFonts w:ascii="Times New Roman" w:hAnsi="Times New Roman"/>
                <w:color w:val="000000"/>
              </w:rPr>
              <w:t>Jednak w celu wskazani</w:t>
            </w:r>
            <w:r w:rsidR="001F1DF4">
              <w:rPr>
                <w:rFonts w:ascii="Times New Roman" w:hAnsi="Times New Roman"/>
                <w:color w:val="000000"/>
              </w:rPr>
              <w:t>a</w:t>
            </w:r>
            <w:r>
              <w:rPr>
                <w:rFonts w:ascii="Times New Roman" w:hAnsi="Times New Roman"/>
                <w:color w:val="000000"/>
              </w:rPr>
              <w:t xml:space="preserve"> potencjalnych korzyści dla konsumentów, czy też strat dla instytucji finansowych udzielających kredytów hipotecznych, wzięto pod uwagę przedstawione szacunkowe dane:</w:t>
            </w:r>
          </w:p>
          <w:p w:rsidR="00A57841" w:rsidRDefault="00A57841" w:rsidP="00A57841">
            <w:pPr>
              <w:numPr>
                <w:ilvl w:val="0"/>
                <w:numId w:val="27"/>
              </w:numPr>
              <w:spacing w:line="240" w:lineRule="auto"/>
              <w:ind w:left="606"/>
              <w:jc w:val="both"/>
              <w:rPr>
                <w:rFonts w:ascii="Times New Roman" w:hAnsi="Times New Roman"/>
                <w:color w:val="000000"/>
              </w:rPr>
            </w:pPr>
            <w:r>
              <w:rPr>
                <w:rFonts w:ascii="Times New Roman" w:hAnsi="Times New Roman"/>
                <w:color w:val="000000"/>
              </w:rPr>
              <w:t>kredyt</w:t>
            </w:r>
            <w:r w:rsidRPr="00E90BC9">
              <w:rPr>
                <w:rFonts w:ascii="Times New Roman" w:hAnsi="Times New Roman"/>
                <w:color w:val="000000"/>
              </w:rPr>
              <w:t xml:space="preserve"> </w:t>
            </w:r>
            <w:r w:rsidRPr="00D618F4">
              <w:rPr>
                <w:rFonts w:ascii="Times New Roman" w:hAnsi="Times New Roman"/>
                <w:color w:val="000000"/>
              </w:rPr>
              <w:t>w wysokości 371 060 zł, zaciągnięt</w:t>
            </w:r>
            <w:r>
              <w:rPr>
                <w:rFonts w:ascii="Times New Roman" w:hAnsi="Times New Roman"/>
                <w:color w:val="000000"/>
              </w:rPr>
              <w:t>y</w:t>
            </w:r>
            <w:r w:rsidRPr="00D618F4">
              <w:rPr>
                <w:rFonts w:ascii="Times New Roman" w:hAnsi="Times New Roman"/>
                <w:color w:val="000000"/>
              </w:rPr>
              <w:t xml:space="preserve"> na 25 lat</w:t>
            </w:r>
            <w:r>
              <w:rPr>
                <w:rFonts w:ascii="Times New Roman" w:hAnsi="Times New Roman"/>
                <w:color w:val="000000"/>
              </w:rPr>
              <w:t>,</w:t>
            </w:r>
          </w:p>
          <w:p w:rsidR="00A57841" w:rsidRDefault="00A57841" w:rsidP="00A57841">
            <w:pPr>
              <w:numPr>
                <w:ilvl w:val="0"/>
                <w:numId w:val="27"/>
              </w:numPr>
              <w:spacing w:line="240" w:lineRule="auto"/>
              <w:ind w:left="606"/>
              <w:jc w:val="both"/>
              <w:rPr>
                <w:rFonts w:ascii="Times New Roman" w:hAnsi="Times New Roman"/>
                <w:color w:val="000000"/>
              </w:rPr>
            </w:pPr>
            <w:r w:rsidRPr="00E90BC9">
              <w:rPr>
                <w:rFonts w:ascii="Times New Roman" w:hAnsi="Times New Roman"/>
                <w:color w:val="000000"/>
              </w:rPr>
              <w:t>oprocentowanie raty k</w:t>
            </w:r>
            <w:r w:rsidRPr="00C325C2">
              <w:rPr>
                <w:rFonts w:ascii="Times New Roman" w:hAnsi="Times New Roman"/>
                <w:color w:val="000000"/>
              </w:rPr>
              <w:t>redytu na poziomie 5,90%</w:t>
            </w:r>
            <w:r>
              <w:rPr>
                <w:rFonts w:ascii="Times New Roman" w:hAnsi="Times New Roman"/>
                <w:color w:val="000000"/>
              </w:rPr>
              <w:t xml:space="preserve"> (oprocentowanie + marża)</w:t>
            </w:r>
            <w:r w:rsidRPr="00C325C2">
              <w:rPr>
                <w:rFonts w:ascii="Times New Roman" w:hAnsi="Times New Roman"/>
                <w:color w:val="000000"/>
              </w:rPr>
              <w:t>,</w:t>
            </w:r>
          </w:p>
          <w:p w:rsidR="00A57841" w:rsidRDefault="00A57841" w:rsidP="00A57841">
            <w:pPr>
              <w:numPr>
                <w:ilvl w:val="0"/>
                <w:numId w:val="27"/>
              </w:numPr>
              <w:spacing w:line="240" w:lineRule="auto"/>
              <w:ind w:left="606"/>
              <w:jc w:val="both"/>
              <w:rPr>
                <w:rFonts w:ascii="Times New Roman" w:hAnsi="Times New Roman"/>
                <w:color w:val="000000"/>
              </w:rPr>
            </w:pPr>
            <w:r>
              <w:rPr>
                <w:rFonts w:ascii="Times New Roman" w:hAnsi="Times New Roman"/>
                <w:color w:val="000000"/>
              </w:rPr>
              <w:t>wysokość ubezpieczenia pomostowego na poziomie 1,10%,</w:t>
            </w:r>
          </w:p>
          <w:p w:rsidR="00A57841" w:rsidRDefault="00A57841" w:rsidP="00A57841">
            <w:pPr>
              <w:numPr>
                <w:ilvl w:val="0"/>
                <w:numId w:val="27"/>
              </w:numPr>
              <w:spacing w:line="240" w:lineRule="auto"/>
              <w:ind w:left="606"/>
              <w:jc w:val="both"/>
              <w:rPr>
                <w:rFonts w:ascii="Times New Roman" w:hAnsi="Times New Roman"/>
                <w:color w:val="000000"/>
              </w:rPr>
            </w:pPr>
            <w:r>
              <w:rPr>
                <w:rFonts w:ascii="Times New Roman" w:hAnsi="Times New Roman"/>
                <w:color w:val="000000"/>
              </w:rPr>
              <w:t>oczekiwanie na wpis do księgi wieczystej – 8 miesięcy,</w:t>
            </w:r>
          </w:p>
          <w:p w:rsidR="00A57841" w:rsidRDefault="00A57841" w:rsidP="00A57841">
            <w:pPr>
              <w:spacing w:line="240" w:lineRule="auto"/>
              <w:jc w:val="both"/>
              <w:rPr>
                <w:rFonts w:ascii="Times New Roman" w:hAnsi="Times New Roman"/>
                <w:color w:val="000000"/>
              </w:rPr>
            </w:pPr>
          </w:p>
          <w:p w:rsidR="00A57841" w:rsidRDefault="00A57841" w:rsidP="00A57841">
            <w:pPr>
              <w:spacing w:line="240" w:lineRule="auto"/>
              <w:jc w:val="both"/>
              <w:rPr>
                <w:rFonts w:ascii="Times New Roman" w:hAnsi="Times New Roman"/>
                <w:color w:val="000000"/>
              </w:rPr>
            </w:pPr>
            <w:r>
              <w:rPr>
                <w:rFonts w:ascii="Times New Roman" w:hAnsi="Times New Roman"/>
                <w:color w:val="000000"/>
              </w:rPr>
              <w:lastRenderedPageBreak/>
              <w:t xml:space="preserve">W takim przypadku rata kredytu wyniesie </w:t>
            </w:r>
            <w:r w:rsidRPr="00D618F4">
              <w:rPr>
                <w:rFonts w:ascii="Times New Roman" w:hAnsi="Times New Roman"/>
                <w:color w:val="000000"/>
              </w:rPr>
              <w:t>2 368,11 zł miesięcznie</w:t>
            </w:r>
            <w:r>
              <w:rPr>
                <w:rFonts w:ascii="Times New Roman" w:hAnsi="Times New Roman"/>
                <w:color w:val="000000"/>
              </w:rPr>
              <w:t>.</w:t>
            </w:r>
          </w:p>
          <w:p w:rsidR="00A57841" w:rsidRPr="00A57BCB" w:rsidRDefault="00A57841" w:rsidP="00A57841">
            <w:pPr>
              <w:spacing w:line="240" w:lineRule="auto"/>
              <w:jc w:val="both"/>
              <w:rPr>
                <w:rFonts w:ascii="Times New Roman" w:hAnsi="Times New Roman"/>
                <w:color w:val="000000"/>
              </w:rPr>
            </w:pPr>
            <w:r w:rsidRPr="00A57BCB">
              <w:rPr>
                <w:rFonts w:ascii="Times New Roman" w:hAnsi="Times New Roman"/>
                <w:color w:val="000000"/>
              </w:rPr>
              <w:t>Jeżeli kredytobiorca będzie zmuszony do opłacania ubezpieczenia pomostowego</w:t>
            </w:r>
            <w:r>
              <w:rPr>
                <w:rFonts w:ascii="Times New Roman" w:hAnsi="Times New Roman"/>
                <w:color w:val="000000"/>
              </w:rPr>
              <w:t xml:space="preserve"> w wysokości 1,10%,</w:t>
            </w:r>
            <w:r w:rsidRPr="00A57BCB">
              <w:rPr>
                <w:rFonts w:ascii="Times New Roman" w:hAnsi="Times New Roman"/>
                <w:color w:val="000000"/>
              </w:rPr>
              <w:t xml:space="preserve"> rata jego kredytu zwiększy się</w:t>
            </w:r>
            <w:r w:rsidRPr="00F45FE8">
              <w:rPr>
                <w:rFonts w:ascii="Times New Roman" w:hAnsi="Times New Roman"/>
                <w:color w:val="000000"/>
              </w:rPr>
              <w:t>o 253,78 zł (do wysokości 2 621,90 zł miesięcznie).</w:t>
            </w:r>
            <w:r w:rsidRPr="00F45FE8">
              <w:rPr>
                <w:rFonts w:ascii="Times New Roman" w:hAnsi="Times New Roman"/>
                <w:b/>
                <w:bCs/>
                <w:color w:val="000000"/>
              </w:rPr>
              <w:t xml:space="preserve"> </w:t>
            </w:r>
          </w:p>
          <w:p w:rsidR="00A57841" w:rsidRDefault="00A57841" w:rsidP="00A57841">
            <w:pPr>
              <w:spacing w:line="240" w:lineRule="auto"/>
              <w:jc w:val="both"/>
              <w:rPr>
                <w:rFonts w:ascii="Times New Roman" w:hAnsi="Times New Roman"/>
                <w:color w:val="000000"/>
              </w:rPr>
            </w:pPr>
            <w:r>
              <w:rPr>
                <w:rFonts w:ascii="Times New Roman" w:hAnsi="Times New Roman"/>
                <w:color w:val="000000"/>
              </w:rPr>
              <w:t xml:space="preserve">Jeżeli czas oczekiwania na wpis do księgi wieczystej będzie wynosił założone 8 miesięcy, to konsument będzie musiał ponieść dodatkowy koszt w wysokości </w:t>
            </w:r>
            <w:r w:rsidRPr="008A6F90">
              <w:rPr>
                <w:rFonts w:ascii="Times New Roman" w:hAnsi="Times New Roman"/>
                <w:color w:val="000000"/>
              </w:rPr>
              <w:t>2</w:t>
            </w:r>
            <w:r>
              <w:rPr>
                <w:rFonts w:ascii="Times New Roman" w:hAnsi="Times New Roman"/>
                <w:color w:val="000000"/>
              </w:rPr>
              <w:t xml:space="preserve"> </w:t>
            </w:r>
            <w:r w:rsidRPr="008A6F90">
              <w:rPr>
                <w:rFonts w:ascii="Times New Roman" w:hAnsi="Times New Roman"/>
                <w:color w:val="000000"/>
              </w:rPr>
              <w:t>030,2</w:t>
            </w:r>
            <w:r>
              <w:rPr>
                <w:rFonts w:ascii="Times New Roman" w:hAnsi="Times New Roman"/>
                <w:color w:val="000000"/>
              </w:rPr>
              <w:t xml:space="preserve">4 zł </w:t>
            </w:r>
          </w:p>
          <w:p w:rsidR="00A57841" w:rsidRDefault="00A57841" w:rsidP="00A57841">
            <w:pPr>
              <w:spacing w:line="240" w:lineRule="auto"/>
              <w:jc w:val="both"/>
              <w:rPr>
                <w:rFonts w:ascii="Times New Roman" w:hAnsi="Times New Roman"/>
                <w:color w:val="000000"/>
              </w:rPr>
            </w:pPr>
          </w:p>
          <w:p w:rsidR="00A57841" w:rsidRPr="00A57BCB" w:rsidRDefault="00A57841" w:rsidP="00A57841">
            <w:pPr>
              <w:spacing w:line="240" w:lineRule="auto"/>
              <w:jc w:val="both"/>
              <w:rPr>
                <w:rFonts w:ascii="Times New Roman" w:hAnsi="Times New Roman"/>
                <w:color w:val="000000"/>
              </w:rPr>
            </w:pPr>
            <w:r w:rsidRPr="00C325C2">
              <w:rPr>
                <w:rFonts w:ascii="Times New Roman" w:hAnsi="Times New Roman"/>
                <w:b/>
                <w:bCs/>
                <w:color w:val="000000"/>
              </w:rPr>
              <w:t>253,78 zł x 8 mies. = 2 030,24 zł</w:t>
            </w:r>
          </w:p>
          <w:p w:rsidR="00A57841" w:rsidRDefault="00A57841" w:rsidP="00A57841">
            <w:pPr>
              <w:spacing w:line="240" w:lineRule="auto"/>
              <w:jc w:val="both"/>
              <w:rPr>
                <w:rFonts w:ascii="Times New Roman" w:hAnsi="Times New Roman"/>
                <w:color w:val="000000"/>
              </w:rPr>
            </w:pPr>
          </w:p>
          <w:p w:rsidR="00A57841" w:rsidRDefault="00A57841" w:rsidP="00A57841">
            <w:pPr>
              <w:spacing w:line="240" w:lineRule="auto"/>
              <w:jc w:val="both"/>
              <w:rPr>
                <w:rFonts w:ascii="Times New Roman" w:hAnsi="Times New Roman"/>
                <w:color w:val="000000"/>
              </w:rPr>
            </w:pPr>
            <w:r>
              <w:rPr>
                <w:rFonts w:ascii="Times New Roman" w:hAnsi="Times New Roman"/>
                <w:color w:val="000000"/>
              </w:rPr>
              <w:t>Na podstawie uzyskanych danych można założyć, że rocznie zostanie zaciągniętych ok. 200 000 kredytów hipotecznych. Mimo spadku liczby zaciągniętych kredytów rok do roku można zakładać, że dalszy spadek nie będzie znaczny lub nawet wyhamuje.</w:t>
            </w:r>
          </w:p>
          <w:p w:rsidR="00A57841" w:rsidRDefault="00A57841" w:rsidP="00A57841">
            <w:pPr>
              <w:spacing w:line="240" w:lineRule="auto"/>
              <w:jc w:val="both"/>
              <w:rPr>
                <w:rFonts w:ascii="Times New Roman" w:hAnsi="Times New Roman"/>
                <w:color w:val="000000"/>
              </w:rPr>
            </w:pPr>
            <w:r>
              <w:rPr>
                <w:rFonts w:ascii="Times New Roman" w:hAnsi="Times New Roman"/>
                <w:color w:val="000000"/>
              </w:rPr>
              <w:t xml:space="preserve">Przy zastosowaniu powyższych założeń, można szacować, że potencjalni kredytobiorcy zyskają ponad </w:t>
            </w:r>
            <w:r w:rsidRPr="00C325C2">
              <w:rPr>
                <w:rFonts w:ascii="Times New Roman" w:hAnsi="Times New Roman"/>
                <w:color w:val="000000"/>
              </w:rPr>
              <w:t>40</w:t>
            </w:r>
            <w:r>
              <w:rPr>
                <w:rFonts w:ascii="Times New Roman" w:hAnsi="Times New Roman"/>
                <w:color w:val="000000"/>
              </w:rPr>
              <w:t>0 </w:t>
            </w:r>
            <w:r w:rsidRPr="00C325C2">
              <w:rPr>
                <w:rFonts w:ascii="Times New Roman" w:hAnsi="Times New Roman"/>
                <w:color w:val="000000"/>
              </w:rPr>
              <w:t>000</w:t>
            </w:r>
            <w:r>
              <w:rPr>
                <w:rFonts w:ascii="Times New Roman" w:hAnsi="Times New Roman"/>
                <w:color w:val="000000"/>
              </w:rPr>
              <w:t xml:space="preserve"> zł.</w:t>
            </w:r>
          </w:p>
          <w:p w:rsidR="00A57841" w:rsidRDefault="00A57841" w:rsidP="00A57841">
            <w:pPr>
              <w:spacing w:line="240" w:lineRule="auto"/>
              <w:jc w:val="both"/>
              <w:rPr>
                <w:rFonts w:ascii="Times New Roman" w:hAnsi="Times New Roman"/>
                <w:color w:val="000000"/>
              </w:rPr>
            </w:pPr>
          </w:p>
          <w:p w:rsidR="00153101" w:rsidRPr="00A57BCB" w:rsidRDefault="00A57841" w:rsidP="00A57841">
            <w:pPr>
              <w:spacing w:line="240" w:lineRule="auto"/>
              <w:jc w:val="both"/>
              <w:rPr>
                <w:rFonts w:ascii="Times New Roman" w:hAnsi="Times New Roman"/>
                <w:color w:val="000000"/>
              </w:rPr>
            </w:pPr>
            <w:r w:rsidRPr="0025291C">
              <w:rPr>
                <w:rFonts w:ascii="Times New Roman" w:hAnsi="Times New Roman"/>
                <w:b/>
                <w:bCs/>
                <w:color w:val="000000"/>
              </w:rPr>
              <w:t xml:space="preserve">253,78 zł x 8 mies. </w:t>
            </w:r>
            <w:r>
              <w:rPr>
                <w:rFonts w:ascii="Times New Roman" w:hAnsi="Times New Roman"/>
                <w:b/>
                <w:bCs/>
                <w:color w:val="000000"/>
              </w:rPr>
              <w:t xml:space="preserve">x 200 000 kredytów </w:t>
            </w:r>
            <w:r w:rsidRPr="0025291C">
              <w:rPr>
                <w:rFonts w:ascii="Times New Roman" w:hAnsi="Times New Roman"/>
                <w:b/>
                <w:bCs/>
                <w:color w:val="000000"/>
              </w:rPr>
              <w:t>=</w:t>
            </w:r>
            <w:r>
              <w:rPr>
                <w:rFonts w:ascii="Times New Roman" w:hAnsi="Times New Roman"/>
                <w:b/>
                <w:bCs/>
                <w:color w:val="000000"/>
              </w:rPr>
              <w:t xml:space="preserve"> </w:t>
            </w:r>
            <w:r w:rsidRPr="00C325C2">
              <w:rPr>
                <w:rFonts w:ascii="Times New Roman" w:hAnsi="Times New Roman"/>
                <w:b/>
                <w:bCs/>
                <w:color w:val="000000"/>
              </w:rPr>
              <w:t>406 048</w:t>
            </w:r>
            <w:r>
              <w:rPr>
                <w:rFonts w:ascii="Times New Roman" w:hAnsi="Times New Roman"/>
                <w:b/>
                <w:bCs/>
                <w:color w:val="000000"/>
              </w:rPr>
              <w:t> </w:t>
            </w:r>
            <w:r w:rsidRPr="00C325C2">
              <w:rPr>
                <w:rFonts w:ascii="Times New Roman" w:hAnsi="Times New Roman"/>
                <w:b/>
                <w:bCs/>
                <w:color w:val="000000"/>
              </w:rPr>
              <w:t>000</w:t>
            </w:r>
            <w:r>
              <w:rPr>
                <w:rFonts w:ascii="Times New Roman" w:hAnsi="Times New Roman"/>
                <w:b/>
                <w:bCs/>
                <w:color w:val="000000"/>
              </w:rPr>
              <w:t xml:space="preserve"> zł</w:t>
            </w:r>
          </w:p>
        </w:tc>
      </w:tr>
      <w:tr w:rsidR="00963495" w:rsidRPr="00A57BCB" w:rsidTr="00676C8D">
        <w:trPr>
          <w:gridAfter w:val="1"/>
          <w:wAfter w:w="10" w:type="dxa"/>
          <w:trHeight w:val="342"/>
        </w:trPr>
        <w:tc>
          <w:tcPr>
            <w:tcW w:w="10937" w:type="dxa"/>
            <w:gridSpan w:val="28"/>
            <w:shd w:val="clear" w:color="auto" w:fill="99CCFF"/>
            <w:vAlign w:val="center"/>
          </w:tcPr>
          <w:p w:rsidR="00963495" w:rsidRPr="00A57BCB" w:rsidRDefault="00963495" w:rsidP="00963495">
            <w:pPr>
              <w:numPr>
                <w:ilvl w:val="0"/>
                <w:numId w:val="6"/>
              </w:numPr>
              <w:spacing w:before="60" w:after="60" w:line="240" w:lineRule="auto"/>
              <w:ind w:left="318" w:hanging="284"/>
              <w:jc w:val="both"/>
              <w:rPr>
                <w:rFonts w:ascii="Times New Roman" w:hAnsi="Times New Roman"/>
                <w:b/>
                <w:color w:val="000000"/>
              </w:rPr>
            </w:pPr>
            <w:r w:rsidRPr="00A57BCB">
              <w:rPr>
                <w:rFonts w:ascii="Times New Roman" w:hAnsi="Times New Roman"/>
                <w:b/>
                <w:color w:val="000000"/>
              </w:rPr>
              <w:lastRenderedPageBreak/>
              <w:t xml:space="preserve"> Zmiana obciążeń regulacyjnych (w tym obowiązków informacyjnych) wynikających z projektu</w:t>
            </w:r>
          </w:p>
        </w:tc>
      </w:tr>
      <w:tr w:rsidR="00963495" w:rsidRPr="00A57BCB" w:rsidTr="00676C8D">
        <w:trPr>
          <w:gridAfter w:val="1"/>
          <w:wAfter w:w="10" w:type="dxa"/>
          <w:trHeight w:val="151"/>
        </w:trPr>
        <w:tc>
          <w:tcPr>
            <w:tcW w:w="10937" w:type="dxa"/>
            <w:gridSpan w:val="28"/>
            <w:shd w:val="clear" w:color="auto" w:fill="FFFFFF"/>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fldChar w:fldCharType="begin">
                <w:ffData>
                  <w:name w:val="Wybór1"/>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w:t>
            </w:r>
            <w:r w:rsidRPr="00A57BCB">
              <w:rPr>
                <w:rFonts w:ascii="Times New Roman" w:hAnsi="Times New Roman"/>
                <w:color w:val="000000"/>
                <w:spacing w:val="-2"/>
              </w:rPr>
              <w:t>nie dotyczy</w:t>
            </w:r>
          </w:p>
        </w:tc>
      </w:tr>
      <w:tr w:rsidR="00963495" w:rsidRPr="00A57BCB" w:rsidTr="00676C8D">
        <w:trPr>
          <w:gridAfter w:val="1"/>
          <w:wAfter w:w="10" w:type="dxa"/>
          <w:trHeight w:val="946"/>
        </w:trPr>
        <w:tc>
          <w:tcPr>
            <w:tcW w:w="5111" w:type="dxa"/>
            <w:gridSpan w:val="11"/>
            <w:shd w:val="clear" w:color="auto" w:fill="FFFFFF"/>
          </w:tcPr>
          <w:p w:rsidR="00963495" w:rsidRPr="00A57BCB" w:rsidRDefault="00963495" w:rsidP="00963495">
            <w:pPr>
              <w:rPr>
                <w:rFonts w:ascii="Times New Roman" w:hAnsi="Times New Roman"/>
                <w:color w:val="000000"/>
                <w:spacing w:val="-2"/>
              </w:rPr>
            </w:pPr>
            <w:r w:rsidRPr="00A57BCB">
              <w:rPr>
                <w:rFonts w:ascii="Times New Roman" w:hAnsi="Times New Roman"/>
                <w:color w:val="000000"/>
                <w:spacing w:val="-2"/>
              </w:rPr>
              <w:t xml:space="preserve">Wprowadzane są obciążenia poza bezwzględnie wymaganymi przez UE </w:t>
            </w:r>
            <w:r w:rsidRPr="00A57BCB">
              <w:rPr>
                <w:rFonts w:ascii="Times New Roman" w:hAnsi="Times New Roman"/>
                <w:color w:val="000000"/>
              </w:rPr>
              <w:t>(szczegóły w odwróconej tabeli zgodności).</w:t>
            </w:r>
          </w:p>
        </w:tc>
        <w:tc>
          <w:tcPr>
            <w:tcW w:w="5826" w:type="dxa"/>
            <w:gridSpan w:val="17"/>
            <w:shd w:val="clear" w:color="auto" w:fill="FFFFFF"/>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fldChar w:fldCharType="begin">
                <w:ffData>
                  <w:name w:val="Wybór1"/>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tak</w:t>
            </w:r>
          </w:p>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fldChar w:fldCharType="begin">
                <w:ffData>
                  <w:name w:val="Wybór1"/>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nie</w:t>
            </w:r>
          </w:p>
          <w:p w:rsidR="00963495" w:rsidRPr="00A57BCB" w:rsidRDefault="00C45C54" w:rsidP="00963495">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r w:rsidR="00963495" w:rsidRPr="00A57BCB">
              <w:rPr>
                <w:rFonts w:ascii="Times New Roman" w:hAnsi="Times New Roman"/>
                <w:color w:val="000000"/>
              </w:rPr>
              <w:t xml:space="preserve"> nie dotyczy</w:t>
            </w:r>
          </w:p>
        </w:tc>
      </w:tr>
      <w:tr w:rsidR="00963495" w:rsidRPr="00A57BCB" w:rsidTr="00A57BCB">
        <w:trPr>
          <w:gridAfter w:val="1"/>
          <w:wAfter w:w="10" w:type="dxa"/>
          <w:trHeight w:val="1091"/>
        </w:trPr>
        <w:tc>
          <w:tcPr>
            <w:tcW w:w="5111" w:type="dxa"/>
            <w:gridSpan w:val="11"/>
            <w:shd w:val="clear" w:color="auto" w:fill="FFFFFF"/>
          </w:tcPr>
          <w:p w:rsidR="00963495" w:rsidRPr="00A57BCB" w:rsidRDefault="00963495" w:rsidP="00963495">
            <w:pPr>
              <w:spacing w:line="240" w:lineRule="auto"/>
              <w:rPr>
                <w:rFonts w:ascii="Times New Roman" w:hAnsi="Times New Roman"/>
                <w:color w:val="000000"/>
                <w:spacing w:val="-2"/>
              </w:rPr>
            </w:pPr>
            <w:r w:rsidRPr="00A57BCB">
              <w:rPr>
                <w:rFonts w:ascii="Times New Roman" w:hAnsi="Times New Roman"/>
                <w:color w:val="000000"/>
              </w:rPr>
              <w:fldChar w:fldCharType="begin">
                <w:ffData>
                  <w:name w:val="Wybór1"/>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w:t>
            </w:r>
            <w:r w:rsidRPr="00A57BCB">
              <w:rPr>
                <w:rFonts w:ascii="Times New Roman" w:hAnsi="Times New Roman"/>
                <w:color w:val="000000"/>
                <w:spacing w:val="-2"/>
              </w:rPr>
              <w:t xml:space="preserve">zmniejszenie liczby dokumentów </w:t>
            </w:r>
          </w:p>
          <w:p w:rsidR="00963495" w:rsidRPr="00A57BCB" w:rsidRDefault="00963495" w:rsidP="00963495">
            <w:pPr>
              <w:spacing w:line="240" w:lineRule="auto"/>
              <w:rPr>
                <w:rFonts w:ascii="Times New Roman" w:hAnsi="Times New Roman"/>
                <w:color w:val="000000"/>
                <w:spacing w:val="-2"/>
              </w:rPr>
            </w:pPr>
            <w:r w:rsidRPr="00A57BCB">
              <w:rPr>
                <w:rFonts w:ascii="Times New Roman" w:hAnsi="Times New Roman"/>
                <w:color w:val="000000"/>
              </w:rPr>
              <w:fldChar w:fldCharType="begin">
                <w:ffData>
                  <w:name w:val="Wybór1"/>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w:t>
            </w:r>
            <w:r w:rsidRPr="00A57BCB">
              <w:rPr>
                <w:rFonts w:ascii="Times New Roman" w:hAnsi="Times New Roman"/>
                <w:color w:val="000000"/>
                <w:spacing w:val="-2"/>
              </w:rPr>
              <w:t>zmniejszenie liczby procedur</w:t>
            </w:r>
          </w:p>
          <w:p w:rsidR="00963495" w:rsidRPr="00A57BCB" w:rsidRDefault="00963495" w:rsidP="00963495">
            <w:pPr>
              <w:spacing w:line="240" w:lineRule="auto"/>
              <w:rPr>
                <w:rFonts w:ascii="Times New Roman" w:hAnsi="Times New Roman"/>
                <w:color w:val="000000"/>
                <w:spacing w:val="-2"/>
              </w:rPr>
            </w:pPr>
            <w:r w:rsidRPr="00A57BCB">
              <w:rPr>
                <w:rFonts w:ascii="Times New Roman" w:hAnsi="Times New Roman"/>
                <w:color w:val="000000"/>
              </w:rPr>
              <w:fldChar w:fldCharType="begin">
                <w:ffData>
                  <w:name w:val=""/>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w:t>
            </w:r>
            <w:r w:rsidRPr="00A57BCB">
              <w:rPr>
                <w:rFonts w:ascii="Times New Roman" w:hAnsi="Times New Roman"/>
                <w:color w:val="000000"/>
                <w:spacing w:val="-2"/>
              </w:rPr>
              <w:t>skrócenie czasu na załatwienie sprawy</w:t>
            </w:r>
          </w:p>
          <w:p w:rsidR="00963495" w:rsidRPr="00A57BCB" w:rsidRDefault="00963495" w:rsidP="00963495">
            <w:pPr>
              <w:rPr>
                <w:rFonts w:ascii="Times New Roman" w:hAnsi="Times New Roman"/>
                <w:b/>
                <w:color w:val="000000"/>
                <w:spacing w:val="-2"/>
              </w:rPr>
            </w:pPr>
            <w:r w:rsidRPr="00A57BCB">
              <w:rPr>
                <w:rFonts w:ascii="Times New Roman" w:hAnsi="Times New Roman"/>
                <w:color w:val="000000"/>
              </w:rPr>
              <w:fldChar w:fldCharType="begin">
                <w:ffData>
                  <w:name w:val="Wybór1"/>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w:t>
            </w:r>
            <w:r w:rsidRPr="00A57BCB">
              <w:rPr>
                <w:rFonts w:ascii="Times New Roman" w:hAnsi="Times New Roman"/>
                <w:color w:val="000000"/>
                <w:spacing w:val="-2"/>
              </w:rPr>
              <w:t>inne:</w:t>
            </w:r>
            <w:r w:rsidRPr="00A57BCB">
              <w:rPr>
                <w:rFonts w:ascii="Times New Roman" w:hAnsi="Times New Roman"/>
                <w:color w:val="000000"/>
              </w:rPr>
              <w:t xml:space="preserve"> </w:t>
            </w:r>
            <w:r w:rsidRPr="00A57BCB">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57BCB">
              <w:rPr>
                <w:rFonts w:ascii="Times New Roman" w:hAnsi="Times New Roman"/>
                <w:color w:val="000000"/>
              </w:rPr>
              <w:instrText xml:space="preserve"> FORMTEXT </w:instrText>
            </w:r>
            <w:r w:rsidRPr="00A57BCB">
              <w:rPr>
                <w:rFonts w:ascii="Times New Roman" w:hAnsi="Times New Roman"/>
                <w:color w:val="000000"/>
              </w:rPr>
            </w:r>
            <w:r w:rsidRPr="00A57BCB">
              <w:rPr>
                <w:rFonts w:ascii="Times New Roman" w:hAnsi="Times New Roman"/>
                <w:color w:val="000000"/>
              </w:rPr>
              <w:fldChar w:fldCharType="separate"/>
            </w:r>
            <w:r w:rsidRPr="00A57BCB">
              <w:rPr>
                <w:rFonts w:ascii="Times New Roman" w:hAnsi="Times New Roman"/>
                <w:noProof/>
                <w:color w:val="000000"/>
              </w:rPr>
              <w:t> </w:t>
            </w:r>
            <w:r w:rsidRPr="00A57BCB">
              <w:rPr>
                <w:rFonts w:ascii="Times New Roman" w:hAnsi="Times New Roman"/>
                <w:noProof/>
                <w:color w:val="000000"/>
              </w:rPr>
              <w:t> </w:t>
            </w:r>
            <w:r w:rsidRPr="00A57BCB">
              <w:rPr>
                <w:rFonts w:ascii="Times New Roman" w:hAnsi="Times New Roman"/>
                <w:noProof/>
                <w:color w:val="000000"/>
              </w:rPr>
              <w:t> </w:t>
            </w:r>
            <w:r w:rsidRPr="00A57BCB">
              <w:rPr>
                <w:rFonts w:ascii="Times New Roman" w:hAnsi="Times New Roman"/>
                <w:noProof/>
                <w:color w:val="000000"/>
              </w:rPr>
              <w:t> </w:t>
            </w:r>
            <w:r w:rsidRPr="00A57BCB">
              <w:rPr>
                <w:rFonts w:ascii="Times New Roman" w:hAnsi="Times New Roman"/>
                <w:noProof/>
                <w:color w:val="000000"/>
              </w:rPr>
              <w:t> </w:t>
            </w:r>
            <w:r w:rsidRPr="00A57BCB">
              <w:rPr>
                <w:rFonts w:ascii="Times New Roman" w:hAnsi="Times New Roman"/>
                <w:color w:val="000000"/>
              </w:rPr>
              <w:fldChar w:fldCharType="end"/>
            </w:r>
          </w:p>
        </w:tc>
        <w:tc>
          <w:tcPr>
            <w:tcW w:w="5826" w:type="dxa"/>
            <w:gridSpan w:val="17"/>
            <w:shd w:val="clear" w:color="auto" w:fill="FFFFFF"/>
          </w:tcPr>
          <w:p w:rsidR="00963495" w:rsidRPr="00A57BCB" w:rsidRDefault="00963495" w:rsidP="00963495">
            <w:pPr>
              <w:spacing w:line="240" w:lineRule="auto"/>
              <w:rPr>
                <w:rFonts w:ascii="Times New Roman" w:hAnsi="Times New Roman"/>
                <w:color w:val="000000"/>
                <w:spacing w:val="-2"/>
              </w:rPr>
            </w:pPr>
            <w:r w:rsidRPr="00A57BCB">
              <w:rPr>
                <w:rFonts w:ascii="Times New Roman" w:hAnsi="Times New Roman"/>
                <w:color w:val="000000"/>
              </w:rPr>
              <w:fldChar w:fldCharType="begin">
                <w:ffData>
                  <w:name w:val="Wybór1"/>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w:t>
            </w:r>
            <w:r w:rsidRPr="00A57BCB">
              <w:rPr>
                <w:rFonts w:ascii="Times New Roman" w:hAnsi="Times New Roman"/>
                <w:color w:val="000000"/>
                <w:spacing w:val="-2"/>
              </w:rPr>
              <w:t>zwiększenie liczby dokumentów</w:t>
            </w:r>
          </w:p>
          <w:p w:rsidR="00963495" w:rsidRPr="00A57BCB" w:rsidRDefault="00C45C54" w:rsidP="00963495">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r w:rsidR="00963495" w:rsidRPr="00A57BCB">
              <w:rPr>
                <w:rFonts w:ascii="Times New Roman" w:hAnsi="Times New Roman"/>
                <w:color w:val="000000"/>
              </w:rPr>
              <w:t xml:space="preserve"> </w:t>
            </w:r>
            <w:r w:rsidR="00963495" w:rsidRPr="00A57BCB">
              <w:rPr>
                <w:rFonts w:ascii="Times New Roman" w:hAnsi="Times New Roman"/>
                <w:color w:val="000000"/>
                <w:spacing w:val="-2"/>
              </w:rPr>
              <w:t>zwiększenie liczby procedur</w:t>
            </w:r>
          </w:p>
          <w:p w:rsidR="00963495" w:rsidRPr="00A57BCB" w:rsidRDefault="00963495" w:rsidP="00963495">
            <w:pPr>
              <w:spacing w:line="240" w:lineRule="auto"/>
              <w:rPr>
                <w:rFonts w:ascii="Times New Roman" w:hAnsi="Times New Roman"/>
                <w:color w:val="000000"/>
                <w:spacing w:val="-2"/>
              </w:rPr>
            </w:pPr>
            <w:r w:rsidRPr="00A57BCB">
              <w:rPr>
                <w:rFonts w:ascii="Times New Roman" w:hAnsi="Times New Roman"/>
                <w:color w:val="000000"/>
              </w:rPr>
              <w:fldChar w:fldCharType="begin">
                <w:ffData>
                  <w:name w:val="Wybór1"/>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w:t>
            </w:r>
            <w:r w:rsidRPr="00A57BCB">
              <w:rPr>
                <w:rFonts w:ascii="Times New Roman" w:hAnsi="Times New Roman"/>
                <w:color w:val="000000"/>
                <w:spacing w:val="-2"/>
              </w:rPr>
              <w:t>wydłużenie czasu na załatwienie sprawy</w:t>
            </w:r>
          </w:p>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fldChar w:fldCharType="begin">
                <w:ffData>
                  <w:name w:val="Wybór1"/>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w:t>
            </w:r>
            <w:r w:rsidRPr="00A57BCB">
              <w:rPr>
                <w:rFonts w:ascii="Times New Roman" w:hAnsi="Times New Roman"/>
                <w:color w:val="000000"/>
                <w:spacing w:val="-2"/>
              </w:rPr>
              <w:t>inne:</w:t>
            </w:r>
            <w:r w:rsidRPr="00A57BCB">
              <w:rPr>
                <w:rFonts w:ascii="Times New Roman" w:hAnsi="Times New Roman"/>
                <w:color w:val="000000"/>
              </w:rPr>
              <w:t xml:space="preserve"> </w:t>
            </w:r>
            <w:r w:rsidRPr="00A57BCB">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57BCB">
              <w:rPr>
                <w:rFonts w:ascii="Times New Roman" w:hAnsi="Times New Roman"/>
                <w:color w:val="000000"/>
              </w:rPr>
              <w:instrText xml:space="preserve"> FORMTEXT </w:instrText>
            </w:r>
            <w:r w:rsidRPr="00A57BCB">
              <w:rPr>
                <w:rFonts w:ascii="Times New Roman" w:hAnsi="Times New Roman"/>
                <w:color w:val="000000"/>
              </w:rPr>
            </w:r>
            <w:r w:rsidRPr="00A57BCB">
              <w:rPr>
                <w:rFonts w:ascii="Times New Roman" w:hAnsi="Times New Roman"/>
                <w:color w:val="000000"/>
              </w:rPr>
              <w:fldChar w:fldCharType="separate"/>
            </w:r>
            <w:r w:rsidRPr="00A57BCB">
              <w:rPr>
                <w:rFonts w:ascii="Times New Roman" w:hAnsi="Times New Roman"/>
                <w:noProof/>
                <w:color w:val="000000"/>
              </w:rPr>
              <w:t> </w:t>
            </w:r>
            <w:r w:rsidRPr="00A57BCB">
              <w:rPr>
                <w:rFonts w:ascii="Times New Roman" w:hAnsi="Times New Roman"/>
                <w:noProof/>
                <w:color w:val="000000"/>
              </w:rPr>
              <w:t> </w:t>
            </w:r>
            <w:r w:rsidRPr="00A57BCB">
              <w:rPr>
                <w:rFonts w:ascii="Times New Roman" w:hAnsi="Times New Roman"/>
                <w:noProof/>
                <w:color w:val="000000"/>
              </w:rPr>
              <w:t> </w:t>
            </w:r>
            <w:r w:rsidRPr="00A57BCB">
              <w:rPr>
                <w:rFonts w:ascii="Times New Roman" w:hAnsi="Times New Roman"/>
                <w:noProof/>
                <w:color w:val="000000"/>
              </w:rPr>
              <w:t> </w:t>
            </w:r>
            <w:r w:rsidRPr="00A57BCB">
              <w:rPr>
                <w:rFonts w:ascii="Times New Roman" w:hAnsi="Times New Roman"/>
                <w:noProof/>
                <w:color w:val="000000"/>
              </w:rPr>
              <w:t> </w:t>
            </w:r>
            <w:r w:rsidRPr="00A57BCB">
              <w:rPr>
                <w:rFonts w:ascii="Times New Roman" w:hAnsi="Times New Roman"/>
                <w:color w:val="000000"/>
              </w:rPr>
              <w:fldChar w:fldCharType="end"/>
            </w:r>
          </w:p>
        </w:tc>
      </w:tr>
      <w:tr w:rsidR="00963495" w:rsidRPr="00A57BCB" w:rsidTr="00676C8D">
        <w:trPr>
          <w:gridAfter w:val="1"/>
          <w:wAfter w:w="10" w:type="dxa"/>
          <w:trHeight w:val="870"/>
        </w:trPr>
        <w:tc>
          <w:tcPr>
            <w:tcW w:w="5111" w:type="dxa"/>
            <w:gridSpan w:val="11"/>
            <w:shd w:val="clear" w:color="auto" w:fill="FFFFFF"/>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spacing w:val="-2"/>
              </w:rPr>
              <w:t xml:space="preserve">Wprowadzane obciążenia są przystosowane do ich elektronizacji. </w:t>
            </w:r>
          </w:p>
        </w:tc>
        <w:tc>
          <w:tcPr>
            <w:tcW w:w="5826" w:type="dxa"/>
            <w:gridSpan w:val="17"/>
            <w:shd w:val="clear" w:color="auto" w:fill="FFFFFF"/>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fldChar w:fldCharType="begin">
                <w:ffData>
                  <w:name w:val="Wybór1"/>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tak</w:t>
            </w:r>
          </w:p>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fldChar w:fldCharType="begin">
                <w:ffData>
                  <w:name w:val="Wybór1"/>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nie</w:t>
            </w:r>
          </w:p>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fldChar w:fldCharType="begin">
                <w:ffData>
                  <w:name w:val="Wybór1"/>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nie dotyczy</w:t>
            </w:r>
          </w:p>
        </w:tc>
      </w:tr>
      <w:tr w:rsidR="00963495" w:rsidRPr="00A57BCB" w:rsidTr="00A57BCB">
        <w:trPr>
          <w:gridAfter w:val="1"/>
          <w:wAfter w:w="10" w:type="dxa"/>
          <w:trHeight w:val="358"/>
        </w:trPr>
        <w:tc>
          <w:tcPr>
            <w:tcW w:w="10937" w:type="dxa"/>
            <w:gridSpan w:val="28"/>
            <w:shd w:val="clear" w:color="auto" w:fill="FFFFFF"/>
          </w:tcPr>
          <w:p w:rsidR="00963495" w:rsidRDefault="00963495" w:rsidP="00963495">
            <w:pPr>
              <w:spacing w:line="240" w:lineRule="auto"/>
              <w:jc w:val="both"/>
              <w:rPr>
                <w:rFonts w:ascii="Times New Roman" w:hAnsi="Times New Roman"/>
                <w:color w:val="000000"/>
              </w:rPr>
            </w:pPr>
            <w:r w:rsidRPr="00A57BCB">
              <w:rPr>
                <w:rFonts w:ascii="Times New Roman" w:hAnsi="Times New Roman"/>
                <w:color w:val="000000"/>
              </w:rPr>
              <w:t xml:space="preserve">Komentarz: </w:t>
            </w:r>
            <w:r w:rsidR="00872C2B">
              <w:rPr>
                <w:rFonts w:ascii="Times New Roman" w:hAnsi="Times New Roman"/>
                <w:color w:val="000000"/>
              </w:rPr>
              <w:t xml:space="preserve">Zmiany, </w:t>
            </w:r>
            <w:r w:rsidR="0015490D">
              <w:rPr>
                <w:rFonts w:ascii="Times New Roman" w:hAnsi="Times New Roman"/>
                <w:color w:val="000000"/>
              </w:rPr>
              <w:t>zakładające</w:t>
            </w:r>
            <w:r w:rsidR="00872C2B">
              <w:rPr>
                <w:rFonts w:ascii="Times New Roman" w:hAnsi="Times New Roman"/>
                <w:color w:val="000000"/>
              </w:rPr>
              <w:t xml:space="preserve"> zwrot lub zaliczenie na poczet innych należności dodatkowych opłat </w:t>
            </w:r>
            <w:r w:rsidR="0015490D" w:rsidRPr="0015490D">
              <w:rPr>
                <w:rFonts w:ascii="Times New Roman" w:hAnsi="Times New Roman"/>
                <w:color w:val="000000"/>
              </w:rPr>
              <w:t>lub prowizji związanych z oczekiwaniem na wpis do księgi wieczystej</w:t>
            </w:r>
            <w:r w:rsidR="0015490D">
              <w:rPr>
                <w:rFonts w:ascii="Times New Roman" w:hAnsi="Times New Roman"/>
                <w:color w:val="000000"/>
              </w:rPr>
              <w:t>, mogą potencjalnie prowadzić do dodatkowych obciążeń regulacyjnych dla instytucji finansowych.</w:t>
            </w:r>
          </w:p>
          <w:p w:rsidR="00935B5C" w:rsidRPr="00A57BCB" w:rsidRDefault="0015490D" w:rsidP="00963495">
            <w:pPr>
              <w:spacing w:line="240" w:lineRule="auto"/>
              <w:jc w:val="both"/>
              <w:rPr>
                <w:rFonts w:ascii="Times New Roman" w:hAnsi="Times New Roman"/>
                <w:color w:val="000000"/>
              </w:rPr>
            </w:pPr>
            <w:r>
              <w:rPr>
                <w:rFonts w:ascii="Times New Roman" w:hAnsi="Times New Roman"/>
                <w:color w:val="000000"/>
              </w:rPr>
              <w:t>Wydaje się, że obowiązek ten może prowadzić do zwiększenia liczby procedur w zakresie sprawozdawczości finansowej oraz podatkowej tych instytucji</w:t>
            </w:r>
            <w:r w:rsidR="00935B5C">
              <w:rPr>
                <w:rFonts w:ascii="Times New Roman" w:hAnsi="Times New Roman"/>
                <w:color w:val="000000"/>
              </w:rPr>
              <w:t xml:space="preserve"> oraz określenia właściwych procedur zwrotu lub zaliczenia na poczet innych należności tych środków. </w:t>
            </w:r>
          </w:p>
        </w:tc>
      </w:tr>
      <w:tr w:rsidR="00963495" w:rsidRPr="00A57BCB" w:rsidTr="00676C8D">
        <w:trPr>
          <w:gridAfter w:val="1"/>
          <w:wAfter w:w="10" w:type="dxa"/>
          <w:trHeight w:val="142"/>
        </w:trPr>
        <w:tc>
          <w:tcPr>
            <w:tcW w:w="10937" w:type="dxa"/>
            <w:gridSpan w:val="28"/>
            <w:shd w:val="clear" w:color="auto" w:fill="99CCFF"/>
          </w:tcPr>
          <w:p w:rsidR="00963495" w:rsidRPr="00A57BCB" w:rsidRDefault="00963495" w:rsidP="00963495">
            <w:pPr>
              <w:numPr>
                <w:ilvl w:val="0"/>
                <w:numId w:val="6"/>
              </w:numPr>
              <w:spacing w:before="60" w:after="60" w:line="240" w:lineRule="auto"/>
              <w:jc w:val="both"/>
              <w:rPr>
                <w:rFonts w:ascii="Times New Roman" w:hAnsi="Times New Roman"/>
                <w:b/>
                <w:color w:val="000000"/>
              </w:rPr>
            </w:pPr>
            <w:r w:rsidRPr="00A57BCB">
              <w:rPr>
                <w:rFonts w:ascii="Times New Roman" w:hAnsi="Times New Roman"/>
                <w:b/>
                <w:color w:val="000000"/>
              </w:rPr>
              <w:t xml:space="preserve">Wpływ na rynek pracy </w:t>
            </w:r>
          </w:p>
        </w:tc>
      </w:tr>
      <w:tr w:rsidR="00963495" w:rsidRPr="00A57BCB" w:rsidTr="00676C8D">
        <w:trPr>
          <w:gridAfter w:val="1"/>
          <w:wAfter w:w="10" w:type="dxa"/>
          <w:trHeight w:val="142"/>
        </w:trPr>
        <w:tc>
          <w:tcPr>
            <w:tcW w:w="10937" w:type="dxa"/>
            <w:gridSpan w:val="28"/>
            <w:shd w:val="clear" w:color="auto" w:fill="auto"/>
          </w:tcPr>
          <w:p w:rsidR="00963495" w:rsidRPr="00A57BCB" w:rsidRDefault="00963495" w:rsidP="00963495">
            <w:pPr>
              <w:spacing w:line="240" w:lineRule="auto"/>
              <w:jc w:val="both"/>
              <w:rPr>
                <w:rFonts w:ascii="Times New Roman" w:hAnsi="Times New Roman"/>
                <w:color w:val="000000"/>
              </w:rPr>
            </w:pPr>
            <w:r w:rsidRPr="00A57BCB">
              <w:rPr>
                <w:rFonts w:ascii="Times New Roman" w:hAnsi="Times New Roman"/>
                <w:color w:val="000000"/>
              </w:rPr>
              <w:t>Projektowana zmiana nie będzie miała wpływu na rynek pracy.</w:t>
            </w:r>
          </w:p>
        </w:tc>
      </w:tr>
      <w:tr w:rsidR="00963495" w:rsidRPr="00A57BCB" w:rsidTr="00676C8D">
        <w:trPr>
          <w:gridAfter w:val="1"/>
          <w:wAfter w:w="10" w:type="dxa"/>
          <w:trHeight w:val="142"/>
        </w:trPr>
        <w:tc>
          <w:tcPr>
            <w:tcW w:w="10937" w:type="dxa"/>
            <w:gridSpan w:val="28"/>
            <w:shd w:val="clear" w:color="auto" w:fill="99CCFF"/>
          </w:tcPr>
          <w:p w:rsidR="00963495" w:rsidRPr="00A57BCB" w:rsidRDefault="00963495" w:rsidP="00963495">
            <w:pPr>
              <w:numPr>
                <w:ilvl w:val="0"/>
                <w:numId w:val="6"/>
              </w:numPr>
              <w:spacing w:before="60" w:after="60" w:line="240" w:lineRule="auto"/>
              <w:jc w:val="both"/>
              <w:rPr>
                <w:rFonts w:ascii="Times New Roman" w:hAnsi="Times New Roman"/>
                <w:b/>
                <w:color w:val="000000"/>
              </w:rPr>
            </w:pPr>
            <w:r w:rsidRPr="00A57BCB">
              <w:rPr>
                <w:rFonts w:ascii="Times New Roman" w:hAnsi="Times New Roman"/>
                <w:b/>
                <w:color w:val="000000"/>
              </w:rPr>
              <w:t>Wpływ na pozostałe obszary</w:t>
            </w:r>
          </w:p>
        </w:tc>
      </w:tr>
      <w:tr w:rsidR="00963495" w:rsidRPr="00A57BCB" w:rsidTr="00676C8D">
        <w:trPr>
          <w:gridAfter w:val="1"/>
          <w:wAfter w:w="10" w:type="dxa"/>
          <w:trHeight w:val="1031"/>
        </w:trPr>
        <w:tc>
          <w:tcPr>
            <w:tcW w:w="3547" w:type="dxa"/>
            <w:gridSpan w:val="4"/>
            <w:shd w:val="clear" w:color="auto" w:fill="FFFFFF"/>
          </w:tcPr>
          <w:p w:rsidR="00963495" w:rsidRPr="00A57BCB" w:rsidRDefault="00963495" w:rsidP="00963495">
            <w:pPr>
              <w:spacing w:line="240" w:lineRule="auto"/>
              <w:rPr>
                <w:rFonts w:ascii="Times New Roman" w:hAnsi="Times New Roman"/>
                <w:color w:val="000000"/>
                <w:spacing w:val="-2"/>
              </w:rPr>
            </w:pPr>
            <w:r w:rsidRPr="00A57BCB">
              <w:rPr>
                <w:rFonts w:ascii="Times New Roman" w:hAnsi="Times New Roman"/>
                <w:color w:val="000000"/>
              </w:rPr>
              <w:fldChar w:fldCharType="begin">
                <w:ffData>
                  <w:name w:val="Wybór1"/>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w:t>
            </w:r>
            <w:r w:rsidRPr="00A57BCB">
              <w:rPr>
                <w:rFonts w:ascii="Times New Roman" w:hAnsi="Times New Roman"/>
                <w:color w:val="000000"/>
                <w:spacing w:val="-2"/>
              </w:rPr>
              <w:t>środowisko naturalne</w:t>
            </w:r>
          </w:p>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fldChar w:fldCharType="begin">
                <w:ffData>
                  <w:name w:val=""/>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sytuacja i rozwój regionalny</w:t>
            </w:r>
          </w:p>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fldChar w:fldCharType="begin">
                <w:ffData>
                  <w:name w:val="Wybór1"/>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w:t>
            </w:r>
            <w:r w:rsidRPr="00A57BCB">
              <w:rPr>
                <w:rFonts w:ascii="Times New Roman" w:hAnsi="Times New Roman"/>
                <w:spacing w:val="-2"/>
              </w:rPr>
              <w:t>sądy powszechne, administracyjne lub wojskowe</w:t>
            </w:r>
          </w:p>
        </w:tc>
        <w:tc>
          <w:tcPr>
            <w:tcW w:w="3687" w:type="dxa"/>
            <w:gridSpan w:val="16"/>
            <w:shd w:val="clear" w:color="auto" w:fill="FFFFFF"/>
          </w:tcPr>
          <w:p w:rsidR="00963495" w:rsidRPr="00A57BCB" w:rsidRDefault="00963495" w:rsidP="00963495">
            <w:pPr>
              <w:spacing w:line="240" w:lineRule="auto"/>
              <w:rPr>
                <w:rFonts w:ascii="Times New Roman" w:hAnsi="Times New Roman"/>
                <w:color w:val="000000"/>
                <w:spacing w:val="-2"/>
              </w:rPr>
            </w:pPr>
            <w:r w:rsidRPr="00A57BCB">
              <w:rPr>
                <w:rFonts w:ascii="Times New Roman" w:hAnsi="Times New Roman"/>
                <w:color w:val="000000"/>
              </w:rPr>
              <w:fldChar w:fldCharType="begin">
                <w:ffData>
                  <w:name w:val="Wybór1"/>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w:t>
            </w:r>
            <w:r w:rsidRPr="00A57BCB">
              <w:rPr>
                <w:rFonts w:ascii="Times New Roman" w:hAnsi="Times New Roman"/>
                <w:color w:val="000000"/>
                <w:spacing w:val="-2"/>
              </w:rPr>
              <w:t>demografia</w:t>
            </w:r>
          </w:p>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fldChar w:fldCharType="begin">
                <w:ffData>
                  <w:name w:val=""/>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mienie państwowe</w:t>
            </w:r>
          </w:p>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fldChar w:fldCharType="begin">
                <w:ffData>
                  <w:name w:val="Wybór1"/>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w:t>
            </w:r>
            <w:r w:rsidRPr="00A57BCB">
              <w:rPr>
                <w:rFonts w:ascii="Times New Roman" w:hAnsi="Times New Roman"/>
                <w:color w:val="000000"/>
                <w:spacing w:val="-2"/>
              </w:rPr>
              <w:t xml:space="preserve">inne: </w:t>
            </w:r>
            <w:r w:rsidRPr="00A57BCB">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57BCB">
              <w:rPr>
                <w:rFonts w:ascii="Times New Roman" w:hAnsi="Times New Roman"/>
                <w:color w:val="000000"/>
              </w:rPr>
              <w:instrText xml:space="preserve"> FORMTEXT </w:instrText>
            </w:r>
            <w:r w:rsidRPr="00A57BCB">
              <w:rPr>
                <w:rFonts w:ascii="Times New Roman" w:hAnsi="Times New Roman"/>
                <w:color w:val="000000"/>
              </w:rPr>
            </w:r>
            <w:r w:rsidRPr="00A57BCB">
              <w:rPr>
                <w:rFonts w:ascii="Times New Roman" w:hAnsi="Times New Roman"/>
                <w:color w:val="000000"/>
              </w:rPr>
              <w:fldChar w:fldCharType="separate"/>
            </w:r>
            <w:r w:rsidRPr="00A57BCB">
              <w:rPr>
                <w:rFonts w:ascii="Times New Roman" w:hAnsi="Times New Roman"/>
                <w:noProof/>
                <w:color w:val="000000"/>
              </w:rPr>
              <w:t> </w:t>
            </w:r>
            <w:r w:rsidRPr="00A57BCB">
              <w:rPr>
                <w:rFonts w:ascii="Times New Roman" w:hAnsi="Times New Roman"/>
                <w:noProof/>
                <w:color w:val="000000"/>
              </w:rPr>
              <w:t> </w:t>
            </w:r>
            <w:r w:rsidRPr="00A57BCB">
              <w:rPr>
                <w:rFonts w:ascii="Times New Roman" w:hAnsi="Times New Roman"/>
                <w:noProof/>
                <w:color w:val="000000"/>
              </w:rPr>
              <w:t> </w:t>
            </w:r>
            <w:r w:rsidRPr="00A57BCB">
              <w:rPr>
                <w:rFonts w:ascii="Times New Roman" w:hAnsi="Times New Roman"/>
                <w:noProof/>
                <w:color w:val="000000"/>
              </w:rPr>
              <w:t> </w:t>
            </w:r>
            <w:r w:rsidRPr="00A57BCB">
              <w:rPr>
                <w:rFonts w:ascii="Times New Roman" w:hAnsi="Times New Roman"/>
                <w:noProof/>
                <w:color w:val="000000"/>
              </w:rPr>
              <w:t> </w:t>
            </w:r>
            <w:r w:rsidRPr="00A57BCB">
              <w:rPr>
                <w:rFonts w:ascii="Times New Roman" w:hAnsi="Times New Roman"/>
                <w:color w:val="000000"/>
              </w:rPr>
              <w:fldChar w:fldCharType="end"/>
            </w:r>
          </w:p>
        </w:tc>
        <w:tc>
          <w:tcPr>
            <w:tcW w:w="3703" w:type="dxa"/>
            <w:gridSpan w:val="8"/>
            <w:shd w:val="clear" w:color="auto" w:fill="FFFFFF"/>
          </w:tcPr>
          <w:p w:rsidR="00963495" w:rsidRPr="00A57BCB" w:rsidRDefault="00963495" w:rsidP="00963495">
            <w:pPr>
              <w:spacing w:line="240" w:lineRule="auto"/>
              <w:rPr>
                <w:rFonts w:ascii="Times New Roman" w:hAnsi="Times New Roman"/>
                <w:color w:val="000000"/>
                <w:spacing w:val="-2"/>
              </w:rPr>
            </w:pPr>
            <w:r w:rsidRPr="00A57BCB">
              <w:rPr>
                <w:rFonts w:ascii="Times New Roman" w:hAnsi="Times New Roman"/>
                <w:color w:val="000000"/>
              </w:rPr>
              <w:fldChar w:fldCharType="begin">
                <w:ffData>
                  <w:name w:val="Wybór1"/>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w:t>
            </w:r>
            <w:r w:rsidRPr="00A57BCB">
              <w:rPr>
                <w:rFonts w:ascii="Times New Roman" w:hAnsi="Times New Roman"/>
                <w:color w:val="000000"/>
                <w:spacing w:val="-2"/>
              </w:rPr>
              <w:t>informatyzacja</w:t>
            </w:r>
          </w:p>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fldChar w:fldCharType="begin">
                <w:ffData>
                  <w:name w:val="Wybór1"/>
                  <w:enabled/>
                  <w:calcOnExit w:val="0"/>
                  <w:checkBox>
                    <w:sizeAuto/>
                    <w:default w:val="0"/>
                  </w:checkBox>
                </w:ffData>
              </w:fldChar>
            </w:r>
            <w:r w:rsidRPr="00A57BCB">
              <w:rPr>
                <w:rFonts w:ascii="Times New Roman" w:hAnsi="Times New Roman"/>
                <w:color w:val="000000"/>
              </w:rPr>
              <w:instrText xml:space="preserve"> FORMCHECKBOX </w:instrText>
            </w:r>
            <w:r w:rsidRPr="00A57BCB">
              <w:rPr>
                <w:rFonts w:ascii="Times New Roman" w:hAnsi="Times New Roman"/>
                <w:color w:val="000000"/>
              </w:rPr>
            </w:r>
            <w:r w:rsidRPr="00A57BCB">
              <w:rPr>
                <w:rFonts w:ascii="Times New Roman" w:hAnsi="Times New Roman"/>
                <w:color w:val="000000"/>
              </w:rPr>
              <w:fldChar w:fldCharType="end"/>
            </w:r>
            <w:r w:rsidRPr="00A57BCB">
              <w:rPr>
                <w:rFonts w:ascii="Times New Roman" w:hAnsi="Times New Roman"/>
                <w:color w:val="000000"/>
              </w:rPr>
              <w:t xml:space="preserve"> </w:t>
            </w:r>
            <w:r w:rsidRPr="00A57BCB">
              <w:rPr>
                <w:rFonts w:ascii="Times New Roman" w:hAnsi="Times New Roman"/>
                <w:color w:val="000000"/>
                <w:spacing w:val="-2"/>
              </w:rPr>
              <w:t>zdrowie</w:t>
            </w:r>
          </w:p>
        </w:tc>
      </w:tr>
      <w:tr w:rsidR="00963495" w:rsidRPr="00A57BCB" w:rsidTr="00A57BCB">
        <w:trPr>
          <w:gridAfter w:val="1"/>
          <w:wAfter w:w="10" w:type="dxa"/>
          <w:trHeight w:val="478"/>
        </w:trPr>
        <w:tc>
          <w:tcPr>
            <w:tcW w:w="2243" w:type="dxa"/>
            <w:gridSpan w:val="2"/>
            <w:shd w:val="clear" w:color="auto" w:fill="FFFFFF"/>
            <w:vAlign w:val="center"/>
          </w:tcPr>
          <w:p w:rsidR="00963495" w:rsidRPr="00A57BCB" w:rsidRDefault="00963495" w:rsidP="00963495">
            <w:pPr>
              <w:spacing w:line="240" w:lineRule="auto"/>
              <w:rPr>
                <w:rFonts w:ascii="Times New Roman" w:hAnsi="Times New Roman"/>
                <w:color w:val="000000"/>
              </w:rPr>
            </w:pPr>
            <w:r w:rsidRPr="00A57BCB">
              <w:rPr>
                <w:rFonts w:ascii="Times New Roman" w:hAnsi="Times New Roman"/>
                <w:color w:val="000000"/>
              </w:rPr>
              <w:t>Omówienie wpływu</w:t>
            </w:r>
          </w:p>
        </w:tc>
        <w:tc>
          <w:tcPr>
            <w:tcW w:w="8694" w:type="dxa"/>
            <w:gridSpan w:val="26"/>
            <w:shd w:val="clear" w:color="auto" w:fill="FFFFFF"/>
            <w:vAlign w:val="center"/>
          </w:tcPr>
          <w:p w:rsidR="00963495" w:rsidRPr="00A57BCB" w:rsidRDefault="00963495" w:rsidP="00963495">
            <w:pPr>
              <w:spacing w:line="240" w:lineRule="auto"/>
              <w:rPr>
                <w:rFonts w:ascii="Times New Roman" w:hAnsi="Times New Roman"/>
                <w:color w:val="000000"/>
                <w:spacing w:val="-2"/>
              </w:rPr>
            </w:pPr>
            <w:r w:rsidRPr="00A57BCB">
              <w:rPr>
                <w:rFonts w:ascii="Times New Roman" w:hAnsi="Times New Roman"/>
                <w:color w:val="000000"/>
                <w:spacing w:val="-2"/>
              </w:rPr>
              <w:t>Brak wpływu.</w:t>
            </w:r>
          </w:p>
        </w:tc>
      </w:tr>
      <w:tr w:rsidR="00963495" w:rsidRPr="00A57BCB" w:rsidTr="00676C8D">
        <w:trPr>
          <w:gridAfter w:val="1"/>
          <w:wAfter w:w="10" w:type="dxa"/>
          <w:trHeight w:val="142"/>
        </w:trPr>
        <w:tc>
          <w:tcPr>
            <w:tcW w:w="10937" w:type="dxa"/>
            <w:gridSpan w:val="28"/>
            <w:shd w:val="clear" w:color="auto" w:fill="99CCFF"/>
          </w:tcPr>
          <w:p w:rsidR="00963495" w:rsidRPr="00A57BCB" w:rsidRDefault="00963495" w:rsidP="00963495">
            <w:pPr>
              <w:numPr>
                <w:ilvl w:val="0"/>
                <w:numId w:val="6"/>
              </w:numPr>
              <w:spacing w:before="60" w:after="60" w:line="240" w:lineRule="auto"/>
              <w:ind w:left="318" w:hanging="284"/>
              <w:jc w:val="both"/>
              <w:rPr>
                <w:rFonts w:ascii="Times New Roman" w:hAnsi="Times New Roman"/>
                <w:b/>
              </w:rPr>
            </w:pPr>
            <w:r w:rsidRPr="00A57BCB">
              <w:rPr>
                <w:rFonts w:ascii="Times New Roman" w:hAnsi="Times New Roman"/>
                <w:b/>
                <w:spacing w:val="-2"/>
              </w:rPr>
              <w:t>Planowane wykonanie przepisów aktu prawnego</w:t>
            </w:r>
          </w:p>
        </w:tc>
      </w:tr>
      <w:tr w:rsidR="00963495" w:rsidRPr="00A57BCB" w:rsidTr="00676C8D">
        <w:trPr>
          <w:gridAfter w:val="1"/>
          <w:wAfter w:w="10" w:type="dxa"/>
          <w:trHeight w:val="142"/>
        </w:trPr>
        <w:tc>
          <w:tcPr>
            <w:tcW w:w="10937" w:type="dxa"/>
            <w:gridSpan w:val="28"/>
            <w:shd w:val="clear" w:color="auto" w:fill="FFFFFF"/>
          </w:tcPr>
          <w:p w:rsidR="00963495" w:rsidRPr="00A57BCB" w:rsidRDefault="00963495" w:rsidP="00963495">
            <w:pPr>
              <w:spacing w:line="240" w:lineRule="auto"/>
              <w:jc w:val="both"/>
              <w:rPr>
                <w:rFonts w:ascii="Times New Roman" w:hAnsi="Times New Roman"/>
                <w:spacing w:val="-2"/>
              </w:rPr>
            </w:pPr>
          </w:p>
        </w:tc>
      </w:tr>
      <w:tr w:rsidR="00963495" w:rsidRPr="00A57BCB" w:rsidTr="00676C8D">
        <w:trPr>
          <w:gridAfter w:val="1"/>
          <w:wAfter w:w="10" w:type="dxa"/>
          <w:trHeight w:val="142"/>
        </w:trPr>
        <w:tc>
          <w:tcPr>
            <w:tcW w:w="10937" w:type="dxa"/>
            <w:gridSpan w:val="28"/>
            <w:shd w:val="clear" w:color="auto" w:fill="99CCFF"/>
          </w:tcPr>
          <w:p w:rsidR="00963495" w:rsidRPr="00A57BCB" w:rsidRDefault="00963495" w:rsidP="00963495">
            <w:pPr>
              <w:numPr>
                <w:ilvl w:val="0"/>
                <w:numId w:val="6"/>
              </w:numPr>
              <w:spacing w:before="60" w:after="60" w:line="240" w:lineRule="auto"/>
              <w:ind w:left="318" w:hanging="284"/>
              <w:jc w:val="both"/>
              <w:rPr>
                <w:rFonts w:ascii="Times New Roman" w:hAnsi="Times New Roman"/>
                <w:b/>
                <w:color w:val="000000"/>
              </w:rPr>
            </w:pPr>
            <w:r w:rsidRPr="00A57BCB">
              <w:rPr>
                <w:rFonts w:ascii="Times New Roman" w:hAnsi="Times New Roman"/>
                <w:b/>
                <w:color w:val="000000"/>
              </w:rPr>
              <w:t xml:space="preserve"> </w:t>
            </w:r>
            <w:r w:rsidRPr="00A57BCB">
              <w:rPr>
                <w:rFonts w:ascii="Times New Roman" w:hAnsi="Times New Roman"/>
                <w:b/>
                <w:spacing w:val="-2"/>
              </w:rPr>
              <w:t>W jaki sposób i kiedy nastąpi ewaluacja efektów projektu oraz jakie mierniki zostaną zastosowane?</w:t>
            </w:r>
          </w:p>
        </w:tc>
      </w:tr>
      <w:tr w:rsidR="00963495" w:rsidRPr="00A57BCB" w:rsidTr="00676C8D">
        <w:trPr>
          <w:gridAfter w:val="1"/>
          <w:wAfter w:w="10" w:type="dxa"/>
          <w:trHeight w:val="142"/>
        </w:trPr>
        <w:tc>
          <w:tcPr>
            <w:tcW w:w="10937" w:type="dxa"/>
            <w:gridSpan w:val="28"/>
            <w:shd w:val="clear" w:color="auto" w:fill="FFFFFF"/>
          </w:tcPr>
          <w:p w:rsidR="00E352BA" w:rsidRPr="00E352BA" w:rsidRDefault="00E352BA" w:rsidP="00E352BA">
            <w:pPr>
              <w:spacing w:after="60" w:line="240" w:lineRule="auto"/>
              <w:jc w:val="both"/>
              <w:rPr>
                <w:rFonts w:ascii="Times New Roman" w:hAnsi="Times New Roman"/>
                <w:color w:val="000000"/>
                <w:spacing w:val="-2"/>
              </w:rPr>
            </w:pPr>
            <w:r w:rsidRPr="00E352BA">
              <w:rPr>
                <w:rFonts w:ascii="Times New Roman" w:hAnsi="Times New Roman"/>
                <w:color w:val="000000"/>
                <w:spacing w:val="-2"/>
              </w:rPr>
              <w:t>Ewaluacja projektu może nastąpić po 3 latach od wejścia ustawy w życie.</w:t>
            </w:r>
          </w:p>
          <w:p w:rsidR="00963495" w:rsidRDefault="00E352BA" w:rsidP="00E352BA">
            <w:pPr>
              <w:spacing w:line="240" w:lineRule="auto"/>
              <w:jc w:val="both"/>
              <w:rPr>
                <w:rFonts w:ascii="Times New Roman" w:hAnsi="Times New Roman"/>
                <w:color w:val="000000"/>
                <w:spacing w:val="-2"/>
              </w:rPr>
            </w:pPr>
            <w:r>
              <w:rPr>
                <w:rFonts w:ascii="Times New Roman" w:hAnsi="Times New Roman"/>
                <w:color w:val="000000"/>
                <w:spacing w:val="-2"/>
              </w:rPr>
              <w:t>Proponuje</w:t>
            </w:r>
            <w:r w:rsidRPr="00E352BA">
              <w:rPr>
                <w:rFonts w:ascii="Times New Roman" w:hAnsi="Times New Roman"/>
                <w:color w:val="000000"/>
                <w:spacing w:val="-2"/>
              </w:rPr>
              <w:t xml:space="preserve"> się zastosowanie następujących mierników:</w:t>
            </w:r>
          </w:p>
          <w:p w:rsidR="00E352BA" w:rsidRDefault="00E352BA" w:rsidP="00E352BA">
            <w:pPr>
              <w:numPr>
                <w:ilvl w:val="0"/>
                <w:numId w:val="27"/>
              </w:numPr>
              <w:spacing w:line="240" w:lineRule="auto"/>
              <w:ind w:left="606"/>
              <w:jc w:val="both"/>
              <w:rPr>
                <w:rFonts w:ascii="Times New Roman" w:hAnsi="Times New Roman"/>
                <w:color w:val="000000"/>
                <w:spacing w:val="-2"/>
              </w:rPr>
            </w:pPr>
            <w:r>
              <w:rPr>
                <w:rFonts w:ascii="Times New Roman" w:hAnsi="Times New Roman"/>
                <w:color w:val="000000"/>
                <w:spacing w:val="-2"/>
              </w:rPr>
              <w:t>liczba udzielonych kredytów hipotecznych,</w:t>
            </w:r>
          </w:p>
          <w:p w:rsidR="00E352BA" w:rsidRDefault="00E352BA" w:rsidP="00E352BA">
            <w:pPr>
              <w:numPr>
                <w:ilvl w:val="0"/>
                <w:numId w:val="27"/>
              </w:numPr>
              <w:spacing w:line="240" w:lineRule="auto"/>
              <w:ind w:left="606"/>
              <w:jc w:val="both"/>
              <w:rPr>
                <w:rFonts w:ascii="Times New Roman" w:hAnsi="Times New Roman"/>
                <w:color w:val="000000"/>
                <w:spacing w:val="-2"/>
              </w:rPr>
            </w:pPr>
            <w:r>
              <w:rPr>
                <w:rFonts w:ascii="Times New Roman" w:hAnsi="Times New Roman"/>
                <w:color w:val="000000"/>
                <w:spacing w:val="-2"/>
              </w:rPr>
              <w:t>liczba podmiotów udzielających kredytów,</w:t>
            </w:r>
          </w:p>
          <w:p w:rsidR="00E352BA" w:rsidRDefault="00E352BA" w:rsidP="00E352BA">
            <w:pPr>
              <w:numPr>
                <w:ilvl w:val="0"/>
                <w:numId w:val="27"/>
              </w:numPr>
              <w:spacing w:line="240" w:lineRule="auto"/>
              <w:ind w:left="606"/>
              <w:jc w:val="both"/>
              <w:rPr>
                <w:rFonts w:ascii="Times New Roman" w:hAnsi="Times New Roman"/>
                <w:color w:val="000000"/>
                <w:spacing w:val="-2"/>
              </w:rPr>
            </w:pPr>
            <w:r>
              <w:rPr>
                <w:rFonts w:ascii="Times New Roman" w:hAnsi="Times New Roman"/>
                <w:color w:val="000000"/>
                <w:spacing w:val="-2"/>
              </w:rPr>
              <w:t>wysokość średniej raty kredytu hipotecznego,</w:t>
            </w:r>
          </w:p>
          <w:p w:rsidR="00E352BA" w:rsidRDefault="00E352BA" w:rsidP="00E352BA">
            <w:pPr>
              <w:numPr>
                <w:ilvl w:val="0"/>
                <w:numId w:val="27"/>
              </w:numPr>
              <w:spacing w:line="240" w:lineRule="auto"/>
              <w:ind w:left="606"/>
              <w:jc w:val="both"/>
              <w:rPr>
                <w:rFonts w:ascii="Times New Roman" w:hAnsi="Times New Roman"/>
                <w:color w:val="000000"/>
                <w:spacing w:val="-2"/>
              </w:rPr>
            </w:pPr>
            <w:r>
              <w:rPr>
                <w:rFonts w:ascii="Times New Roman" w:hAnsi="Times New Roman"/>
                <w:color w:val="000000"/>
                <w:spacing w:val="-2"/>
              </w:rPr>
              <w:t>wysokość ubezpieczenia kredytu,</w:t>
            </w:r>
          </w:p>
          <w:p w:rsidR="00E352BA" w:rsidRPr="00A57BCB" w:rsidRDefault="00E352BA" w:rsidP="00E352BA">
            <w:pPr>
              <w:numPr>
                <w:ilvl w:val="0"/>
                <w:numId w:val="27"/>
              </w:numPr>
              <w:spacing w:line="240" w:lineRule="auto"/>
              <w:ind w:left="606"/>
              <w:jc w:val="both"/>
              <w:rPr>
                <w:rFonts w:ascii="Times New Roman" w:hAnsi="Times New Roman"/>
                <w:color w:val="000000"/>
                <w:spacing w:val="-2"/>
              </w:rPr>
            </w:pPr>
            <w:r>
              <w:rPr>
                <w:rFonts w:ascii="Times New Roman" w:hAnsi="Times New Roman"/>
                <w:color w:val="000000"/>
                <w:spacing w:val="-2"/>
              </w:rPr>
              <w:t>wysokość marży kredytu hipotecznego.</w:t>
            </w:r>
          </w:p>
        </w:tc>
      </w:tr>
      <w:tr w:rsidR="00963495" w:rsidRPr="00A57BCB" w:rsidTr="00676C8D">
        <w:trPr>
          <w:gridAfter w:val="1"/>
          <w:wAfter w:w="10" w:type="dxa"/>
          <w:trHeight w:val="142"/>
        </w:trPr>
        <w:tc>
          <w:tcPr>
            <w:tcW w:w="10937" w:type="dxa"/>
            <w:gridSpan w:val="28"/>
            <w:shd w:val="clear" w:color="auto" w:fill="99CCFF"/>
          </w:tcPr>
          <w:p w:rsidR="00963495" w:rsidRPr="00A57BCB" w:rsidRDefault="00963495" w:rsidP="00963495">
            <w:pPr>
              <w:numPr>
                <w:ilvl w:val="0"/>
                <w:numId w:val="6"/>
              </w:numPr>
              <w:spacing w:before="60" w:after="60" w:line="240" w:lineRule="auto"/>
              <w:ind w:left="318" w:hanging="284"/>
              <w:jc w:val="both"/>
              <w:rPr>
                <w:rFonts w:ascii="Times New Roman" w:hAnsi="Times New Roman"/>
                <w:b/>
                <w:color w:val="000000"/>
                <w:spacing w:val="-2"/>
              </w:rPr>
            </w:pPr>
            <w:r w:rsidRPr="00A57BCB">
              <w:rPr>
                <w:rFonts w:ascii="Times New Roman" w:hAnsi="Times New Roman"/>
                <w:b/>
                <w:color w:val="000000"/>
                <w:spacing w:val="-2"/>
              </w:rPr>
              <w:t xml:space="preserve">Załączniki </w:t>
            </w:r>
            <w:r w:rsidRPr="00A57BCB">
              <w:rPr>
                <w:rFonts w:ascii="Times New Roman" w:hAnsi="Times New Roman"/>
                <w:b/>
                <w:spacing w:val="-2"/>
              </w:rPr>
              <w:t>(istotne dokumenty źródłowe, badania, analizy itp.</w:t>
            </w:r>
            <w:r w:rsidRPr="00A57BCB">
              <w:rPr>
                <w:rFonts w:ascii="Times New Roman" w:hAnsi="Times New Roman"/>
                <w:b/>
                <w:color w:val="000000"/>
                <w:spacing w:val="-2"/>
              </w:rPr>
              <w:t xml:space="preserve">) </w:t>
            </w:r>
          </w:p>
        </w:tc>
      </w:tr>
      <w:tr w:rsidR="00963495" w:rsidRPr="00A57BCB" w:rsidTr="00676C8D">
        <w:trPr>
          <w:gridAfter w:val="1"/>
          <w:wAfter w:w="10" w:type="dxa"/>
          <w:trHeight w:val="142"/>
        </w:trPr>
        <w:tc>
          <w:tcPr>
            <w:tcW w:w="10937" w:type="dxa"/>
            <w:gridSpan w:val="28"/>
            <w:shd w:val="clear" w:color="auto" w:fill="FFFFFF"/>
          </w:tcPr>
          <w:p w:rsidR="00963495" w:rsidRPr="00A57BCB" w:rsidRDefault="00E13853" w:rsidP="00963495">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rsidR="006176ED" w:rsidRPr="00A57BCB" w:rsidRDefault="006176ED" w:rsidP="00A57BCB">
      <w:pPr>
        <w:pStyle w:val="Nagwek1"/>
        <w:rPr>
          <w:rFonts w:ascii="Times New Roman" w:hAnsi="Times New Roman" w:cs="Times New Roman"/>
          <w:sz w:val="22"/>
          <w:szCs w:val="22"/>
        </w:rPr>
      </w:pPr>
    </w:p>
    <w:sectPr w:rsidR="006176ED" w:rsidRPr="00A57BCB"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F8" w:rsidRDefault="009166F8" w:rsidP="00044739">
      <w:pPr>
        <w:spacing w:line="240" w:lineRule="auto"/>
      </w:pPr>
      <w:r>
        <w:separator/>
      </w:r>
    </w:p>
  </w:endnote>
  <w:endnote w:type="continuationSeparator" w:id="0">
    <w:p w:rsidR="009166F8" w:rsidRDefault="009166F8"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F8" w:rsidRDefault="009166F8" w:rsidP="00044739">
      <w:pPr>
        <w:spacing w:line="240" w:lineRule="auto"/>
      </w:pPr>
      <w:r>
        <w:separator/>
      </w:r>
    </w:p>
  </w:footnote>
  <w:footnote w:type="continuationSeparator" w:id="0">
    <w:p w:rsidR="009166F8" w:rsidRDefault="009166F8" w:rsidP="00044739">
      <w:pPr>
        <w:spacing w:line="240" w:lineRule="auto"/>
      </w:pPr>
      <w:r>
        <w:continuationSeparator/>
      </w:r>
    </w:p>
  </w:footnote>
  <w:footnote w:id="1">
    <w:p w:rsidR="00DE0873" w:rsidRPr="004213FD" w:rsidRDefault="00DE0873" w:rsidP="004213FD">
      <w:pPr>
        <w:pStyle w:val="Tekstprzypisudolnego"/>
        <w:jc w:val="both"/>
        <w:rPr>
          <w:rFonts w:ascii="Times New Roman" w:hAnsi="Times New Roman"/>
          <w:spacing w:val="-6"/>
        </w:rPr>
      </w:pPr>
      <w:r w:rsidRPr="004213FD">
        <w:rPr>
          <w:rStyle w:val="Odwoanieprzypisudolnego"/>
          <w:rFonts w:ascii="Times New Roman" w:hAnsi="Times New Roman"/>
          <w:spacing w:val="-6"/>
        </w:rPr>
        <w:footnoteRef/>
      </w:r>
      <w:r w:rsidRPr="004213FD">
        <w:rPr>
          <w:rFonts w:ascii="Times New Roman" w:hAnsi="Times New Roman"/>
          <w:spacing w:val="-6"/>
        </w:rPr>
        <w:t xml:space="preserve"> </w:t>
      </w:r>
      <w:hyperlink r:id="rId1" w:history="1">
        <w:r w:rsidRPr="004213FD">
          <w:rPr>
            <w:rStyle w:val="Hipercze"/>
            <w:rFonts w:ascii="Times New Roman" w:hAnsi="Times New Roman"/>
            <w:spacing w:val="-6"/>
          </w:rPr>
          <w:t>Ile kosztuje ubezpieczenie pomostowe? (businessinsider.com.pl)</w:t>
        </w:r>
      </w:hyperlink>
      <w:r w:rsidR="004213FD" w:rsidRPr="004213FD">
        <w:rPr>
          <w:rFonts w:ascii="Times New Roman" w:hAnsi="Times New Roman"/>
          <w:spacing w:val="-6"/>
        </w:rPr>
        <w:t xml:space="preserve"> – </w:t>
      </w:r>
      <w:hyperlink r:id="rId2" w:history="1">
        <w:r w:rsidR="004213FD" w:rsidRPr="004213FD">
          <w:rPr>
            <w:rStyle w:val="Hipercze"/>
            <w:rFonts w:ascii="Times New Roman" w:hAnsi="Times New Roman"/>
            <w:spacing w:val="-6"/>
          </w:rPr>
          <w:t>https://businessinsider.com.pl/poradnik-finansowy/ubezpieczenia/ile-kosztuje-ubezpieczenie-pomostowe/qst39lm</w:t>
        </w:r>
      </w:hyperlink>
      <w:r w:rsidR="004213FD" w:rsidRPr="004213FD">
        <w:rPr>
          <w:rFonts w:ascii="Times New Roman" w:hAnsi="Times New Roman"/>
          <w:spacing w:val="-6"/>
        </w:rPr>
        <w:t xml:space="preserve">. </w:t>
      </w:r>
    </w:p>
  </w:footnote>
  <w:footnote w:id="2">
    <w:p w:rsidR="007913C0" w:rsidRPr="007354B3" w:rsidRDefault="007913C0" w:rsidP="007354B3">
      <w:pPr>
        <w:pStyle w:val="Tekstprzypisudolnego"/>
        <w:spacing w:line="240" w:lineRule="auto"/>
        <w:rPr>
          <w:rFonts w:ascii="Times New Roman" w:hAnsi="Times New Roman"/>
        </w:rPr>
      </w:pPr>
      <w:r w:rsidRPr="007354B3">
        <w:rPr>
          <w:rStyle w:val="Odwoanieprzypisudolnego"/>
          <w:rFonts w:ascii="Times New Roman" w:hAnsi="Times New Roman"/>
        </w:rPr>
        <w:footnoteRef/>
      </w:r>
      <w:r w:rsidRPr="007354B3">
        <w:rPr>
          <w:rFonts w:ascii="Times New Roman" w:hAnsi="Times New Roman"/>
        </w:rPr>
        <w:t xml:space="preserve"> </w:t>
      </w:r>
      <w:hyperlink r:id="rId3" w:history="1">
        <w:r w:rsidR="007354B3" w:rsidRPr="007354B3">
          <w:rPr>
            <w:rStyle w:val="Hipercze"/>
            <w:rFonts w:ascii="Times New Roman" w:hAnsi="Times New Roman"/>
            <w:spacing w:val="6"/>
          </w:rPr>
          <w:t>https://tvn24.pl/biznes/pieniadze/wpis-do-ksiegi-wieczystej-zmiany-kredyty-hipoteczne-ministerstwo-sprawiedliwosci-proponuje-zmiany-marcin-warchol-wyjasnia-5600539</w:t>
        </w:r>
      </w:hyperlink>
      <w:r w:rsidR="007354B3" w:rsidRPr="007354B3">
        <w:rPr>
          <w:rFonts w:ascii="Times New Roman" w:hAnsi="Times New Roman"/>
          <w:spacing w:val="6"/>
        </w:rPr>
        <w:t>.</w:t>
      </w:r>
      <w:r w:rsidR="007354B3">
        <w:rPr>
          <w:rFonts w:ascii="Times New Roman" w:hAnsi="Times New Roman"/>
        </w:rPr>
        <w:t xml:space="preserve"> </w:t>
      </w:r>
    </w:p>
  </w:footnote>
  <w:footnote w:id="3">
    <w:p w:rsidR="007913C0" w:rsidRDefault="007913C0" w:rsidP="007913C0">
      <w:pPr>
        <w:pStyle w:val="Tekstprzypisudolnego"/>
      </w:pPr>
      <w:r>
        <w:rPr>
          <w:rStyle w:val="Odwoanieprzypisudolnego"/>
        </w:rPr>
        <w:footnoteRef/>
      </w:r>
      <w:r>
        <w:t xml:space="preserve"> </w:t>
      </w:r>
      <w:r w:rsidRPr="00E42A00">
        <w:t>https://alebank.pl/pandemia-a-rynek-kredytow-hipotecznych/?id=375993&amp;catid=625&amp;cat2id=30291&amp;cat3id=22871</w:t>
      </w:r>
    </w:p>
  </w:footnote>
  <w:footnote w:id="4">
    <w:p w:rsidR="00963495" w:rsidRDefault="00963495" w:rsidP="00A16B08">
      <w:pPr>
        <w:pStyle w:val="Tekstprzypisudolnego"/>
      </w:pPr>
      <w:r>
        <w:rPr>
          <w:rStyle w:val="Odwoanieprzypisudolnego"/>
        </w:rPr>
        <w:footnoteRef/>
      </w:r>
      <w:r>
        <w:t xml:space="preserve"> Komisja Nadzoru Finansowego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216E89"/>
    <w:multiLevelType w:val="hybridMultilevel"/>
    <w:tmpl w:val="9A52C084"/>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9">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F33321"/>
    <w:multiLevelType w:val="hybridMultilevel"/>
    <w:tmpl w:val="8DEAB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3">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8913226"/>
    <w:multiLevelType w:val="hybridMultilevel"/>
    <w:tmpl w:val="2A962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7">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8">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1">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3">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5">
    <w:abstractNumId w:val="1"/>
  </w:num>
  <w:num w:numId="6">
    <w:abstractNumId w:val="11"/>
  </w:num>
  <w:num w:numId="7">
    <w:abstractNumId w:val="21"/>
  </w:num>
  <w:num w:numId="8">
    <w:abstractNumId w:val="2"/>
  </w:num>
  <w:num w:numId="9">
    <w:abstractNumId w:val="9"/>
  </w:num>
  <w:num w:numId="10">
    <w:abstractNumId w:val="14"/>
  </w:num>
  <w:num w:numId="11">
    <w:abstractNumId w:val="6"/>
  </w:num>
  <w:num w:numId="12">
    <w:abstractNumId w:val="17"/>
  </w:num>
  <w:num w:numId="13">
    <w:abstractNumId w:val="13"/>
  </w:num>
  <w:num w:numId="14">
    <w:abstractNumId w:val="16"/>
  </w:num>
  <w:num w:numId="15">
    <w:abstractNumId w:val="4"/>
  </w:num>
  <w:num w:numId="16">
    <w:abstractNumId w:val="12"/>
  </w:num>
  <w:num w:numId="17">
    <w:abstractNumId w:val="22"/>
  </w:num>
  <w:num w:numId="18">
    <w:abstractNumId w:val="18"/>
  </w:num>
  <w:num w:numId="19">
    <w:abstractNumId w:val="20"/>
  </w:num>
  <w:num w:numId="20">
    <w:abstractNumId w:val="7"/>
  </w:num>
  <w:num w:numId="21">
    <w:abstractNumId w:val="23"/>
  </w:num>
  <w:num w:numId="22">
    <w:abstractNumId w:val="24"/>
  </w:num>
  <w:num w:numId="23">
    <w:abstractNumId w:val="19"/>
  </w:num>
  <w:num w:numId="24">
    <w:abstractNumId w:val="8"/>
  </w:num>
  <w:num w:numId="25">
    <w:abstractNumId w:val="3"/>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12D11"/>
    <w:rsid w:val="00013EB5"/>
    <w:rsid w:val="00023836"/>
    <w:rsid w:val="000356A9"/>
    <w:rsid w:val="00044138"/>
    <w:rsid w:val="00044739"/>
    <w:rsid w:val="00051637"/>
    <w:rsid w:val="00056681"/>
    <w:rsid w:val="000648A7"/>
    <w:rsid w:val="0006618B"/>
    <w:rsid w:val="000670C0"/>
    <w:rsid w:val="00071B99"/>
    <w:rsid w:val="000756E5"/>
    <w:rsid w:val="0007704E"/>
    <w:rsid w:val="00080EC8"/>
    <w:rsid w:val="000944AC"/>
    <w:rsid w:val="00094CB9"/>
    <w:rsid w:val="000956B2"/>
    <w:rsid w:val="000969E7"/>
    <w:rsid w:val="000A23DE"/>
    <w:rsid w:val="000A4020"/>
    <w:rsid w:val="000B54FB"/>
    <w:rsid w:val="000C29B0"/>
    <w:rsid w:val="000C6A51"/>
    <w:rsid w:val="000C76FC"/>
    <w:rsid w:val="000D1DC1"/>
    <w:rsid w:val="000D38FC"/>
    <w:rsid w:val="000D4D90"/>
    <w:rsid w:val="000D6689"/>
    <w:rsid w:val="000E2D10"/>
    <w:rsid w:val="000F3204"/>
    <w:rsid w:val="0010548B"/>
    <w:rsid w:val="001072D1"/>
    <w:rsid w:val="001118EC"/>
    <w:rsid w:val="00117017"/>
    <w:rsid w:val="0012349A"/>
    <w:rsid w:val="00126AAF"/>
    <w:rsid w:val="00130E8E"/>
    <w:rsid w:val="00131A74"/>
    <w:rsid w:val="0013216E"/>
    <w:rsid w:val="0013256F"/>
    <w:rsid w:val="0013272D"/>
    <w:rsid w:val="001401B5"/>
    <w:rsid w:val="001422B9"/>
    <w:rsid w:val="0014665F"/>
    <w:rsid w:val="00153101"/>
    <w:rsid w:val="00153464"/>
    <w:rsid w:val="001541B3"/>
    <w:rsid w:val="0015490D"/>
    <w:rsid w:val="00155B15"/>
    <w:rsid w:val="001625BE"/>
    <w:rsid w:val="001643A4"/>
    <w:rsid w:val="001727BB"/>
    <w:rsid w:val="00180D25"/>
    <w:rsid w:val="0018318D"/>
    <w:rsid w:val="0018572C"/>
    <w:rsid w:val="00187E79"/>
    <w:rsid w:val="00187F0D"/>
    <w:rsid w:val="00192CC5"/>
    <w:rsid w:val="001943BE"/>
    <w:rsid w:val="001956A7"/>
    <w:rsid w:val="00197D1C"/>
    <w:rsid w:val="001A118A"/>
    <w:rsid w:val="001A27F4"/>
    <w:rsid w:val="001A2D95"/>
    <w:rsid w:val="001A5280"/>
    <w:rsid w:val="001B2482"/>
    <w:rsid w:val="001B3460"/>
    <w:rsid w:val="001B4CA1"/>
    <w:rsid w:val="001B75D8"/>
    <w:rsid w:val="001C1060"/>
    <w:rsid w:val="001C3C63"/>
    <w:rsid w:val="001D4732"/>
    <w:rsid w:val="001D6A3C"/>
    <w:rsid w:val="001D6D51"/>
    <w:rsid w:val="001E23B7"/>
    <w:rsid w:val="001F1DF4"/>
    <w:rsid w:val="001F653A"/>
    <w:rsid w:val="001F6979"/>
    <w:rsid w:val="001F69AB"/>
    <w:rsid w:val="00202BC6"/>
    <w:rsid w:val="00205141"/>
    <w:rsid w:val="0020516B"/>
    <w:rsid w:val="00213559"/>
    <w:rsid w:val="00213EFD"/>
    <w:rsid w:val="00216D5C"/>
    <w:rsid w:val="002172F1"/>
    <w:rsid w:val="00223C7B"/>
    <w:rsid w:val="00224AB1"/>
    <w:rsid w:val="0022687A"/>
    <w:rsid w:val="00230728"/>
    <w:rsid w:val="00234040"/>
    <w:rsid w:val="00235CD2"/>
    <w:rsid w:val="00242D02"/>
    <w:rsid w:val="0024697F"/>
    <w:rsid w:val="0025290C"/>
    <w:rsid w:val="00254DED"/>
    <w:rsid w:val="00255619"/>
    <w:rsid w:val="00255DAD"/>
    <w:rsid w:val="00256108"/>
    <w:rsid w:val="00260F33"/>
    <w:rsid w:val="002613BD"/>
    <w:rsid w:val="00261A87"/>
    <w:rsid w:val="002624F1"/>
    <w:rsid w:val="00270C81"/>
    <w:rsid w:val="00271558"/>
    <w:rsid w:val="00271955"/>
    <w:rsid w:val="00274862"/>
    <w:rsid w:val="00280760"/>
    <w:rsid w:val="00280B15"/>
    <w:rsid w:val="00282D72"/>
    <w:rsid w:val="00283402"/>
    <w:rsid w:val="00290FD6"/>
    <w:rsid w:val="00292223"/>
    <w:rsid w:val="00294259"/>
    <w:rsid w:val="0029479F"/>
    <w:rsid w:val="002A2C81"/>
    <w:rsid w:val="002B3D1A"/>
    <w:rsid w:val="002C27D0"/>
    <w:rsid w:val="002C2C9B"/>
    <w:rsid w:val="002D17D6"/>
    <w:rsid w:val="002D18D7"/>
    <w:rsid w:val="002D21CE"/>
    <w:rsid w:val="002D30AC"/>
    <w:rsid w:val="002D536F"/>
    <w:rsid w:val="002E181E"/>
    <w:rsid w:val="002E3DA3"/>
    <w:rsid w:val="002E450F"/>
    <w:rsid w:val="002E6B38"/>
    <w:rsid w:val="002E6D63"/>
    <w:rsid w:val="002E6E2B"/>
    <w:rsid w:val="002F3D36"/>
    <w:rsid w:val="002F500B"/>
    <w:rsid w:val="002F5151"/>
    <w:rsid w:val="00300991"/>
    <w:rsid w:val="00301959"/>
    <w:rsid w:val="00305B8A"/>
    <w:rsid w:val="00331BF9"/>
    <w:rsid w:val="0033495E"/>
    <w:rsid w:val="00334A79"/>
    <w:rsid w:val="00334D8D"/>
    <w:rsid w:val="003355E7"/>
    <w:rsid w:val="00336A28"/>
    <w:rsid w:val="00337345"/>
    <w:rsid w:val="00337DD2"/>
    <w:rsid w:val="003404D1"/>
    <w:rsid w:val="003443FF"/>
    <w:rsid w:val="00350E61"/>
    <w:rsid w:val="00355808"/>
    <w:rsid w:val="00361FDC"/>
    <w:rsid w:val="00362C7E"/>
    <w:rsid w:val="00363309"/>
    <w:rsid w:val="00363601"/>
    <w:rsid w:val="003656C0"/>
    <w:rsid w:val="00376AC9"/>
    <w:rsid w:val="00393032"/>
    <w:rsid w:val="00393665"/>
    <w:rsid w:val="00394B69"/>
    <w:rsid w:val="00397078"/>
    <w:rsid w:val="003A6953"/>
    <w:rsid w:val="003B6083"/>
    <w:rsid w:val="003C3838"/>
    <w:rsid w:val="003C5847"/>
    <w:rsid w:val="003D0681"/>
    <w:rsid w:val="003D12F6"/>
    <w:rsid w:val="003D1426"/>
    <w:rsid w:val="003E1C4A"/>
    <w:rsid w:val="003E2F4E"/>
    <w:rsid w:val="003E720A"/>
    <w:rsid w:val="003F299E"/>
    <w:rsid w:val="00403E6E"/>
    <w:rsid w:val="004129B4"/>
    <w:rsid w:val="00417EF0"/>
    <w:rsid w:val="004213FD"/>
    <w:rsid w:val="00422181"/>
    <w:rsid w:val="004244A8"/>
    <w:rsid w:val="00425F72"/>
    <w:rsid w:val="00427736"/>
    <w:rsid w:val="00441787"/>
    <w:rsid w:val="00444F2D"/>
    <w:rsid w:val="00452034"/>
    <w:rsid w:val="004543A3"/>
    <w:rsid w:val="00455FA6"/>
    <w:rsid w:val="00465479"/>
    <w:rsid w:val="00466C70"/>
    <w:rsid w:val="004702C9"/>
    <w:rsid w:val="00472E45"/>
    <w:rsid w:val="00473FEA"/>
    <w:rsid w:val="0047579D"/>
    <w:rsid w:val="00477551"/>
    <w:rsid w:val="00483262"/>
    <w:rsid w:val="00484107"/>
    <w:rsid w:val="00485CC5"/>
    <w:rsid w:val="0049343F"/>
    <w:rsid w:val="004964FC"/>
    <w:rsid w:val="004A145E"/>
    <w:rsid w:val="004A1F15"/>
    <w:rsid w:val="004A2A81"/>
    <w:rsid w:val="004A7BD7"/>
    <w:rsid w:val="004B22AB"/>
    <w:rsid w:val="004C15C2"/>
    <w:rsid w:val="004C3512"/>
    <w:rsid w:val="004C36D8"/>
    <w:rsid w:val="004C6A0C"/>
    <w:rsid w:val="004D1248"/>
    <w:rsid w:val="004D1E3C"/>
    <w:rsid w:val="004D4169"/>
    <w:rsid w:val="004D4398"/>
    <w:rsid w:val="004D6E14"/>
    <w:rsid w:val="004E016B"/>
    <w:rsid w:val="004E7423"/>
    <w:rsid w:val="004F4E17"/>
    <w:rsid w:val="0050082F"/>
    <w:rsid w:val="00500C56"/>
    <w:rsid w:val="00501713"/>
    <w:rsid w:val="00504287"/>
    <w:rsid w:val="00506568"/>
    <w:rsid w:val="005117F7"/>
    <w:rsid w:val="0051551B"/>
    <w:rsid w:val="00520C57"/>
    <w:rsid w:val="00522D94"/>
    <w:rsid w:val="00533D89"/>
    <w:rsid w:val="00536564"/>
    <w:rsid w:val="0054058F"/>
    <w:rsid w:val="00544597"/>
    <w:rsid w:val="00544FFE"/>
    <w:rsid w:val="00546077"/>
    <w:rsid w:val="005473F5"/>
    <w:rsid w:val="005477E7"/>
    <w:rsid w:val="00552794"/>
    <w:rsid w:val="00563199"/>
    <w:rsid w:val="00564874"/>
    <w:rsid w:val="005648CE"/>
    <w:rsid w:val="005666CD"/>
    <w:rsid w:val="00567963"/>
    <w:rsid w:val="0057009A"/>
    <w:rsid w:val="00571260"/>
    <w:rsid w:val="0057189C"/>
    <w:rsid w:val="00572451"/>
    <w:rsid w:val="00573FC1"/>
    <w:rsid w:val="005741EE"/>
    <w:rsid w:val="0057668E"/>
    <w:rsid w:val="00595E83"/>
    <w:rsid w:val="00596530"/>
    <w:rsid w:val="005967F3"/>
    <w:rsid w:val="005A06DF"/>
    <w:rsid w:val="005A302B"/>
    <w:rsid w:val="005A5527"/>
    <w:rsid w:val="005A5AE6"/>
    <w:rsid w:val="005B1206"/>
    <w:rsid w:val="005B37E8"/>
    <w:rsid w:val="005C0056"/>
    <w:rsid w:val="005C36D0"/>
    <w:rsid w:val="005D61D6"/>
    <w:rsid w:val="005E0D13"/>
    <w:rsid w:val="005E5047"/>
    <w:rsid w:val="005E7205"/>
    <w:rsid w:val="005E7371"/>
    <w:rsid w:val="005F116C"/>
    <w:rsid w:val="005F2131"/>
    <w:rsid w:val="00600B3F"/>
    <w:rsid w:val="00605EF6"/>
    <w:rsid w:val="00606455"/>
    <w:rsid w:val="00614929"/>
    <w:rsid w:val="00616511"/>
    <w:rsid w:val="006176ED"/>
    <w:rsid w:val="006202F3"/>
    <w:rsid w:val="0062097A"/>
    <w:rsid w:val="00621DA6"/>
    <w:rsid w:val="00622F5E"/>
    <w:rsid w:val="00623CFE"/>
    <w:rsid w:val="00627221"/>
    <w:rsid w:val="00627EE8"/>
    <w:rsid w:val="00631590"/>
    <w:rsid w:val="006316FA"/>
    <w:rsid w:val="006370D2"/>
    <w:rsid w:val="0064074F"/>
    <w:rsid w:val="00641F55"/>
    <w:rsid w:val="00645567"/>
    <w:rsid w:val="00645E4A"/>
    <w:rsid w:val="00653688"/>
    <w:rsid w:val="0066091B"/>
    <w:rsid w:val="006660E9"/>
    <w:rsid w:val="00666474"/>
    <w:rsid w:val="00667249"/>
    <w:rsid w:val="00667558"/>
    <w:rsid w:val="00671523"/>
    <w:rsid w:val="00673FA5"/>
    <w:rsid w:val="006754EF"/>
    <w:rsid w:val="00676C8D"/>
    <w:rsid w:val="00676E1F"/>
    <w:rsid w:val="00676F1F"/>
    <w:rsid w:val="00677381"/>
    <w:rsid w:val="00677414"/>
    <w:rsid w:val="006832CF"/>
    <w:rsid w:val="0068601E"/>
    <w:rsid w:val="00687D45"/>
    <w:rsid w:val="0069486B"/>
    <w:rsid w:val="006A4904"/>
    <w:rsid w:val="006A548F"/>
    <w:rsid w:val="006A701A"/>
    <w:rsid w:val="006B21F8"/>
    <w:rsid w:val="006B2715"/>
    <w:rsid w:val="006B64DC"/>
    <w:rsid w:val="006B7A91"/>
    <w:rsid w:val="006D46C4"/>
    <w:rsid w:val="006D4704"/>
    <w:rsid w:val="006D6A2D"/>
    <w:rsid w:val="006E1E18"/>
    <w:rsid w:val="006E31CE"/>
    <w:rsid w:val="006E34D3"/>
    <w:rsid w:val="006F1435"/>
    <w:rsid w:val="006F78C4"/>
    <w:rsid w:val="007024B3"/>
    <w:rsid w:val="007031A0"/>
    <w:rsid w:val="00705A29"/>
    <w:rsid w:val="00707498"/>
    <w:rsid w:val="00711A65"/>
    <w:rsid w:val="00714133"/>
    <w:rsid w:val="00714DA4"/>
    <w:rsid w:val="007158B2"/>
    <w:rsid w:val="00716081"/>
    <w:rsid w:val="00716A03"/>
    <w:rsid w:val="00722B48"/>
    <w:rsid w:val="00724164"/>
    <w:rsid w:val="00725DE7"/>
    <w:rsid w:val="0072636A"/>
    <w:rsid w:val="00726B44"/>
    <w:rsid w:val="007314E7"/>
    <w:rsid w:val="007318DD"/>
    <w:rsid w:val="00733167"/>
    <w:rsid w:val="007354B3"/>
    <w:rsid w:val="00740114"/>
    <w:rsid w:val="00740D2C"/>
    <w:rsid w:val="0074150F"/>
    <w:rsid w:val="00744BD8"/>
    <w:rsid w:val="00744BF9"/>
    <w:rsid w:val="00746D31"/>
    <w:rsid w:val="00752623"/>
    <w:rsid w:val="00760F1F"/>
    <w:rsid w:val="0076423E"/>
    <w:rsid w:val="007646CB"/>
    <w:rsid w:val="0076658F"/>
    <w:rsid w:val="0077040A"/>
    <w:rsid w:val="00772D64"/>
    <w:rsid w:val="00790118"/>
    <w:rsid w:val="007913C0"/>
    <w:rsid w:val="00792609"/>
    <w:rsid w:val="00792887"/>
    <w:rsid w:val="007943E2"/>
    <w:rsid w:val="00794F2C"/>
    <w:rsid w:val="00796460"/>
    <w:rsid w:val="007A3BC7"/>
    <w:rsid w:val="007A5AC4"/>
    <w:rsid w:val="007B0FDD"/>
    <w:rsid w:val="007B2F1D"/>
    <w:rsid w:val="007B4802"/>
    <w:rsid w:val="007B6668"/>
    <w:rsid w:val="007B6B33"/>
    <w:rsid w:val="007C000E"/>
    <w:rsid w:val="007C122A"/>
    <w:rsid w:val="007C2701"/>
    <w:rsid w:val="007C5C05"/>
    <w:rsid w:val="007D2192"/>
    <w:rsid w:val="007D2F4C"/>
    <w:rsid w:val="007F0021"/>
    <w:rsid w:val="007F2F52"/>
    <w:rsid w:val="00800BB4"/>
    <w:rsid w:val="00801F71"/>
    <w:rsid w:val="00805F28"/>
    <w:rsid w:val="0080749F"/>
    <w:rsid w:val="00811D46"/>
    <w:rsid w:val="008125B0"/>
    <w:rsid w:val="00812814"/>
    <w:rsid w:val="008144CB"/>
    <w:rsid w:val="008149A0"/>
    <w:rsid w:val="00821717"/>
    <w:rsid w:val="00824210"/>
    <w:rsid w:val="008263C0"/>
    <w:rsid w:val="008375E4"/>
    <w:rsid w:val="0084066D"/>
    <w:rsid w:val="00841422"/>
    <w:rsid w:val="00841D3B"/>
    <w:rsid w:val="0084314C"/>
    <w:rsid w:val="00843171"/>
    <w:rsid w:val="008456E1"/>
    <w:rsid w:val="008575C3"/>
    <w:rsid w:val="0086339C"/>
    <w:rsid w:val="00863D28"/>
    <w:rsid w:val="008648C3"/>
    <w:rsid w:val="00872C2B"/>
    <w:rsid w:val="00880F26"/>
    <w:rsid w:val="0088208C"/>
    <w:rsid w:val="00882886"/>
    <w:rsid w:val="008934A9"/>
    <w:rsid w:val="00896C2E"/>
    <w:rsid w:val="008A33DD"/>
    <w:rsid w:val="008A5095"/>
    <w:rsid w:val="008A608F"/>
    <w:rsid w:val="008A6F90"/>
    <w:rsid w:val="008B1A9A"/>
    <w:rsid w:val="008B4FE6"/>
    <w:rsid w:val="008B6C37"/>
    <w:rsid w:val="008D5EB1"/>
    <w:rsid w:val="008E18F7"/>
    <w:rsid w:val="008E1E10"/>
    <w:rsid w:val="008E291B"/>
    <w:rsid w:val="008E4F2F"/>
    <w:rsid w:val="008E74B0"/>
    <w:rsid w:val="008F4B38"/>
    <w:rsid w:val="008F5BD1"/>
    <w:rsid w:val="009008A8"/>
    <w:rsid w:val="009063B0"/>
    <w:rsid w:val="00907106"/>
    <w:rsid w:val="009107FD"/>
    <w:rsid w:val="0091137C"/>
    <w:rsid w:val="00911567"/>
    <w:rsid w:val="009166F8"/>
    <w:rsid w:val="009169C0"/>
    <w:rsid w:val="00917AAE"/>
    <w:rsid w:val="009251A9"/>
    <w:rsid w:val="00930699"/>
    <w:rsid w:val="00931F69"/>
    <w:rsid w:val="00934123"/>
    <w:rsid w:val="00935B5C"/>
    <w:rsid w:val="00953C69"/>
    <w:rsid w:val="00955774"/>
    <w:rsid w:val="009560B5"/>
    <w:rsid w:val="00963495"/>
    <w:rsid w:val="009703D6"/>
    <w:rsid w:val="0097181B"/>
    <w:rsid w:val="009741E3"/>
    <w:rsid w:val="00976DC5"/>
    <w:rsid w:val="009818C7"/>
    <w:rsid w:val="00982DD4"/>
    <w:rsid w:val="009841E5"/>
    <w:rsid w:val="0098479F"/>
    <w:rsid w:val="00984A8A"/>
    <w:rsid w:val="009857B6"/>
    <w:rsid w:val="00985A8D"/>
    <w:rsid w:val="00986610"/>
    <w:rsid w:val="009877DC"/>
    <w:rsid w:val="00991F96"/>
    <w:rsid w:val="00994954"/>
    <w:rsid w:val="00996F0A"/>
    <w:rsid w:val="009A1D86"/>
    <w:rsid w:val="009B049C"/>
    <w:rsid w:val="009B11C8"/>
    <w:rsid w:val="009B2BCF"/>
    <w:rsid w:val="009B2FF8"/>
    <w:rsid w:val="009B5BA3"/>
    <w:rsid w:val="009D0027"/>
    <w:rsid w:val="009D0655"/>
    <w:rsid w:val="009D6141"/>
    <w:rsid w:val="009E1E98"/>
    <w:rsid w:val="009E3ABE"/>
    <w:rsid w:val="009E3C4B"/>
    <w:rsid w:val="009F0637"/>
    <w:rsid w:val="009F62A6"/>
    <w:rsid w:val="009F674F"/>
    <w:rsid w:val="009F799E"/>
    <w:rsid w:val="00A02020"/>
    <w:rsid w:val="00A056CB"/>
    <w:rsid w:val="00A07A29"/>
    <w:rsid w:val="00A10FF1"/>
    <w:rsid w:val="00A1506B"/>
    <w:rsid w:val="00A16B08"/>
    <w:rsid w:val="00A17CB2"/>
    <w:rsid w:val="00A23191"/>
    <w:rsid w:val="00A319C0"/>
    <w:rsid w:val="00A33560"/>
    <w:rsid w:val="00A342CF"/>
    <w:rsid w:val="00A364E4"/>
    <w:rsid w:val="00A371A5"/>
    <w:rsid w:val="00A47BDF"/>
    <w:rsid w:val="00A51CD7"/>
    <w:rsid w:val="00A52ADB"/>
    <w:rsid w:val="00A533E8"/>
    <w:rsid w:val="00A542D9"/>
    <w:rsid w:val="00A56E64"/>
    <w:rsid w:val="00A57841"/>
    <w:rsid w:val="00A57BCB"/>
    <w:rsid w:val="00A624C3"/>
    <w:rsid w:val="00A64DC9"/>
    <w:rsid w:val="00A6641C"/>
    <w:rsid w:val="00A74331"/>
    <w:rsid w:val="00A767D2"/>
    <w:rsid w:val="00A77616"/>
    <w:rsid w:val="00A805DA"/>
    <w:rsid w:val="00A811B4"/>
    <w:rsid w:val="00A81552"/>
    <w:rsid w:val="00A85C49"/>
    <w:rsid w:val="00A87CDE"/>
    <w:rsid w:val="00A92BAF"/>
    <w:rsid w:val="00A94737"/>
    <w:rsid w:val="00A94BA3"/>
    <w:rsid w:val="00A966C7"/>
    <w:rsid w:val="00A96CBA"/>
    <w:rsid w:val="00AB1ACD"/>
    <w:rsid w:val="00AB277F"/>
    <w:rsid w:val="00AB4099"/>
    <w:rsid w:val="00AB449A"/>
    <w:rsid w:val="00AB49BB"/>
    <w:rsid w:val="00AC2633"/>
    <w:rsid w:val="00AD14F9"/>
    <w:rsid w:val="00AD35D6"/>
    <w:rsid w:val="00AD58C5"/>
    <w:rsid w:val="00AE0CD0"/>
    <w:rsid w:val="00AE36C4"/>
    <w:rsid w:val="00AE472C"/>
    <w:rsid w:val="00AE5375"/>
    <w:rsid w:val="00AE6CF8"/>
    <w:rsid w:val="00AF4CAC"/>
    <w:rsid w:val="00B03E0D"/>
    <w:rsid w:val="00B054F8"/>
    <w:rsid w:val="00B070A4"/>
    <w:rsid w:val="00B2219A"/>
    <w:rsid w:val="00B3581B"/>
    <w:rsid w:val="00B36B81"/>
    <w:rsid w:val="00B36FEE"/>
    <w:rsid w:val="00B37C80"/>
    <w:rsid w:val="00B43AA3"/>
    <w:rsid w:val="00B44FDE"/>
    <w:rsid w:val="00B5092B"/>
    <w:rsid w:val="00B5194E"/>
    <w:rsid w:val="00B51AF5"/>
    <w:rsid w:val="00B531FC"/>
    <w:rsid w:val="00B54CCF"/>
    <w:rsid w:val="00B55347"/>
    <w:rsid w:val="00B57E5E"/>
    <w:rsid w:val="00B61F37"/>
    <w:rsid w:val="00B7770F"/>
    <w:rsid w:val="00B77A89"/>
    <w:rsid w:val="00B77B27"/>
    <w:rsid w:val="00B802D7"/>
    <w:rsid w:val="00B8134E"/>
    <w:rsid w:val="00B81B55"/>
    <w:rsid w:val="00B84613"/>
    <w:rsid w:val="00B87AF0"/>
    <w:rsid w:val="00B9037B"/>
    <w:rsid w:val="00B910BD"/>
    <w:rsid w:val="00B93834"/>
    <w:rsid w:val="00B96469"/>
    <w:rsid w:val="00BA0DA2"/>
    <w:rsid w:val="00BA2981"/>
    <w:rsid w:val="00BA2F53"/>
    <w:rsid w:val="00BA41CB"/>
    <w:rsid w:val="00BA42EE"/>
    <w:rsid w:val="00BA48F9"/>
    <w:rsid w:val="00BA7238"/>
    <w:rsid w:val="00BB0DCA"/>
    <w:rsid w:val="00BB2666"/>
    <w:rsid w:val="00BB6B80"/>
    <w:rsid w:val="00BC3773"/>
    <w:rsid w:val="00BC381A"/>
    <w:rsid w:val="00BD0962"/>
    <w:rsid w:val="00BD1EED"/>
    <w:rsid w:val="00BD3C56"/>
    <w:rsid w:val="00BF0DA2"/>
    <w:rsid w:val="00BF109C"/>
    <w:rsid w:val="00BF2C00"/>
    <w:rsid w:val="00BF34FA"/>
    <w:rsid w:val="00BF6667"/>
    <w:rsid w:val="00C004B6"/>
    <w:rsid w:val="00C047A7"/>
    <w:rsid w:val="00C05DE5"/>
    <w:rsid w:val="00C325C2"/>
    <w:rsid w:val="00C33027"/>
    <w:rsid w:val="00C37667"/>
    <w:rsid w:val="00C435DB"/>
    <w:rsid w:val="00C44D73"/>
    <w:rsid w:val="00C45C54"/>
    <w:rsid w:val="00C468CD"/>
    <w:rsid w:val="00C50B42"/>
    <w:rsid w:val="00C516FF"/>
    <w:rsid w:val="00C52BFA"/>
    <w:rsid w:val="00C53D1D"/>
    <w:rsid w:val="00C53F26"/>
    <w:rsid w:val="00C540BC"/>
    <w:rsid w:val="00C62839"/>
    <w:rsid w:val="00C64D6A"/>
    <w:rsid w:val="00C64F7D"/>
    <w:rsid w:val="00C67309"/>
    <w:rsid w:val="00C7614E"/>
    <w:rsid w:val="00C77BF1"/>
    <w:rsid w:val="00C80D60"/>
    <w:rsid w:val="00C82FBD"/>
    <w:rsid w:val="00C85267"/>
    <w:rsid w:val="00C8721B"/>
    <w:rsid w:val="00C87B4B"/>
    <w:rsid w:val="00C9372C"/>
    <w:rsid w:val="00C9470E"/>
    <w:rsid w:val="00C95CEB"/>
    <w:rsid w:val="00C967CC"/>
    <w:rsid w:val="00CA1054"/>
    <w:rsid w:val="00CA63EB"/>
    <w:rsid w:val="00CA69F1"/>
    <w:rsid w:val="00CA7CF2"/>
    <w:rsid w:val="00CB1722"/>
    <w:rsid w:val="00CB2EA3"/>
    <w:rsid w:val="00CB5230"/>
    <w:rsid w:val="00CB6991"/>
    <w:rsid w:val="00CC6194"/>
    <w:rsid w:val="00CC6305"/>
    <w:rsid w:val="00CC78A5"/>
    <w:rsid w:val="00CD0516"/>
    <w:rsid w:val="00CD202E"/>
    <w:rsid w:val="00CD756B"/>
    <w:rsid w:val="00CE059F"/>
    <w:rsid w:val="00CE734F"/>
    <w:rsid w:val="00CF112E"/>
    <w:rsid w:val="00CF161D"/>
    <w:rsid w:val="00CF5F4F"/>
    <w:rsid w:val="00CF7BF4"/>
    <w:rsid w:val="00D13755"/>
    <w:rsid w:val="00D218DC"/>
    <w:rsid w:val="00D24E56"/>
    <w:rsid w:val="00D31643"/>
    <w:rsid w:val="00D31AEB"/>
    <w:rsid w:val="00D32ECD"/>
    <w:rsid w:val="00D361E4"/>
    <w:rsid w:val="00D411EA"/>
    <w:rsid w:val="00D42A8F"/>
    <w:rsid w:val="00D439F6"/>
    <w:rsid w:val="00D459C6"/>
    <w:rsid w:val="00D50729"/>
    <w:rsid w:val="00D50C19"/>
    <w:rsid w:val="00D52009"/>
    <w:rsid w:val="00D5379E"/>
    <w:rsid w:val="00D62643"/>
    <w:rsid w:val="00D62A27"/>
    <w:rsid w:val="00D64C0F"/>
    <w:rsid w:val="00D72EFE"/>
    <w:rsid w:val="00D76227"/>
    <w:rsid w:val="00D77DF1"/>
    <w:rsid w:val="00D811D2"/>
    <w:rsid w:val="00D86AFF"/>
    <w:rsid w:val="00D93C2B"/>
    <w:rsid w:val="00D95A44"/>
    <w:rsid w:val="00D95D16"/>
    <w:rsid w:val="00D97C76"/>
    <w:rsid w:val="00DA019B"/>
    <w:rsid w:val="00DB02B4"/>
    <w:rsid w:val="00DB538D"/>
    <w:rsid w:val="00DC275C"/>
    <w:rsid w:val="00DC4B0D"/>
    <w:rsid w:val="00DC7FE1"/>
    <w:rsid w:val="00DD3F3F"/>
    <w:rsid w:val="00DD5572"/>
    <w:rsid w:val="00DD6AF5"/>
    <w:rsid w:val="00DE0873"/>
    <w:rsid w:val="00DE5D80"/>
    <w:rsid w:val="00DF58CD"/>
    <w:rsid w:val="00DF65DE"/>
    <w:rsid w:val="00E019A5"/>
    <w:rsid w:val="00E02EC8"/>
    <w:rsid w:val="00E037F5"/>
    <w:rsid w:val="00E04ECB"/>
    <w:rsid w:val="00E05A09"/>
    <w:rsid w:val="00E06CA1"/>
    <w:rsid w:val="00E13853"/>
    <w:rsid w:val="00E1435E"/>
    <w:rsid w:val="00E172B8"/>
    <w:rsid w:val="00E17FB4"/>
    <w:rsid w:val="00E20B75"/>
    <w:rsid w:val="00E214F2"/>
    <w:rsid w:val="00E2371E"/>
    <w:rsid w:val="00E24BD7"/>
    <w:rsid w:val="00E26523"/>
    <w:rsid w:val="00E26809"/>
    <w:rsid w:val="00E326EC"/>
    <w:rsid w:val="00E3412D"/>
    <w:rsid w:val="00E352BA"/>
    <w:rsid w:val="00E42A00"/>
    <w:rsid w:val="00E4384A"/>
    <w:rsid w:val="00E540E9"/>
    <w:rsid w:val="00E564E6"/>
    <w:rsid w:val="00E57322"/>
    <w:rsid w:val="00E610A3"/>
    <w:rsid w:val="00E628CB"/>
    <w:rsid w:val="00E62AD9"/>
    <w:rsid w:val="00E638C8"/>
    <w:rsid w:val="00E64B68"/>
    <w:rsid w:val="00E6710E"/>
    <w:rsid w:val="00E7509B"/>
    <w:rsid w:val="00E761A3"/>
    <w:rsid w:val="00E856DB"/>
    <w:rsid w:val="00E86590"/>
    <w:rsid w:val="00E907FF"/>
    <w:rsid w:val="00E90BC9"/>
    <w:rsid w:val="00E94601"/>
    <w:rsid w:val="00EA42D1"/>
    <w:rsid w:val="00EA42EF"/>
    <w:rsid w:val="00EA69E0"/>
    <w:rsid w:val="00EB2D96"/>
    <w:rsid w:val="00EB2DD1"/>
    <w:rsid w:val="00EB6B37"/>
    <w:rsid w:val="00EC29FE"/>
    <w:rsid w:val="00EC3C70"/>
    <w:rsid w:val="00ED2831"/>
    <w:rsid w:val="00ED3A3D"/>
    <w:rsid w:val="00ED538A"/>
    <w:rsid w:val="00ED6FBC"/>
    <w:rsid w:val="00EE13F6"/>
    <w:rsid w:val="00EE2F16"/>
    <w:rsid w:val="00EE3861"/>
    <w:rsid w:val="00EF2E73"/>
    <w:rsid w:val="00EF7683"/>
    <w:rsid w:val="00EF7A2D"/>
    <w:rsid w:val="00F04F8D"/>
    <w:rsid w:val="00F10AD0"/>
    <w:rsid w:val="00F116CC"/>
    <w:rsid w:val="00F12BD1"/>
    <w:rsid w:val="00F15327"/>
    <w:rsid w:val="00F168CF"/>
    <w:rsid w:val="00F177C2"/>
    <w:rsid w:val="00F2244B"/>
    <w:rsid w:val="00F2555C"/>
    <w:rsid w:val="00F26BD1"/>
    <w:rsid w:val="00F31DF3"/>
    <w:rsid w:val="00F33AE5"/>
    <w:rsid w:val="00F3597D"/>
    <w:rsid w:val="00F4376D"/>
    <w:rsid w:val="00F45399"/>
    <w:rsid w:val="00F45FE8"/>
    <w:rsid w:val="00F465EA"/>
    <w:rsid w:val="00F52836"/>
    <w:rsid w:val="00F54E7B"/>
    <w:rsid w:val="00F55A88"/>
    <w:rsid w:val="00F63B01"/>
    <w:rsid w:val="00F74005"/>
    <w:rsid w:val="00F7480D"/>
    <w:rsid w:val="00F76884"/>
    <w:rsid w:val="00F81C71"/>
    <w:rsid w:val="00F83D24"/>
    <w:rsid w:val="00F83DD9"/>
    <w:rsid w:val="00F83F40"/>
    <w:rsid w:val="00FA117A"/>
    <w:rsid w:val="00FB386A"/>
    <w:rsid w:val="00FC0786"/>
    <w:rsid w:val="00FC49EF"/>
    <w:rsid w:val="00FE2EEF"/>
    <w:rsid w:val="00FE36E2"/>
    <w:rsid w:val="00FE53DA"/>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table" w:styleId="Jasnasiatka">
    <w:name w:val="Light Grid"/>
    <w:basedOn w:val="Standardowy"/>
    <w:uiPriority w:val="62"/>
    <w:rsid w:val="007D2F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Zwykatabela2">
    <w:name w:val="Plain Table 2"/>
    <w:basedOn w:val="Standardowy"/>
    <w:uiPriority w:val="42"/>
    <w:rsid w:val="0086339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Poprawka">
    <w:name w:val="Revision"/>
    <w:hidden/>
    <w:uiPriority w:val="99"/>
    <w:semiHidden/>
    <w:rsid w:val="0012349A"/>
    <w:rPr>
      <w:sz w:val="22"/>
      <w:szCs w:val="22"/>
      <w:lang w:eastAsia="en-US"/>
    </w:rPr>
  </w:style>
  <w:style w:type="character" w:customStyle="1" w:styleId="Nierozpoznanawzmianka">
    <w:name w:val="Nierozpoznana wzmianka"/>
    <w:uiPriority w:val="99"/>
    <w:semiHidden/>
    <w:unhideWhenUsed/>
    <w:rsid w:val="00735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317271520">
      <w:bodyDiv w:val="1"/>
      <w:marLeft w:val="0"/>
      <w:marRight w:val="0"/>
      <w:marTop w:val="0"/>
      <w:marBottom w:val="0"/>
      <w:divBdr>
        <w:top w:val="none" w:sz="0" w:space="0" w:color="auto"/>
        <w:left w:val="none" w:sz="0" w:space="0" w:color="auto"/>
        <w:bottom w:val="none" w:sz="0" w:space="0" w:color="auto"/>
        <w:right w:val="none" w:sz="0" w:space="0" w:color="auto"/>
      </w:divBdr>
    </w:div>
    <w:div w:id="378746137">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738283548">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50993318">
      <w:bodyDiv w:val="1"/>
      <w:marLeft w:val="0"/>
      <w:marRight w:val="0"/>
      <w:marTop w:val="0"/>
      <w:marBottom w:val="0"/>
      <w:divBdr>
        <w:top w:val="none" w:sz="0" w:space="0" w:color="auto"/>
        <w:left w:val="none" w:sz="0" w:space="0" w:color="auto"/>
        <w:bottom w:val="none" w:sz="0" w:space="0" w:color="auto"/>
        <w:right w:val="none" w:sz="0" w:space="0" w:color="auto"/>
      </w:divBdr>
    </w:div>
    <w:div w:id="980504505">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87983849">
      <w:bodyDiv w:val="1"/>
      <w:marLeft w:val="0"/>
      <w:marRight w:val="0"/>
      <w:marTop w:val="0"/>
      <w:marBottom w:val="0"/>
      <w:divBdr>
        <w:top w:val="none" w:sz="0" w:space="0" w:color="auto"/>
        <w:left w:val="none" w:sz="0" w:space="0" w:color="auto"/>
        <w:bottom w:val="none" w:sz="0" w:space="0" w:color="auto"/>
        <w:right w:val="none" w:sz="0" w:space="0" w:color="auto"/>
      </w:divBdr>
    </w:div>
    <w:div w:id="1336806268">
      <w:bodyDiv w:val="1"/>
      <w:marLeft w:val="0"/>
      <w:marRight w:val="0"/>
      <w:marTop w:val="0"/>
      <w:marBottom w:val="0"/>
      <w:divBdr>
        <w:top w:val="none" w:sz="0" w:space="0" w:color="auto"/>
        <w:left w:val="none" w:sz="0" w:space="0" w:color="auto"/>
        <w:bottom w:val="none" w:sz="0" w:space="0" w:color="auto"/>
        <w:right w:val="none" w:sz="0" w:space="0" w:color="auto"/>
      </w:divBdr>
    </w:div>
    <w:div w:id="134073963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37376383">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34238661">
      <w:bodyDiv w:val="1"/>
      <w:marLeft w:val="0"/>
      <w:marRight w:val="0"/>
      <w:marTop w:val="0"/>
      <w:marBottom w:val="0"/>
      <w:divBdr>
        <w:top w:val="none" w:sz="0" w:space="0" w:color="auto"/>
        <w:left w:val="none" w:sz="0" w:space="0" w:color="auto"/>
        <w:bottom w:val="none" w:sz="0" w:space="0" w:color="auto"/>
        <w:right w:val="none" w:sz="0" w:space="0" w:color="auto"/>
      </w:divBdr>
    </w:div>
    <w:div w:id="1936933106">
      <w:bodyDiv w:val="1"/>
      <w:marLeft w:val="0"/>
      <w:marRight w:val="0"/>
      <w:marTop w:val="0"/>
      <w:marBottom w:val="0"/>
      <w:divBdr>
        <w:top w:val="none" w:sz="0" w:space="0" w:color="auto"/>
        <w:left w:val="none" w:sz="0" w:space="0" w:color="auto"/>
        <w:bottom w:val="none" w:sz="0" w:space="0" w:color="auto"/>
        <w:right w:val="none" w:sz="0" w:space="0" w:color="auto"/>
      </w:divBdr>
    </w:div>
    <w:div w:id="20143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news.pl/raport-prnews-pl-rynek-kredytow-hipotecznych-iii-kw-2021-46231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vn24.pl/biznes/pieniadze/wpis-do-ksiegi-wieczystej-zmiany-kredyty-hipoteczne-ministerstwo-sprawiedliwosci-proponuje-zmiany-marcin-warchol-wyjasnia-5600539" TargetMode="External"/><Relationship Id="rId2" Type="http://schemas.openxmlformats.org/officeDocument/2006/relationships/hyperlink" Target="https://businessinsider.com.pl/poradnik-finansowy/ubezpieczenia/ile-kosztuje-ubezpieczenie-pomostowe/qst39lm" TargetMode="External"/><Relationship Id="rId1" Type="http://schemas.openxmlformats.org/officeDocument/2006/relationships/hyperlink" Target="https://businessinsider.com.pl/poradnik-finansowy/ile-kosztuje-ubezpieczenie-pomostowe/fhf9mp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DE1A7-105D-4126-9C76-C5C38CF9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3631</Words>
  <Characters>21790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25371</CharactersWithSpaces>
  <SharedDoc>false</SharedDoc>
  <HLinks>
    <vt:vector size="24" baseType="variant">
      <vt:variant>
        <vt:i4>4325407</vt:i4>
      </vt:variant>
      <vt:variant>
        <vt:i4>0</vt:i4>
      </vt:variant>
      <vt:variant>
        <vt:i4>0</vt:i4>
      </vt:variant>
      <vt:variant>
        <vt:i4>5</vt:i4>
      </vt:variant>
      <vt:variant>
        <vt:lpwstr>https://prnews.pl/raport-prnews-pl-rynek-kredytow-hipotecznych-iii-kw-2021-462315</vt:lpwstr>
      </vt:variant>
      <vt:variant>
        <vt:lpwstr/>
      </vt:variant>
      <vt:variant>
        <vt:i4>6946856</vt:i4>
      </vt:variant>
      <vt:variant>
        <vt:i4>6</vt:i4>
      </vt:variant>
      <vt:variant>
        <vt:i4>0</vt:i4>
      </vt:variant>
      <vt:variant>
        <vt:i4>5</vt:i4>
      </vt:variant>
      <vt:variant>
        <vt:lpwstr>https://tvn24.pl/biznes/pieniadze/wpis-do-ksiegi-wieczystej-zmiany-kredyty-hipoteczne-ministerstwo-sprawiedliwosci-proponuje-zmiany-marcin-warchol-wyjasnia-5600539</vt:lpwstr>
      </vt:variant>
      <vt:variant>
        <vt:lpwstr/>
      </vt:variant>
      <vt:variant>
        <vt:i4>5177358</vt:i4>
      </vt:variant>
      <vt:variant>
        <vt:i4>3</vt:i4>
      </vt:variant>
      <vt:variant>
        <vt:i4>0</vt:i4>
      </vt:variant>
      <vt:variant>
        <vt:i4>5</vt:i4>
      </vt:variant>
      <vt:variant>
        <vt:lpwstr>https://businessinsider.com.pl/poradnik-finansowy/ubezpieczenia/ile-kosztuje-ubezpieczenie-pomostowe/qst39lm</vt:lpwstr>
      </vt:variant>
      <vt:variant>
        <vt:lpwstr/>
      </vt:variant>
      <vt:variant>
        <vt:i4>7471219</vt:i4>
      </vt:variant>
      <vt:variant>
        <vt:i4>0</vt:i4>
      </vt:variant>
      <vt:variant>
        <vt:i4>0</vt:i4>
      </vt:variant>
      <vt:variant>
        <vt:i4>5</vt:i4>
      </vt:variant>
      <vt:variant>
        <vt:lpwstr>https://businessinsider.com.pl/poradnik-finansowy/ile-kosztuje-ubezpieczenie-pomostowe/fhf9mp0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2022-03-21T14:46:00Z</dcterms:created>
  <dcterms:modified xsi:type="dcterms:W3CDTF">2022-03-21T14:46:00Z</dcterms:modified>
</cp:coreProperties>
</file>