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1116" w14:textId="78A8427F" w:rsidR="003C2201" w:rsidRDefault="003C2201" w:rsidP="003C2201">
      <w:pPr>
        <w:pStyle w:val="OZNPROJEKTUwskazaniedatylubwersjiprojektu"/>
      </w:pPr>
      <w:r w:rsidRPr="008F1821">
        <w:t xml:space="preserve">Projekt z dnia </w:t>
      </w:r>
      <w:r w:rsidR="00236DED">
        <w:t>23</w:t>
      </w:r>
      <w:r w:rsidR="006C3502">
        <w:t>.02.</w:t>
      </w:r>
      <w:r w:rsidRPr="008F1821">
        <w:t>202</w:t>
      </w:r>
      <w:r w:rsidR="0076099D">
        <w:t>2</w:t>
      </w:r>
      <w:r w:rsidRPr="008F1821">
        <w:t xml:space="preserve"> r.</w:t>
      </w:r>
    </w:p>
    <w:p w14:paraId="49827FA9" w14:textId="4B465F83" w:rsidR="003C2201" w:rsidRDefault="003C2201" w:rsidP="003C2201">
      <w:pPr>
        <w:pStyle w:val="OZNPROJEKTUwskazaniedatylubwersjiprojektu"/>
        <w:rPr>
          <w:rStyle w:val="IGindeksgrny"/>
        </w:rPr>
      </w:pPr>
      <w:r w:rsidRPr="003C2201">
        <w:rPr>
          <w:rStyle w:val="IGindeksgrny"/>
        </w:rPr>
        <w:t xml:space="preserve"> </w:t>
      </w:r>
    </w:p>
    <w:p w14:paraId="4EC4B1A4" w14:textId="628954AE" w:rsidR="00172596" w:rsidRPr="00172596" w:rsidRDefault="00BF624E" w:rsidP="00172596">
      <w:pPr>
        <w:pStyle w:val="OZNRODZAKTUtznustawalubrozporzdzenieiorganwydajcy"/>
      </w:pPr>
      <w:r w:rsidRPr="00BF624E">
        <w:rPr>
          <w:rStyle w:val="IGindeksgrny"/>
          <w:spacing w:val="54"/>
          <w:vertAlign w:val="baseline"/>
        </w:rPr>
        <w:t>ROZPORZĄDZENIE</w:t>
      </w:r>
    </w:p>
    <w:p w14:paraId="3894CCC7" w14:textId="74973B49" w:rsidR="00BF624E" w:rsidRPr="00BF624E" w:rsidRDefault="00BF624E" w:rsidP="00172596">
      <w:pPr>
        <w:pStyle w:val="OZNRODZAKTUtznustawalubrozporzdzenieiorganwydajcy"/>
        <w:rPr>
          <w:rStyle w:val="IGPindeksgrnyipogrubienie"/>
        </w:rPr>
      </w:pPr>
      <w:r w:rsidRPr="00172596">
        <w:rPr>
          <w:rStyle w:val="IGindeksgrny"/>
          <w:spacing w:val="54"/>
          <w:vertAlign w:val="baseline"/>
        </w:rPr>
        <w:t>MINISTRA</w:t>
      </w:r>
      <w:r w:rsidR="00172596" w:rsidRPr="00172596">
        <w:rPr>
          <w:rStyle w:val="IGindeksgrny"/>
          <w:spacing w:val="54"/>
          <w:vertAlign w:val="baseline"/>
        </w:rPr>
        <w:t xml:space="preserve"> klimatu i środowiska</w:t>
      </w:r>
      <w:r w:rsidR="00EC718E">
        <w:rPr>
          <w:rStyle w:val="Odwoanieprzypisudolnego"/>
        </w:rPr>
        <w:footnoteReference w:id="1"/>
      </w:r>
    </w:p>
    <w:p w14:paraId="3F80B52D" w14:textId="5AD057DB" w:rsidR="00BF624E" w:rsidRPr="00BF624E" w:rsidRDefault="00BF624E" w:rsidP="00BF624E">
      <w:pPr>
        <w:pStyle w:val="DATAAKTUdatauchwalenialubwydaniaaktu"/>
      </w:pPr>
      <w:r w:rsidRPr="00BF624E">
        <w:t>z dnia</w:t>
      </w:r>
      <w:r w:rsidR="00172596">
        <w:t>……………..</w:t>
      </w:r>
      <w:r w:rsidRPr="00BF624E">
        <w:t xml:space="preserve"> r.</w:t>
      </w:r>
    </w:p>
    <w:p w14:paraId="5B4EAD3B" w14:textId="68CA46B2" w:rsidR="00BF624E" w:rsidRPr="00ED1BC0" w:rsidRDefault="00BF624E" w:rsidP="00626B8B">
      <w:pPr>
        <w:pStyle w:val="TYTDZPRZEDMprzedmiotregulacjitytuulubdziau"/>
        <w:rPr>
          <w:rFonts w:ascii="Times New Roman" w:hAnsi="Times New Roman"/>
          <w:szCs w:val="24"/>
        </w:rPr>
      </w:pPr>
      <w:r w:rsidRPr="00BF624E">
        <w:t>w sprawie metodyki obliczania emisji gazów cieplarnianych, określenia wskaźników ich emisji oraz wartości</w:t>
      </w:r>
      <w:r w:rsidR="00626B8B">
        <w:t xml:space="preserve"> </w:t>
      </w:r>
      <w:r w:rsidRPr="00BF624E">
        <w:t xml:space="preserve">opałowej dla poszczególnych paliw i wartości energetycznej energii </w:t>
      </w:r>
      <w:r w:rsidRPr="00ED1BC0">
        <w:rPr>
          <w:rFonts w:ascii="Times New Roman" w:hAnsi="Times New Roman"/>
          <w:szCs w:val="24"/>
        </w:rPr>
        <w:t>elektrycznej</w:t>
      </w:r>
      <w:r w:rsidR="00EC718E" w:rsidRPr="00ED1BC0">
        <w:rPr>
          <w:rStyle w:val="Odwoanieprzypisudolnego"/>
          <w:rFonts w:ascii="Times New Roman" w:hAnsi="Times New Roman"/>
          <w:szCs w:val="24"/>
        </w:rPr>
        <w:footnoteReference w:id="2"/>
      </w:r>
    </w:p>
    <w:p w14:paraId="41CDC556" w14:textId="6F1165A3" w:rsidR="00BF624E" w:rsidRPr="00ED1BC0" w:rsidRDefault="00BF624E" w:rsidP="00626B8B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bookmarkStart w:id="0" w:name="_Hlk62551912"/>
      <w:r w:rsidRPr="00ED1BC0">
        <w:rPr>
          <w:rFonts w:ascii="Times New Roman" w:hAnsi="Times New Roman" w:cs="Times New Roman"/>
          <w:szCs w:val="24"/>
        </w:rPr>
        <w:t>Na podstawie</w:t>
      </w:r>
      <w:bookmarkEnd w:id="0"/>
      <w:r w:rsidRPr="00ED1BC0">
        <w:rPr>
          <w:rFonts w:ascii="Times New Roman" w:hAnsi="Times New Roman" w:cs="Times New Roman"/>
          <w:szCs w:val="24"/>
        </w:rPr>
        <w:t xml:space="preserve"> art. 30h ustawy z dnia 25 sierpnia 2006 r. o systemie monitorowania i kontrolowania jakości paliw </w:t>
      </w:r>
      <w:r w:rsidR="00ED1BC0" w:rsidRPr="00ED1BC0">
        <w:rPr>
          <w:rFonts w:ascii="Times New Roman" w:hAnsi="Times New Roman" w:cs="Times New Roman"/>
          <w:szCs w:val="24"/>
        </w:rPr>
        <w:t>(Dz. U. z 2021 r. poz. 133</w:t>
      </w:r>
      <w:r w:rsidR="000E3E22">
        <w:rPr>
          <w:rFonts w:ascii="Times New Roman" w:hAnsi="Times New Roman" w:cs="Times New Roman"/>
          <w:szCs w:val="24"/>
        </w:rPr>
        <w:t>,</w:t>
      </w:r>
      <w:r w:rsidR="0003350B">
        <w:rPr>
          <w:rFonts w:ascii="Times New Roman" w:hAnsi="Times New Roman" w:cs="Times New Roman"/>
          <w:szCs w:val="24"/>
        </w:rPr>
        <w:t xml:space="preserve"> 694, 1093</w:t>
      </w:r>
      <w:r w:rsidR="0044757A">
        <w:rPr>
          <w:rFonts w:ascii="Times New Roman" w:hAnsi="Times New Roman" w:cs="Times New Roman"/>
          <w:szCs w:val="24"/>
        </w:rPr>
        <w:t xml:space="preserve"> i</w:t>
      </w:r>
      <w:r w:rsidR="0003350B">
        <w:rPr>
          <w:rFonts w:ascii="Times New Roman" w:hAnsi="Times New Roman" w:cs="Times New Roman"/>
          <w:szCs w:val="24"/>
        </w:rPr>
        <w:t xml:space="preserve"> 1642</w:t>
      </w:r>
      <w:r w:rsidR="00ED1BC0" w:rsidRPr="00ED1BC0">
        <w:rPr>
          <w:rFonts w:ascii="Times New Roman" w:hAnsi="Times New Roman" w:cs="Times New Roman"/>
          <w:szCs w:val="24"/>
        </w:rPr>
        <w:t xml:space="preserve">) </w:t>
      </w:r>
      <w:r w:rsidRPr="00ED1BC0">
        <w:rPr>
          <w:rFonts w:ascii="Times New Roman" w:hAnsi="Times New Roman" w:cs="Times New Roman"/>
          <w:szCs w:val="24"/>
        </w:rPr>
        <w:t>zarządza się, co następuje:</w:t>
      </w:r>
    </w:p>
    <w:p w14:paraId="0E1846AB" w14:textId="77777777" w:rsidR="00BF624E" w:rsidRPr="008F1821" w:rsidRDefault="00BF624E" w:rsidP="00622E84">
      <w:pPr>
        <w:pStyle w:val="ARTartustawynprozporzdzenia"/>
      </w:pPr>
      <w:r w:rsidRPr="008F1821">
        <w:rPr>
          <w:rStyle w:val="Ppogrubienie"/>
        </w:rPr>
        <w:t>§ 1.</w:t>
      </w:r>
      <w:r w:rsidRPr="008F1821">
        <w:t xml:space="preserve"> Rozporządzenie określa:</w:t>
      </w:r>
    </w:p>
    <w:p w14:paraId="5DFF692F" w14:textId="60F31578" w:rsidR="00BF624E" w:rsidRPr="008F1821" w:rsidRDefault="00BF624E" w:rsidP="00F82A6F">
      <w:pPr>
        <w:pStyle w:val="PKTpunkt"/>
      </w:pPr>
      <w:r w:rsidRPr="008F1821">
        <w:t>1) metodykę obliczania emisji gazów cieplarnianych, w przeliczeniu na jednostkę energii z paliw innych niż biopaliwa</w:t>
      </w:r>
      <w:r w:rsidR="0065599A" w:rsidRPr="008F1821">
        <w:t xml:space="preserve"> </w:t>
      </w:r>
      <w:r w:rsidRPr="008F1821">
        <w:t>ciekłe oraz z energii elektrycznej przez podmioty realizujące Narodowy Cel Redukcyjny;</w:t>
      </w:r>
    </w:p>
    <w:p w14:paraId="2A7325F0" w14:textId="09751188" w:rsidR="00BF624E" w:rsidRPr="008F1821" w:rsidRDefault="00BF624E" w:rsidP="00F82A6F">
      <w:pPr>
        <w:pStyle w:val="PKTpunkt"/>
      </w:pPr>
      <w:r w:rsidRPr="008F1821">
        <w:t>2)</w:t>
      </w:r>
      <w:r w:rsidR="00A17BEB" w:rsidRPr="008F1821">
        <w:t xml:space="preserve"> wskaźnik emisji gazów cieplarnianych dla poszczególnych paliw;</w:t>
      </w:r>
    </w:p>
    <w:p w14:paraId="1E833750" w14:textId="77777777" w:rsidR="00BF624E" w:rsidRPr="008F1821" w:rsidRDefault="00BF624E" w:rsidP="00F82A6F">
      <w:pPr>
        <w:pStyle w:val="PKTpunkt"/>
      </w:pPr>
      <w:r w:rsidRPr="008F1821">
        <w:t>3) emisję gazów cieplarnianych, w przeliczeniu na jednostkę energii z 2010 r.;</w:t>
      </w:r>
    </w:p>
    <w:p w14:paraId="2AEDCAB6" w14:textId="77777777" w:rsidR="00BF624E" w:rsidRPr="00BF624E" w:rsidRDefault="00BF624E" w:rsidP="00F82A6F">
      <w:pPr>
        <w:pStyle w:val="PKTpunkt"/>
      </w:pPr>
      <w:r w:rsidRPr="008F1821">
        <w:t>4) wartość opałową dla poszczególnych paliw oraz wartość energetyczną energii elektrycznej.</w:t>
      </w:r>
    </w:p>
    <w:p w14:paraId="7F866900" w14:textId="77777777" w:rsidR="00BF624E" w:rsidRPr="00622E84" w:rsidRDefault="00BF624E" w:rsidP="00622E84">
      <w:pPr>
        <w:pStyle w:val="ARTartustawynprozporzdzenia"/>
      </w:pPr>
      <w:r w:rsidRPr="00F82A6F">
        <w:rPr>
          <w:rStyle w:val="Ppogrubienie"/>
        </w:rPr>
        <w:t>§ 2.</w:t>
      </w:r>
      <w:r w:rsidRPr="00622E84">
        <w:t xml:space="preserve"> Użyte w rozporządzeniu określenia oznaczają:</w:t>
      </w:r>
    </w:p>
    <w:p w14:paraId="3802B9BC" w14:textId="49986AE0" w:rsidR="00BF624E" w:rsidRPr="00BF624E" w:rsidRDefault="00BF624E" w:rsidP="00F82A6F">
      <w:pPr>
        <w:pStyle w:val="PKTpunkt"/>
      </w:pPr>
      <w:r w:rsidRPr="00BF624E">
        <w:t>1) emisja gazów cieplarnianych w segmencie wydobywczym – wprowadzenie do powietrza gazów cieplarnianych następujące</w:t>
      </w:r>
      <w:r w:rsidR="0065599A">
        <w:t xml:space="preserve"> </w:t>
      </w:r>
      <w:r w:rsidRPr="00BF624E">
        <w:t>przed wprowadzeniem surowca do rafinerii lub zakładu przetwórczego, w których wyprodukowano paliwa</w:t>
      </w:r>
      <w:r w:rsidR="0065599A">
        <w:t xml:space="preserve"> </w:t>
      </w:r>
      <w:r w:rsidRPr="00BF624E">
        <w:t>wymienione w tabeli 1 załącznika do rozporządzenia;</w:t>
      </w:r>
    </w:p>
    <w:p w14:paraId="5B9C3EBB" w14:textId="77777777" w:rsidR="00BF624E" w:rsidRPr="00BF624E" w:rsidRDefault="00BF624E" w:rsidP="00F82A6F">
      <w:pPr>
        <w:pStyle w:val="PKTpunkt"/>
      </w:pPr>
      <w:r w:rsidRPr="00BF624E">
        <w:t>2) bitum naturalny – każde źródło surowca:</w:t>
      </w:r>
    </w:p>
    <w:p w14:paraId="141F792F" w14:textId="2FC23FDF" w:rsidR="00BF624E" w:rsidRPr="00BF624E" w:rsidRDefault="00A17BEB" w:rsidP="00F82A6F">
      <w:pPr>
        <w:pStyle w:val="LITlitera"/>
      </w:pPr>
      <w:r w:rsidRPr="00A17BEB">
        <w:lastRenderedPageBreak/>
        <w:t xml:space="preserve">a) którego gęstość w złożu w miejscu wydobycia mierzona w stopniach </w:t>
      </w:r>
      <w:r w:rsidR="00B8181A">
        <w:t xml:space="preserve">Amerykańskiego Instytutu Naftowego (dalej: </w:t>
      </w:r>
      <w:r w:rsidRPr="00A17BEB">
        <w:t>API</w:t>
      </w:r>
      <w:r w:rsidR="00B8181A">
        <w:t>)</w:t>
      </w:r>
      <w:r w:rsidRPr="00A17BEB">
        <w:t xml:space="preserve">, zgodnie z metodą badawczą </w:t>
      </w:r>
      <w:r w:rsidR="00B8181A" w:rsidRPr="00B8181A">
        <w:t>Amerykańskiego Stowarzyszenia Badań i Materiałów</w:t>
      </w:r>
      <w:r w:rsidR="00B8181A">
        <w:t xml:space="preserve"> (dalej: </w:t>
      </w:r>
      <w:r w:rsidRPr="00A17BEB">
        <w:t>ASTM</w:t>
      </w:r>
      <w:r w:rsidR="00B8181A">
        <w:t>)</w:t>
      </w:r>
      <w:r w:rsidRPr="00A17BEB">
        <w:t xml:space="preserve"> D287, wynosi nie więcej niż 10 stopni,</w:t>
      </w:r>
    </w:p>
    <w:p w14:paraId="2E95C505" w14:textId="2F1A6862" w:rsidR="00BF624E" w:rsidRPr="00BF624E" w:rsidRDefault="00BF624E" w:rsidP="00F82A6F">
      <w:pPr>
        <w:pStyle w:val="LITlitera"/>
      </w:pPr>
      <w:r w:rsidRPr="00BF624E">
        <w:t xml:space="preserve">b) którego roczna średnia lepkość w temperaturze złoża w miejscu wydobycia wyrażona w </w:t>
      </w:r>
      <w:proofErr w:type="spellStart"/>
      <w:r w:rsidRPr="00BF624E">
        <w:t>centypuazach</w:t>
      </w:r>
      <w:proofErr w:type="spellEnd"/>
      <w:r w:rsidRPr="00BF624E">
        <w:t xml:space="preserve"> [</w:t>
      </w:r>
      <w:proofErr w:type="spellStart"/>
      <w:r w:rsidRPr="00BF624E">
        <w:t>cP</w:t>
      </w:r>
      <w:proofErr w:type="spellEnd"/>
      <w:r w:rsidRPr="00BF624E">
        <w:t>] jest</w:t>
      </w:r>
      <w:r w:rsidR="00EA4C5C">
        <w:t xml:space="preserve"> </w:t>
      </w:r>
      <w:r w:rsidRPr="00BF624E">
        <w:t>większa niż lepkość obliczona na podstawie wzoru:</w:t>
      </w:r>
    </w:p>
    <w:p w14:paraId="42B40CFC" w14:textId="77777777" w:rsidR="00BF624E" w:rsidRPr="00BF624E" w:rsidRDefault="00BF624E" w:rsidP="00F82A6F">
      <w:pPr>
        <w:pStyle w:val="WMATFIZCHEMwzrmatfizlubchem"/>
      </w:pPr>
      <w:proofErr w:type="spellStart"/>
      <w:r w:rsidRPr="00BF624E">
        <w:t>Lp</w:t>
      </w:r>
      <w:proofErr w:type="spellEnd"/>
      <w:r w:rsidRPr="00BF624E">
        <w:t xml:space="preserve"> = 518,98</w:t>
      </w:r>
      <w:r w:rsidRPr="00332D99">
        <w:rPr>
          <w:rStyle w:val="IGindeksgrny"/>
        </w:rPr>
        <w:t>e-0,038T</w:t>
      </w:r>
      <w:r w:rsidRPr="00BF624E">
        <w:t>,</w:t>
      </w:r>
    </w:p>
    <w:p w14:paraId="1062F3EB" w14:textId="77777777" w:rsidR="00BF624E" w:rsidRPr="00BF624E" w:rsidRDefault="00BF624E" w:rsidP="008F7122">
      <w:pPr>
        <w:pStyle w:val="CZWSPTIRczwsplnatiret"/>
      </w:pPr>
      <w:r w:rsidRPr="00BF624E">
        <w:t>gdzie poszczególne symbole oznaczają:</w:t>
      </w:r>
    </w:p>
    <w:p w14:paraId="3F344614" w14:textId="77777777" w:rsidR="00BF624E" w:rsidRPr="00BF624E" w:rsidRDefault="00BF624E" w:rsidP="008F7122">
      <w:pPr>
        <w:pStyle w:val="CZWSPTIRczwsplnatiret"/>
      </w:pPr>
      <w:proofErr w:type="spellStart"/>
      <w:r w:rsidRPr="00BF624E">
        <w:t>Lp</w:t>
      </w:r>
      <w:proofErr w:type="spellEnd"/>
      <w:r w:rsidRPr="00BF624E">
        <w:t xml:space="preserve"> – lepkość w temperaturze złoża w miejscu wydobycia wyrażoną w </w:t>
      </w:r>
      <w:proofErr w:type="spellStart"/>
      <w:r w:rsidRPr="00BF624E">
        <w:t>centypuazach</w:t>
      </w:r>
      <w:proofErr w:type="spellEnd"/>
      <w:r w:rsidRPr="00BF624E">
        <w:t xml:space="preserve"> [</w:t>
      </w:r>
      <w:proofErr w:type="spellStart"/>
      <w:r w:rsidRPr="00BF624E">
        <w:t>cP</w:t>
      </w:r>
      <w:proofErr w:type="spellEnd"/>
      <w:r w:rsidRPr="00BF624E">
        <w:t>],</w:t>
      </w:r>
    </w:p>
    <w:p w14:paraId="53714096" w14:textId="77777777" w:rsidR="00BF624E" w:rsidRPr="00BF624E" w:rsidRDefault="00BF624E" w:rsidP="008F7122">
      <w:pPr>
        <w:pStyle w:val="CZWSPTIRczwsplnatiret"/>
      </w:pPr>
      <w:r w:rsidRPr="00BF624E">
        <w:t>e – stałą matematyczną wynoszącą 2,7183 (liczba Eulera),</w:t>
      </w:r>
    </w:p>
    <w:p w14:paraId="3AC793BC" w14:textId="77777777" w:rsidR="00BF624E" w:rsidRPr="00BF624E" w:rsidRDefault="00BF624E" w:rsidP="008F7122">
      <w:pPr>
        <w:pStyle w:val="CZWSPTIRczwsplnatiret"/>
      </w:pPr>
      <w:r w:rsidRPr="00BF624E">
        <w:t>T – temperaturę wyrażoną w stopniach Celsjusza [</w:t>
      </w:r>
      <w:proofErr w:type="spellStart"/>
      <w:r w:rsidRPr="00332D99">
        <w:rPr>
          <w:rStyle w:val="IGindeksgrny"/>
        </w:rPr>
        <w:t>o</w:t>
      </w:r>
      <w:r w:rsidRPr="00BF624E">
        <w:t>C</w:t>
      </w:r>
      <w:proofErr w:type="spellEnd"/>
      <w:r w:rsidRPr="00BF624E">
        <w:t>],</w:t>
      </w:r>
    </w:p>
    <w:p w14:paraId="157B5397" w14:textId="77777777" w:rsidR="00BF624E" w:rsidRPr="00BF624E" w:rsidRDefault="00BF624E" w:rsidP="00F82A6F">
      <w:pPr>
        <w:pStyle w:val="LITlitera"/>
      </w:pPr>
      <w:r w:rsidRPr="00BF624E">
        <w:t>c) będące piaskiem bitumicznym objętym kodem CN 2714 oraz</w:t>
      </w:r>
    </w:p>
    <w:p w14:paraId="0BA207A4" w14:textId="232336B1" w:rsidR="00BF624E" w:rsidRPr="00BF624E" w:rsidRDefault="00BF624E" w:rsidP="00F82A6F">
      <w:pPr>
        <w:pStyle w:val="LITlitera"/>
      </w:pPr>
      <w:r w:rsidRPr="00BF624E">
        <w:t>d) którego wydobycie odbywa się przy użyciu technik wydobycia górniczego lub termicznych metod intensyfikacji</w:t>
      </w:r>
      <w:r w:rsidR="00EA4C5C">
        <w:t xml:space="preserve"> </w:t>
      </w:r>
      <w:r w:rsidRPr="00BF624E">
        <w:t>wydobycia, w których energia cieplna pochodzi głównie z innych źródeł niż samo źródło surowca;</w:t>
      </w:r>
    </w:p>
    <w:p w14:paraId="7632B420" w14:textId="46C24BA7" w:rsidR="00BF624E" w:rsidRPr="00BF624E" w:rsidRDefault="00BF624E" w:rsidP="00F82A6F">
      <w:pPr>
        <w:pStyle w:val="PKTpunkt"/>
      </w:pPr>
      <w:r w:rsidRPr="00BF624E">
        <w:t xml:space="preserve">3) łupek naftowy – źródło surowca objętego kodem CN 2714, znajdujące się w formacji skalnej, zawierające </w:t>
      </w:r>
      <w:proofErr w:type="spellStart"/>
      <w:r w:rsidRPr="00BF624E">
        <w:t>kerogen</w:t>
      </w:r>
      <w:proofErr w:type="spellEnd"/>
      <w:r w:rsidR="00C3729B">
        <w:t xml:space="preserve"> </w:t>
      </w:r>
      <w:r w:rsidRPr="00BF624E">
        <w:t>w formie stałej;</w:t>
      </w:r>
    </w:p>
    <w:p w14:paraId="3A9B3374" w14:textId="25CE91B5" w:rsidR="00A17BEB" w:rsidRDefault="00BF624E" w:rsidP="00F82A6F">
      <w:pPr>
        <w:pStyle w:val="PKTpunkt"/>
      </w:pPr>
      <w:r w:rsidRPr="00BF624E">
        <w:t xml:space="preserve">4) </w:t>
      </w:r>
      <w:r w:rsidR="00A17BEB">
        <w:t>ropa naftowa konwencjonalna - rop</w:t>
      </w:r>
      <w:r w:rsidR="009C617C">
        <w:t>ę</w:t>
      </w:r>
      <w:r w:rsidR="00A17BEB">
        <w:t xml:space="preserve"> naftow</w:t>
      </w:r>
      <w:r w:rsidR="009C617C">
        <w:t>ą</w:t>
      </w:r>
      <w:r w:rsidR="00A17BEB">
        <w:t>, której gęstość mierzona w stopniach API, zgodnie z metodą badawczą ASTM D287, jest większa niż 10 stopni, gdy znajduje się w złożu w miejscu wydobycia, i która nie jest surowcem objętym kodem CN 2714</w:t>
      </w:r>
      <w:r w:rsidR="00857284">
        <w:t>;</w:t>
      </w:r>
    </w:p>
    <w:p w14:paraId="00B89224" w14:textId="2023768B" w:rsidR="00857284" w:rsidRPr="00BF624E" w:rsidRDefault="00857284" w:rsidP="00F82A6F">
      <w:pPr>
        <w:pStyle w:val="PKTpunkt"/>
      </w:pPr>
      <w:r>
        <w:t xml:space="preserve">5) kryteria </w:t>
      </w:r>
      <w:r w:rsidRPr="004001C9">
        <w:t>zrównoważonego rozwoju – kryteria w rozumieniu art. 28b-28bc ustawy z dnia 25 sierpnia 2006 r. o biokomponentach i biopaliwach ciekłych.</w:t>
      </w:r>
    </w:p>
    <w:p w14:paraId="25D10737" w14:textId="4B5A1883" w:rsidR="00BF624E" w:rsidRDefault="00BF624E" w:rsidP="00C3729B">
      <w:pPr>
        <w:pStyle w:val="ARTartustawynprozporzdzenia"/>
      </w:pPr>
      <w:r w:rsidRPr="00F82A6F">
        <w:rPr>
          <w:rStyle w:val="Ppogrubienie"/>
        </w:rPr>
        <w:t>§ 3.</w:t>
      </w:r>
      <w:r w:rsidRPr="00C3729B">
        <w:t xml:space="preserve"> 1. Emisję gazów cieplarnianych, w przeliczeniu na jednostkę energii z paliw innych niż biopaliwa ciekłe oraz</w:t>
      </w:r>
      <w:r w:rsidR="00C3729B">
        <w:t xml:space="preserve"> </w:t>
      </w:r>
      <w:r w:rsidRPr="00C3729B">
        <w:t>z energii elektrycznej, oblicza się według wzoru:</w:t>
      </w:r>
    </w:p>
    <w:p w14:paraId="08D8A2C8" w14:textId="7CBA981D" w:rsidR="00E23671" w:rsidRPr="00F82A6F" w:rsidRDefault="00E23671" w:rsidP="0058207A">
      <w:pPr>
        <w:pStyle w:val="WMATFIZCHEMwzrmatfizlubchem"/>
        <w:rPr>
          <w:lang w:val="nl-NL"/>
        </w:rPr>
      </w:pPr>
      <w:r w:rsidRPr="00F82A6F">
        <w:rPr>
          <w:lang w:val="nl-NL"/>
        </w:rPr>
        <w:t>E</w:t>
      </w:r>
      <w:r w:rsidRPr="00F82A6F">
        <w:rPr>
          <w:rStyle w:val="IDindeksdolny"/>
          <w:lang w:val="nl-NL"/>
        </w:rPr>
        <w:t>GHG</w:t>
      </w:r>
      <w:r w:rsidR="00094197" w:rsidRPr="008E4C34">
        <w:rPr>
          <w:rStyle w:val="IDindeksdolny"/>
          <w:lang w:val="en-GB"/>
        </w:rPr>
        <w:t xml:space="preserve"> </w:t>
      </w:r>
      <w:r w:rsidRPr="00F82A6F">
        <w:rPr>
          <w:lang w:val="nl-NL"/>
        </w:rPr>
        <w:t>=</w:t>
      </w:r>
      <w:r w:rsidR="00094197" w:rsidRPr="008E4C34">
        <w:rPr>
          <w:lang w:val="en-GB"/>
        </w:rPr>
        <w:t xml:space="preserve"> </w:t>
      </w:r>
      <w:bookmarkStart w:id="1" w:name="_Hlk62639936"/>
      <w:r>
        <w:sym w:font="Symbol" w:char="F053"/>
      </w:r>
      <w:r w:rsidRPr="00F82A6F">
        <w:rPr>
          <w:rStyle w:val="IDindeksdolny"/>
          <w:lang w:val="nl-NL"/>
        </w:rPr>
        <w:t>n</w:t>
      </w:r>
      <w:r w:rsidRPr="00F82A6F">
        <w:rPr>
          <w:lang w:val="nl-NL"/>
        </w:rPr>
        <w:t>(GHGi</w:t>
      </w:r>
      <w:r w:rsidRPr="00F82A6F">
        <w:rPr>
          <w:rStyle w:val="IDindeksdolny"/>
          <w:lang w:val="nl-NL"/>
        </w:rPr>
        <w:t>n</w:t>
      </w:r>
      <w:r w:rsidRPr="00F82A6F">
        <w:rPr>
          <w:lang w:val="nl-NL"/>
        </w:rPr>
        <w:t xml:space="preserve"> x AF x CE</w:t>
      </w:r>
      <w:r w:rsidRPr="00F82A6F">
        <w:rPr>
          <w:rStyle w:val="IDindeksdolny"/>
          <w:lang w:val="nl-NL"/>
        </w:rPr>
        <w:t>n</w:t>
      </w:r>
      <w:r w:rsidRPr="00F82A6F">
        <w:rPr>
          <w:lang w:val="nl-NL"/>
        </w:rPr>
        <w:t>)-UER</w:t>
      </w:r>
      <w:bookmarkEnd w:id="1"/>
      <w:r w:rsidRPr="00F82A6F">
        <w:rPr>
          <w:lang w:val="nl-NL"/>
        </w:rPr>
        <w:t>/</w:t>
      </w:r>
      <w:r>
        <w:sym w:font="Symbol" w:char="F053"/>
      </w:r>
      <w:r w:rsidRPr="00F82A6F">
        <w:rPr>
          <w:rStyle w:val="IDindeksdolny"/>
          <w:lang w:val="nl-NL"/>
        </w:rPr>
        <w:t>n</w:t>
      </w:r>
      <w:r w:rsidRPr="00F82A6F">
        <w:rPr>
          <w:lang w:val="nl-NL"/>
        </w:rPr>
        <w:t>CE</w:t>
      </w:r>
      <w:r w:rsidRPr="00F82A6F">
        <w:rPr>
          <w:rStyle w:val="IDindeksdolny"/>
          <w:lang w:val="nl-NL"/>
        </w:rPr>
        <w:t>n</w:t>
      </w:r>
      <w:r w:rsidRPr="00F82A6F">
        <w:rPr>
          <w:lang w:val="nl-NL"/>
        </w:rPr>
        <w:t>,</w:t>
      </w:r>
    </w:p>
    <w:p w14:paraId="167A4FED" w14:textId="77777777" w:rsidR="00094197" w:rsidRPr="008E4C34" w:rsidRDefault="00094197" w:rsidP="00F82A6F">
      <w:pPr>
        <w:pStyle w:val="LEGWMATFIZCHEMlegendawzorumatfizlubchem"/>
        <w:rPr>
          <w:lang w:val="en-GB"/>
        </w:rPr>
      </w:pPr>
    </w:p>
    <w:p w14:paraId="3CD787E0" w14:textId="48BDBB44" w:rsidR="00BF624E" w:rsidRPr="00EA4C5C" w:rsidRDefault="00BF624E" w:rsidP="00F82A6F">
      <w:pPr>
        <w:pStyle w:val="LEGWMATFIZCHEMlegendawzorumatfizlubchem"/>
      </w:pPr>
      <w:r w:rsidRPr="00EA4C5C">
        <w:t>gdzie poszczególne symbole oznaczają:</w:t>
      </w:r>
    </w:p>
    <w:p w14:paraId="33847850" w14:textId="77777777" w:rsidR="00BF624E" w:rsidRPr="00EA4C5C" w:rsidRDefault="00BF624E" w:rsidP="00F82A6F">
      <w:pPr>
        <w:pStyle w:val="LEGWMATFIZCHEMlegendawzorumatfizlubchem"/>
      </w:pPr>
      <w:r w:rsidRPr="00EA4C5C">
        <w:t>E</w:t>
      </w:r>
      <w:r w:rsidRPr="00F82A6F">
        <w:rPr>
          <w:rStyle w:val="IDindeksdolny"/>
        </w:rPr>
        <w:t>GHG</w:t>
      </w:r>
      <w:r w:rsidRPr="00EA4C5C">
        <w:t xml:space="preserve"> – emisję gazów cieplarnianych przez podmiot realizujący Narodowy Cel Redukcyjny [gCO</w:t>
      </w:r>
      <w:r w:rsidRPr="00F82A6F">
        <w:rPr>
          <w:rStyle w:val="IDindeksdolny"/>
        </w:rPr>
        <w:t>2eq</w:t>
      </w:r>
      <w:r w:rsidRPr="00EA4C5C">
        <w:t>/MJ],</w:t>
      </w:r>
    </w:p>
    <w:p w14:paraId="7C08757E" w14:textId="77777777" w:rsidR="00BF624E" w:rsidRPr="00EA4C5C" w:rsidRDefault="00BF624E" w:rsidP="00F82A6F">
      <w:pPr>
        <w:pStyle w:val="LEGWMATFIZCHEMlegendawzorumatfizlubchem"/>
      </w:pPr>
      <w:r w:rsidRPr="00EA4C5C">
        <w:t>n – rodzaj paliwa oznaczonego kodem CN albo energię elektryczną,</w:t>
      </w:r>
    </w:p>
    <w:p w14:paraId="6B905A35" w14:textId="77777777" w:rsidR="00BF624E" w:rsidRPr="00EA4C5C" w:rsidRDefault="00BF624E" w:rsidP="00F82A6F">
      <w:pPr>
        <w:pStyle w:val="LEGWMATFIZCHEMlegendawzorumatfizlubchem"/>
      </w:pPr>
      <w:proofErr w:type="spellStart"/>
      <w:r w:rsidRPr="00EA4C5C">
        <w:t>GHGi</w:t>
      </w:r>
      <w:proofErr w:type="spellEnd"/>
      <w:r w:rsidRPr="00EA4C5C">
        <w:t xml:space="preserve"> – </w:t>
      </w:r>
      <w:bookmarkStart w:id="2" w:name="_Hlk88833831"/>
      <w:r w:rsidRPr="00EA4C5C">
        <w:t>wskaźnik emisji gazów cieplarnianych [gCO</w:t>
      </w:r>
      <w:r w:rsidRPr="00F82A6F">
        <w:rPr>
          <w:rStyle w:val="IDindeksdolny"/>
        </w:rPr>
        <w:t>2eq</w:t>
      </w:r>
      <w:r w:rsidRPr="00EA4C5C">
        <w:t>/MJ],</w:t>
      </w:r>
      <w:bookmarkEnd w:id="2"/>
    </w:p>
    <w:p w14:paraId="1BE191C7" w14:textId="77777777" w:rsidR="00BF624E" w:rsidRPr="00EA4C5C" w:rsidRDefault="00BF624E" w:rsidP="00F82A6F">
      <w:pPr>
        <w:pStyle w:val="LEGWMATFIZCHEMlegendawzorumatfizlubchem"/>
      </w:pPr>
      <w:r w:rsidRPr="00EA4C5C">
        <w:t>AF – współczynnik korygujący określony w tabeli 2 załącznika do rozporządzenia,</w:t>
      </w:r>
    </w:p>
    <w:p w14:paraId="37A22FC6" w14:textId="77777777" w:rsidR="00BF624E" w:rsidRPr="00EA4C5C" w:rsidRDefault="00BF624E" w:rsidP="00F82A6F">
      <w:pPr>
        <w:pStyle w:val="LEGWMATFIZCHEMlegendawzorumatfizlubchem"/>
      </w:pPr>
      <w:r w:rsidRPr="00EA4C5C">
        <w:lastRenderedPageBreak/>
        <w:t>CE – całkowitą energię dostarczoną z paliwa lub z energii elektrycznej [MJ],</w:t>
      </w:r>
    </w:p>
    <w:p w14:paraId="640F8669" w14:textId="25F9F9A7" w:rsidR="00BF624E" w:rsidRPr="00EA4C5C" w:rsidRDefault="00BF624E" w:rsidP="00F82A6F">
      <w:pPr>
        <w:pStyle w:val="LEGWMATFIZCHEMlegendawzorumatfizlubchem"/>
      </w:pPr>
      <w:r w:rsidRPr="00EA4C5C">
        <w:t>UER – wartość redukcji emisji gazów cieplarnianych w segmencie wydobywczym [gCO</w:t>
      </w:r>
      <w:r w:rsidRPr="00F82A6F">
        <w:rPr>
          <w:rStyle w:val="IDindeksdolny"/>
        </w:rPr>
        <w:t>2eq</w:t>
      </w:r>
      <w:r w:rsidRPr="00EA4C5C">
        <w:t>].</w:t>
      </w:r>
    </w:p>
    <w:p w14:paraId="34749957" w14:textId="7670FA10" w:rsidR="00BF624E" w:rsidRPr="00BF624E" w:rsidRDefault="00BF624E" w:rsidP="00F82A6F">
      <w:pPr>
        <w:pStyle w:val="USTustnpkodeksu"/>
      </w:pPr>
      <w:r w:rsidRPr="00BF624E">
        <w:t>2. Całkowitą energię dostarczoną z paliwa stanowi iloczyn ilości paliwa wyrażony w litrach [l] i wartości opałowej</w:t>
      </w:r>
      <w:r w:rsidR="00C3729B">
        <w:t xml:space="preserve"> </w:t>
      </w:r>
      <w:r w:rsidRPr="00BF624E">
        <w:t>wyrażonej w megadżulach na litr paliwa [MJ/l].</w:t>
      </w:r>
    </w:p>
    <w:p w14:paraId="2CFBDD62" w14:textId="7C9610E0" w:rsidR="00BF624E" w:rsidRDefault="00BF624E" w:rsidP="00F82A6F">
      <w:pPr>
        <w:pStyle w:val="USTustnpkodeksu"/>
      </w:pPr>
      <w:r w:rsidRPr="00BF624E">
        <w:t xml:space="preserve">3. W przypadku przerobu ropy naftowej z biokomponentem, z wyjątkiem </w:t>
      </w:r>
      <w:proofErr w:type="spellStart"/>
      <w:r w:rsidRPr="00BF624E">
        <w:t>skażalników</w:t>
      </w:r>
      <w:proofErr w:type="spellEnd"/>
      <w:r w:rsidRPr="00BF624E">
        <w:t>, całkowitą energię dostarczoną</w:t>
      </w:r>
      <w:r w:rsidR="00FB0954">
        <w:t xml:space="preserve"> </w:t>
      </w:r>
      <w:r w:rsidRPr="00BF624E">
        <w:t>z paliwa ustala się, uwzględniając stan biokomponentu po przetworzeniu. Ilość paliwa ustala się zgodnie z bilansem energetycznym</w:t>
      </w:r>
      <w:r w:rsidR="00FB0954">
        <w:t xml:space="preserve"> </w:t>
      </w:r>
      <w:r w:rsidRPr="00BF624E">
        <w:t xml:space="preserve">i wydajnością procesu wspólnego przetwarzania, zgodnie z pkt II.3 </w:t>
      </w:r>
      <w:proofErr w:type="spellStart"/>
      <w:r w:rsidRPr="00BF624E">
        <w:t>ppkt</w:t>
      </w:r>
      <w:proofErr w:type="spellEnd"/>
      <w:r w:rsidRPr="00BF624E">
        <w:t xml:space="preserve"> 15 załącznika </w:t>
      </w:r>
      <w:r w:rsidR="00E817AA">
        <w:t xml:space="preserve">nr 2 </w:t>
      </w:r>
      <w:r w:rsidRPr="00BF624E">
        <w:t>do ustawy z dnia 25 sierpnia</w:t>
      </w:r>
      <w:r w:rsidR="00A17BEB">
        <w:t xml:space="preserve"> </w:t>
      </w:r>
      <w:r w:rsidRPr="00BF624E">
        <w:t>2006 r. o biokomponentach i biopaliwach ciekłych (</w:t>
      </w:r>
      <w:r w:rsidR="00DC32E5" w:rsidRPr="00F82A6F">
        <w:t xml:space="preserve">Dz. U. z </w:t>
      </w:r>
      <w:r w:rsidR="003F0EC5">
        <w:t>2021 poz. 1355 i 1642</w:t>
      </w:r>
      <w:r w:rsidRPr="00BF624E">
        <w:t>).</w:t>
      </w:r>
    </w:p>
    <w:p w14:paraId="34368305" w14:textId="365C94C0" w:rsidR="00A17BEB" w:rsidRPr="00BF624E" w:rsidRDefault="00AE629F" w:rsidP="00F82A6F">
      <w:pPr>
        <w:pStyle w:val="USTustnpkodeksu"/>
      </w:pPr>
      <w:r>
        <w:t>4</w:t>
      </w:r>
      <w:r w:rsidR="00A17BEB" w:rsidRPr="009F5BD2">
        <w:t>.</w:t>
      </w:r>
      <w:r w:rsidR="00A17BEB">
        <w:t xml:space="preserve"> Przerób, o którym mowa w ust. 3, obejmuje wszelkie modyfikacje dokonywane podczas cyklu życia dostarczonego paliwa lub dostarczonej energii, powodujące zmianę w strukturze molekularnej produktu.</w:t>
      </w:r>
    </w:p>
    <w:p w14:paraId="5568D630" w14:textId="7F099789" w:rsidR="00BF624E" w:rsidRDefault="00AE629F" w:rsidP="00F82A6F">
      <w:pPr>
        <w:pStyle w:val="USTustnpkodeksu"/>
      </w:pPr>
      <w:r>
        <w:t>5</w:t>
      </w:r>
      <w:r w:rsidR="00BF624E" w:rsidRPr="00BF624E">
        <w:t xml:space="preserve">. W obliczeniach, o których mowa w ust. </w:t>
      </w:r>
      <w:r>
        <w:t>2</w:t>
      </w:r>
      <w:r w:rsidR="00BF624E" w:rsidRPr="00BF624E">
        <w:t xml:space="preserve"> i 3, uwzględnia się ilość i rodzaj każdego biokomponentu.</w:t>
      </w:r>
    </w:p>
    <w:p w14:paraId="0B5F7D63" w14:textId="711313F9" w:rsidR="00FB7406" w:rsidRPr="00BF624E" w:rsidRDefault="00AE629F" w:rsidP="00F82A6F">
      <w:pPr>
        <w:pStyle w:val="USTustnpkodeksu"/>
      </w:pPr>
      <w:r>
        <w:t>6</w:t>
      </w:r>
      <w:r w:rsidR="00FB7406" w:rsidRPr="00FB7406">
        <w:t>. W przypadku przerobu ropy naftowej z biokomponentem, który nie spełnia kryteriów zrównoważonego rozwoju, ilość dostarczonego biokomponentu liczy się jako paliwo</w:t>
      </w:r>
      <w:r w:rsidR="00AE28F2">
        <w:t>,</w:t>
      </w:r>
      <w:r w:rsidR="00FB7406" w:rsidRPr="00FB7406">
        <w:t xml:space="preserve"> z którym biokomponent był przerabiany</w:t>
      </w:r>
      <w:r w:rsidR="00FB0954">
        <w:t>.</w:t>
      </w:r>
    </w:p>
    <w:p w14:paraId="098EE322" w14:textId="241257B0" w:rsidR="00BF624E" w:rsidRPr="00BF624E" w:rsidRDefault="00AE629F" w:rsidP="00273CF6">
      <w:pPr>
        <w:pStyle w:val="USTustnpkodeksu"/>
      </w:pPr>
      <w:r>
        <w:t>7</w:t>
      </w:r>
      <w:r w:rsidR="00BF624E" w:rsidRPr="00BF624E">
        <w:t xml:space="preserve">. Całkowitą energię dostarczoną z energii elektrycznej </w:t>
      </w:r>
      <w:r w:rsidR="001B046C">
        <w:t xml:space="preserve">stanowi iloczyn </w:t>
      </w:r>
      <w:r w:rsidR="005352BB">
        <w:t>iloś</w:t>
      </w:r>
      <w:r w:rsidR="00273CF6">
        <w:t>ci</w:t>
      </w:r>
      <w:r w:rsidR="005352BB">
        <w:t xml:space="preserve"> energii elektrycznej zużytej w pojazdach samochodowych, których ładowanie nastąpiło na ogólnodostępnych stacjach ładowania, o których mowa w art. 2 pkt 6 ustawy z dnia 11 stycznia 2018 r. o </w:t>
      </w:r>
      <w:proofErr w:type="spellStart"/>
      <w:r w:rsidR="005352BB">
        <w:t>elektromobilności</w:t>
      </w:r>
      <w:proofErr w:type="spellEnd"/>
      <w:r w:rsidR="005352BB">
        <w:t xml:space="preserve"> i paliwach alternatywnych (</w:t>
      </w:r>
      <w:r w:rsidR="00AE28F2" w:rsidRPr="00F82A6F">
        <w:rPr>
          <w:rFonts w:ascii="Times New Roman" w:hAnsi="Times New Roman"/>
        </w:rPr>
        <w:t>Dz. U. z 202</w:t>
      </w:r>
      <w:r w:rsidR="00094197">
        <w:t>1</w:t>
      </w:r>
      <w:r w:rsidR="00AE28F2" w:rsidRPr="00F82A6F">
        <w:rPr>
          <w:rFonts w:ascii="Times New Roman" w:hAnsi="Times New Roman"/>
        </w:rPr>
        <w:t xml:space="preserve"> r. poz. </w:t>
      </w:r>
      <w:r w:rsidR="00094197">
        <w:t>110</w:t>
      </w:r>
      <w:r w:rsidR="00FE1DC5" w:rsidRPr="00FE1DC5">
        <w:t>, 1093</w:t>
      </w:r>
      <w:r w:rsidR="003F0EC5">
        <w:t xml:space="preserve"> i</w:t>
      </w:r>
      <w:r w:rsidR="00FE1DC5" w:rsidRPr="00FE1DC5">
        <w:t xml:space="preserve"> 2269</w:t>
      </w:r>
      <w:r w:rsidR="005352BB">
        <w:t>)</w:t>
      </w:r>
      <w:r w:rsidR="001B046C">
        <w:t>, wyrażonej w kilowatogodzinach [kWh] i wartości energetycznej energii elektrycznej wyrażonej w megadżulach na kilowatogodzinę [MJ/kWh]</w:t>
      </w:r>
      <w:r w:rsidR="005352BB" w:rsidRPr="00BF6BEC">
        <w:t>.</w:t>
      </w:r>
    </w:p>
    <w:p w14:paraId="47B8D4F1" w14:textId="06A4E84E" w:rsidR="00BF624E" w:rsidRPr="00BF624E" w:rsidRDefault="00417147" w:rsidP="00F82A6F">
      <w:pPr>
        <w:pStyle w:val="USTustnpkodeksu"/>
      </w:pPr>
      <w:r>
        <w:t>8</w:t>
      </w:r>
      <w:r w:rsidR="00BF624E" w:rsidRPr="00BF624E">
        <w:t>. Wartość redukcji emisji gazów cieplarnianych w segmencie wydobywczym (UER) uwzględnia się w obliczeniach</w:t>
      </w:r>
      <w:r w:rsidR="00FB0954">
        <w:t xml:space="preserve"> </w:t>
      </w:r>
      <w:r w:rsidR="00BF624E" w:rsidRPr="00BF624E">
        <w:t>emisji gazów cieplarnianych w przeliczeniu na jednostkę energii z paliw wymienionych w tabeli 1 w pkt 1–12 załącznika do</w:t>
      </w:r>
      <w:r w:rsidR="00FB0954">
        <w:t xml:space="preserve"> </w:t>
      </w:r>
      <w:r w:rsidR="00BF624E" w:rsidRPr="00BF624E">
        <w:t>rozporządzenia.</w:t>
      </w:r>
    </w:p>
    <w:p w14:paraId="30F45762" w14:textId="700C821D" w:rsidR="00BF624E" w:rsidRPr="00BF624E" w:rsidRDefault="00417147" w:rsidP="00F82A6F">
      <w:pPr>
        <w:pStyle w:val="USTustnpkodeksu"/>
      </w:pPr>
      <w:r>
        <w:t>9</w:t>
      </w:r>
      <w:r w:rsidR="00BF624E" w:rsidRPr="00BF624E">
        <w:t>. W obliczeniach emisji gazów cieplarnianych pochodzących z paliw oraz energii elektrycznej uwzględnia się wyłącznie</w:t>
      </w:r>
      <w:r w:rsidR="00FB0954">
        <w:t xml:space="preserve"> </w:t>
      </w:r>
      <w:r w:rsidR="00BF624E" w:rsidRPr="00BF624E">
        <w:t>wartość redukcji emisji gazów cieplarnianych w segmencie wydobywczym (UER) dla projektów redukcji emisji gazów</w:t>
      </w:r>
      <w:r w:rsidR="00FB0954">
        <w:t xml:space="preserve"> </w:t>
      </w:r>
      <w:r w:rsidR="00BF624E" w:rsidRPr="00BF624E">
        <w:t>cieplarnianych, które rozpoczęły się po dniu 1 stycznia 2011 r.:</w:t>
      </w:r>
    </w:p>
    <w:p w14:paraId="4682407E" w14:textId="6CF35C62" w:rsidR="00BF624E" w:rsidRPr="00BF624E" w:rsidRDefault="00BF624E" w:rsidP="00F82A6F">
      <w:pPr>
        <w:pStyle w:val="PKTpunkt"/>
      </w:pPr>
      <w:r w:rsidRPr="00BF624E">
        <w:t>1) oszacowanych i zatwierdzonych zgodnie z odpowiednimi normami, w szczególności: PN - EN ISO 14064 i PN - EN</w:t>
      </w:r>
      <w:r w:rsidR="00FB0954">
        <w:t xml:space="preserve"> </w:t>
      </w:r>
      <w:r w:rsidRPr="00BF624E">
        <w:t>ISO 14065;</w:t>
      </w:r>
    </w:p>
    <w:p w14:paraId="55718897" w14:textId="4E2959AE" w:rsidR="00BF624E" w:rsidRPr="00BF624E" w:rsidRDefault="00BF624E" w:rsidP="00F82A6F">
      <w:pPr>
        <w:pStyle w:val="PKTpunkt"/>
      </w:pPr>
      <w:r w:rsidRPr="00BF624E">
        <w:lastRenderedPageBreak/>
        <w:t>2) objętych monitorowaniem, sprawozdawczością i weryfikacją także w zakresie emisji na poziomie bazowym zgodnie</w:t>
      </w:r>
      <w:r w:rsidR="00FB0954">
        <w:t xml:space="preserve"> </w:t>
      </w:r>
      <w:r w:rsidRPr="00BF624E">
        <w:t>z normą PN - EN ISO 14064, których wyniki posiadają stopień wiarygodności równoważny stopniowi wiarygodności</w:t>
      </w:r>
      <w:r w:rsidR="00FB0954">
        <w:t xml:space="preserve"> </w:t>
      </w:r>
      <w:r w:rsidRPr="00BF624E">
        <w:t>określonemu w rozporządzeniu Komisji (UE) nr 600/2012 z dnia 21 czerwca 2012 r. w sprawie weryfikacji raportów</w:t>
      </w:r>
      <w:r w:rsidR="00FB0954">
        <w:t xml:space="preserve"> </w:t>
      </w:r>
      <w:r w:rsidRPr="00BF624E">
        <w:t>na temat wielkości emisji gazów cieplarnianych i raportów dotyczących tonokilometrów oraz akredytacji weryfikatorów</w:t>
      </w:r>
      <w:r w:rsidR="00FB0954">
        <w:t xml:space="preserve"> </w:t>
      </w:r>
      <w:r w:rsidRPr="00BF624E">
        <w:t xml:space="preserve">zgodnie z </w:t>
      </w:r>
      <w:r w:rsidR="00390EEA" w:rsidRPr="00390EEA">
        <w:t>Dyrektyw</w:t>
      </w:r>
      <w:r w:rsidR="00390EEA">
        <w:t xml:space="preserve">ą </w:t>
      </w:r>
      <w:r w:rsidR="00390EEA" w:rsidRPr="00390EEA">
        <w:t>2003/87/WE Parlamentu Europejskiego</w:t>
      </w:r>
      <w:r w:rsidR="00390EEA">
        <w:t xml:space="preserve"> i </w:t>
      </w:r>
      <w:r w:rsidR="00390EEA" w:rsidRPr="00390EEA">
        <w:t>Rady z dnia 13 października 2003 r. ustanawiając</w:t>
      </w:r>
      <w:r w:rsidR="00390EEA">
        <w:t>ą</w:t>
      </w:r>
      <w:r w:rsidR="00390EEA" w:rsidRPr="00390EEA">
        <w:t xml:space="preserve"> system handlu przydziałami emisji gazów cieplarnianych we Wspólnocie oraz zmieniająca dyrektywę Rady 96/61/WE</w:t>
      </w:r>
      <w:r w:rsidR="00390EEA">
        <w:t xml:space="preserve"> </w:t>
      </w:r>
      <w:r w:rsidRPr="00BF624E">
        <w:t xml:space="preserve">(Dz. Urz. UE L </w:t>
      </w:r>
      <w:r w:rsidR="00B51AC5">
        <w:t>275</w:t>
      </w:r>
      <w:r w:rsidRPr="00BF624E">
        <w:t xml:space="preserve"> z </w:t>
      </w:r>
      <w:r w:rsidR="00B51AC5">
        <w:t>25</w:t>
      </w:r>
      <w:r w:rsidRPr="00BF624E">
        <w:t>.</w:t>
      </w:r>
      <w:r w:rsidR="00B51AC5">
        <w:t>10</w:t>
      </w:r>
      <w:r w:rsidRPr="00BF624E">
        <w:t>.20</w:t>
      </w:r>
      <w:r w:rsidR="00B51AC5">
        <w:t>03</w:t>
      </w:r>
      <w:r w:rsidRPr="00BF624E">
        <w:t xml:space="preserve">, str. </w:t>
      </w:r>
      <w:r w:rsidR="00B51AC5">
        <w:t>32</w:t>
      </w:r>
      <w:r w:rsidRPr="00BF624E">
        <w:t>) oraz w rozporządzeniu</w:t>
      </w:r>
      <w:r w:rsidR="00FB0954">
        <w:t xml:space="preserve"> </w:t>
      </w:r>
      <w:r w:rsidRPr="00BF624E">
        <w:t>Komisji (UE) nr 601/2012 z dnia 21 czerwca 2012 r. w sprawie monitorowania i raportowania w zakresie</w:t>
      </w:r>
      <w:r w:rsidR="00FB0954">
        <w:t xml:space="preserve"> </w:t>
      </w:r>
      <w:r w:rsidRPr="00BF624E">
        <w:t>emisji gazów cieplarnianych zgodnie z dyrektywą 2003/87/WE Parlamentu Europejskiego i Rady (Dz. Urz. UE L 181</w:t>
      </w:r>
      <w:r w:rsidR="00FB0954">
        <w:t xml:space="preserve"> </w:t>
      </w:r>
      <w:r w:rsidRPr="00BF624E">
        <w:t xml:space="preserve">z 12.07.2012, str. 30, z </w:t>
      </w:r>
      <w:proofErr w:type="spellStart"/>
      <w:r w:rsidRPr="00BF624E">
        <w:t>późn</w:t>
      </w:r>
      <w:proofErr w:type="spellEnd"/>
      <w:r w:rsidRPr="00BF624E">
        <w:t>. zm.</w:t>
      </w:r>
      <w:r w:rsidR="00FB0954">
        <w:rPr>
          <w:rStyle w:val="Odwoanieprzypisudolnego"/>
        </w:rPr>
        <w:footnoteReference w:id="3"/>
      </w:r>
      <w:r w:rsidRPr="00BF624E">
        <w:t>);</w:t>
      </w:r>
    </w:p>
    <w:p w14:paraId="19CCA2AF" w14:textId="48D19BB3" w:rsidR="00BF624E" w:rsidRPr="00BF624E" w:rsidRDefault="00BF624E" w:rsidP="00F82A6F">
      <w:pPr>
        <w:pStyle w:val="PKTpunkt"/>
      </w:pPr>
      <w:r w:rsidRPr="00BF624E">
        <w:t>3) których weryfikacja metod szacowania została przeprowadzona zgodnie z normą PN - EN ISO 14064-3 przez organizację</w:t>
      </w:r>
      <w:r w:rsidR="00FB0954">
        <w:t xml:space="preserve"> </w:t>
      </w:r>
      <w:r w:rsidRPr="00BF624E">
        <w:t>akredytowaną zgodnie z normą PN - EN ISO 14065.</w:t>
      </w:r>
    </w:p>
    <w:p w14:paraId="7A60870D" w14:textId="53A4019A" w:rsidR="00BF624E" w:rsidRPr="00F82A6F" w:rsidRDefault="00AE629F" w:rsidP="00F82A6F">
      <w:pPr>
        <w:pStyle w:val="USTustnpkodeksu"/>
      </w:pPr>
      <w:r>
        <w:t>1</w:t>
      </w:r>
      <w:r w:rsidR="00417147">
        <w:t>0</w:t>
      </w:r>
      <w:r w:rsidR="00BF624E" w:rsidRPr="007B0D89">
        <w:rPr>
          <w:bCs w:val="0"/>
        </w:rPr>
        <w:t>. W obliczeniach emisji gazów cieplarnianych z paliw i energii elektrycznej uwzględnia się wartość redukcji emisji</w:t>
      </w:r>
      <w:r w:rsidR="00FB0954" w:rsidRPr="007B0D89">
        <w:rPr>
          <w:bCs w:val="0"/>
        </w:rPr>
        <w:t xml:space="preserve"> </w:t>
      </w:r>
      <w:r w:rsidR="00BF624E" w:rsidRPr="007B0D89">
        <w:rPr>
          <w:bCs w:val="0"/>
        </w:rPr>
        <w:t>gazów cieplarnianych w segmencie wydobywczym (UER) dla surowca pochodzącego z kraju innego niż surowiec, z którego</w:t>
      </w:r>
      <w:r w:rsidR="00FB0954" w:rsidRPr="007B0D89">
        <w:t xml:space="preserve"> </w:t>
      </w:r>
      <w:r w:rsidR="00BF624E" w:rsidRPr="007B0D89">
        <w:t xml:space="preserve">zostało wyprodukowane paliwo, pod warunkiem że spełnia ona warunki określone w ust. </w:t>
      </w:r>
      <w:r w:rsidR="00417147">
        <w:t>9</w:t>
      </w:r>
      <w:r w:rsidR="00BF624E" w:rsidRPr="007B0D89">
        <w:t>.</w:t>
      </w:r>
    </w:p>
    <w:p w14:paraId="13767AC2" w14:textId="4776FF61" w:rsidR="00302BDF" w:rsidRPr="00BF624E" w:rsidRDefault="00AE629F" w:rsidP="006813B0">
      <w:pPr>
        <w:pStyle w:val="USTustnpkodeksu"/>
      </w:pPr>
      <w:r>
        <w:t>1</w:t>
      </w:r>
      <w:r w:rsidR="00417147">
        <w:t>1</w:t>
      </w:r>
      <w:r w:rsidR="005A63F6" w:rsidRPr="00F724E6">
        <w:t xml:space="preserve">. Jednostki poświadczonej redukcji emisji oraz jednostki redukcji emisji, </w:t>
      </w:r>
      <w:r w:rsidR="005A63F6" w:rsidRPr="00C71E21">
        <w:t xml:space="preserve">o których mowa </w:t>
      </w:r>
      <w:r w:rsidR="005A63F6">
        <w:t xml:space="preserve">odpowiednio </w:t>
      </w:r>
      <w:r w:rsidR="005A63F6" w:rsidRPr="00C71E21">
        <w:t xml:space="preserve">w art. 2 pkt 12 </w:t>
      </w:r>
      <w:r w:rsidR="005A63F6">
        <w:t xml:space="preserve">i 14 </w:t>
      </w:r>
      <w:r w:rsidR="005A63F6" w:rsidRPr="00C71E21">
        <w:t xml:space="preserve">ustawy </w:t>
      </w:r>
      <w:r w:rsidR="006813B0">
        <w:t xml:space="preserve">z dnia 17 lipca 2009 r. </w:t>
      </w:r>
      <w:r w:rsidR="005A63F6" w:rsidRPr="00C71E21">
        <w:t>o systemie zarządzania</w:t>
      </w:r>
      <w:r w:rsidR="006813B0">
        <w:t xml:space="preserve"> </w:t>
      </w:r>
      <w:r w:rsidR="006813B0" w:rsidRPr="006813B0">
        <w:t>emisjami gazów cieplarnianych i innych substancji</w:t>
      </w:r>
      <w:r w:rsidR="006813B0">
        <w:t xml:space="preserve"> (Dz.U. z 2020 r. poz. 1077 i 2320</w:t>
      </w:r>
      <w:r w:rsidR="0041393D">
        <w:t xml:space="preserve"> oraz z 2021 poz. 1047 i 2127</w:t>
      </w:r>
      <w:r w:rsidR="00C72999">
        <w:t>)</w:t>
      </w:r>
      <w:r w:rsidR="005A63F6" w:rsidRPr="00C71E21">
        <w:t>,</w:t>
      </w:r>
      <w:r w:rsidR="005A63F6" w:rsidRPr="00F724E6">
        <w:t xml:space="preserve"> mogą zostać wykorzystane do realizacji celu, o którym mowa w art. 30b ust. 1</w:t>
      </w:r>
      <w:r>
        <w:t xml:space="preserve"> i 2</w:t>
      </w:r>
      <w:r w:rsidR="005A63F6" w:rsidRPr="00F724E6">
        <w:t xml:space="preserve"> ustawy z dnia 25 sierpnia 2006 r. o systemie monitorowania i kontrolowania jakości paliw, pod warunkiem, że jednostki te zostały </w:t>
      </w:r>
      <w:r w:rsidR="005A63F6">
        <w:t xml:space="preserve">oznaczone jako </w:t>
      </w:r>
      <w:r w:rsidR="00CF0A65">
        <w:t>wykorzystane</w:t>
      </w:r>
      <w:r w:rsidR="00302BDF">
        <w:t>.</w:t>
      </w:r>
    </w:p>
    <w:p w14:paraId="642A00C5" w14:textId="77777777" w:rsidR="00BF624E" w:rsidRPr="000D69A3" w:rsidRDefault="00BF624E" w:rsidP="00F82A6F">
      <w:pPr>
        <w:pStyle w:val="ARTartustawynprozporzdzenia"/>
      </w:pPr>
      <w:r w:rsidRPr="000D69A3">
        <w:rPr>
          <w:rStyle w:val="Ppogrubienie"/>
        </w:rPr>
        <w:t>§ 4.</w:t>
      </w:r>
      <w:r w:rsidRPr="000D69A3">
        <w:t xml:space="preserve"> 1. Wskaźnik emisji gazów cieplarnianych (</w:t>
      </w:r>
      <w:proofErr w:type="spellStart"/>
      <w:r w:rsidRPr="000D69A3">
        <w:t>GHGi</w:t>
      </w:r>
      <w:proofErr w:type="spellEnd"/>
      <w:r w:rsidRPr="000D69A3">
        <w:t>) dla:</w:t>
      </w:r>
    </w:p>
    <w:p w14:paraId="3713407D" w14:textId="5DE43980" w:rsidR="00BF624E" w:rsidRPr="00575021" w:rsidRDefault="00F67D5F" w:rsidP="004001C9">
      <w:pPr>
        <w:pStyle w:val="PKTpunkt"/>
      </w:pPr>
      <w:r w:rsidRPr="000D69A3">
        <w:t xml:space="preserve">1) paliw </w:t>
      </w:r>
      <w:r w:rsidRPr="00575021">
        <w:t>bez zawartości biokomponentu określa tabela 1 załącznika do rozporządzenia;</w:t>
      </w:r>
    </w:p>
    <w:p w14:paraId="562276ED" w14:textId="73DC4827" w:rsidR="00BF624E" w:rsidRPr="000D69A3" w:rsidRDefault="004001C9" w:rsidP="00F82A6F">
      <w:pPr>
        <w:pStyle w:val="PKTpunkt"/>
      </w:pPr>
      <w:r>
        <w:t>2</w:t>
      </w:r>
      <w:r w:rsidR="00BF624E" w:rsidRPr="000D69A3">
        <w:t xml:space="preserve">) biokomponentów niespełniających kryteriów zrównoważonego rozwoju jest równy wartości </w:t>
      </w:r>
      <w:proofErr w:type="spellStart"/>
      <w:r w:rsidR="00BF624E" w:rsidRPr="000D69A3">
        <w:t>GHGi</w:t>
      </w:r>
      <w:proofErr w:type="spellEnd"/>
      <w:r w:rsidR="00BF624E" w:rsidRPr="000D69A3">
        <w:t xml:space="preserve"> paliwa, do którego</w:t>
      </w:r>
      <w:r w:rsidR="00FB0954" w:rsidRPr="000D69A3">
        <w:t xml:space="preserve"> </w:t>
      </w:r>
      <w:r w:rsidR="00BF624E" w:rsidRPr="000D69A3">
        <w:t>zostały dodane;</w:t>
      </w:r>
    </w:p>
    <w:p w14:paraId="5205B9E1" w14:textId="0F56804B" w:rsidR="00EC3D37" w:rsidRPr="004001C9" w:rsidRDefault="004001C9" w:rsidP="00E23D2C">
      <w:pPr>
        <w:pStyle w:val="PKTpunkt"/>
      </w:pPr>
      <w:r>
        <w:lastRenderedPageBreak/>
        <w:t>3</w:t>
      </w:r>
      <w:r w:rsidR="00BF624E" w:rsidRPr="000D69A3">
        <w:t xml:space="preserve">) </w:t>
      </w:r>
      <w:r w:rsidR="00BF624E" w:rsidRPr="004001C9">
        <w:t>biopaliw ciekłych określa się na podstawie wskaźników emisji gazów cieplarnianych dla daneg</w:t>
      </w:r>
      <w:r w:rsidR="00206F7F" w:rsidRPr="004001C9">
        <w:t>o</w:t>
      </w:r>
      <w:r w:rsidR="00BF624E" w:rsidRPr="004001C9">
        <w:t xml:space="preserve"> paliwa i dla biokomponentu,</w:t>
      </w:r>
      <w:r w:rsidR="00FB0954" w:rsidRPr="004001C9">
        <w:t xml:space="preserve"> z</w:t>
      </w:r>
      <w:r w:rsidR="00BF624E" w:rsidRPr="004001C9">
        <w:t xml:space="preserve"> których zostało wytworzone biopaliwo ciekłe</w:t>
      </w:r>
      <w:r w:rsidR="007758B1" w:rsidRPr="004001C9">
        <w:t>.</w:t>
      </w:r>
    </w:p>
    <w:p w14:paraId="3D2B2539" w14:textId="5A8C37AB" w:rsidR="00BF624E" w:rsidRPr="000D69A3" w:rsidRDefault="00BF624E" w:rsidP="00F82A6F">
      <w:pPr>
        <w:pStyle w:val="USTustnpkodeksu"/>
      </w:pPr>
      <w:r w:rsidRPr="004001C9">
        <w:t>2. W przypadku przerobu ropy naftowej z biokomponentem, z wyjątkiem</w:t>
      </w:r>
      <w:r w:rsidRPr="000D69A3">
        <w:t xml:space="preserve"> </w:t>
      </w:r>
      <w:proofErr w:type="spellStart"/>
      <w:r w:rsidRPr="000D69A3">
        <w:t>skażalników</w:t>
      </w:r>
      <w:proofErr w:type="spellEnd"/>
      <w:r w:rsidRPr="000D69A3">
        <w:t>, wskaźnik emisji gazów cieplarnianych</w:t>
      </w:r>
      <w:r w:rsidR="00FB0954" w:rsidRPr="000D69A3">
        <w:t xml:space="preserve"> </w:t>
      </w:r>
      <w:r w:rsidRPr="000D69A3">
        <w:t>(</w:t>
      </w:r>
      <w:proofErr w:type="spellStart"/>
      <w:r w:rsidRPr="000D69A3">
        <w:t>GHGi</w:t>
      </w:r>
      <w:proofErr w:type="spellEnd"/>
      <w:r w:rsidRPr="000D69A3">
        <w:t>) dla biokomponentu w przeliczeniu na jednostkę energii oblicza się według stanu biokomponentu po przetworzeniu.</w:t>
      </w:r>
    </w:p>
    <w:p w14:paraId="3B3FCCC8" w14:textId="77777777" w:rsidR="00BF624E" w:rsidRPr="000D69A3" w:rsidRDefault="00BF624E" w:rsidP="00F82A6F">
      <w:pPr>
        <w:pStyle w:val="ARTartustawynprozporzdzenia"/>
      </w:pPr>
      <w:r w:rsidRPr="000D69A3">
        <w:rPr>
          <w:rStyle w:val="Ppogrubienie"/>
        </w:rPr>
        <w:t>§ 5.</w:t>
      </w:r>
      <w:r w:rsidRPr="000D69A3">
        <w:t xml:space="preserve"> </w:t>
      </w:r>
      <w:bookmarkStart w:id="3" w:name="_Hlk88832972"/>
      <w:r w:rsidRPr="000D69A3">
        <w:t xml:space="preserve">Emisja gazów cieplarnianych </w:t>
      </w:r>
      <w:bookmarkEnd w:id="3"/>
      <w:r w:rsidRPr="000D69A3">
        <w:t>w przeliczeniu na jednostkę energii z 2010 r. wynosi 94,1 gCO</w:t>
      </w:r>
      <w:r w:rsidRPr="000D69A3">
        <w:rPr>
          <w:rStyle w:val="IDindeksdolny"/>
        </w:rPr>
        <w:t>2eq</w:t>
      </w:r>
      <w:r w:rsidRPr="000D69A3">
        <w:t>/MJ.</w:t>
      </w:r>
    </w:p>
    <w:p w14:paraId="6DC51F9C" w14:textId="15224A4A" w:rsidR="00BF624E" w:rsidRPr="00BF624E" w:rsidRDefault="00BF624E" w:rsidP="004001C9">
      <w:pPr>
        <w:pStyle w:val="ARTartustawynprozporzdzenia"/>
      </w:pPr>
      <w:r w:rsidRPr="000D69A3">
        <w:rPr>
          <w:rStyle w:val="Ppogrubienie"/>
        </w:rPr>
        <w:t>§ 6.</w:t>
      </w:r>
      <w:r w:rsidRPr="000D69A3">
        <w:t xml:space="preserve"> 1. Wartość opałową paliw bez zawartości biokomponentów określa tabela 3 załącznika do rozporządzenia.</w:t>
      </w:r>
    </w:p>
    <w:p w14:paraId="32B2E3B6" w14:textId="659FC463" w:rsidR="00BF624E" w:rsidRPr="00BF624E" w:rsidRDefault="004001C9" w:rsidP="00F82A6F">
      <w:pPr>
        <w:pStyle w:val="USTustnpkodeksu"/>
      </w:pPr>
      <w:r>
        <w:t>2</w:t>
      </w:r>
      <w:r w:rsidR="00BF624E" w:rsidRPr="00BF624E">
        <w:t>. Wartość opałową paliw ujmuje się jako wartość opałową paliwa bez zawartości biokomponentu, o którym mowa</w:t>
      </w:r>
      <w:r w:rsidR="003569AE">
        <w:t xml:space="preserve"> </w:t>
      </w:r>
      <w:r w:rsidR="00BF624E" w:rsidRPr="00BF624E">
        <w:t>w ust. 1, i biokomponentu, z których zostało wytworzone paliwo.</w:t>
      </w:r>
    </w:p>
    <w:p w14:paraId="2975B1AC" w14:textId="597ADE38" w:rsidR="00BF624E" w:rsidRPr="00BF624E" w:rsidRDefault="004001C9" w:rsidP="00F82A6F">
      <w:pPr>
        <w:pStyle w:val="USTustnpkodeksu"/>
      </w:pPr>
      <w:r>
        <w:t>3</w:t>
      </w:r>
      <w:r w:rsidR="00BF624E" w:rsidRPr="00BF624E">
        <w:t xml:space="preserve">. W obliczeniach, o których mowa w ust. </w:t>
      </w:r>
      <w:r w:rsidR="003B6A68">
        <w:t>2</w:t>
      </w:r>
      <w:r w:rsidR="00BF624E" w:rsidRPr="00BF624E">
        <w:t>, wartość opałowa dla biokomponentów niespełniających kryteriów zrównoważonego</w:t>
      </w:r>
      <w:r w:rsidR="003569AE">
        <w:t xml:space="preserve"> </w:t>
      </w:r>
      <w:r w:rsidR="00BF624E" w:rsidRPr="00BF624E">
        <w:t>rozwoju jest równa wartości opałowej dla biokomponentów spełniających kryteria zrównoważonego rozwoju.</w:t>
      </w:r>
    </w:p>
    <w:p w14:paraId="232DCB88" w14:textId="5862D62D" w:rsidR="00BF624E" w:rsidRDefault="004001C9" w:rsidP="00F82A6F">
      <w:pPr>
        <w:pStyle w:val="USTustnpkodeksu"/>
      </w:pPr>
      <w:r>
        <w:t>4</w:t>
      </w:r>
      <w:r w:rsidR="00BF624E" w:rsidRPr="00BF624E">
        <w:t>. Wartość energetyczna energii elektrycznej wynosi 3,6 [MJ/kWh].</w:t>
      </w:r>
    </w:p>
    <w:p w14:paraId="5A9EEC63" w14:textId="1B013C2D" w:rsidR="007D40DD" w:rsidRDefault="00BF624E" w:rsidP="003569AE">
      <w:pPr>
        <w:pStyle w:val="ARTartustawynprozporzdzenia"/>
      </w:pPr>
      <w:r w:rsidRPr="00A80A77">
        <w:rPr>
          <w:rStyle w:val="Ppogrubienie"/>
        </w:rPr>
        <w:t xml:space="preserve">§ </w:t>
      </w:r>
      <w:r w:rsidR="0074318B">
        <w:rPr>
          <w:rStyle w:val="Ppogrubienie"/>
        </w:rPr>
        <w:t>7</w:t>
      </w:r>
      <w:r w:rsidRPr="00A80A77">
        <w:rPr>
          <w:rStyle w:val="Ppogrubienie"/>
        </w:rPr>
        <w:t>.</w:t>
      </w:r>
      <w:r w:rsidRPr="003569AE">
        <w:t xml:space="preserve"> Rozporządzenie </w:t>
      </w:r>
      <w:r w:rsidR="0085007F" w:rsidRPr="0085007F">
        <w:t>wchodzi w życie po upływie 14 dni od dnia ogłoszenia</w:t>
      </w:r>
      <w:r w:rsidR="004E4D8D">
        <w:rPr>
          <w:rStyle w:val="Odwoanieprzypisudolnego"/>
        </w:rPr>
        <w:footnoteReference w:id="4"/>
      </w:r>
      <w:r w:rsidRPr="003569AE">
        <w:t>.</w:t>
      </w:r>
    </w:p>
    <w:p w14:paraId="4536895A" w14:textId="397809C6" w:rsidR="007D40DD" w:rsidRDefault="007D40DD" w:rsidP="003569AE">
      <w:pPr>
        <w:pStyle w:val="ARTartustawynprozporzdzenia"/>
      </w:pPr>
    </w:p>
    <w:p w14:paraId="0B9BA8FD" w14:textId="2A7ADF39" w:rsidR="007D40DD" w:rsidRDefault="007D40DD" w:rsidP="007D40DD">
      <w:pPr>
        <w:pStyle w:val="NAZORGWYDnazwaorganuwydajcegoprojektowanyakt"/>
      </w:pPr>
      <w:r>
        <w:t>minister klimatu</w:t>
      </w:r>
      <w:r w:rsidR="00F62EC5">
        <w:t xml:space="preserve"> I</w:t>
      </w:r>
    </w:p>
    <w:p w14:paraId="403BCA8B" w14:textId="11AF53E3" w:rsidR="00E31ED2" w:rsidRDefault="007D40DD" w:rsidP="00F82A6F">
      <w:pPr>
        <w:pStyle w:val="NAZORGWYDnazwaorganuwydajcegoprojektowanyakt"/>
      </w:pPr>
      <w:r>
        <w:t>środowiska</w:t>
      </w:r>
    </w:p>
    <w:p w14:paraId="0E31F2CD" w14:textId="2D3C5E74" w:rsidR="002B291F" w:rsidRDefault="002B291F" w:rsidP="00F82A6F">
      <w:pPr>
        <w:pStyle w:val="NAZORGWYDnazwaorganuwydajcegoprojektowanyakt"/>
      </w:pPr>
    </w:p>
    <w:p w14:paraId="292D6242" w14:textId="77777777" w:rsidR="002B291F" w:rsidRDefault="002B291F" w:rsidP="002B291F">
      <w:bookmarkStart w:id="4" w:name="_Hlk62055669"/>
      <w:r>
        <w:t>Za zgodność pod względem prawnym, legislacyjnym i redakcyjnym</w:t>
      </w:r>
    </w:p>
    <w:p w14:paraId="4D1F505C" w14:textId="77777777" w:rsidR="002B291F" w:rsidRDefault="002B291F" w:rsidP="002B291F">
      <w:r>
        <w:t>Piotr Kudelski</w:t>
      </w:r>
    </w:p>
    <w:p w14:paraId="455AC941" w14:textId="77777777" w:rsidR="002B291F" w:rsidRDefault="002B291F" w:rsidP="002B291F">
      <w:r>
        <w:t>Zastępca Dyrektora Departamentu Prawnego</w:t>
      </w:r>
    </w:p>
    <w:p w14:paraId="46E78D18" w14:textId="77777777" w:rsidR="002B291F" w:rsidRDefault="002B291F" w:rsidP="002B291F">
      <w:r>
        <w:t>Ministerstwo Klimatu i Środowiska</w:t>
      </w:r>
    </w:p>
    <w:p w14:paraId="00005E46" w14:textId="79004F7F" w:rsidR="002B291F" w:rsidRPr="003569AE" w:rsidRDefault="002B291F" w:rsidP="002B291F">
      <w:r>
        <w:t>(-podpisano kwalifikowanym podpisem elektronicznym)</w:t>
      </w:r>
      <w:bookmarkEnd w:id="4"/>
    </w:p>
    <w:sectPr w:rsidR="002B291F" w:rsidRPr="003569AE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B7AB" w14:textId="77777777" w:rsidR="00A32534" w:rsidRDefault="00A32534">
      <w:r>
        <w:separator/>
      </w:r>
    </w:p>
  </w:endnote>
  <w:endnote w:type="continuationSeparator" w:id="0">
    <w:p w14:paraId="08398AF8" w14:textId="77777777" w:rsidR="00A32534" w:rsidRDefault="00A3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6BD4" w14:textId="77777777" w:rsidR="00A32534" w:rsidRDefault="00A32534">
      <w:r>
        <w:separator/>
      </w:r>
    </w:p>
  </w:footnote>
  <w:footnote w:type="continuationSeparator" w:id="0">
    <w:p w14:paraId="6EA3E839" w14:textId="77777777" w:rsidR="00A32534" w:rsidRDefault="00A32534">
      <w:r>
        <w:continuationSeparator/>
      </w:r>
    </w:p>
  </w:footnote>
  <w:footnote w:id="1">
    <w:p w14:paraId="172200FC" w14:textId="37825C93" w:rsidR="00EC718E" w:rsidRPr="007D40DD" w:rsidRDefault="00EC718E" w:rsidP="00F82A6F">
      <w:pPr>
        <w:pStyle w:val="ODNONIKtreodnonika"/>
      </w:pPr>
      <w:r>
        <w:rPr>
          <w:rStyle w:val="Odwoanieprzypisudolnego"/>
        </w:rPr>
        <w:footnoteRef/>
      </w:r>
      <w:r w:rsidR="007D40DD">
        <w:t xml:space="preserve"> </w:t>
      </w:r>
      <w:r w:rsidR="007D40DD" w:rsidRPr="007D40DD">
        <w:t>Minister Klimatu i Środowiska kieruje działem administracji rządowej -</w:t>
      </w:r>
      <w:r w:rsidR="00333F28">
        <w:t xml:space="preserve"> klimat</w:t>
      </w:r>
      <w:r w:rsidR="007D40DD" w:rsidRPr="007D40DD">
        <w:t xml:space="preserve">, na podstawie § 1 </w:t>
      </w:r>
      <w:r w:rsidR="00FF1A13">
        <w:t xml:space="preserve">ust. 2 pkt </w:t>
      </w:r>
      <w:r w:rsidR="00B16FA4">
        <w:t>2</w:t>
      </w:r>
      <w:r w:rsidR="007D40DD" w:rsidRPr="007D40DD">
        <w:t xml:space="preserve"> rozporządzenia Prezesa Rady Ministrów z dnia </w:t>
      </w:r>
      <w:r w:rsidR="00B16FA4">
        <w:t>27</w:t>
      </w:r>
      <w:r w:rsidR="007D40DD" w:rsidRPr="007D40DD">
        <w:t xml:space="preserve"> października 202</w:t>
      </w:r>
      <w:r w:rsidR="00B16FA4">
        <w:t>1</w:t>
      </w:r>
      <w:r w:rsidR="007D40DD" w:rsidRPr="007D40DD">
        <w:t xml:space="preserve"> r. w sprawie szczegółowego zakresu działania Ministra Klimatu i Środowiska (Dz. U. poz. </w:t>
      </w:r>
      <w:r w:rsidR="00B16FA4">
        <w:t>1949</w:t>
      </w:r>
      <w:r w:rsidR="007D40DD" w:rsidRPr="007D40DD">
        <w:t>)</w:t>
      </w:r>
      <w:r w:rsidR="00703D92">
        <w:t>.</w:t>
      </w:r>
    </w:p>
  </w:footnote>
  <w:footnote w:id="2">
    <w:p w14:paraId="45D61828" w14:textId="707B8293" w:rsidR="007D40DD" w:rsidRPr="007D40DD" w:rsidRDefault="00EC718E" w:rsidP="007D40DD">
      <w:pPr>
        <w:pStyle w:val="ODNONIKtreodnonika"/>
      </w:pPr>
      <w:r>
        <w:rPr>
          <w:rStyle w:val="Odwoanieprzypisudolnego"/>
        </w:rPr>
        <w:footnoteRef/>
      </w:r>
      <w:r w:rsidRPr="00EC718E">
        <w:t xml:space="preserve"> </w:t>
      </w:r>
      <w:r w:rsidR="007D40DD" w:rsidRPr="007D40DD">
        <w:t>Niniejsze rozporządzenie w zakresie swojej regulacji wdraża dyrektywę Rady (UE) 2015/652 z dnia 20 kwietnia 2015 r. ustanawiającą metody obliczania i wymogi w zakresie sprawozdawczości zgodnie z dyrektywą 98/70/WE Parlamentu Europejskiego i Rady odnoszącą się do jakości benzyny i olejów napędowych (Dz. Urz. UE L 107 z 25.04.2015, str. 26 oraz Dz. Urz. UE L 129 z 27.05.2015, str. 53).</w:t>
      </w:r>
    </w:p>
    <w:p w14:paraId="4C2DAB2D" w14:textId="26D234F5" w:rsidR="00EC718E" w:rsidRDefault="00EC718E" w:rsidP="00F82A6F">
      <w:pPr>
        <w:pStyle w:val="ODNONIKtreodnonika"/>
      </w:pPr>
    </w:p>
  </w:footnote>
  <w:footnote w:id="3">
    <w:p w14:paraId="06DE1935" w14:textId="1E4A517B" w:rsidR="00FB0954" w:rsidRPr="00D01986" w:rsidRDefault="00FB0954" w:rsidP="00F82A6F">
      <w:pPr>
        <w:pStyle w:val="ODNONIKtreodnonika"/>
      </w:pPr>
      <w:r>
        <w:rPr>
          <w:rStyle w:val="Odwoanieprzypisudolnego"/>
        </w:rPr>
        <w:footnoteRef/>
      </w:r>
      <w:r w:rsidRPr="00FB0954">
        <w:t xml:space="preserve"> </w:t>
      </w:r>
      <w:r w:rsidRPr="00D01986">
        <w:t>Zmiany wymienionego rozporządzenia zostały ogłoszone w Dz. Urz. UE L 347 z 15.12.2012, str. 43/2, Dz. Urz. UE L 65 z 05.03.2014, str. 27 oraz Dz. Urz. UE L 201 z 10.07.2014, str. 1.</w:t>
      </w:r>
    </w:p>
  </w:footnote>
  <w:footnote w:id="4">
    <w:p w14:paraId="05296C2A" w14:textId="5242A712" w:rsidR="004E4D8D" w:rsidRDefault="004E4D8D" w:rsidP="00A80A77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 w:rsidR="00AE1701">
        <w:t xml:space="preserve">Niniejsze rozporządzenie było poprzedzone rozporządzeniem </w:t>
      </w:r>
      <w:r w:rsidR="00AE1701" w:rsidRPr="006F3152">
        <w:t xml:space="preserve">Ministra Energii z dnia </w:t>
      </w:r>
      <w:r w:rsidR="00AE1701">
        <w:t>12 czerwca</w:t>
      </w:r>
      <w:r w:rsidR="00AE1701" w:rsidRPr="006F3152">
        <w:t xml:space="preserve"> 2017 r. </w:t>
      </w:r>
      <w:r w:rsidR="00AE1701" w:rsidRPr="00AE1701">
        <w:t>w</w:t>
      </w:r>
      <w:r w:rsidR="003C2201">
        <w:t xml:space="preserve"> </w:t>
      </w:r>
      <w:r w:rsidR="00AE1701" w:rsidRPr="00AE1701">
        <w:t>sprawie metodyki obliczania emisji gazów cieplarnianych, określenia wskaźników ich emisji oraz wartości</w:t>
      </w:r>
      <w:r w:rsidR="00A80A77">
        <w:t xml:space="preserve"> </w:t>
      </w:r>
      <w:r w:rsidR="00AE1701" w:rsidRPr="00AE1701">
        <w:t>opałowej dla poszczególnych paliw i wartości energetycznej energii elektrycznej</w:t>
      </w:r>
      <w:r w:rsidR="00AE1701" w:rsidRPr="006F3152">
        <w:t xml:space="preserve"> (Dz.U. poz. 1</w:t>
      </w:r>
      <w:r w:rsidR="00AE1701">
        <w:t>294.</w:t>
      </w:r>
      <w:r w:rsidR="00A80A77">
        <w:t>)</w:t>
      </w:r>
      <w:r w:rsidR="005B1DFE">
        <w:t xml:space="preserve">, które traci moc z dniem wejścia w życie niniejszego rozporządzenia </w:t>
      </w:r>
      <w:r w:rsidR="00C72999">
        <w:t>zgodnie z</w:t>
      </w:r>
      <w:r w:rsidR="005B1DFE">
        <w:t xml:space="preserve"> art. 20 ustawy z dnia 11 sierpnia 2021 r. o zmianie ustawy o systemie monitorowania i kontrolowania jakości paliw oraz niektórych innych ustaw (Dz. U. poz. 1642)</w:t>
      </w:r>
      <w:r w:rsidR="00C729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7F8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4"/>
    <w:rsid w:val="000012DA"/>
    <w:rsid w:val="0000246E"/>
    <w:rsid w:val="00003862"/>
    <w:rsid w:val="00012A35"/>
    <w:rsid w:val="000154F2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50B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47C0"/>
    <w:rsid w:val="0005571B"/>
    <w:rsid w:val="00057AB3"/>
    <w:rsid w:val="00060076"/>
    <w:rsid w:val="00060432"/>
    <w:rsid w:val="00060D87"/>
    <w:rsid w:val="000615A5"/>
    <w:rsid w:val="00064E4C"/>
    <w:rsid w:val="00066901"/>
    <w:rsid w:val="00071295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197"/>
    <w:rsid w:val="000944EF"/>
    <w:rsid w:val="00095100"/>
    <w:rsid w:val="0009732D"/>
    <w:rsid w:val="000973F0"/>
    <w:rsid w:val="000A1296"/>
    <w:rsid w:val="000A1C27"/>
    <w:rsid w:val="000A1DAD"/>
    <w:rsid w:val="000A2649"/>
    <w:rsid w:val="000A323B"/>
    <w:rsid w:val="000A492D"/>
    <w:rsid w:val="000B298D"/>
    <w:rsid w:val="000B5B2D"/>
    <w:rsid w:val="000B5D73"/>
    <w:rsid w:val="000B5DCE"/>
    <w:rsid w:val="000B61E3"/>
    <w:rsid w:val="000B7741"/>
    <w:rsid w:val="000C05BA"/>
    <w:rsid w:val="000C0E8F"/>
    <w:rsid w:val="000C4BC4"/>
    <w:rsid w:val="000D0110"/>
    <w:rsid w:val="000D2468"/>
    <w:rsid w:val="000D318A"/>
    <w:rsid w:val="000D6173"/>
    <w:rsid w:val="000D69A3"/>
    <w:rsid w:val="000D6F83"/>
    <w:rsid w:val="000E25CC"/>
    <w:rsid w:val="000E3694"/>
    <w:rsid w:val="000E3E22"/>
    <w:rsid w:val="000E490F"/>
    <w:rsid w:val="000E6241"/>
    <w:rsid w:val="000F237A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47D9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C33"/>
    <w:rsid w:val="00172596"/>
    <w:rsid w:val="00172F7A"/>
    <w:rsid w:val="00173150"/>
    <w:rsid w:val="00173390"/>
    <w:rsid w:val="001736F0"/>
    <w:rsid w:val="00173BB3"/>
    <w:rsid w:val="001740D0"/>
    <w:rsid w:val="00174F2C"/>
    <w:rsid w:val="00176AE4"/>
    <w:rsid w:val="00177549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97BBF"/>
    <w:rsid w:val="001A01FB"/>
    <w:rsid w:val="001A10E9"/>
    <w:rsid w:val="001A183D"/>
    <w:rsid w:val="001A2B65"/>
    <w:rsid w:val="001A3CD3"/>
    <w:rsid w:val="001A5BEF"/>
    <w:rsid w:val="001A7F15"/>
    <w:rsid w:val="001B046C"/>
    <w:rsid w:val="001B342E"/>
    <w:rsid w:val="001B679D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6F7F"/>
    <w:rsid w:val="002114EF"/>
    <w:rsid w:val="002166AD"/>
    <w:rsid w:val="00217871"/>
    <w:rsid w:val="00221ED8"/>
    <w:rsid w:val="002231EA"/>
    <w:rsid w:val="00223FDF"/>
    <w:rsid w:val="002279C0"/>
    <w:rsid w:val="00232BB9"/>
    <w:rsid w:val="00236DED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CF6"/>
    <w:rsid w:val="00273FE4"/>
    <w:rsid w:val="002765B4"/>
    <w:rsid w:val="00276A94"/>
    <w:rsid w:val="0028349E"/>
    <w:rsid w:val="0029405D"/>
    <w:rsid w:val="00294FA6"/>
    <w:rsid w:val="00295A6F"/>
    <w:rsid w:val="002A1A17"/>
    <w:rsid w:val="002A20C4"/>
    <w:rsid w:val="002A570F"/>
    <w:rsid w:val="002A7292"/>
    <w:rsid w:val="002A7358"/>
    <w:rsid w:val="002A7902"/>
    <w:rsid w:val="002B0F6B"/>
    <w:rsid w:val="002B23B8"/>
    <w:rsid w:val="002B291F"/>
    <w:rsid w:val="002B4429"/>
    <w:rsid w:val="002B68A6"/>
    <w:rsid w:val="002B7FAF"/>
    <w:rsid w:val="002D0C4F"/>
    <w:rsid w:val="002D1364"/>
    <w:rsid w:val="002D2B25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BDF"/>
    <w:rsid w:val="0031004C"/>
    <w:rsid w:val="003105F6"/>
    <w:rsid w:val="00311297"/>
    <w:rsid w:val="003113BE"/>
    <w:rsid w:val="003122CA"/>
    <w:rsid w:val="003148FD"/>
    <w:rsid w:val="00317B55"/>
    <w:rsid w:val="00317BEF"/>
    <w:rsid w:val="00321080"/>
    <w:rsid w:val="003227BE"/>
    <w:rsid w:val="00322D45"/>
    <w:rsid w:val="0032569A"/>
    <w:rsid w:val="00325A1F"/>
    <w:rsid w:val="003268F9"/>
    <w:rsid w:val="00330BAF"/>
    <w:rsid w:val="00330EDD"/>
    <w:rsid w:val="00332D99"/>
    <w:rsid w:val="00333F28"/>
    <w:rsid w:val="003341DA"/>
    <w:rsid w:val="00334E3A"/>
    <w:rsid w:val="003361DD"/>
    <w:rsid w:val="00341A6A"/>
    <w:rsid w:val="00345B9C"/>
    <w:rsid w:val="003515B2"/>
    <w:rsid w:val="00352DAE"/>
    <w:rsid w:val="00354EB9"/>
    <w:rsid w:val="003569AE"/>
    <w:rsid w:val="003602AE"/>
    <w:rsid w:val="00360929"/>
    <w:rsid w:val="00360ED5"/>
    <w:rsid w:val="003647D5"/>
    <w:rsid w:val="003674B0"/>
    <w:rsid w:val="0037201C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0EEA"/>
    <w:rsid w:val="00391B1A"/>
    <w:rsid w:val="00393F02"/>
    <w:rsid w:val="00394423"/>
    <w:rsid w:val="0039532F"/>
    <w:rsid w:val="00396942"/>
    <w:rsid w:val="00396B49"/>
    <w:rsid w:val="00396E3E"/>
    <w:rsid w:val="003A2E1E"/>
    <w:rsid w:val="003A306E"/>
    <w:rsid w:val="003A60DC"/>
    <w:rsid w:val="003A6A46"/>
    <w:rsid w:val="003A7A63"/>
    <w:rsid w:val="003B000C"/>
    <w:rsid w:val="003B0F1D"/>
    <w:rsid w:val="003B4A57"/>
    <w:rsid w:val="003B63B5"/>
    <w:rsid w:val="003B6A68"/>
    <w:rsid w:val="003C0AD9"/>
    <w:rsid w:val="003C0ED0"/>
    <w:rsid w:val="003C1D49"/>
    <w:rsid w:val="003C2201"/>
    <w:rsid w:val="003C35C4"/>
    <w:rsid w:val="003D12C2"/>
    <w:rsid w:val="003D31B9"/>
    <w:rsid w:val="003D3867"/>
    <w:rsid w:val="003E0D1A"/>
    <w:rsid w:val="003E2DA3"/>
    <w:rsid w:val="003E3E9D"/>
    <w:rsid w:val="003F020D"/>
    <w:rsid w:val="003F03D9"/>
    <w:rsid w:val="003F0EC5"/>
    <w:rsid w:val="003F2038"/>
    <w:rsid w:val="003F2FBE"/>
    <w:rsid w:val="003F318D"/>
    <w:rsid w:val="003F5BAE"/>
    <w:rsid w:val="003F6ED7"/>
    <w:rsid w:val="003F7535"/>
    <w:rsid w:val="004001C9"/>
    <w:rsid w:val="00401C84"/>
    <w:rsid w:val="00403210"/>
    <w:rsid w:val="004035BB"/>
    <w:rsid w:val="004035EB"/>
    <w:rsid w:val="00407332"/>
    <w:rsid w:val="00407828"/>
    <w:rsid w:val="00410736"/>
    <w:rsid w:val="0041393D"/>
    <w:rsid w:val="00413D8E"/>
    <w:rsid w:val="004140F2"/>
    <w:rsid w:val="00417147"/>
    <w:rsid w:val="00417B22"/>
    <w:rsid w:val="00421085"/>
    <w:rsid w:val="0042465E"/>
    <w:rsid w:val="00424DF7"/>
    <w:rsid w:val="004302C6"/>
    <w:rsid w:val="00432B76"/>
    <w:rsid w:val="00434D01"/>
    <w:rsid w:val="00434D9A"/>
    <w:rsid w:val="00435D26"/>
    <w:rsid w:val="00440C99"/>
    <w:rsid w:val="0044175C"/>
    <w:rsid w:val="00441DA5"/>
    <w:rsid w:val="00445F4D"/>
    <w:rsid w:val="0044757A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1D5"/>
    <w:rsid w:val="00477E2B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410D"/>
    <w:rsid w:val="004B00A7"/>
    <w:rsid w:val="004B25E2"/>
    <w:rsid w:val="004B34D7"/>
    <w:rsid w:val="004B380D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69D"/>
    <w:rsid w:val="004E37E5"/>
    <w:rsid w:val="004E3FDB"/>
    <w:rsid w:val="004E4D8D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52BB"/>
    <w:rsid w:val="005363AB"/>
    <w:rsid w:val="005402EA"/>
    <w:rsid w:val="00544EF4"/>
    <w:rsid w:val="00545E53"/>
    <w:rsid w:val="00546B55"/>
    <w:rsid w:val="005479D9"/>
    <w:rsid w:val="005572BD"/>
    <w:rsid w:val="00557A12"/>
    <w:rsid w:val="00560AC7"/>
    <w:rsid w:val="00561AFB"/>
    <w:rsid w:val="00561FA8"/>
    <w:rsid w:val="005635ED"/>
    <w:rsid w:val="00565253"/>
    <w:rsid w:val="0056682A"/>
    <w:rsid w:val="00570191"/>
    <w:rsid w:val="00570570"/>
    <w:rsid w:val="00572512"/>
    <w:rsid w:val="00573EE6"/>
    <w:rsid w:val="00575021"/>
    <w:rsid w:val="0057547F"/>
    <w:rsid w:val="005754EE"/>
    <w:rsid w:val="0057617E"/>
    <w:rsid w:val="00576497"/>
    <w:rsid w:val="00580F0D"/>
    <w:rsid w:val="00581236"/>
    <w:rsid w:val="00581317"/>
    <w:rsid w:val="0058207A"/>
    <w:rsid w:val="005835E7"/>
    <w:rsid w:val="0058397F"/>
    <w:rsid w:val="00583BF8"/>
    <w:rsid w:val="00583EBD"/>
    <w:rsid w:val="00585F33"/>
    <w:rsid w:val="00591124"/>
    <w:rsid w:val="00597024"/>
    <w:rsid w:val="005A0274"/>
    <w:rsid w:val="005A095C"/>
    <w:rsid w:val="005A151C"/>
    <w:rsid w:val="005A5C4F"/>
    <w:rsid w:val="005A63F6"/>
    <w:rsid w:val="005A669D"/>
    <w:rsid w:val="005A75D8"/>
    <w:rsid w:val="005B1DFE"/>
    <w:rsid w:val="005B2F0D"/>
    <w:rsid w:val="005B713E"/>
    <w:rsid w:val="005C03B6"/>
    <w:rsid w:val="005C348E"/>
    <w:rsid w:val="005C68E1"/>
    <w:rsid w:val="005D3763"/>
    <w:rsid w:val="005D55E1"/>
    <w:rsid w:val="005E19F7"/>
    <w:rsid w:val="005E2ADF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513B"/>
    <w:rsid w:val="00607A93"/>
    <w:rsid w:val="00610C08"/>
    <w:rsid w:val="00611F74"/>
    <w:rsid w:val="00615772"/>
    <w:rsid w:val="00621256"/>
    <w:rsid w:val="00621FCC"/>
    <w:rsid w:val="00622E4B"/>
    <w:rsid w:val="00622E84"/>
    <w:rsid w:val="00626B8B"/>
    <w:rsid w:val="0063087D"/>
    <w:rsid w:val="006333DA"/>
    <w:rsid w:val="00635134"/>
    <w:rsid w:val="006356E2"/>
    <w:rsid w:val="00641009"/>
    <w:rsid w:val="00642A65"/>
    <w:rsid w:val="00645DCE"/>
    <w:rsid w:val="006465AC"/>
    <w:rsid w:val="006465BF"/>
    <w:rsid w:val="00653B22"/>
    <w:rsid w:val="0065599A"/>
    <w:rsid w:val="00657BF4"/>
    <w:rsid w:val="006603FB"/>
    <w:rsid w:val="006608DF"/>
    <w:rsid w:val="006623AC"/>
    <w:rsid w:val="00666647"/>
    <w:rsid w:val="006678AF"/>
    <w:rsid w:val="006701EF"/>
    <w:rsid w:val="00673BA5"/>
    <w:rsid w:val="00680058"/>
    <w:rsid w:val="0068068A"/>
    <w:rsid w:val="006813B0"/>
    <w:rsid w:val="00681F9F"/>
    <w:rsid w:val="006840EA"/>
    <w:rsid w:val="006844E2"/>
    <w:rsid w:val="00685267"/>
    <w:rsid w:val="006872AE"/>
    <w:rsid w:val="00690082"/>
    <w:rsid w:val="00690252"/>
    <w:rsid w:val="00691670"/>
    <w:rsid w:val="006946BB"/>
    <w:rsid w:val="006969FA"/>
    <w:rsid w:val="006A0D29"/>
    <w:rsid w:val="006A35D5"/>
    <w:rsid w:val="006A5565"/>
    <w:rsid w:val="006A748A"/>
    <w:rsid w:val="006B6FD2"/>
    <w:rsid w:val="006C3502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25E"/>
    <w:rsid w:val="00702556"/>
    <w:rsid w:val="0070277E"/>
    <w:rsid w:val="00703D92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146F"/>
    <w:rsid w:val="00736A64"/>
    <w:rsid w:val="00737F6A"/>
    <w:rsid w:val="007410B6"/>
    <w:rsid w:val="0074318B"/>
    <w:rsid w:val="00744C6F"/>
    <w:rsid w:val="007457F6"/>
    <w:rsid w:val="00745ABB"/>
    <w:rsid w:val="00746E38"/>
    <w:rsid w:val="00747CD5"/>
    <w:rsid w:val="00750C62"/>
    <w:rsid w:val="00753B51"/>
    <w:rsid w:val="00756629"/>
    <w:rsid w:val="007575D2"/>
    <w:rsid w:val="00757B4F"/>
    <w:rsid w:val="00757B6A"/>
    <w:rsid w:val="0076082D"/>
    <w:rsid w:val="0076099D"/>
    <w:rsid w:val="007610E0"/>
    <w:rsid w:val="007621AA"/>
    <w:rsid w:val="0076260A"/>
    <w:rsid w:val="00764A67"/>
    <w:rsid w:val="0076750D"/>
    <w:rsid w:val="00770F6B"/>
    <w:rsid w:val="00771883"/>
    <w:rsid w:val="00774938"/>
    <w:rsid w:val="007758B1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0D89"/>
    <w:rsid w:val="007B75BC"/>
    <w:rsid w:val="007C0BD6"/>
    <w:rsid w:val="007C3806"/>
    <w:rsid w:val="007C5BB7"/>
    <w:rsid w:val="007D07D5"/>
    <w:rsid w:val="007D1C64"/>
    <w:rsid w:val="007D32DD"/>
    <w:rsid w:val="007D40DD"/>
    <w:rsid w:val="007D6DCE"/>
    <w:rsid w:val="007D72C4"/>
    <w:rsid w:val="007E2CFE"/>
    <w:rsid w:val="007E59C9"/>
    <w:rsid w:val="007F0072"/>
    <w:rsid w:val="007F2EB6"/>
    <w:rsid w:val="007F308C"/>
    <w:rsid w:val="007F54C3"/>
    <w:rsid w:val="00802949"/>
    <w:rsid w:val="0080301E"/>
    <w:rsid w:val="0080365F"/>
    <w:rsid w:val="008109DD"/>
    <w:rsid w:val="008113AD"/>
    <w:rsid w:val="00812BE5"/>
    <w:rsid w:val="00814C03"/>
    <w:rsid w:val="00817429"/>
    <w:rsid w:val="00821514"/>
    <w:rsid w:val="00821E35"/>
    <w:rsid w:val="00824591"/>
    <w:rsid w:val="00824AED"/>
    <w:rsid w:val="00827820"/>
    <w:rsid w:val="008306EB"/>
    <w:rsid w:val="00831B8B"/>
    <w:rsid w:val="0083405D"/>
    <w:rsid w:val="008352D4"/>
    <w:rsid w:val="00836DB9"/>
    <w:rsid w:val="0083735C"/>
    <w:rsid w:val="008377EF"/>
    <w:rsid w:val="00837C67"/>
    <w:rsid w:val="00840680"/>
    <w:rsid w:val="008415B0"/>
    <w:rsid w:val="00842028"/>
    <w:rsid w:val="008436B8"/>
    <w:rsid w:val="008460B6"/>
    <w:rsid w:val="0085007F"/>
    <w:rsid w:val="00850C9D"/>
    <w:rsid w:val="00852B59"/>
    <w:rsid w:val="00856272"/>
    <w:rsid w:val="008563FF"/>
    <w:rsid w:val="00857284"/>
    <w:rsid w:val="0086018B"/>
    <w:rsid w:val="008611DD"/>
    <w:rsid w:val="008620DE"/>
    <w:rsid w:val="0086540B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03"/>
    <w:rsid w:val="008C3524"/>
    <w:rsid w:val="008C4061"/>
    <w:rsid w:val="008C4229"/>
    <w:rsid w:val="008C5BE0"/>
    <w:rsid w:val="008C7233"/>
    <w:rsid w:val="008C75E7"/>
    <w:rsid w:val="008D2434"/>
    <w:rsid w:val="008E171D"/>
    <w:rsid w:val="008E2785"/>
    <w:rsid w:val="008E3F62"/>
    <w:rsid w:val="008E4C34"/>
    <w:rsid w:val="008E78A3"/>
    <w:rsid w:val="008F0654"/>
    <w:rsid w:val="008F06CB"/>
    <w:rsid w:val="008F1821"/>
    <w:rsid w:val="008F2E83"/>
    <w:rsid w:val="008F3A78"/>
    <w:rsid w:val="008F3B0B"/>
    <w:rsid w:val="008F612A"/>
    <w:rsid w:val="008F6E2B"/>
    <w:rsid w:val="008F7122"/>
    <w:rsid w:val="0090293D"/>
    <w:rsid w:val="009034DE"/>
    <w:rsid w:val="009040BD"/>
    <w:rsid w:val="00905396"/>
    <w:rsid w:val="0090605D"/>
    <w:rsid w:val="00906419"/>
    <w:rsid w:val="00911907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1181"/>
    <w:rsid w:val="00943751"/>
    <w:rsid w:val="00946DD0"/>
    <w:rsid w:val="009509E6"/>
    <w:rsid w:val="00952018"/>
    <w:rsid w:val="00952800"/>
    <w:rsid w:val="0095300D"/>
    <w:rsid w:val="0095588E"/>
    <w:rsid w:val="00956812"/>
    <w:rsid w:val="0095719A"/>
    <w:rsid w:val="00961CDC"/>
    <w:rsid w:val="009623E9"/>
    <w:rsid w:val="00963EEB"/>
    <w:rsid w:val="009648BC"/>
    <w:rsid w:val="00964C2F"/>
    <w:rsid w:val="00965F88"/>
    <w:rsid w:val="009725A7"/>
    <w:rsid w:val="00973FA3"/>
    <w:rsid w:val="00982EF0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17C"/>
    <w:rsid w:val="009C79AD"/>
    <w:rsid w:val="009C7CA6"/>
    <w:rsid w:val="009D3119"/>
    <w:rsid w:val="009D3316"/>
    <w:rsid w:val="009D55AA"/>
    <w:rsid w:val="009E3E77"/>
    <w:rsid w:val="009E3FAB"/>
    <w:rsid w:val="009E5B3F"/>
    <w:rsid w:val="009E7D90"/>
    <w:rsid w:val="009F1AB0"/>
    <w:rsid w:val="009F501D"/>
    <w:rsid w:val="00A00B9A"/>
    <w:rsid w:val="00A039D5"/>
    <w:rsid w:val="00A046AD"/>
    <w:rsid w:val="00A079C1"/>
    <w:rsid w:val="00A11422"/>
    <w:rsid w:val="00A12520"/>
    <w:rsid w:val="00A130FD"/>
    <w:rsid w:val="00A13D6D"/>
    <w:rsid w:val="00A14769"/>
    <w:rsid w:val="00A16151"/>
    <w:rsid w:val="00A16EC6"/>
    <w:rsid w:val="00A17BEB"/>
    <w:rsid w:val="00A17C06"/>
    <w:rsid w:val="00A2126E"/>
    <w:rsid w:val="00A21706"/>
    <w:rsid w:val="00A24FCC"/>
    <w:rsid w:val="00A26A90"/>
    <w:rsid w:val="00A26B27"/>
    <w:rsid w:val="00A30E4F"/>
    <w:rsid w:val="00A32253"/>
    <w:rsid w:val="00A32534"/>
    <w:rsid w:val="00A3310E"/>
    <w:rsid w:val="00A333A0"/>
    <w:rsid w:val="00A37E70"/>
    <w:rsid w:val="00A40E9E"/>
    <w:rsid w:val="00A437E1"/>
    <w:rsid w:val="00A4685E"/>
    <w:rsid w:val="00A50CD4"/>
    <w:rsid w:val="00A51191"/>
    <w:rsid w:val="00A52B8F"/>
    <w:rsid w:val="00A5691A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0A77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699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1701"/>
    <w:rsid w:val="00AE28F2"/>
    <w:rsid w:val="00AE4179"/>
    <w:rsid w:val="00AE4425"/>
    <w:rsid w:val="00AE4FBE"/>
    <w:rsid w:val="00AE629F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0C02"/>
    <w:rsid w:val="00B13921"/>
    <w:rsid w:val="00B1528C"/>
    <w:rsid w:val="00B16ACD"/>
    <w:rsid w:val="00B16FA4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1AC5"/>
    <w:rsid w:val="00B535C2"/>
    <w:rsid w:val="00B55544"/>
    <w:rsid w:val="00B642FC"/>
    <w:rsid w:val="00B64D26"/>
    <w:rsid w:val="00B64FBB"/>
    <w:rsid w:val="00B70E22"/>
    <w:rsid w:val="00B738BC"/>
    <w:rsid w:val="00B774CB"/>
    <w:rsid w:val="00B80402"/>
    <w:rsid w:val="00B80B9A"/>
    <w:rsid w:val="00B8181A"/>
    <w:rsid w:val="00B830B7"/>
    <w:rsid w:val="00B848EA"/>
    <w:rsid w:val="00B84B2B"/>
    <w:rsid w:val="00B90500"/>
    <w:rsid w:val="00B9176C"/>
    <w:rsid w:val="00B935A4"/>
    <w:rsid w:val="00B94AB0"/>
    <w:rsid w:val="00B97DCE"/>
    <w:rsid w:val="00BA561A"/>
    <w:rsid w:val="00BB0DC6"/>
    <w:rsid w:val="00BB15E4"/>
    <w:rsid w:val="00BB1E19"/>
    <w:rsid w:val="00BB21D1"/>
    <w:rsid w:val="00BB32F2"/>
    <w:rsid w:val="00BB4338"/>
    <w:rsid w:val="00BB4CBA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847"/>
    <w:rsid w:val="00BF624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7177"/>
    <w:rsid w:val="00C2363F"/>
    <w:rsid w:val="00C236C8"/>
    <w:rsid w:val="00C248C2"/>
    <w:rsid w:val="00C260B1"/>
    <w:rsid w:val="00C26E56"/>
    <w:rsid w:val="00C31406"/>
    <w:rsid w:val="00C31D78"/>
    <w:rsid w:val="00C37194"/>
    <w:rsid w:val="00C3729B"/>
    <w:rsid w:val="00C40637"/>
    <w:rsid w:val="00C40F6C"/>
    <w:rsid w:val="00C44426"/>
    <w:rsid w:val="00C445F3"/>
    <w:rsid w:val="00C451F4"/>
    <w:rsid w:val="00C45EB1"/>
    <w:rsid w:val="00C50D40"/>
    <w:rsid w:val="00C54A3A"/>
    <w:rsid w:val="00C55566"/>
    <w:rsid w:val="00C56448"/>
    <w:rsid w:val="00C667BE"/>
    <w:rsid w:val="00C6766B"/>
    <w:rsid w:val="00C72223"/>
    <w:rsid w:val="00C7299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1210"/>
    <w:rsid w:val="00CB18D0"/>
    <w:rsid w:val="00CB1C8A"/>
    <w:rsid w:val="00CB24F5"/>
    <w:rsid w:val="00CB2663"/>
    <w:rsid w:val="00CB3BBE"/>
    <w:rsid w:val="00CB59E9"/>
    <w:rsid w:val="00CC0CAD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46CE"/>
    <w:rsid w:val="00CF09AA"/>
    <w:rsid w:val="00CF0A65"/>
    <w:rsid w:val="00CF4813"/>
    <w:rsid w:val="00CF5233"/>
    <w:rsid w:val="00D01986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1993"/>
    <w:rsid w:val="00D22A05"/>
    <w:rsid w:val="00D22AF5"/>
    <w:rsid w:val="00D235EA"/>
    <w:rsid w:val="00D247A9"/>
    <w:rsid w:val="00D32721"/>
    <w:rsid w:val="00D328DC"/>
    <w:rsid w:val="00D33387"/>
    <w:rsid w:val="00D36B65"/>
    <w:rsid w:val="00D402FB"/>
    <w:rsid w:val="00D47D7A"/>
    <w:rsid w:val="00D50ABD"/>
    <w:rsid w:val="00D527F5"/>
    <w:rsid w:val="00D55290"/>
    <w:rsid w:val="00D57791"/>
    <w:rsid w:val="00D6046A"/>
    <w:rsid w:val="00D62870"/>
    <w:rsid w:val="00D64259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A30"/>
    <w:rsid w:val="00D76EC9"/>
    <w:rsid w:val="00D80E7D"/>
    <w:rsid w:val="00D81397"/>
    <w:rsid w:val="00D82F96"/>
    <w:rsid w:val="00D848B9"/>
    <w:rsid w:val="00D8520F"/>
    <w:rsid w:val="00D87843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32E5"/>
    <w:rsid w:val="00DC4AF0"/>
    <w:rsid w:val="00DC7886"/>
    <w:rsid w:val="00DD0CF2"/>
    <w:rsid w:val="00DE1554"/>
    <w:rsid w:val="00DE2901"/>
    <w:rsid w:val="00DE590F"/>
    <w:rsid w:val="00DE666D"/>
    <w:rsid w:val="00DE7DC1"/>
    <w:rsid w:val="00DF3F7E"/>
    <w:rsid w:val="00DF7648"/>
    <w:rsid w:val="00E00E29"/>
    <w:rsid w:val="00E02BAB"/>
    <w:rsid w:val="00E04192"/>
    <w:rsid w:val="00E04CEB"/>
    <w:rsid w:val="00E060BC"/>
    <w:rsid w:val="00E11420"/>
    <w:rsid w:val="00E132FB"/>
    <w:rsid w:val="00E14EC4"/>
    <w:rsid w:val="00E170B7"/>
    <w:rsid w:val="00E177DD"/>
    <w:rsid w:val="00E20900"/>
    <w:rsid w:val="00E20C7F"/>
    <w:rsid w:val="00E23671"/>
    <w:rsid w:val="00E2396E"/>
    <w:rsid w:val="00E23D2C"/>
    <w:rsid w:val="00E24728"/>
    <w:rsid w:val="00E276AC"/>
    <w:rsid w:val="00E31ED2"/>
    <w:rsid w:val="00E34358"/>
    <w:rsid w:val="00E34A35"/>
    <w:rsid w:val="00E37B0D"/>
    <w:rsid w:val="00E37C2F"/>
    <w:rsid w:val="00E41C28"/>
    <w:rsid w:val="00E46308"/>
    <w:rsid w:val="00E51E17"/>
    <w:rsid w:val="00E52801"/>
    <w:rsid w:val="00E52CAC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7AA"/>
    <w:rsid w:val="00E83168"/>
    <w:rsid w:val="00E83ADD"/>
    <w:rsid w:val="00E84F38"/>
    <w:rsid w:val="00E85623"/>
    <w:rsid w:val="00E87441"/>
    <w:rsid w:val="00E91FAE"/>
    <w:rsid w:val="00E96E3F"/>
    <w:rsid w:val="00EA270C"/>
    <w:rsid w:val="00EA4974"/>
    <w:rsid w:val="00EA4C5C"/>
    <w:rsid w:val="00EA532E"/>
    <w:rsid w:val="00EB06D9"/>
    <w:rsid w:val="00EB0A07"/>
    <w:rsid w:val="00EB192B"/>
    <w:rsid w:val="00EB19ED"/>
    <w:rsid w:val="00EB1CAB"/>
    <w:rsid w:val="00EC0F5A"/>
    <w:rsid w:val="00EC3D37"/>
    <w:rsid w:val="00EC3E67"/>
    <w:rsid w:val="00EC4265"/>
    <w:rsid w:val="00EC4CEB"/>
    <w:rsid w:val="00EC659E"/>
    <w:rsid w:val="00EC718E"/>
    <w:rsid w:val="00ED1BC0"/>
    <w:rsid w:val="00ED1CB7"/>
    <w:rsid w:val="00ED2072"/>
    <w:rsid w:val="00ED2AE0"/>
    <w:rsid w:val="00ED4735"/>
    <w:rsid w:val="00ED5553"/>
    <w:rsid w:val="00ED5E36"/>
    <w:rsid w:val="00ED6961"/>
    <w:rsid w:val="00EE6464"/>
    <w:rsid w:val="00EF0335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7200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2EC5"/>
    <w:rsid w:val="00F66B34"/>
    <w:rsid w:val="00F675B9"/>
    <w:rsid w:val="00F67D5F"/>
    <w:rsid w:val="00F711C9"/>
    <w:rsid w:val="00F74C59"/>
    <w:rsid w:val="00F75C3A"/>
    <w:rsid w:val="00F80A87"/>
    <w:rsid w:val="00F82A6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0954"/>
    <w:rsid w:val="00FB121C"/>
    <w:rsid w:val="00FB1CDD"/>
    <w:rsid w:val="00FB1FBF"/>
    <w:rsid w:val="00FB2C2F"/>
    <w:rsid w:val="00FB305C"/>
    <w:rsid w:val="00FB7406"/>
    <w:rsid w:val="00FC2E3D"/>
    <w:rsid w:val="00FC3BDE"/>
    <w:rsid w:val="00FC5BA8"/>
    <w:rsid w:val="00FC654F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1DC5"/>
    <w:rsid w:val="00FE4D63"/>
    <w:rsid w:val="00FE730A"/>
    <w:rsid w:val="00FF1A13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88C7D"/>
  <w15:docId w15:val="{65316576-CC77-4C3E-AE9D-2C8793FF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67D5F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D8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D8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jows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E22CB9-B32F-4AFD-B158-CA5C96DE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170</TotalTime>
  <Pages>5</Pages>
  <Words>1336</Words>
  <Characters>8022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Ola Puczniewska</dc:creator>
  <cp:lastModifiedBy>ZAWADZKI Kamil</cp:lastModifiedBy>
  <cp:revision>7</cp:revision>
  <cp:lastPrinted>2012-04-23T06:39:00Z</cp:lastPrinted>
  <dcterms:created xsi:type="dcterms:W3CDTF">2022-02-23T08:16:00Z</dcterms:created>
  <dcterms:modified xsi:type="dcterms:W3CDTF">2022-03-31T09:13:00Z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