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6995" w14:textId="7D1D9B7A" w:rsidR="00AA4D34" w:rsidRPr="002C2748" w:rsidRDefault="00AA4D34" w:rsidP="00AA4D34">
      <w:pPr>
        <w:pStyle w:val="NIEARTTEKSTtekstnieartykuowanynppodstprawnarozplubpreambua"/>
        <w:spacing w:before="0" w:after="240" w:line="276" w:lineRule="auto"/>
        <w:ind w:firstLine="567"/>
        <w:jc w:val="right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2C2748">
        <w:rPr>
          <w:rFonts w:ascii="Times New Roman" w:eastAsia="Times New Roman" w:hAnsi="Times New Roman" w:cs="Times New Roman"/>
          <w:bCs w:val="0"/>
          <w:sz w:val="22"/>
          <w:szCs w:val="22"/>
        </w:rPr>
        <w:t xml:space="preserve">Projekt z </w:t>
      </w:r>
      <w:r w:rsidR="00602A73" w:rsidRPr="002C2748">
        <w:rPr>
          <w:rFonts w:ascii="Times New Roman" w:eastAsia="Times New Roman" w:hAnsi="Times New Roman" w:cs="Times New Roman"/>
          <w:bCs w:val="0"/>
          <w:sz w:val="22"/>
          <w:szCs w:val="22"/>
        </w:rPr>
        <w:t>2</w:t>
      </w:r>
      <w:r w:rsidR="00182E7C" w:rsidRPr="002C2748">
        <w:rPr>
          <w:rFonts w:ascii="Times New Roman" w:eastAsia="Times New Roman" w:hAnsi="Times New Roman" w:cs="Times New Roman"/>
          <w:bCs w:val="0"/>
          <w:sz w:val="22"/>
          <w:szCs w:val="22"/>
        </w:rPr>
        <w:t>3</w:t>
      </w:r>
      <w:r w:rsidRPr="002C2748">
        <w:rPr>
          <w:rFonts w:ascii="Times New Roman" w:eastAsia="Times New Roman" w:hAnsi="Times New Roman" w:cs="Times New Roman"/>
          <w:bCs w:val="0"/>
          <w:sz w:val="22"/>
          <w:szCs w:val="22"/>
        </w:rPr>
        <w:t>.</w:t>
      </w:r>
      <w:r w:rsidR="00F47C74" w:rsidRPr="002C2748">
        <w:rPr>
          <w:rFonts w:ascii="Times New Roman" w:eastAsia="Times New Roman" w:hAnsi="Times New Roman" w:cs="Times New Roman"/>
          <w:bCs w:val="0"/>
          <w:sz w:val="22"/>
          <w:szCs w:val="22"/>
        </w:rPr>
        <w:t>0</w:t>
      </w:r>
      <w:r w:rsidR="00182E7C" w:rsidRPr="002C2748">
        <w:rPr>
          <w:rFonts w:ascii="Times New Roman" w:eastAsia="Times New Roman" w:hAnsi="Times New Roman" w:cs="Times New Roman"/>
          <w:bCs w:val="0"/>
          <w:sz w:val="22"/>
          <w:szCs w:val="22"/>
        </w:rPr>
        <w:t>2</w:t>
      </w:r>
      <w:r w:rsidRPr="002C2748">
        <w:rPr>
          <w:rFonts w:ascii="Times New Roman" w:eastAsia="Times New Roman" w:hAnsi="Times New Roman" w:cs="Times New Roman"/>
          <w:bCs w:val="0"/>
          <w:sz w:val="22"/>
          <w:szCs w:val="22"/>
        </w:rPr>
        <w:t>.202</w:t>
      </w:r>
      <w:r w:rsidR="00F47C74" w:rsidRPr="002C2748">
        <w:rPr>
          <w:rFonts w:ascii="Times New Roman" w:eastAsia="Times New Roman" w:hAnsi="Times New Roman" w:cs="Times New Roman"/>
          <w:bCs w:val="0"/>
          <w:sz w:val="22"/>
          <w:szCs w:val="22"/>
        </w:rPr>
        <w:t>2</w:t>
      </w:r>
      <w:r w:rsidRPr="002C2748">
        <w:rPr>
          <w:rFonts w:ascii="Times New Roman" w:eastAsia="Times New Roman" w:hAnsi="Times New Roman" w:cs="Times New Roman"/>
          <w:bCs w:val="0"/>
          <w:sz w:val="22"/>
          <w:szCs w:val="22"/>
        </w:rPr>
        <w:t xml:space="preserve"> r.</w:t>
      </w:r>
    </w:p>
    <w:p w14:paraId="41EE7866" w14:textId="71C8EF68" w:rsidR="00E30E65" w:rsidRPr="002C2748" w:rsidRDefault="00E30E65" w:rsidP="00B00D4A">
      <w:pPr>
        <w:pStyle w:val="NIEARTTEKSTtekstnieartykuowanynppodstprawnarozplubpreambua"/>
        <w:spacing w:before="0" w:after="24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C2748">
        <w:rPr>
          <w:rFonts w:ascii="Times New Roman" w:eastAsia="Times New Roman" w:hAnsi="Times New Roman" w:cs="Times New Roman"/>
          <w:b/>
          <w:sz w:val="22"/>
          <w:szCs w:val="22"/>
        </w:rPr>
        <w:t>Uzasadnienie</w:t>
      </w:r>
    </w:p>
    <w:p w14:paraId="7A27E5B5" w14:textId="25C01BCA" w:rsidR="00B00D4A" w:rsidRPr="002C2748" w:rsidRDefault="00B00D4A" w:rsidP="00DF256B">
      <w:pPr>
        <w:pStyle w:val="NIEARTTEKSTtekstnieartykuowanynppodstprawnarozplubpreambua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C2748">
        <w:rPr>
          <w:rFonts w:ascii="Times New Roman" w:hAnsi="Times New Roman" w:cs="Times New Roman"/>
          <w:sz w:val="22"/>
          <w:szCs w:val="22"/>
        </w:rPr>
        <w:t>Obecnie obowiązuje rozporządzenie Ministra Energii z dnia 12 czerwca 2017 r. w sprawie metodyki obliczania emisji gazów cieplarnianych, określenia wskaźników ich emisji oraz wartości opałowej dla poszczególnych paliw i wartości energetycznej energii elektrycznej (Dz.</w:t>
      </w:r>
      <w:r w:rsidR="005A5E9B" w:rsidRPr="002C2748">
        <w:rPr>
          <w:rFonts w:ascii="Times New Roman" w:hAnsi="Times New Roman" w:cs="Times New Roman"/>
          <w:sz w:val="22"/>
          <w:szCs w:val="22"/>
        </w:rPr>
        <w:t xml:space="preserve"> </w:t>
      </w:r>
      <w:r w:rsidRPr="002C2748">
        <w:rPr>
          <w:rFonts w:ascii="Times New Roman" w:hAnsi="Times New Roman" w:cs="Times New Roman"/>
          <w:sz w:val="22"/>
          <w:szCs w:val="22"/>
        </w:rPr>
        <w:t>U.</w:t>
      </w:r>
      <w:r w:rsidR="005A5E9B" w:rsidRPr="002C2748">
        <w:rPr>
          <w:rFonts w:ascii="Times New Roman" w:hAnsi="Times New Roman" w:cs="Times New Roman"/>
          <w:sz w:val="22"/>
          <w:szCs w:val="22"/>
        </w:rPr>
        <w:t xml:space="preserve"> z 2017</w:t>
      </w:r>
      <w:r w:rsidR="00770C73" w:rsidRPr="002C2748">
        <w:rPr>
          <w:rFonts w:ascii="Times New Roman" w:hAnsi="Times New Roman" w:cs="Times New Roman"/>
          <w:sz w:val="22"/>
          <w:szCs w:val="22"/>
        </w:rPr>
        <w:t xml:space="preserve"> r.</w:t>
      </w:r>
      <w:r w:rsidR="005A5E9B" w:rsidRPr="002C2748">
        <w:rPr>
          <w:rFonts w:ascii="Times New Roman" w:hAnsi="Times New Roman" w:cs="Times New Roman"/>
          <w:sz w:val="22"/>
          <w:szCs w:val="22"/>
        </w:rPr>
        <w:t>,</w:t>
      </w:r>
      <w:r w:rsidRPr="002C2748">
        <w:rPr>
          <w:rFonts w:ascii="Times New Roman" w:hAnsi="Times New Roman" w:cs="Times New Roman"/>
          <w:sz w:val="22"/>
          <w:szCs w:val="22"/>
        </w:rPr>
        <w:t xml:space="preserve"> poz. 1294)</w:t>
      </w:r>
      <w:r w:rsidR="00500EB2" w:rsidRPr="002C2748">
        <w:rPr>
          <w:rFonts w:ascii="Times New Roman" w:hAnsi="Times New Roman" w:cs="Times New Roman"/>
          <w:sz w:val="22"/>
          <w:szCs w:val="22"/>
        </w:rPr>
        <w:t xml:space="preserve"> – wydane na podstawie art. 30h ustawy z dnia 25 sierpnia 2006 r. o systemie monitorowania i</w:t>
      </w:r>
      <w:r w:rsidR="002251B2" w:rsidRPr="002C2748">
        <w:rPr>
          <w:rFonts w:ascii="Times New Roman" w:hAnsi="Times New Roman" w:cs="Times New Roman"/>
          <w:sz w:val="22"/>
          <w:szCs w:val="22"/>
        </w:rPr>
        <w:t> </w:t>
      </w:r>
      <w:r w:rsidR="00500EB2" w:rsidRPr="002C2748">
        <w:rPr>
          <w:rFonts w:ascii="Times New Roman" w:hAnsi="Times New Roman" w:cs="Times New Roman"/>
          <w:sz w:val="22"/>
          <w:szCs w:val="22"/>
        </w:rPr>
        <w:t xml:space="preserve">kontrolowania jakości paliw </w:t>
      </w:r>
      <w:bookmarkStart w:id="0" w:name="_Hlk88741949"/>
      <w:r w:rsidR="00500EB2" w:rsidRPr="002C2748">
        <w:rPr>
          <w:rFonts w:ascii="Times New Roman" w:hAnsi="Times New Roman" w:cs="Times New Roman"/>
          <w:sz w:val="22"/>
          <w:szCs w:val="22"/>
        </w:rPr>
        <w:t>(Dz.</w:t>
      </w:r>
      <w:r w:rsidR="00770C73" w:rsidRPr="002C2748">
        <w:rPr>
          <w:rFonts w:ascii="Times New Roman" w:hAnsi="Times New Roman" w:cs="Times New Roman"/>
          <w:sz w:val="22"/>
          <w:szCs w:val="22"/>
        </w:rPr>
        <w:t xml:space="preserve"> </w:t>
      </w:r>
      <w:r w:rsidR="00500EB2" w:rsidRPr="002C2748">
        <w:rPr>
          <w:rFonts w:ascii="Times New Roman" w:hAnsi="Times New Roman" w:cs="Times New Roman"/>
          <w:sz w:val="22"/>
          <w:szCs w:val="22"/>
        </w:rPr>
        <w:t>U. z 2021 r.</w:t>
      </w:r>
      <w:r w:rsidR="00770C73" w:rsidRPr="002C2748">
        <w:rPr>
          <w:rFonts w:ascii="Times New Roman" w:hAnsi="Times New Roman" w:cs="Times New Roman"/>
          <w:sz w:val="22"/>
          <w:szCs w:val="22"/>
        </w:rPr>
        <w:t>,</w:t>
      </w:r>
      <w:r w:rsidR="00500EB2" w:rsidRPr="002C2748">
        <w:rPr>
          <w:rFonts w:ascii="Times New Roman" w:hAnsi="Times New Roman" w:cs="Times New Roman"/>
          <w:sz w:val="22"/>
          <w:szCs w:val="22"/>
        </w:rPr>
        <w:t xml:space="preserve"> poz. 133</w:t>
      </w:r>
      <w:r w:rsidR="00F60407" w:rsidRPr="002C2748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F60407" w:rsidRPr="002C2748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F60407" w:rsidRPr="002C2748">
        <w:rPr>
          <w:rFonts w:ascii="Times New Roman" w:hAnsi="Times New Roman" w:cs="Times New Roman"/>
          <w:sz w:val="22"/>
          <w:szCs w:val="22"/>
        </w:rPr>
        <w:t>. zm.</w:t>
      </w:r>
      <w:r w:rsidR="00500EB2" w:rsidRPr="002C2748">
        <w:rPr>
          <w:rFonts w:ascii="Times New Roman" w:hAnsi="Times New Roman" w:cs="Times New Roman"/>
          <w:sz w:val="22"/>
          <w:szCs w:val="22"/>
        </w:rPr>
        <w:t>)</w:t>
      </w:r>
      <w:bookmarkEnd w:id="0"/>
      <w:r w:rsidR="00500EB2" w:rsidRPr="002C2748">
        <w:rPr>
          <w:rFonts w:ascii="Times New Roman" w:hAnsi="Times New Roman" w:cs="Times New Roman"/>
          <w:sz w:val="22"/>
          <w:szCs w:val="22"/>
        </w:rPr>
        <w:t>.</w:t>
      </w:r>
    </w:p>
    <w:p w14:paraId="67A43C93" w14:textId="16A8B215" w:rsidR="00B00D4A" w:rsidRPr="002C2748" w:rsidRDefault="00500EB2" w:rsidP="00DF256B">
      <w:pPr>
        <w:pStyle w:val="NIEARTTEKSTtekstnieartykuowanynppodstprawnarozplubpreambua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C2748">
        <w:rPr>
          <w:rFonts w:ascii="Times New Roman" w:hAnsi="Times New Roman" w:cs="Times New Roman"/>
          <w:sz w:val="22"/>
          <w:szCs w:val="22"/>
        </w:rPr>
        <w:t>Opracowanie projektu</w:t>
      </w:r>
      <w:r w:rsidR="00B00D4A" w:rsidRPr="002C2748">
        <w:rPr>
          <w:rFonts w:ascii="Times New Roman" w:hAnsi="Times New Roman" w:cs="Times New Roman"/>
          <w:sz w:val="22"/>
          <w:szCs w:val="22"/>
        </w:rPr>
        <w:t xml:space="preserve"> nowego rozporządzenia w sprawie metodyki obliczania emisji gazów cieplarnianych, określenia wskaźników ich emisji oraz wartości opałowej dla poszczególnych paliw i</w:t>
      </w:r>
      <w:r w:rsidR="002251B2" w:rsidRPr="002C2748">
        <w:rPr>
          <w:rFonts w:ascii="Times New Roman" w:hAnsi="Times New Roman" w:cs="Times New Roman"/>
          <w:sz w:val="22"/>
          <w:szCs w:val="22"/>
        </w:rPr>
        <w:t> </w:t>
      </w:r>
      <w:r w:rsidR="00B00D4A" w:rsidRPr="002C2748">
        <w:rPr>
          <w:rFonts w:ascii="Times New Roman" w:hAnsi="Times New Roman" w:cs="Times New Roman"/>
          <w:sz w:val="22"/>
          <w:szCs w:val="22"/>
        </w:rPr>
        <w:t xml:space="preserve">wartości energetycznej energii elektrycznej jest konieczne z uwagi na wejście w życie art. 1 pkt 22 ustawy </w:t>
      </w:r>
      <w:r w:rsidR="00423350" w:rsidRPr="002C2748">
        <w:rPr>
          <w:rFonts w:ascii="Times New Roman" w:eastAsia="Times New Roman" w:hAnsi="Times New Roman" w:cs="Times New Roman"/>
          <w:sz w:val="22"/>
          <w:szCs w:val="22"/>
        </w:rPr>
        <w:t>z dnia 11 sierpnia 2021 r. o zmianie ustawy o systemie monitorowania i kontrolowania jakości paliw oraz niektórych innych ustaw (Dz. U. z 2021, poz. 1642)</w:t>
      </w:r>
      <w:r w:rsidR="00B00D4A" w:rsidRPr="002C2748">
        <w:rPr>
          <w:rFonts w:ascii="Times New Roman" w:hAnsi="Times New Roman" w:cs="Times New Roman"/>
          <w:sz w:val="22"/>
          <w:szCs w:val="22"/>
        </w:rPr>
        <w:t xml:space="preserve">, zwanej dalej „ustawą zmieniającą”. </w:t>
      </w:r>
    </w:p>
    <w:p w14:paraId="0A9A5BDA" w14:textId="0126CD34" w:rsidR="00B00D4A" w:rsidRPr="002C2748" w:rsidRDefault="00B00D4A" w:rsidP="00DF256B">
      <w:pPr>
        <w:pStyle w:val="NIEARTTEKSTtekstnieartykuowanynppodstprawnarozplubpreambua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C2748">
        <w:rPr>
          <w:rFonts w:ascii="Times New Roman" w:hAnsi="Times New Roman" w:cs="Times New Roman"/>
          <w:sz w:val="22"/>
          <w:szCs w:val="22"/>
        </w:rPr>
        <w:t>W ustawie zmieniającej dokonano zmiany dotychczasowego zakresu delegacji ustawowej zawartej w</w:t>
      </w:r>
      <w:r w:rsidR="00736923" w:rsidRPr="002C2748">
        <w:rPr>
          <w:rFonts w:ascii="Times New Roman" w:hAnsi="Times New Roman" w:cs="Times New Roman"/>
          <w:sz w:val="22"/>
          <w:szCs w:val="22"/>
        </w:rPr>
        <w:t> </w:t>
      </w:r>
      <w:r w:rsidRPr="002C2748">
        <w:rPr>
          <w:rFonts w:ascii="Times New Roman" w:hAnsi="Times New Roman" w:cs="Times New Roman"/>
          <w:sz w:val="22"/>
          <w:szCs w:val="22"/>
        </w:rPr>
        <w:t>art. 30h ustawy o systemie monitorowania i kontrolowania jakości paliw</w:t>
      </w:r>
      <w:r w:rsidR="00500EB2" w:rsidRPr="002C2748">
        <w:rPr>
          <w:rFonts w:ascii="Times New Roman" w:hAnsi="Times New Roman" w:cs="Times New Roman"/>
          <w:sz w:val="22"/>
          <w:szCs w:val="22"/>
        </w:rPr>
        <w:t>.</w:t>
      </w:r>
      <w:r w:rsidRPr="002C2748">
        <w:rPr>
          <w:rFonts w:ascii="Times New Roman" w:hAnsi="Times New Roman" w:cs="Times New Roman"/>
          <w:sz w:val="22"/>
          <w:szCs w:val="22"/>
        </w:rPr>
        <w:t xml:space="preserve"> Zmiana polegała na usunięciu z delegacji ustawowej obowiązku określenia w drodze rozporządzenia wskaźnika emisji gazów cieplarnianych dla energii elektrycznej. Wskaźnik emisji gazów cieplarnianych dla energii elektrycznej, zgodnie z ustawą zmieniającą, będzie określał minister właściwy do spraw klimatu, w</w:t>
      </w:r>
      <w:r w:rsidR="00736923" w:rsidRPr="002C2748">
        <w:rPr>
          <w:rFonts w:ascii="Times New Roman" w:hAnsi="Times New Roman" w:cs="Times New Roman"/>
          <w:sz w:val="22"/>
          <w:szCs w:val="22"/>
        </w:rPr>
        <w:t> </w:t>
      </w:r>
      <w:r w:rsidRPr="002C2748">
        <w:rPr>
          <w:rFonts w:ascii="Times New Roman" w:hAnsi="Times New Roman" w:cs="Times New Roman"/>
          <w:sz w:val="22"/>
          <w:szCs w:val="22"/>
        </w:rPr>
        <w:t>drodze rozporządzenia, do dnia 31 grudnia każdego roku</w:t>
      </w:r>
      <w:r w:rsidR="00500EB2" w:rsidRPr="002C2748">
        <w:rPr>
          <w:rFonts w:ascii="Times New Roman" w:hAnsi="Times New Roman" w:cs="Times New Roman"/>
          <w:sz w:val="22"/>
          <w:szCs w:val="22"/>
        </w:rPr>
        <w:t xml:space="preserve"> (art. 1 pkt 23 ustawy zmieniającej)</w:t>
      </w:r>
      <w:r w:rsidRPr="002C2748">
        <w:rPr>
          <w:rFonts w:ascii="Times New Roman" w:hAnsi="Times New Roman" w:cs="Times New Roman"/>
          <w:sz w:val="22"/>
          <w:szCs w:val="22"/>
        </w:rPr>
        <w:t>.</w:t>
      </w:r>
    </w:p>
    <w:p w14:paraId="5EC26B1F" w14:textId="33D81E3E" w:rsidR="00B00D4A" w:rsidRPr="002C2748" w:rsidRDefault="00B00D4A" w:rsidP="00736923">
      <w:pPr>
        <w:pStyle w:val="NIEARTTEKSTtekstnieartykuowanynppodstprawnarozplubpreambua"/>
        <w:spacing w:after="12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C2748">
        <w:rPr>
          <w:rFonts w:ascii="Times New Roman" w:hAnsi="Times New Roman" w:cs="Times New Roman"/>
          <w:sz w:val="22"/>
          <w:szCs w:val="22"/>
        </w:rPr>
        <w:t xml:space="preserve">Ponadto, art. </w:t>
      </w:r>
      <w:r w:rsidR="00736923" w:rsidRPr="002C2748">
        <w:rPr>
          <w:rFonts w:ascii="Times New Roman" w:hAnsi="Times New Roman" w:cs="Times New Roman"/>
          <w:sz w:val="22"/>
          <w:szCs w:val="22"/>
        </w:rPr>
        <w:t>20</w:t>
      </w:r>
      <w:r w:rsidRPr="002C2748">
        <w:rPr>
          <w:rFonts w:ascii="Times New Roman" w:hAnsi="Times New Roman" w:cs="Times New Roman"/>
          <w:sz w:val="22"/>
          <w:szCs w:val="22"/>
        </w:rPr>
        <w:t xml:space="preserve"> ustawy zmieniającej stanowi, iż „</w:t>
      </w:r>
      <w:r w:rsidR="00736923" w:rsidRPr="002C2748">
        <w:rPr>
          <w:rFonts w:ascii="Times New Roman" w:hAnsi="Times New Roman" w:cs="Times New Roman"/>
          <w:sz w:val="22"/>
          <w:szCs w:val="22"/>
        </w:rPr>
        <w:t>Dotychczasowe przepisy wykonawcze wydane na podstawie art. 30h ustawy zmienianej w art. 1, w brzmieniu dotychczasowym, zachowują moc do dnia wejścia w życie przepisów wykonawczych wydanych na podstawie art. 30h ustawy zmienianej w art. 1, w brzmieniu nadanym niniejszą ustawą, jednak nie dłużej niż przez 12 miesięcy od dnia wejścia w życie niniejszej ustawy</w:t>
      </w:r>
      <w:r w:rsidRPr="002C2748">
        <w:rPr>
          <w:rFonts w:ascii="Times New Roman" w:hAnsi="Times New Roman" w:cs="Times New Roman"/>
          <w:sz w:val="22"/>
          <w:szCs w:val="22"/>
        </w:rPr>
        <w:t>”.</w:t>
      </w:r>
    </w:p>
    <w:p w14:paraId="29ACC25C" w14:textId="63A91445" w:rsidR="002C6CD3" w:rsidRPr="002C2748" w:rsidRDefault="00791FB3" w:rsidP="002C6CD3">
      <w:pPr>
        <w:spacing w:line="276" w:lineRule="auto"/>
        <w:jc w:val="both"/>
        <w:rPr>
          <w:rFonts w:ascii="Times New Roman" w:hAnsi="Times New Roman" w:cs="Times New Roman"/>
        </w:rPr>
      </w:pPr>
      <w:r w:rsidRPr="002C2748">
        <w:rPr>
          <w:rFonts w:ascii="Times New Roman" w:hAnsi="Times New Roman" w:cs="Times New Roman"/>
          <w:lang w:eastAsia="pl-PL"/>
        </w:rPr>
        <w:t>Obowiązujące rozporządzenie</w:t>
      </w:r>
      <w:r w:rsidR="002C6CD3" w:rsidRPr="002C2748">
        <w:rPr>
          <w:rFonts w:ascii="Times New Roman" w:hAnsi="Times New Roman" w:cs="Times New Roman"/>
          <w:lang w:eastAsia="pl-PL"/>
        </w:rPr>
        <w:t xml:space="preserve"> Ministra Energii z dnia 12 czerwca 2017 r. w sprawie metodyki obliczania emisji gazów cieplarnianych, określenia wskaźników ich emisji oraz wartości opałowej dla poszczególnych paliw i wartości energetycznej energii elektrycznej (Dz.U. z 2017, poz. 1294) </w:t>
      </w:r>
      <w:r w:rsidRPr="002C2748">
        <w:rPr>
          <w:rFonts w:ascii="Times New Roman" w:hAnsi="Times New Roman" w:cs="Times New Roman"/>
          <w:lang w:eastAsia="pl-PL"/>
        </w:rPr>
        <w:t>dokonuje transpozycji do polskiego porządku prawnego postanowień dyrektywy Rady (UE) 2015/652 z dnia 20 kwietnia 2015 r. ustanawiającej metody obliczania i wymogi w zakresie sprawozdawczości zgodnie z</w:t>
      </w:r>
      <w:r w:rsidR="002C6CD3" w:rsidRPr="002C2748">
        <w:rPr>
          <w:rFonts w:ascii="Times New Roman" w:hAnsi="Times New Roman" w:cs="Times New Roman"/>
          <w:lang w:eastAsia="pl-PL"/>
        </w:rPr>
        <w:t> </w:t>
      </w:r>
      <w:r w:rsidRPr="002C2748">
        <w:rPr>
          <w:rFonts w:ascii="Times New Roman" w:hAnsi="Times New Roman" w:cs="Times New Roman"/>
          <w:lang w:eastAsia="pl-PL"/>
        </w:rPr>
        <w:t xml:space="preserve">dyrektywą </w:t>
      </w:r>
      <w:bookmarkStart w:id="1" w:name="_Hlk59124025"/>
      <w:r w:rsidRPr="002C2748">
        <w:rPr>
          <w:rFonts w:ascii="Times New Roman" w:hAnsi="Times New Roman" w:cs="Times New Roman"/>
          <w:lang w:eastAsia="pl-PL"/>
        </w:rPr>
        <w:t xml:space="preserve">98/70/WE </w:t>
      </w:r>
      <w:bookmarkEnd w:id="1"/>
      <w:r w:rsidRPr="002C2748">
        <w:rPr>
          <w:rFonts w:ascii="Times New Roman" w:hAnsi="Times New Roman" w:cs="Times New Roman"/>
          <w:lang w:eastAsia="pl-PL"/>
        </w:rPr>
        <w:t>Parlamentu Europejskiego i Rady odnoszącą się do jakości benzyny i olejów napędowych.</w:t>
      </w:r>
      <w:r w:rsidR="002C6CD3" w:rsidRPr="002C2748">
        <w:rPr>
          <w:rFonts w:ascii="Times New Roman" w:hAnsi="Times New Roman" w:cs="Times New Roman"/>
          <w:lang w:eastAsia="pl-PL"/>
        </w:rPr>
        <w:t xml:space="preserve"> </w:t>
      </w:r>
      <w:r w:rsidR="00B00D4A" w:rsidRPr="002C2748">
        <w:rPr>
          <w:rFonts w:ascii="Times New Roman" w:hAnsi="Times New Roman" w:cs="Times New Roman"/>
        </w:rPr>
        <w:t>Dodatkowo, projekt rozporządzenia uwzględnia część uwag zgłoszonych w trybie roboczym przez Komisję Europejską dotyczących sposobu implementacji przepisów dyrektywy 2015/652.</w:t>
      </w:r>
    </w:p>
    <w:p w14:paraId="2D451682" w14:textId="7B18EB6B" w:rsidR="00DF256B" w:rsidRPr="002C2748" w:rsidRDefault="00651484" w:rsidP="00DF256B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>Celem dyrektywy 2015/652 jest ujednolicenie zasad obliczeń i metodologii monitorowania stopniowego zmniejszania emisyjności paliw stosowanych w transporcie i energii elektrycznej stasowanej w</w:t>
      </w:r>
      <w:r w:rsidR="00F47C74" w:rsidRPr="002C2748">
        <w:rPr>
          <w:rFonts w:ascii="Times New Roman" w:hAnsi="Times New Roman" w:cs="Times New Roman"/>
          <w:lang w:eastAsia="pl-PL"/>
        </w:rPr>
        <w:t> </w:t>
      </w:r>
      <w:r w:rsidRPr="002C2748">
        <w:rPr>
          <w:rFonts w:ascii="Times New Roman" w:hAnsi="Times New Roman" w:cs="Times New Roman"/>
          <w:lang w:eastAsia="pl-PL"/>
        </w:rPr>
        <w:t xml:space="preserve">pojazdach samochodowych. </w:t>
      </w:r>
    </w:p>
    <w:p w14:paraId="366D416E" w14:textId="77777777" w:rsidR="00DF256B" w:rsidRPr="002C2748" w:rsidRDefault="00DF256B" w:rsidP="00DF256B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14:paraId="1B120C04" w14:textId="266AA17E" w:rsidR="008649D8" w:rsidRPr="002C2748" w:rsidRDefault="003E706E" w:rsidP="00DF256B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>W § 1 projektu rozporządzenia został określony zakres projektowanego rozporządzenia. Projekt</w:t>
      </w:r>
      <w:r w:rsidR="008649D8" w:rsidRPr="002C2748">
        <w:rPr>
          <w:rFonts w:ascii="Times New Roman" w:hAnsi="Times New Roman" w:cs="Times New Roman"/>
          <w:lang w:eastAsia="pl-PL"/>
        </w:rPr>
        <w:t xml:space="preserve"> </w:t>
      </w:r>
      <w:r w:rsidR="00E26CB3" w:rsidRPr="002C2748">
        <w:rPr>
          <w:rFonts w:ascii="Times New Roman" w:hAnsi="Times New Roman" w:cs="Times New Roman"/>
          <w:lang w:eastAsia="pl-PL"/>
        </w:rPr>
        <w:t>rozporządzeni</w:t>
      </w:r>
      <w:r w:rsidRPr="002C2748">
        <w:rPr>
          <w:rFonts w:ascii="Times New Roman" w:hAnsi="Times New Roman" w:cs="Times New Roman"/>
          <w:lang w:eastAsia="pl-PL"/>
        </w:rPr>
        <w:t>a określa:</w:t>
      </w:r>
    </w:p>
    <w:p w14:paraId="474DBB36" w14:textId="77777777" w:rsidR="003E706E" w:rsidRPr="002C2748" w:rsidRDefault="00ED38BF" w:rsidP="003E706E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>metodyk</w:t>
      </w:r>
      <w:r w:rsidR="003E706E" w:rsidRPr="002C2748">
        <w:rPr>
          <w:rFonts w:ascii="Times New Roman" w:hAnsi="Times New Roman" w:cs="Times New Roman"/>
          <w:lang w:eastAsia="pl-PL"/>
        </w:rPr>
        <w:t>ę</w:t>
      </w:r>
      <w:r w:rsidRPr="002C2748">
        <w:rPr>
          <w:rFonts w:ascii="Times New Roman" w:hAnsi="Times New Roman" w:cs="Times New Roman"/>
          <w:lang w:eastAsia="pl-PL"/>
        </w:rPr>
        <w:t xml:space="preserve"> obliczania emisji gazów cieplarnianych, w przeliczeniu na jednostkę energii z paliw innych niż biopaliwa ciekłe oraz z energii elektrycznej</w:t>
      </w:r>
      <w:r w:rsidR="003E706E" w:rsidRPr="002C2748">
        <w:rPr>
          <w:rFonts w:ascii="Times New Roman" w:hAnsi="Times New Roman" w:cs="Times New Roman"/>
          <w:lang w:eastAsia="pl-PL"/>
        </w:rPr>
        <w:t xml:space="preserve"> przez podmioty realizujące Narodowy Cel Redukcyjny</w:t>
      </w:r>
      <w:r w:rsidRPr="002C2748">
        <w:rPr>
          <w:rFonts w:ascii="Times New Roman" w:hAnsi="Times New Roman" w:cs="Times New Roman"/>
          <w:lang w:eastAsia="pl-PL"/>
        </w:rPr>
        <w:t>;</w:t>
      </w:r>
    </w:p>
    <w:p w14:paraId="71A342E4" w14:textId="77777777" w:rsidR="003E706E" w:rsidRPr="002C2748" w:rsidRDefault="00ED38BF" w:rsidP="003E706E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>wskaźnik</w:t>
      </w:r>
      <w:r w:rsidR="003E706E" w:rsidRPr="002C2748">
        <w:rPr>
          <w:rFonts w:ascii="Times New Roman" w:hAnsi="Times New Roman" w:cs="Times New Roman"/>
          <w:lang w:eastAsia="pl-PL"/>
        </w:rPr>
        <w:t>i</w:t>
      </w:r>
      <w:r w:rsidRPr="002C2748">
        <w:rPr>
          <w:rFonts w:ascii="Times New Roman" w:hAnsi="Times New Roman" w:cs="Times New Roman"/>
          <w:lang w:eastAsia="pl-PL"/>
        </w:rPr>
        <w:t xml:space="preserve"> emisji gazów cieplarnianych dla poszczególnych paliw;</w:t>
      </w:r>
    </w:p>
    <w:p w14:paraId="3B8FAE5A" w14:textId="77777777" w:rsidR="003E706E" w:rsidRPr="002C2748" w:rsidRDefault="00ED38BF" w:rsidP="003E706E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>emisj</w:t>
      </w:r>
      <w:r w:rsidR="003E706E" w:rsidRPr="002C2748">
        <w:rPr>
          <w:rFonts w:ascii="Times New Roman" w:hAnsi="Times New Roman" w:cs="Times New Roman"/>
          <w:lang w:eastAsia="pl-PL"/>
        </w:rPr>
        <w:t>ę</w:t>
      </w:r>
      <w:r w:rsidRPr="002C2748">
        <w:rPr>
          <w:rFonts w:ascii="Times New Roman" w:hAnsi="Times New Roman" w:cs="Times New Roman"/>
          <w:lang w:eastAsia="pl-PL"/>
        </w:rPr>
        <w:t xml:space="preserve"> gazów cieplarnianych, w przeliczaniu na jednostkę energii z 2010 r.;</w:t>
      </w:r>
    </w:p>
    <w:p w14:paraId="6D67E083" w14:textId="5A61A54F" w:rsidR="00ED38BF" w:rsidRPr="002C2748" w:rsidRDefault="00ED38BF" w:rsidP="003E706E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>wartoś</w:t>
      </w:r>
      <w:r w:rsidR="003E706E" w:rsidRPr="002C2748">
        <w:rPr>
          <w:rFonts w:ascii="Times New Roman" w:hAnsi="Times New Roman" w:cs="Times New Roman"/>
          <w:lang w:eastAsia="pl-PL"/>
        </w:rPr>
        <w:t>ć</w:t>
      </w:r>
      <w:r w:rsidRPr="002C2748">
        <w:rPr>
          <w:rFonts w:ascii="Times New Roman" w:hAnsi="Times New Roman" w:cs="Times New Roman"/>
          <w:lang w:eastAsia="pl-PL"/>
        </w:rPr>
        <w:t xml:space="preserve"> opałow</w:t>
      </w:r>
      <w:r w:rsidR="003E706E" w:rsidRPr="002C2748">
        <w:rPr>
          <w:rFonts w:ascii="Times New Roman" w:hAnsi="Times New Roman" w:cs="Times New Roman"/>
          <w:lang w:eastAsia="pl-PL"/>
        </w:rPr>
        <w:t>ą</w:t>
      </w:r>
      <w:r w:rsidRPr="002C2748">
        <w:rPr>
          <w:rFonts w:ascii="Times New Roman" w:hAnsi="Times New Roman" w:cs="Times New Roman"/>
          <w:lang w:eastAsia="pl-PL"/>
        </w:rPr>
        <w:t xml:space="preserve"> dla poszczególnych paliw oraz wartoś</w:t>
      </w:r>
      <w:r w:rsidR="008649D8" w:rsidRPr="002C2748">
        <w:rPr>
          <w:rFonts w:ascii="Times New Roman" w:hAnsi="Times New Roman" w:cs="Times New Roman"/>
          <w:lang w:eastAsia="pl-PL"/>
        </w:rPr>
        <w:t>ci</w:t>
      </w:r>
      <w:r w:rsidRPr="002C2748">
        <w:rPr>
          <w:rFonts w:ascii="Times New Roman" w:hAnsi="Times New Roman" w:cs="Times New Roman"/>
          <w:lang w:eastAsia="pl-PL"/>
        </w:rPr>
        <w:t xml:space="preserve"> energetyczn</w:t>
      </w:r>
      <w:r w:rsidR="003E706E" w:rsidRPr="002C2748">
        <w:rPr>
          <w:rFonts w:ascii="Times New Roman" w:hAnsi="Times New Roman" w:cs="Times New Roman"/>
          <w:lang w:eastAsia="pl-PL"/>
        </w:rPr>
        <w:t>ą</w:t>
      </w:r>
      <w:r w:rsidRPr="002C2748">
        <w:rPr>
          <w:rFonts w:ascii="Times New Roman" w:hAnsi="Times New Roman" w:cs="Times New Roman"/>
          <w:lang w:eastAsia="pl-PL"/>
        </w:rPr>
        <w:t xml:space="preserve"> energii elektrycznej.</w:t>
      </w:r>
    </w:p>
    <w:p w14:paraId="426DBA6B" w14:textId="177FBA3C" w:rsidR="00B46F7C" w:rsidRPr="002C2748" w:rsidRDefault="00C9266F" w:rsidP="001356F2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lastRenderedPageBreak/>
        <w:t xml:space="preserve">Ustawa </w:t>
      </w:r>
      <w:r w:rsidR="003375ED" w:rsidRPr="002C2748">
        <w:rPr>
          <w:rFonts w:ascii="Times New Roman" w:hAnsi="Times New Roman" w:cs="Times New Roman"/>
          <w:lang w:eastAsia="pl-PL"/>
        </w:rPr>
        <w:t xml:space="preserve">o systemie monitorowania i kontrolowania jakości paliw, </w:t>
      </w:r>
      <w:r w:rsidRPr="002C2748">
        <w:rPr>
          <w:rFonts w:ascii="Times New Roman" w:hAnsi="Times New Roman" w:cs="Times New Roman"/>
          <w:lang w:eastAsia="pl-PL"/>
        </w:rPr>
        <w:t>wdraża</w:t>
      </w:r>
      <w:r w:rsidR="00777D0D" w:rsidRPr="002C2748">
        <w:rPr>
          <w:rFonts w:ascii="Times New Roman" w:hAnsi="Times New Roman" w:cs="Times New Roman"/>
          <w:lang w:eastAsia="pl-PL"/>
        </w:rPr>
        <w:t>jąc</w:t>
      </w:r>
      <w:r w:rsidRPr="002C2748">
        <w:rPr>
          <w:rFonts w:ascii="Times New Roman" w:hAnsi="Times New Roman" w:cs="Times New Roman"/>
          <w:lang w:eastAsia="pl-PL"/>
        </w:rPr>
        <w:t xml:space="preserve"> do polskiego porządku prawnego </w:t>
      </w:r>
      <w:r w:rsidR="003375ED" w:rsidRPr="002C2748">
        <w:rPr>
          <w:rFonts w:ascii="Times New Roman" w:hAnsi="Times New Roman" w:cs="Times New Roman"/>
          <w:lang w:eastAsia="pl-PL"/>
        </w:rPr>
        <w:t xml:space="preserve">art. 7a </w:t>
      </w:r>
      <w:r w:rsidRPr="002C2748">
        <w:rPr>
          <w:rFonts w:ascii="Times New Roman" w:hAnsi="Times New Roman" w:cs="Times New Roman"/>
          <w:lang w:eastAsia="pl-PL"/>
        </w:rPr>
        <w:t>dyrektyw</w:t>
      </w:r>
      <w:r w:rsidR="003375ED" w:rsidRPr="002C2748">
        <w:rPr>
          <w:rFonts w:ascii="Times New Roman" w:hAnsi="Times New Roman" w:cs="Times New Roman"/>
          <w:lang w:eastAsia="pl-PL"/>
        </w:rPr>
        <w:t>y</w:t>
      </w:r>
      <w:r w:rsidRPr="002C2748">
        <w:rPr>
          <w:rFonts w:ascii="Times New Roman" w:hAnsi="Times New Roman" w:cs="Times New Roman"/>
          <w:lang w:eastAsia="pl-PL"/>
        </w:rPr>
        <w:t xml:space="preserve"> 98/70/WE,</w:t>
      </w:r>
      <w:r w:rsidR="003375ED" w:rsidRPr="002C2748">
        <w:rPr>
          <w:rFonts w:ascii="Times New Roman" w:hAnsi="Times New Roman" w:cs="Times New Roman"/>
          <w:lang w:eastAsia="pl-PL"/>
        </w:rPr>
        <w:t xml:space="preserve"> </w:t>
      </w:r>
      <w:r w:rsidR="00777D0D" w:rsidRPr="002C2748">
        <w:rPr>
          <w:rFonts w:ascii="Times New Roman" w:hAnsi="Times New Roman" w:cs="Times New Roman"/>
          <w:lang w:eastAsia="pl-PL"/>
        </w:rPr>
        <w:t>określa w a</w:t>
      </w:r>
      <w:r w:rsidRPr="002C2748">
        <w:rPr>
          <w:rFonts w:ascii="Times New Roman" w:hAnsi="Times New Roman" w:cs="Times New Roman"/>
          <w:lang w:eastAsia="pl-PL"/>
        </w:rPr>
        <w:t>rt. 30b ust. 2</w:t>
      </w:r>
      <w:r w:rsidR="002C6CD3" w:rsidRPr="002C2748">
        <w:rPr>
          <w:rFonts w:ascii="Times New Roman" w:hAnsi="Times New Roman" w:cs="Times New Roman"/>
          <w:lang w:eastAsia="pl-PL"/>
        </w:rPr>
        <w:t xml:space="preserve"> pkt 2</w:t>
      </w:r>
      <w:r w:rsidRPr="002C2748">
        <w:rPr>
          <w:rFonts w:ascii="Times New Roman" w:hAnsi="Times New Roman" w:cs="Times New Roman"/>
          <w:lang w:eastAsia="pl-PL"/>
        </w:rPr>
        <w:t>, że wartość ograniczenia</w:t>
      </w:r>
      <w:r w:rsidR="000D50F3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oblicza się na podstawie wskaźników emisji gazów cieplarnianych dla poszczególnych paliw</w:t>
      </w:r>
      <w:r w:rsidR="000D50F3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lub energii i</w:t>
      </w:r>
      <w:r w:rsidR="002C6CD3" w:rsidRPr="002C2748">
        <w:rPr>
          <w:rFonts w:ascii="Times New Roman" w:hAnsi="Times New Roman" w:cs="Times New Roman"/>
          <w:lang w:eastAsia="pl-PL"/>
        </w:rPr>
        <w:t> </w:t>
      </w:r>
      <w:r w:rsidRPr="002C2748">
        <w:rPr>
          <w:rFonts w:ascii="Times New Roman" w:hAnsi="Times New Roman" w:cs="Times New Roman"/>
          <w:lang w:eastAsia="pl-PL"/>
        </w:rPr>
        <w:t>wartości energetycznych tych paliw lub energii, określonych w przepisach</w:t>
      </w:r>
      <w:r w:rsidR="000D50F3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wykonawczych wydanych na podstawie art. 30h</w:t>
      </w:r>
      <w:r w:rsidR="003375ED" w:rsidRPr="002C2748">
        <w:rPr>
          <w:rFonts w:ascii="Times New Roman" w:hAnsi="Times New Roman" w:cs="Times New Roman"/>
          <w:lang w:eastAsia="pl-PL"/>
        </w:rPr>
        <w:t xml:space="preserve"> i art. 30ha</w:t>
      </w:r>
      <w:r w:rsidRPr="002C2748">
        <w:rPr>
          <w:rFonts w:ascii="Times New Roman" w:hAnsi="Times New Roman" w:cs="Times New Roman"/>
          <w:lang w:eastAsia="pl-PL"/>
        </w:rPr>
        <w:t xml:space="preserve"> ustawy w stosunku do emisji</w:t>
      </w:r>
      <w:r w:rsidR="000D50F3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gazów cieplarnianych w przeliczeniu na jednostkę energii z 2010 r.</w:t>
      </w:r>
    </w:p>
    <w:p w14:paraId="19137AB0" w14:textId="77777777" w:rsidR="00FD51CC" w:rsidRPr="002C2748" w:rsidRDefault="00C9266F" w:rsidP="003375ED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>W § 2 projektu rozporządzenia zostały określone definicje, co ma na celu</w:t>
      </w:r>
      <w:r w:rsidR="000D50F3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usystematyzowanie nazewnictwa stosowanego w załączniku</w:t>
      </w:r>
      <w:r w:rsidR="00762A6C" w:rsidRPr="002C2748">
        <w:rPr>
          <w:rFonts w:ascii="Times New Roman" w:hAnsi="Times New Roman" w:cs="Times New Roman"/>
          <w:lang w:eastAsia="pl-PL"/>
        </w:rPr>
        <w:t xml:space="preserve"> do rozporządzenia</w:t>
      </w:r>
      <w:r w:rsidRPr="002C2748">
        <w:rPr>
          <w:rFonts w:ascii="Times New Roman" w:hAnsi="Times New Roman" w:cs="Times New Roman"/>
          <w:lang w:eastAsia="pl-PL"/>
        </w:rPr>
        <w:t xml:space="preserve"> </w:t>
      </w:r>
      <w:r w:rsidR="00762A6C" w:rsidRPr="002C2748">
        <w:rPr>
          <w:rFonts w:ascii="Times New Roman" w:hAnsi="Times New Roman" w:cs="Times New Roman"/>
          <w:lang w:eastAsia="pl-PL"/>
        </w:rPr>
        <w:t>(</w:t>
      </w:r>
      <w:r w:rsidR="009E36C0" w:rsidRPr="002C2748">
        <w:rPr>
          <w:rFonts w:ascii="Times New Roman" w:hAnsi="Times New Roman" w:cs="Times New Roman"/>
          <w:lang w:eastAsia="pl-PL"/>
        </w:rPr>
        <w:t>t</w:t>
      </w:r>
      <w:r w:rsidRPr="002C2748">
        <w:rPr>
          <w:rFonts w:ascii="Times New Roman" w:hAnsi="Times New Roman" w:cs="Times New Roman"/>
          <w:lang w:eastAsia="pl-PL"/>
        </w:rPr>
        <w:t>abel</w:t>
      </w:r>
      <w:r w:rsidR="00762A6C" w:rsidRPr="002C2748">
        <w:rPr>
          <w:rFonts w:ascii="Times New Roman" w:hAnsi="Times New Roman" w:cs="Times New Roman"/>
          <w:lang w:eastAsia="pl-PL"/>
        </w:rPr>
        <w:t>a</w:t>
      </w:r>
      <w:r w:rsidRPr="002C2748">
        <w:rPr>
          <w:rFonts w:ascii="Times New Roman" w:hAnsi="Times New Roman" w:cs="Times New Roman"/>
          <w:lang w:eastAsia="pl-PL"/>
        </w:rPr>
        <w:t xml:space="preserve"> 1</w:t>
      </w:r>
      <w:r w:rsidR="00762A6C" w:rsidRPr="002C2748">
        <w:rPr>
          <w:rFonts w:ascii="Times New Roman" w:hAnsi="Times New Roman" w:cs="Times New Roman"/>
          <w:lang w:eastAsia="pl-PL"/>
        </w:rPr>
        <w:t>)</w:t>
      </w:r>
      <w:r w:rsidRPr="002C2748">
        <w:rPr>
          <w:rFonts w:ascii="Times New Roman" w:hAnsi="Times New Roman" w:cs="Times New Roman"/>
          <w:lang w:eastAsia="pl-PL"/>
        </w:rPr>
        <w:t xml:space="preserve"> </w:t>
      </w:r>
      <w:r w:rsidR="006B1250" w:rsidRPr="002C2748">
        <w:rPr>
          <w:rFonts w:ascii="Times New Roman" w:hAnsi="Times New Roman" w:cs="Times New Roman"/>
          <w:lang w:eastAsia="pl-PL"/>
        </w:rPr>
        <w:t>oraz s</w:t>
      </w:r>
      <w:r w:rsidRPr="002C2748">
        <w:rPr>
          <w:rFonts w:ascii="Times New Roman" w:hAnsi="Times New Roman" w:cs="Times New Roman"/>
          <w:lang w:eastAsia="pl-PL"/>
        </w:rPr>
        <w:t>tanowi transpozycj</w:t>
      </w:r>
      <w:r w:rsidR="0004747D" w:rsidRPr="002C2748">
        <w:rPr>
          <w:rFonts w:ascii="Times New Roman" w:hAnsi="Times New Roman" w:cs="Times New Roman"/>
          <w:lang w:eastAsia="pl-PL"/>
        </w:rPr>
        <w:t>ę</w:t>
      </w:r>
      <w:r w:rsidR="000D50F3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art. 2 dyrektywy</w:t>
      </w:r>
      <w:r w:rsidR="00A60DA2" w:rsidRPr="002C2748">
        <w:rPr>
          <w:rFonts w:ascii="Times New Roman" w:hAnsi="Times New Roman" w:cs="Times New Roman"/>
          <w:lang w:eastAsia="pl-PL"/>
        </w:rPr>
        <w:t xml:space="preserve"> </w:t>
      </w:r>
      <w:r w:rsidR="00762A6C" w:rsidRPr="002C2748">
        <w:rPr>
          <w:rFonts w:ascii="Times New Roman" w:hAnsi="Times New Roman" w:cs="Times New Roman"/>
          <w:lang w:eastAsia="pl-PL"/>
        </w:rPr>
        <w:t>2015/652</w:t>
      </w:r>
      <w:r w:rsidRPr="002C2748">
        <w:rPr>
          <w:rFonts w:ascii="Times New Roman" w:hAnsi="Times New Roman" w:cs="Times New Roman"/>
          <w:lang w:eastAsia="pl-PL"/>
        </w:rPr>
        <w:t>.</w:t>
      </w:r>
      <w:r w:rsidR="006B1250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Jednoznaczne określenie definicji pozwoli podmiotom realizującym NCR na</w:t>
      </w:r>
      <w:r w:rsidR="000D50F3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wykonywani</w:t>
      </w:r>
      <w:r w:rsidR="003375ED" w:rsidRPr="002C2748">
        <w:rPr>
          <w:rFonts w:ascii="Times New Roman" w:hAnsi="Times New Roman" w:cs="Times New Roman"/>
          <w:lang w:eastAsia="pl-PL"/>
        </w:rPr>
        <w:t>e</w:t>
      </w:r>
      <w:r w:rsidRPr="002C2748">
        <w:rPr>
          <w:rFonts w:ascii="Times New Roman" w:hAnsi="Times New Roman" w:cs="Times New Roman"/>
          <w:lang w:eastAsia="pl-PL"/>
        </w:rPr>
        <w:t xml:space="preserve"> obowiązków sprawozdawczych w sposób spójny.</w:t>
      </w:r>
      <w:r w:rsidR="006B1250" w:rsidRPr="002C2748">
        <w:rPr>
          <w:rFonts w:ascii="Times New Roman" w:hAnsi="Times New Roman" w:cs="Times New Roman"/>
          <w:lang w:eastAsia="pl-PL"/>
        </w:rPr>
        <w:t xml:space="preserve"> </w:t>
      </w:r>
    </w:p>
    <w:p w14:paraId="4EC91EA3" w14:textId="149F091A" w:rsidR="00FD51CC" w:rsidRPr="002C2748" w:rsidRDefault="00B36286" w:rsidP="00FD51CC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 xml:space="preserve">Wprowadzono </w:t>
      </w:r>
      <w:r w:rsidR="00FD51CC" w:rsidRPr="002C2748">
        <w:rPr>
          <w:rFonts w:ascii="Times New Roman" w:hAnsi="Times New Roman" w:cs="Times New Roman"/>
          <w:lang w:eastAsia="pl-PL"/>
        </w:rPr>
        <w:t>m.in.</w:t>
      </w:r>
      <w:r w:rsidRPr="002C2748">
        <w:rPr>
          <w:rFonts w:ascii="Times New Roman" w:hAnsi="Times New Roman" w:cs="Times New Roman"/>
          <w:lang w:eastAsia="pl-PL"/>
        </w:rPr>
        <w:t xml:space="preserve"> definicje</w:t>
      </w:r>
      <w:r w:rsidR="00C9266F" w:rsidRPr="002C2748">
        <w:rPr>
          <w:rFonts w:ascii="Times New Roman" w:hAnsi="Times New Roman" w:cs="Times New Roman"/>
          <w:lang w:eastAsia="pl-PL"/>
        </w:rPr>
        <w:t xml:space="preserve"> bitumu naturalnego</w:t>
      </w:r>
      <w:r w:rsidR="00FD51CC" w:rsidRPr="002C2748">
        <w:rPr>
          <w:rFonts w:ascii="Times New Roman" w:hAnsi="Times New Roman" w:cs="Times New Roman"/>
          <w:lang w:eastAsia="pl-PL"/>
        </w:rPr>
        <w:t xml:space="preserve"> </w:t>
      </w:r>
      <w:r w:rsidR="00C9266F" w:rsidRPr="002C2748">
        <w:rPr>
          <w:rFonts w:ascii="Times New Roman" w:hAnsi="Times New Roman" w:cs="Times New Roman"/>
          <w:lang w:eastAsia="pl-PL"/>
        </w:rPr>
        <w:t>oraz ropy naftowej</w:t>
      </w:r>
      <w:r w:rsidR="00EC2D66" w:rsidRPr="002C2748">
        <w:rPr>
          <w:rFonts w:ascii="Times New Roman" w:hAnsi="Times New Roman" w:cs="Times New Roman"/>
          <w:lang w:eastAsia="pl-PL"/>
        </w:rPr>
        <w:t xml:space="preserve"> </w:t>
      </w:r>
      <w:r w:rsidR="00C9266F" w:rsidRPr="002C2748">
        <w:rPr>
          <w:rFonts w:ascii="Times New Roman" w:hAnsi="Times New Roman" w:cs="Times New Roman"/>
          <w:lang w:eastAsia="pl-PL"/>
        </w:rPr>
        <w:t>konwencjonalnej</w:t>
      </w:r>
      <w:r w:rsidR="006B1250" w:rsidRPr="002C2748">
        <w:rPr>
          <w:rFonts w:ascii="Times New Roman" w:hAnsi="Times New Roman" w:cs="Times New Roman"/>
          <w:lang w:eastAsia="pl-PL"/>
        </w:rPr>
        <w:t>,</w:t>
      </w:r>
      <w:r w:rsidR="00C9266F" w:rsidRPr="002C2748">
        <w:rPr>
          <w:rFonts w:ascii="Times New Roman" w:hAnsi="Times New Roman" w:cs="Times New Roman"/>
          <w:lang w:eastAsia="pl-PL"/>
        </w:rPr>
        <w:t xml:space="preserve"> jako źród</w:t>
      </w:r>
      <w:r w:rsidRPr="002C2748">
        <w:rPr>
          <w:rFonts w:ascii="Times New Roman" w:hAnsi="Times New Roman" w:cs="Times New Roman"/>
          <w:lang w:eastAsia="pl-PL"/>
        </w:rPr>
        <w:t>eł</w:t>
      </w:r>
      <w:r w:rsidR="00C9266F" w:rsidRPr="002C2748">
        <w:rPr>
          <w:rFonts w:ascii="Times New Roman" w:hAnsi="Times New Roman" w:cs="Times New Roman"/>
          <w:lang w:eastAsia="pl-PL"/>
        </w:rPr>
        <w:t xml:space="preserve"> surowca do produkcji paliw</w:t>
      </w:r>
      <w:r w:rsidR="00EC2D66" w:rsidRPr="002C2748">
        <w:rPr>
          <w:rFonts w:ascii="Times New Roman" w:hAnsi="Times New Roman" w:cs="Times New Roman"/>
          <w:lang w:eastAsia="pl-PL"/>
        </w:rPr>
        <w:t>, których gęstość jest wyrażana w stopniach API</w:t>
      </w:r>
      <w:r w:rsidR="00FD51CC" w:rsidRPr="002C2748">
        <w:rPr>
          <w:rFonts w:ascii="Times New Roman" w:hAnsi="Times New Roman" w:cs="Times New Roman"/>
          <w:lang w:eastAsia="pl-PL"/>
        </w:rPr>
        <w:t xml:space="preserve"> -</w:t>
      </w:r>
      <w:r w:rsidR="00EC2D66" w:rsidRPr="002C2748">
        <w:rPr>
          <w:rFonts w:ascii="Times New Roman" w:hAnsi="Times New Roman" w:cs="Times New Roman"/>
          <w:lang w:eastAsia="pl-PL"/>
        </w:rPr>
        <w:t xml:space="preserve"> </w:t>
      </w:r>
      <w:r w:rsidR="00C9266F" w:rsidRPr="002C2748">
        <w:rPr>
          <w:rFonts w:ascii="Times New Roman" w:hAnsi="Times New Roman" w:cs="Times New Roman"/>
          <w:lang w:eastAsia="pl-PL"/>
        </w:rPr>
        <w:t>jednost</w:t>
      </w:r>
      <w:r w:rsidR="00EC2D66" w:rsidRPr="002C2748">
        <w:rPr>
          <w:rFonts w:ascii="Times New Roman" w:hAnsi="Times New Roman" w:cs="Times New Roman"/>
          <w:lang w:eastAsia="pl-PL"/>
        </w:rPr>
        <w:t>ce</w:t>
      </w:r>
      <w:r w:rsidR="00C9266F" w:rsidRPr="002C2748">
        <w:rPr>
          <w:rFonts w:ascii="Times New Roman" w:hAnsi="Times New Roman" w:cs="Times New Roman"/>
          <w:lang w:eastAsia="pl-PL"/>
        </w:rPr>
        <w:t xml:space="preserve"> gęstości Amerykańskiego Instytutu Naftowego (American Petroleum </w:t>
      </w:r>
      <w:proofErr w:type="spellStart"/>
      <w:r w:rsidR="00C9266F" w:rsidRPr="002C2748">
        <w:rPr>
          <w:rFonts w:ascii="Times New Roman" w:hAnsi="Times New Roman" w:cs="Times New Roman"/>
          <w:lang w:eastAsia="pl-PL"/>
        </w:rPr>
        <w:t>Institute</w:t>
      </w:r>
      <w:proofErr w:type="spellEnd"/>
      <w:r w:rsidR="00EC2D66" w:rsidRPr="002C2748">
        <w:rPr>
          <w:rFonts w:ascii="Times New Roman" w:hAnsi="Times New Roman" w:cs="Times New Roman"/>
          <w:lang w:eastAsia="pl-PL"/>
        </w:rPr>
        <w:t>),</w:t>
      </w:r>
      <w:r w:rsidR="00C9266F" w:rsidRPr="002C2748">
        <w:rPr>
          <w:rFonts w:ascii="Times New Roman" w:hAnsi="Times New Roman" w:cs="Times New Roman"/>
          <w:lang w:eastAsia="pl-PL"/>
        </w:rPr>
        <w:t xml:space="preserve"> regularnie stosowan</w:t>
      </w:r>
      <w:r w:rsidR="00EC2D66" w:rsidRPr="002C2748">
        <w:rPr>
          <w:rFonts w:ascii="Times New Roman" w:hAnsi="Times New Roman" w:cs="Times New Roman"/>
          <w:lang w:eastAsia="pl-PL"/>
        </w:rPr>
        <w:t>ej</w:t>
      </w:r>
      <w:r w:rsidR="00C9266F" w:rsidRPr="002C2748">
        <w:rPr>
          <w:rFonts w:ascii="Times New Roman" w:hAnsi="Times New Roman" w:cs="Times New Roman"/>
          <w:lang w:eastAsia="pl-PL"/>
        </w:rPr>
        <w:t xml:space="preserve"> w branży naftowej i petrochemicznej w celu</w:t>
      </w:r>
      <w:r w:rsidR="00EC2D66" w:rsidRPr="002C2748">
        <w:rPr>
          <w:rFonts w:ascii="Times New Roman" w:hAnsi="Times New Roman" w:cs="Times New Roman"/>
          <w:lang w:eastAsia="pl-PL"/>
        </w:rPr>
        <w:t xml:space="preserve"> </w:t>
      </w:r>
      <w:r w:rsidR="00C9266F" w:rsidRPr="002C2748">
        <w:rPr>
          <w:rFonts w:ascii="Times New Roman" w:hAnsi="Times New Roman" w:cs="Times New Roman"/>
          <w:lang w:eastAsia="pl-PL"/>
        </w:rPr>
        <w:t>określenia gęstości ropy i produktów naftowych</w:t>
      </w:r>
      <w:r w:rsidR="00EC2D66" w:rsidRPr="002C2748">
        <w:rPr>
          <w:rFonts w:ascii="Times New Roman" w:hAnsi="Times New Roman" w:cs="Times New Roman"/>
          <w:lang w:eastAsia="pl-PL"/>
        </w:rPr>
        <w:t>, która stanowi</w:t>
      </w:r>
      <w:r w:rsidR="00C9266F" w:rsidRPr="002C2748">
        <w:rPr>
          <w:rFonts w:ascii="Times New Roman" w:hAnsi="Times New Roman" w:cs="Times New Roman"/>
          <w:lang w:eastAsia="pl-PL"/>
        </w:rPr>
        <w:t xml:space="preserve"> alternatywę dla jednostk</w:t>
      </w:r>
      <w:r w:rsidR="00895B19" w:rsidRPr="002C2748">
        <w:rPr>
          <w:rFonts w:ascii="Times New Roman" w:hAnsi="Times New Roman" w:cs="Times New Roman"/>
          <w:lang w:eastAsia="pl-PL"/>
        </w:rPr>
        <w:t>i</w:t>
      </w:r>
      <w:r w:rsidR="00EC2D66" w:rsidRPr="002C2748">
        <w:rPr>
          <w:rFonts w:ascii="Times New Roman" w:hAnsi="Times New Roman" w:cs="Times New Roman"/>
          <w:lang w:eastAsia="pl-PL"/>
        </w:rPr>
        <w:t xml:space="preserve"> </w:t>
      </w:r>
      <w:r w:rsidR="00895B19" w:rsidRPr="002C2748">
        <w:rPr>
          <w:rFonts w:ascii="Times New Roman" w:hAnsi="Times New Roman" w:cs="Times New Roman"/>
          <w:lang w:eastAsia="pl-PL"/>
        </w:rPr>
        <w:t>kg/m3</w:t>
      </w:r>
      <w:r w:rsidRPr="002C2748">
        <w:rPr>
          <w:rFonts w:ascii="Times New Roman" w:hAnsi="Times New Roman" w:cs="Times New Roman"/>
          <w:lang w:eastAsia="pl-PL"/>
        </w:rPr>
        <w:t xml:space="preserve">, </w:t>
      </w:r>
      <w:r w:rsidR="00C9266F" w:rsidRPr="002C2748">
        <w:rPr>
          <w:rFonts w:ascii="Times New Roman" w:hAnsi="Times New Roman" w:cs="Times New Roman"/>
          <w:lang w:eastAsia="pl-PL"/>
        </w:rPr>
        <w:t>stosowan</w:t>
      </w:r>
      <w:r w:rsidR="00895B19" w:rsidRPr="002C2748">
        <w:rPr>
          <w:rFonts w:ascii="Times New Roman" w:hAnsi="Times New Roman" w:cs="Times New Roman"/>
          <w:lang w:eastAsia="pl-PL"/>
        </w:rPr>
        <w:t>ej</w:t>
      </w:r>
      <w:r w:rsidR="00C9266F" w:rsidRPr="002C2748">
        <w:rPr>
          <w:rFonts w:ascii="Times New Roman" w:hAnsi="Times New Roman" w:cs="Times New Roman"/>
          <w:lang w:eastAsia="pl-PL"/>
        </w:rPr>
        <w:t xml:space="preserve"> w układzie SI.</w:t>
      </w:r>
      <w:r w:rsidR="006B1250" w:rsidRPr="002C2748">
        <w:rPr>
          <w:rFonts w:ascii="Times New Roman" w:hAnsi="Times New Roman" w:cs="Times New Roman"/>
          <w:lang w:eastAsia="pl-PL"/>
        </w:rPr>
        <w:t xml:space="preserve"> </w:t>
      </w:r>
    </w:p>
    <w:p w14:paraId="614713A1" w14:textId="50E43FBA" w:rsidR="001C2561" w:rsidRPr="002C2748" w:rsidRDefault="00C9266F" w:rsidP="00A524D5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>Zgodnie z definicją gęstości API, produkty naftowe cięższe</w:t>
      </w:r>
      <w:r w:rsidR="004F0817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od wody mają wartość mniejszą niż 10 [</w:t>
      </w:r>
      <w:proofErr w:type="spellStart"/>
      <w:r w:rsidRPr="002C2748">
        <w:rPr>
          <w:rFonts w:ascii="Times New Roman" w:hAnsi="Times New Roman" w:cs="Times New Roman"/>
          <w:vertAlign w:val="superscript"/>
          <w:lang w:eastAsia="pl-PL"/>
        </w:rPr>
        <w:t>o</w:t>
      </w:r>
      <w:r w:rsidRPr="002C2748">
        <w:rPr>
          <w:rFonts w:ascii="Times New Roman" w:hAnsi="Times New Roman" w:cs="Times New Roman"/>
          <w:lang w:eastAsia="pl-PL"/>
        </w:rPr>
        <w:t>API</w:t>
      </w:r>
      <w:proofErr w:type="spellEnd"/>
      <w:r w:rsidRPr="002C2748">
        <w:rPr>
          <w:rFonts w:ascii="Times New Roman" w:hAnsi="Times New Roman" w:cs="Times New Roman"/>
          <w:lang w:eastAsia="pl-PL"/>
        </w:rPr>
        <w:t>], natomiast lżejsze od wody – wartość większą</w:t>
      </w:r>
      <w:r w:rsidR="004F0817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niż 10 [</w:t>
      </w:r>
      <w:proofErr w:type="spellStart"/>
      <w:r w:rsidRPr="002C2748">
        <w:rPr>
          <w:rFonts w:ascii="Times New Roman" w:hAnsi="Times New Roman" w:cs="Times New Roman"/>
          <w:vertAlign w:val="superscript"/>
          <w:lang w:eastAsia="pl-PL"/>
        </w:rPr>
        <w:t>o</w:t>
      </w:r>
      <w:r w:rsidRPr="002C2748">
        <w:rPr>
          <w:rFonts w:ascii="Times New Roman" w:hAnsi="Times New Roman" w:cs="Times New Roman"/>
          <w:lang w:eastAsia="pl-PL"/>
        </w:rPr>
        <w:t>API</w:t>
      </w:r>
      <w:proofErr w:type="spellEnd"/>
      <w:r w:rsidRPr="002C2748">
        <w:rPr>
          <w:rFonts w:ascii="Times New Roman" w:hAnsi="Times New Roman" w:cs="Times New Roman"/>
          <w:lang w:eastAsia="pl-PL"/>
        </w:rPr>
        <w:t xml:space="preserve">]. W </w:t>
      </w:r>
      <w:r w:rsidR="00B36286" w:rsidRPr="002C2748">
        <w:rPr>
          <w:rFonts w:ascii="Times New Roman" w:hAnsi="Times New Roman" w:cs="Times New Roman"/>
          <w:lang w:eastAsia="pl-PL"/>
        </w:rPr>
        <w:t xml:space="preserve">projekcie rozporządzenia </w:t>
      </w:r>
      <w:r w:rsidRPr="002C2748">
        <w:rPr>
          <w:rFonts w:ascii="Times New Roman" w:hAnsi="Times New Roman" w:cs="Times New Roman"/>
          <w:lang w:eastAsia="pl-PL"/>
        </w:rPr>
        <w:t>gęstość API stosuje się w celu rozróżnienia ropy naftowej</w:t>
      </w:r>
      <w:r w:rsidR="004F0817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konwencjonalnej od bitumu naturalnego. Z uwagi na treść dyrektywy 2015/652, klasyfikację</w:t>
      </w:r>
      <w:r w:rsidR="004F0817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kodów CN oraz jasność terminologiczną projektodawca zdecydował się rozdzielić i</w:t>
      </w:r>
      <w:r w:rsidR="004F0817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uszczegółowić te pojęcia. W szczególności termin ropa naftowa konwencjonalna obejmuje</w:t>
      </w:r>
      <w:r w:rsidR="00EC2D66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swoim zakresem ropę naftową (surowiec), której gęstość mieści się między wartością gęstości</w:t>
      </w:r>
      <w:r w:rsidR="00EC2D66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ropy naftowej lekkiej oraz ropy naftowej ciężkiej (wyrażonej w API). Zastosowanie takiego</w:t>
      </w:r>
      <w:r w:rsidR="00EC2D66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terminu jest zgodne z wdrażaną dyrektywą 2015/652.</w:t>
      </w:r>
      <w:r w:rsidR="004F0817" w:rsidRPr="002C2748">
        <w:rPr>
          <w:rFonts w:ascii="Times New Roman" w:hAnsi="Times New Roman" w:cs="Times New Roman"/>
        </w:rPr>
        <w:t xml:space="preserve"> </w:t>
      </w:r>
      <w:r w:rsidR="00EC2D66" w:rsidRPr="002C2748">
        <w:rPr>
          <w:rFonts w:ascii="Times New Roman" w:hAnsi="Times New Roman" w:cs="Times New Roman"/>
        </w:rPr>
        <w:t>Ponadto</w:t>
      </w:r>
      <w:r w:rsidR="0059421B" w:rsidRPr="002C2748">
        <w:rPr>
          <w:rFonts w:ascii="Times New Roman" w:hAnsi="Times New Roman" w:cs="Times New Roman"/>
        </w:rPr>
        <w:t>,</w:t>
      </w:r>
      <w:r w:rsidR="00EC2D66" w:rsidRPr="002C2748">
        <w:rPr>
          <w:rFonts w:ascii="Times New Roman" w:hAnsi="Times New Roman" w:cs="Times New Roman"/>
        </w:rPr>
        <w:t xml:space="preserve"> w</w:t>
      </w:r>
      <w:r w:rsidR="004F0817" w:rsidRPr="002C2748">
        <w:rPr>
          <w:rFonts w:ascii="Times New Roman" w:hAnsi="Times New Roman" w:cs="Times New Roman"/>
          <w:lang w:eastAsia="pl-PL"/>
        </w:rPr>
        <w:t xml:space="preserve"> przypadku definicji bitum</w:t>
      </w:r>
      <w:r w:rsidR="00B36286" w:rsidRPr="002C2748">
        <w:rPr>
          <w:rFonts w:ascii="Times New Roman" w:hAnsi="Times New Roman" w:cs="Times New Roman"/>
          <w:lang w:eastAsia="pl-PL"/>
        </w:rPr>
        <w:t>u</w:t>
      </w:r>
      <w:r w:rsidR="004F0817" w:rsidRPr="002C2748">
        <w:rPr>
          <w:rFonts w:ascii="Times New Roman" w:hAnsi="Times New Roman" w:cs="Times New Roman"/>
          <w:lang w:eastAsia="pl-PL"/>
        </w:rPr>
        <w:t xml:space="preserve"> naturaln</w:t>
      </w:r>
      <w:r w:rsidR="00B36286" w:rsidRPr="002C2748">
        <w:rPr>
          <w:rFonts w:ascii="Times New Roman" w:hAnsi="Times New Roman" w:cs="Times New Roman"/>
          <w:lang w:eastAsia="pl-PL"/>
        </w:rPr>
        <w:t>ego</w:t>
      </w:r>
      <w:r w:rsidR="004F0817" w:rsidRPr="002C2748">
        <w:rPr>
          <w:rFonts w:ascii="Times New Roman" w:hAnsi="Times New Roman" w:cs="Times New Roman"/>
          <w:lang w:eastAsia="pl-PL"/>
        </w:rPr>
        <w:t xml:space="preserve"> </w:t>
      </w:r>
      <w:r w:rsidR="0059421B" w:rsidRPr="002C2748">
        <w:rPr>
          <w:rFonts w:ascii="Times New Roman" w:hAnsi="Times New Roman" w:cs="Times New Roman"/>
          <w:lang w:eastAsia="pl-PL"/>
        </w:rPr>
        <w:t xml:space="preserve">oraz ropy naftowej konwencjonalnej, </w:t>
      </w:r>
      <w:r w:rsidR="004F0817" w:rsidRPr="002C2748">
        <w:rPr>
          <w:rFonts w:ascii="Times New Roman" w:hAnsi="Times New Roman" w:cs="Times New Roman"/>
          <w:lang w:eastAsia="pl-PL"/>
        </w:rPr>
        <w:t>wprowadz</w:t>
      </w:r>
      <w:r w:rsidR="00EC2D66" w:rsidRPr="002C2748">
        <w:rPr>
          <w:rFonts w:ascii="Times New Roman" w:hAnsi="Times New Roman" w:cs="Times New Roman"/>
          <w:lang w:eastAsia="pl-PL"/>
        </w:rPr>
        <w:t>ono</w:t>
      </w:r>
      <w:r w:rsidR="004F0817" w:rsidRPr="002C2748">
        <w:rPr>
          <w:rFonts w:ascii="Times New Roman" w:hAnsi="Times New Roman" w:cs="Times New Roman"/>
          <w:lang w:eastAsia="pl-PL"/>
        </w:rPr>
        <w:t xml:space="preserve"> do treści </w:t>
      </w:r>
      <w:r w:rsidR="0059421B" w:rsidRPr="002C2748">
        <w:rPr>
          <w:rFonts w:ascii="Times New Roman" w:hAnsi="Times New Roman" w:cs="Times New Roman"/>
          <w:lang w:eastAsia="pl-PL"/>
        </w:rPr>
        <w:t xml:space="preserve">definicji </w:t>
      </w:r>
      <w:r w:rsidR="004F0817" w:rsidRPr="002C2748">
        <w:rPr>
          <w:rFonts w:ascii="Times New Roman" w:hAnsi="Times New Roman" w:cs="Times New Roman"/>
          <w:lang w:eastAsia="pl-PL"/>
        </w:rPr>
        <w:t>odwołania do metody badawczej ASTM D287</w:t>
      </w:r>
      <w:r w:rsidR="00B36286" w:rsidRPr="002C2748">
        <w:rPr>
          <w:rFonts w:ascii="Times New Roman" w:hAnsi="Times New Roman" w:cs="Times New Roman"/>
          <w:lang w:eastAsia="pl-PL"/>
        </w:rPr>
        <w:t>,</w:t>
      </w:r>
      <w:r w:rsidR="004F0817" w:rsidRPr="002C2748">
        <w:rPr>
          <w:rFonts w:ascii="Times New Roman" w:hAnsi="Times New Roman" w:cs="Times New Roman"/>
          <w:lang w:eastAsia="pl-PL"/>
        </w:rPr>
        <w:t xml:space="preserve"> zgodnie z którą mierzy się </w:t>
      </w:r>
      <w:r w:rsidR="0059421B" w:rsidRPr="002C2748">
        <w:rPr>
          <w:rFonts w:ascii="Times New Roman" w:hAnsi="Times New Roman" w:cs="Times New Roman"/>
          <w:lang w:eastAsia="pl-PL"/>
        </w:rPr>
        <w:t>ich</w:t>
      </w:r>
      <w:r w:rsidR="004F0817" w:rsidRPr="002C2748">
        <w:rPr>
          <w:rFonts w:ascii="Times New Roman" w:hAnsi="Times New Roman" w:cs="Times New Roman"/>
          <w:lang w:eastAsia="pl-PL"/>
        </w:rPr>
        <w:t xml:space="preserve"> gęstość</w:t>
      </w:r>
      <w:r w:rsidR="0059421B" w:rsidRPr="002C2748">
        <w:rPr>
          <w:rFonts w:ascii="Times New Roman" w:hAnsi="Times New Roman" w:cs="Times New Roman"/>
          <w:lang w:eastAsia="pl-PL"/>
        </w:rPr>
        <w:t xml:space="preserve"> </w:t>
      </w:r>
      <w:r w:rsidR="004F0817" w:rsidRPr="002C2748">
        <w:rPr>
          <w:rFonts w:ascii="Times New Roman" w:hAnsi="Times New Roman" w:cs="Times New Roman"/>
          <w:lang w:eastAsia="pl-PL"/>
        </w:rPr>
        <w:t>w złożu w miejscu wydobycia.</w:t>
      </w:r>
    </w:p>
    <w:p w14:paraId="20C9E660" w14:textId="1E0B4F3D" w:rsidR="004F3F86" w:rsidRPr="002C2748" w:rsidRDefault="006763E9" w:rsidP="00F47C74">
      <w:pPr>
        <w:spacing w:before="240"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 xml:space="preserve">W </w:t>
      </w:r>
      <w:r w:rsidR="00187F05" w:rsidRPr="002C2748">
        <w:rPr>
          <w:rFonts w:ascii="Times New Roman" w:hAnsi="Times New Roman" w:cs="Times New Roman"/>
          <w:lang w:eastAsia="pl-PL"/>
        </w:rPr>
        <w:t xml:space="preserve">§ 3 </w:t>
      </w:r>
      <w:r w:rsidR="0059421B" w:rsidRPr="002C2748">
        <w:rPr>
          <w:rFonts w:ascii="Times New Roman" w:hAnsi="Times New Roman" w:cs="Times New Roman"/>
          <w:lang w:eastAsia="pl-PL"/>
        </w:rPr>
        <w:t>projektu</w:t>
      </w:r>
      <w:r w:rsidR="00187F05" w:rsidRPr="002C2748">
        <w:rPr>
          <w:rFonts w:ascii="Times New Roman" w:hAnsi="Times New Roman" w:cs="Times New Roman"/>
          <w:lang w:eastAsia="pl-PL"/>
        </w:rPr>
        <w:t xml:space="preserve"> rozporządzenia </w:t>
      </w:r>
      <w:r w:rsidRPr="002C2748">
        <w:rPr>
          <w:rFonts w:ascii="Times New Roman" w:hAnsi="Times New Roman" w:cs="Times New Roman"/>
          <w:lang w:eastAsia="pl-PL"/>
        </w:rPr>
        <w:t xml:space="preserve">dokonano </w:t>
      </w:r>
      <w:r w:rsidR="00187F05" w:rsidRPr="002C2748">
        <w:rPr>
          <w:rFonts w:ascii="Times New Roman" w:hAnsi="Times New Roman" w:cs="Times New Roman"/>
          <w:lang w:eastAsia="pl-PL"/>
        </w:rPr>
        <w:t xml:space="preserve">implementacji Załącznika I dyrektywy 2015/652, </w:t>
      </w:r>
      <w:r w:rsidR="0059421B" w:rsidRPr="002C2748">
        <w:rPr>
          <w:rFonts w:ascii="Times New Roman" w:hAnsi="Times New Roman" w:cs="Times New Roman"/>
          <w:lang w:eastAsia="pl-PL"/>
        </w:rPr>
        <w:t>C</w:t>
      </w:r>
      <w:r w:rsidR="00187F05" w:rsidRPr="002C2748">
        <w:rPr>
          <w:rFonts w:ascii="Times New Roman" w:hAnsi="Times New Roman" w:cs="Times New Roman"/>
          <w:lang w:eastAsia="pl-PL"/>
        </w:rPr>
        <w:t>zęść 1</w:t>
      </w:r>
      <w:r w:rsidRPr="002C2748">
        <w:rPr>
          <w:rFonts w:ascii="Times New Roman" w:hAnsi="Times New Roman" w:cs="Times New Roman"/>
          <w:lang w:eastAsia="pl-PL"/>
        </w:rPr>
        <w:t xml:space="preserve">. </w:t>
      </w:r>
      <w:r w:rsidR="004F3F86" w:rsidRPr="002C2748">
        <w:rPr>
          <w:rFonts w:ascii="Times New Roman" w:hAnsi="Times New Roman" w:cs="Times New Roman"/>
          <w:lang w:eastAsia="pl-PL"/>
        </w:rPr>
        <w:br/>
      </w:r>
      <w:r w:rsidR="00B3038F" w:rsidRPr="002C2748">
        <w:rPr>
          <w:rFonts w:ascii="Times New Roman" w:hAnsi="Times New Roman" w:cs="Times New Roman"/>
          <w:lang w:eastAsia="pl-PL"/>
        </w:rPr>
        <w:t>W § 3 ust. 1 o</w:t>
      </w:r>
      <w:r w:rsidR="00C9266F" w:rsidRPr="002C2748">
        <w:rPr>
          <w:rFonts w:ascii="Times New Roman" w:hAnsi="Times New Roman" w:cs="Times New Roman"/>
          <w:lang w:eastAsia="pl-PL"/>
        </w:rPr>
        <w:t xml:space="preserve">kreślono </w:t>
      </w:r>
      <w:r w:rsidR="00B3038F" w:rsidRPr="002C2748">
        <w:rPr>
          <w:rFonts w:ascii="Times New Roman" w:hAnsi="Times New Roman" w:cs="Times New Roman"/>
          <w:lang w:eastAsia="pl-PL"/>
        </w:rPr>
        <w:t xml:space="preserve">za pomocą wzoru </w:t>
      </w:r>
      <w:r w:rsidR="00C9266F" w:rsidRPr="002C2748">
        <w:rPr>
          <w:rFonts w:ascii="Times New Roman" w:hAnsi="Times New Roman" w:cs="Times New Roman"/>
          <w:lang w:eastAsia="pl-PL"/>
        </w:rPr>
        <w:t>sposób obliczania emisji gazów cieplarnianych</w:t>
      </w:r>
      <w:r w:rsidR="00314B91" w:rsidRPr="002C2748">
        <w:rPr>
          <w:rFonts w:ascii="Times New Roman" w:hAnsi="Times New Roman" w:cs="Times New Roman"/>
          <w:lang w:eastAsia="pl-PL"/>
        </w:rPr>
        <w:t xml:space="preserve"> </w:t>
      </w:r>
      <w:r w:rsidR="004F3F86" w:rsidRPr="002C2748">
        <w:rPr>
          <w:rFonts w:ascii="Times New Roman" w:hAnsi="Times New Roman" w:cs="Times New Roman"/>
          <w:lang w:eastAsia="pl-PL"/>
        </w:rPr>
        <w:t>z paliw (z wyłączeniem biopaliw ciekłych) oraz z energii elektrycznej</w:t>
      </w:r>
      <w:r w:rsidR="00C9266F" w:rsidRPr="002C2748">
        <w:rPr>
          <w:rFonts w:ascii="Times New Roman" w:hAnsi="Times New Roman" w:cs="Times New Roman"/>
          <w:lang w:eastAsia="pl-PL"/>
        </w:rPr>
        <w:t xml:space="preserve">. </w:t>
      </w:r>
    </w:p>
    <w:p w14:paraId="3D71EA3D" w14:textId="77777777" w:rsidR="001D203E" w:rsidRPr="002C2748" w:rsidRDefault="004F3F86" w:rsidP="004F3F86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>Zgodnie z objaśnieniami do wzoru</w:t>
      </w:r>
      <w:r w:rsidR="001D203E" w:rsidRPr="002C2748">
        <w:rPr>
          <w:rFonts w:ascii="Times New Roman" w:hAnsi="Times New Roman" w:cs="Times New Roman"/>
          <w:lang w:eastAsia="pl-PL"/>
        </w:rPr>
        <w:t>:</w:t>
      </w:r>
    </w:p>
    <w:p w14:paraId="4F1B706F" w14:textId="4FFE658D" w:rsidR="001D203E" w:rsidRPr="002C2748" w:rsidRDefault="00C9266F" w:rsidP="001D203E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lang w:eastAsia="pl-PL"/>
        </w:rPr>
      </w:pPr>
      <w:proofErr w:type="spellStart"/>
      <w:r w:rsidRPr="002C2748">
        <w:rPr>
          <w:rFonts w:ascii="Times New Roman" w:hAnsi="Times New Roman" w:cs="Times New Roman"/>
          <w:lang w:eastAsia="pl-PL"/>
        </w:rPr>
        <w:t>GHGi</w:t>
      </w:r>
      <w:proofErr w:type="spellEnd"/>
      <w:r w:rsidR="00314B91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 xml:space="preserve">to wskaźnik emisji gazów cieplarnianych, którego wartość </w:t>
      </w:r>
      <w:r w:rsidR="004F3F86" w:rsidRPr="002C2748">
        <w:rPr>
          <w:rFonts w:ascii="Times New Roman" w:hAnsi="Times New Roman" w:cs="Times New Roman"/>
          <w:lang w:eastAsia="pl-PL"/>
        </w:rPr>
        <w:t xml:space="preserve">dla paliw z wyłączeniem biopaliw ciekłych </w:t>
      </w:r>
      <w:r w:rsidR="007E45C1" w:rsidRPr="002C2748">
        <w:rPr>
          <w:rFonts w:ascii="Times New Roman" w:hAnsi="Times New Roman" w:cs="Times New Roman"/>
          <w:lang w:eastAsia="pl-PL"/>
        </w:rPr>
        <w:t>została</w:t>
      </w:r>
      <w:r w:rsidRPr="002C2748">
        <w:rPr>
          <w:rFonts w:ascii="Times New Roman" w:hAnsi="Times New Roman" w:cs="Times New Roman"/>
          <w:lang w:eastAsia="pl-PL"/>
        </w:rPr>
        <w:t xml:space="preserve"> określona w załączniku </w:t>
      </w:r>
      <w:bookmarkStart w:id="2" w:name="_Hlk62659219"/>
      <w:r w:rsidR="004F3F86" w:rsidRPr="002C2748">
        <w:rPr>
          <w:rFonts w:ascii="Times New Roman" w:hAnsi="Times New Roman" w:cs="Times New Roman"/>
          <w:lang w:eastAsia="pl-PL"/>
        </w:rPr>
        <w:t xml:space="preserve">do projektu rozporządzenia </w:t>
      </w:r>
      <w:bookmarkEnd w:id="2"/>
      <w:r w:rsidRPr="002C2748">
        <w:rPr>
          <w:rFonts w:ascii="Times New Roman" w:hAnsi="Times New Roman" w:cs="Times New Roman"/>
          <w:lang w:eastAsia="pl-PL"/>
        </w:rPr>
        <w:t xml:space="preserve">w </w:t>
      </w:r>
      <w:r w:rsidR="004F3F86" w:rsidRPr="002C2748">
        <w:rPr>
          <w:rFonts w:ascii="Times New Roman" w:hAnsi="Times New Roman" w:cs="Times New Roman"/>
          <w:lang w:eastAsia="pl-PL"/>
        </w:rPr>
        <w:t>T</w:t>
      </w:r>
      <w:r w:rsidRPr="002C2748">
        <w:rPr>
          <w:rFonts w:ascii="Times New Roman" w:hAnsi="Times New Roman" w:cs="Times New Roman"/>
          <w:lang w:eastAsia="pl-PL"/>
        </w:rPr>
        <w:t>abeli</w:t>
      </w:r>
      <w:r w:rsidR="004048E3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 xml:space="preserve">1. </w:t>
      </w:r>
      <w:r w:rsidR="00323B8F" w:rsidRPr="002C2748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323B8F" w:rsidRPr="002C2748">
        <w:rPr>
          <w:rFonts w:ascii="Times New Roman" w:hAnsi="Times New Roman" w:cs="Times New Roman"/>
          <w:lang w:eastAsia="pl-PL"/>
        </w:rPr>
        <w:t>GHGi</w:t>
      </w:r>
      <w:proofErr w:type="spellEnd"/>
      <w:r w:rsidR="00323B8F" w:rsidRPr="002C2748">
        <w:rPr>
          <w:rFonts w:ascii="Times New Roman" w:hAnsi="Times New Roman" w:cs="Times New Roman"/>
          <w:lang w:eastAsia="pl-PL"/>
        </w:rPr>
        <w:t xml:space="preserve"> dla energii elektrycznej zostanie określone na podstawie art. 30ha ustawy o systemie monitorowania i</w:t>
      </w:r>
      <w:r w:rsidR="00F47C74" w:rsidRPr="002C2748">
        <w:rPr>
          <w:rFonts w:ascii="Times New Roman" w:hAnsi="Times New Roman" w:cs="Times New Roman"/>
          <w:lang w:eastAsia="pl-PL"/>
        </w:rPr>
        <w:t> </w:t>
      </w:r>
      <w:r w:rsidR="00323B8F" w:rsidRPr="002C2748">
        <w:rPr>
          <w:rFonts w:ascii="Times New Roman" w:hAnsi="Times New Roman" w:cs="Times New Roman"/>
          <w:lang w:eastAsia="pl-PL"/>
        </w:rPr>
        <w:t>kontrolowania jakości paliw.</w:t>
      </w:r>
    </w:p>
    <w:p w14:paraId="792A8E72" w14:textId="77777777" w:rsidR="001D203E" w:rsidRPr="002C2748" w:rsidRDefault="004F3F86" w:rsidP="001D203E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>AF to w</w:t>
      </w:r>
      <w:r w:rsidR="006763E9" w:rsidRPr="002C2748">
        <w:rPr>
          <w:rFonts w:ascii="Times New Roman" w:hAnsi="Times New Roman" w:cs="Times New Roman"/>
          <w:lang w:eastAsia="pl-PL"/>
        </w:rPr>
        <w:t>ymieniony</w:t>
      </w:r>
      <w:r w:rsidR="00C9266F" w:rsidRPr="002C2748">
        <w:rPr>
          <w:rFonts w:ascii="Times New Roman" w:hAnsi="Times New Roman" w:cs="Times New Roman"/>
          <w:lang w:eastAsia="pl-PL"/>
        </w:rPr>
        <w:t xml:space="preserve"> w załączniku </w:t>
      </w:r>
      <w:r w:rsidRPr="002C2748">
        <w:rPr>
          <w:rFonts w:ascii="Times New Roman" w:hAnsi="Times New Roman" w:cs="Times New Roman"/>
          <w:lang w:eastAsia="pl-PL"/>
        </w:rPr>
        <w:t xml:space="preserve">do projektu rozporządzenia </w:t>
      </w:r>
      <w:r w:rsidR="00C9266F" w:rsidRPr="002C2748">
        <w:rPr>
          <w:rFonts w:ascii="Times New Roman" w:hAnsi="Times New Roman" w:cs="Times New Roman"/>
          <w:lang w:eastAsia="pl-PL"/>
        </w:rPr>
        <w:t xml:space="preserve">w </w:t>
      </w:r>
      <w:r w:rsidRPr="002C2748">
        <w:rPr>
          <w:rFonts w:ascii="Times New Roman" w:hAnsi="Times New Roman" w:cs="Times New Roman"/>
          <w:lang w:eastAsia="pl-PL"/>
        </w:rPr>
        <w:t>T</w:t>
      </w:r>
      <w:r w:rsidR="00C9266F" w:rsidRPr="002C2748">
        <w:rPr>
          <w:rFonts w:ascii="Times New Roman" w:hAnsi="Times New Roman" w:cs="Times New Roman"/>
          <w:lang w:eastAsia="pl-PL"/>
        </w:rPr>
        <w:t>abeli 2 współczynnik korygujący wydajnoś</w:t>
      </w:r>
      <w:r w:rsidRPr="002C2748">
        <w:rPr>
          <w:rFonts w:ascii="Times New Roman" w:hAnsi="Times New Roman" w:cs="Times New Roman"/>
          <w:lang w:eastAsia="pl-PL"/>
        </w:rPr>
        <w:t>ć</w:t>
      </w:r>
      <w:r w:rsidR="00C9266F" w:rsidRPr="002C2748">
        <w:rPr>
          <w:rFonts w:ascii="Times New Roman" w:hAnsi="Times New Roman" w:cs="Times New Roman"/>
          <w:lang w:eastAsia="pl-PL"/>
        </w:rPr>
        <w:t xml:space="preserve"> układu</w:t>
      </w:r>
      <w:r w:rsidR="00D23E47" w:rsidRPr="002C2748">
        <w:rPr>
          <w:rFonts w:ascii="Times New Roman" w:hAnsi="Times New Roman" w:cs="Times New Roman"/>
          <w:lang w:eastAsia="pl-PL"/>
        </w:rPr>
        <w:t xml:space="preserve"> </w:t>
      </w:r>
      <w:r w:rsidR="00C9266F" w:rsidRPr="002C2748">
        <w:rPr>
          <w:rFonts w:ascii="Times New Roman" w:hAnsi="Times New Roman" w:cs="Times New Roman"/>
          <w:lang w:eastAsia="pl-PL"/>
        </w:rPr>
        <w:t xml:space="preserve">napędowego </w:t>
      </w:r>
      <w:r w:rsidR="001D203E" w:rsidRPr="002C2748">
        <w:rPr>
          <w:rFonts w:ascii="Times New Roman" w:hAnsi="Times New Roman" w:cs="Times New Roman"/>
          <w:lang w:eastAsia="pl-PL"/>
        </w:rPr>
        <w:t>uzależniony</w:t>
      </w:r>
      <w:r w:rsidR="00C9266F" w:rsidRPr="002C2748">
        <w:rPr>
          <w:rFonts w:ascii="Times New Roman" w:hAnsi="Times New Roman" w:cs="Times New Roman"/>
          <w:lang w:eastAsia="pl-PL"/>
        </w:rPr>
        <w:t xml:space="preserve"> od rodzaju układu (silnika). </w:t>
      </w:r>
    </w:p>
    <w:p w14:paraId="412D8685" w14:textId="77777777" w:rsidR="00450DD4" w:rsidRPr="002C2748" w:rsidRDefault="001D203E" w:rsidP="001D203E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>CE</w:t>
      </w:r>
      <w:r w:rsidR="00C9266F" w:rsidRPr="002C2748">
        <w:rPr>
          <w:rFonts w:ascii="Times New Roman" w:hAnsi="Times New Roman" w:cs="Times New Roman"/>
          <w:lang w:eastAsia="pl-PL"/>
        </w:rPr>
        <w:t xml:space="preserve"> to całkowita energia dostarczona</w:t>
      </w:r>
      <w:r w:rsidR="00D23E47" w:rsidRPr="002C2748">
        <w:rPr>
          <w:rFonts w:ascii="Times New Roman" w:hAnsi="Times New Roman" w:cs="Times New Roman"/>
          <w:lang w:eastAsia="pl-PL"/>
        </w:rPr>
        <w:t xml:space="preserve"> </w:t>
      </w:r>
      <w:r w:rsidR="00C9266F" w:rsidRPr="002C2748">
        <w:rPr>
          <w:rFonts w:ascii="Times New Roman" w:hAnsi="Times New Roman" w:cs="Times New Roman"/>
          <w:lang w:eastAsia="pl-PL"/>
        </w:rPr>
        <w:t>z paliwa lub z energii</w:t>
      </w:r>
      <w:r w:rsidRPr="002C2748">
        <w:rPr>
          <w:rFonts w:ascii="Times New Roman" w:hAnsi="Times New Roman" w:cs="Times New Roman"/>
          <w:lang w:eastAsia="pl-PL"/>
        </w:rPr>
        <w:t xml:space="preserve"> elektrycznej</w:t>
      </w:r>
      <w:r w:rsidR="005A1C36" w:rsidRPr="002C2748">
        <w:rPr>
          <w:rFonts w:ascii="Times New Roman" w:hAnsi="Times New Roman" w:cs="Times New Roman"/>
          <w:lang w:eastAsia="pl-PL"/>
        </w:rPr>
        <w:t>.</w:t>
      </w:r>
      <w:r w:rsidR="00C9266F" w:rsidRPr="002C2748">
        <w:rPr>
          <w:rFonts w:ascii="Times New Roman" w:hAnsi="Times New Roman" w:cs="Times New Roman"/>
          <w:lang w:eastAsia="pl-PL"/>
        </w:rPr>
        <w:t xml:space="preserve"> </w:t>
      </w:r>
    </w:p>
    <w:p w14:paraId="03AA737F" w14:textId="07BDD8C2" w:rsidR="00C9266F" w:rsidRPr="002C2748" w:rsidRDefault="00562DB8" w:rsidP="00450DD4">
      <w:pPr>
        <w:spacing w:after="0" w:line="276" w:lineRule="auto"/>
        <w:ind w:left="66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>Zgodnie § 3 projektu rozporządzenia d</w:t>
      </w:r>
      <w:r w:rsidR="00C9266F" w:rsidRPr="002C2748">
        <w:rPr>
          <w:rFonts w:ascii="Times New Roman" w:hAnsi="Times New Roman" w:cs="Times New Roman"/>
          <w:lang w:eastAsia="pl-PL"/>
        </w:rPr>
        <w:t xml:space="preserve">o obliczenia </w:t>
      </w:r>
      <w:r w:rsidR="005A1C36" w:rsidRPr="002C2748">
        <w:rPr>
          <w:rFonts w:ascii="Times New Roman" w:hAnsi="Times New Roman" w:cs="Times New Roman"/>
          <w:lang w:eastAsia="pl-PL"/>
        </w:rPr>
        <w:t xml:space="preserve">całkowitej energii </w:t>
      </w:r>
      <w:r w:rsidR="00C9266F" w:rsidRPr="002C2748">
        <w:rPr>
          <w:rFonts w:ascii="Times New Roman" w:hAnsi="Times New Roman" w:cs="Times New Roman"/>
          <w:lang w:eastAsia="pl-PL"/>
        </w:rPr>
        <w:t>potrzebne są dane na temat:</w:t>
      </w:r>
    </w:p>
    <w:p w14:paraId="5E9F18BB" w14:textId="678D7577" w:rsidR="001D203E" w:rsidRPr="002C2748" w:rsidRDefault="00C9266F" w:rsidP="00B00D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 xml:space="preserve">ilości paliwa i wartości opałowej </w:t>
      </w:r>
      <w:r w:rsidR="005A1C36" w:rsidRPr="002C2748">
        <w:rPr>
          <w:rFonts w:ascii="Times New Roman" w:hAnsi="Times New Roman" w:cs="Times New Roman"/>
          <w:lang w:eastAsia="pl-PL"/>
        </w:rPr>
        <w:t xml:space="preserve">tego paliwa </w:t>
      </w:r>
      <w:r w:rsidRPr="002C2748">
        <w:rPr>
          <w:rFonts w:ascii="Times New Roman" w:hAnsi="Times New Roman" w:cs="Times New Roman"/>
          <w:lang w:eastAsia="pl-PL"/>
        </w:rPr>
        <w:t xml:space="preserve">– </w:t>
      </w:r>
      <w:r w:rsidR="004F098C" w:rsidRPr="002C2748">
        <w:rPr>
          <w:rFonts w:ascii="Times New Roman" w:hAnsi="Times New Roman" w:cs="Times New Roman"/>
          <w:lang w:eastAsia="pl-PL"/>
        </w:rPr>
        <w:t>w przypadku</w:t>
      </w:r>
      <w:r w:rsidRPr="002C2748">
        <w:rPr>
          <w:rFonts w:ascii="Times New Roman" w:hAnsi="Times New Roman" w:cs="Times New Roman"/>
          <w:lang w:eastAsia="pl-PL"/>
        </w:rPr>
        <w:t xml:space="preserve"> paliw,</w:t>
      </w:r>
    </w:p>
    <w:p w14:paraId="585EFA6F" w14:textId="7A42C723" w:rsidR="005A1C36" w:rsidRPr="002C2748" w:rsidRDefault="00C9266F" w:rsidP="001D203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>zużycia energii elektrycznej przez</w:t>
      </w:r>
      <w:r w:rsidR="001C2561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pojazd</w:t>
      </w:r>
      <w:r w:rsidR="006454FB" w:rsidRPr="002C2748">
        <w:rPr>
          <w:rFonts w:ascii="Times New Roman" w:hAnsi="Times New Roman" w:cs="Times New Roman"/>
          <w:lang w:eastAsia="pl-PL"/>
        </w:rPr>
        <w:t>y i wartości energetycznej energii elektrycznej</w:t>
      </w:r>
      <w:r w:rsidRPr="002C2748">
        <w:rPr>
          <w:rFonts w:ascii="Times New Roman" w:hAnsi="Times New Roman" w:cs="Times New Roman"/>
          <w:lang w:eastAsia="pl-PL"/>
        </w:rPr>
        <w:t xml:space="preserve"> – </w:t>
      </w:r>
      <w:r w:rsidR="004F098C" w:rsidRPr="002C2748">
        <w:rPr>
          <w:rFonts w:ascii="Times New Roman" w:hAnsi="Times New Roman" w:cs="Times New Roman"/>
          <w:lang w:eastAsia="pl-PL"/>
        </w:rPr>
        <w:t>w</w:t>
      </w:r>
      <w:r w:rsidR="00F47C74" w:rsidRPr="002C2748">
        <w:rPr>
          <w:rFonts w:ascii="Times New Roman" w:hAnsi="Times New Roman" w:cs="Times New Roman"/>
          <w:lang w:eastAsia="pl-PL"/>
        </w:rPr>
        <w:t> </w:t>
      </w:r>
      <w:r w:rsidR="004F098C" w:rsidRPr="002C2748">
        <w:rPr>
          <w:rFonts w:ascii="Times New Roman" w:hAnsi="Times New Roman" w:cs="Times New Roman"/>
          <w:lang w:eastAsia="pl-PL"/>
        </w:rPr>
        <w:t>przypadku</w:t>
      </w:r>
      <w:r w:rsidR="001D203E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energi</w:t>
      </w:r>
      <w:r w:rsidR="001D203E" w:rsidRPr="002C2748">
        <w:rPr>
          <w:rFonts w:ascii="Times New Roman" w:hAnsi="Times New Roman" w:cs="Times New Roman"/>
          <w:lang w:eastAsia="pl-PL"/>
        </w:rPr>
        <w:t>i</w:t>
      </w:r>
      <w:r w:rsidRPr="002C2748">
        <w:rPr>
          <w:rFonts w:ascii="Times New Roman" w:hAnsi="Times New Roman" w:cs="Times New Roman"/>
          <w:lang w:eastAsia="pl-PL"/>
        </w:rPr>
        <w:t xml:space="preserve"> elektryczn</w:t>
      </w:r>
      <w:r w:rsidR="001D203E" w:rsidRPr="002C2748">
        <w:rPr>
          <w:rFonts w:ascii="Times New Roman" w:hAnsi="Times New Roman" w:cs="Times New Roman"/>
          <w:lang w:eastAsia="pl-PL"/>
        </w:rPr>
        <w:t>ej</w:t>
      </w:r>
      <w:r w:rsidRPr="002C2748">
        <w:rPr>
          <w:rFonts w:ascii="Times New Roman" w:hAnsi="Times New Roman" w:cs="Times New Roman"/>
          <w:lang w:eastAsia="pl-PL"/>
        </w:rPr>
        <w:t>.</w:t>
      </w:r>
    </w:p>
    <w:p w14:paraId="322C93B0" w14:textId="7C419F7B" w:rsidR="001D203E" w:rsidRPr="002C2748" w:rsidRDefault="00FF0616" w:rsidP="00FC4100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>Dodatkowo</w:t>
      </w:r>
      <w:r w:rsidR="00562DB8" w:rsidRPr="002C2748">
        <w:rPr>
          <w:rFonts w:ascii="Times New Roman" w:hAnsi="Times New Roman" w:cs="Times New Roman"/>
          <w:lang w:eastAsia="pl-PL"/>
        </w:rPr>
        <w:t>,</w:t>
      </w:r>
      <w:r w:rsidRPr="002C2748">
        <w:rPr>
          <w:rFonts w:ascii="Times New Roman" w:hAnsi="Times New Roman" w:cs="Times New Roman"/>
          <w:lang w:eastAsia="pl-PL"/>
        </w:rPr>
        <w:t xml:space="preserve"> przepis</w:t>
      </w:r>
      <w:r w:rsidR="001D203E" w:rsidRPr="002C2748">
        <w:rPr>
          <w:rFonts w:ascii="Times New Roman" w:hAnsi="Times New Roman" w:cs="Times New Roman"/>
          <w:lang w:eastAsia="pl-PL"/>
        </w:rPr>
        <w:t xml:space="preserve"> § 3 </w:t>
      </w:r>
      <w:r w:rsidRPr="002C2748">
        <w:rPr>
          <w:rFonts w:ascii="Times New Roman" w:hAnsi="Times New Roman" w:cs="Times New Roman"/>
          <w:lang w:eastAsia="pl-PL"/>
        </w:rPr>
        <w:t xml:space="preserve">ust. </w:t>
      </w:r>
      <w:r w:rsidR="006454FB" w:rsidRPr="002C2748">
        <w:rPr>
          <w:rFonts w:ascii="Times New Roman" w:hAnsi="Times New Roman" w:cs="Times New Roman"/>
          <w:lang w:eastAsia="pl-PL"/>
        </w:rPr>
        <w:t>7</w:t>
      </w:r>
      <w:r w:rsidRPr="002C2748">
        <w:rPr>
          <w:rFonts w:ascii="Times New Roman" w:hAnsi="Times New Roman" w:cs="Times New Roman"/>
          <w:lang w:eastAsia="pl-PL"/>
        </w:rPr>
        <w:t xml:space="preserve"> projektu rozporządzenia </w:t>
      </w:r>
      <w:r w:rsidR="001D203E" w:rsidRPr="002C2748">
        <w:rPr>
          <w:rFonts w:ascii="Times New Roman" w:hAnsi="Times New Roman" w:cs="Times New Roman"/>
          <w:lang w:eastAsia="pl-PL"/>
        </w:rPr>
        <w:t xml:space="preserve">wskazuje, że do określenia </w:t>
      </w:r>
      <w:r w:rsidR="006454FB" w:rsidRPr="002C2748">
        <w:rPr>
          <w:rFonts w:ascii="Times New Roman" w:hAnsi="Times New Roman" w:cs="Times New Roman"/>
          <w:lang w:eastAsia="pl-PL"/>
        </w:rPr>
        <w:t>całkowitej energii dostarczonej z energii</w:t>
      </w:r>
      <w:r w:rsidR="001D203E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 xml:space="preserve">elektrycznej </w:t>
      </w:r>
      <w:r w:rsidR="006454FB" w:rsidRPr="002C2748">
        <w:rPr>
          <w:rFonts w:ascii="Times New Roman" w:hAnsi="Times New Roman" w:cs="Times New Roman"/>
          <w:lang w:eastAsia="pl-PL"/>
        </w:rPr>
        <w:t>stosuje</w:t>
      </w:r>
      <w:r w:rsidR="001D203E" w:rsidRPr="002C2748">
        <w:rPr>
          <w:rFonts w:ascii="Times New Roman" w:hAnsi="Times New Roman" w:cs="Times New Roman"/>
          <w:lang w:eastAsia="pl-PL"/>
        </w:rPr>
        <w:t xml:space="preserve"> się ilość energii elektrycznej zużytej w pojazdach samochodowych, których ładowanie nastąpiło na ogólnodostępnych stacjach ładowania, o których mowa w art. 2 pkt 6 ustawy z dnia 11 stycznia 2018 r. o </w:t>
      </w:r>
      <w:proofErr w:type="spellStart"/>
      <w:r w:rsidR="001D203E" w:rsidRPr="002C2748">
        <w:rPr>
          <w:rFonts w:ascii="Times New Roman" w:hAnsi="Times New Roman" w:cs="Times New Roman"/>
          <w:lang w:eastAsia="pl-PL"/>
        </w:rPr>
        <w:t>elektromobilności</w:t>
      </w:r>
      <w:proofErr w:type="spellEnd"/>
      <w:r w:rsidR="001D203E" w:rsidRPr="002C2748">
        <w:rPr>
          <w:rFonts w:ascii="Times New Roman" w:hAnsi="Times New Roman" w:cs="Times New Roman"/>
          <w:lang w:eastAsia="pl-PL"/>
        </w:rPr>
        <w:t xml:space="preserve"> i paliwach alternatywnych</w:t>
      </w:r>
      <w:r w:rsidR="006454FB" w:rsidRPr="002C2748">
        <w:rPr>
          <w:rFonts w:ascii="Times New Roman" w:hAnsi="Times New Roman" w:cs="Times New Roman"/>
          <w:lang w:eastAsia="pl-PL"/>
        </w:rPr>
        <w:t xml:space="preserve"> oraz wartość energetyczną energii elektrycznej</w:t>
      </w:r>
      <w:r w:rsidR="001F2A3A" w:rsidRPr="002C2748">
        <w:rPr>
          <w:rFonts w:ascii="Times New Roman" w:hAnsi="Times New Roman" w:cs="Times New Roman"/>
          <w:lang w:eastAsia="pl-PL"/>
        </w:rPr>
        <w:t xml:space="preserve"> </w:t>
      </w:r>
      <w:r w:rsidR="001F2A3A" w:rsidRPr="002C2748">
        <w:rPr>
          <w:rFonts w:ascii="Times New Roman" w:hAnsi="Times New Roman" w:cs="Times New Roman"/>
        </w:rPr>
        <w:t>(Dz. U. z 2021 r. poz. 110, 1093 i 2269)</w:t>
      </w:r>
      <w:r w:rsidR="001D203E" w:rsidRPr="002C2748">
        <w:rPr>
          <w:rFonts w:ascii="Times New Roman" w:hAnsi="Times New Roman" w:cs="Times New Roman"/>
          <w:lang w:eastAsia="pl-PL"/>
        </w:rPr>
        <w:t xml:space="preserve">. Zaliczenie do realizacji NCR tylko energii elektrycznej, którą pojazdy samochodowe </w:t>
      </w:r>
      <w:r w:rsidRPr="002C2748">
        <w:rPr>
          <w:rFonts w:ascii="Times New Roman" w:hAnsi="Times New Roman" w:cs="Times New Roman"/>
          <w:lang w:eastAsia="pl-PL"/>
        </w:rPr>
        <w:t>pobrały</w:t>
      </w:r>
      <w:r w:rsidR="001D203E" w:rsidRPr="002C2748">
        <w:rPr>
          <w:rFonts w:ascii="Times New Roman" w:hAnsi="Times New Roman" w:cs="Times New Roman"/>
          <w:lang w:eastAsia="pl-PL"/>
        </w:rPr>
        <w:t xml:space="preserve"> z ogólnodostępnych </w:t>
      </w:r>
      <w:r w:rsidR="001D203E" w:rsidRPr="002C2748">
        <w:rPr>
          <w:rFonts w:ascii="Times New Roman" w:hAnsi="Times New Roman" w:cs="Times New Roman"/>
          <w:lang w:eastAsia="pl-PL"/>
        </w:rPr>
        <w:lastRenderedPageBreak/>
        <w:t xml:space="preserve">stacji ładowania zapewni dostęp do wiarygodnych danych na temat jej zużycia i tym samym </w:t>
      </w:r>
      <w:r w:rsidR="004F098C" w:rsidRPr="002C2748">
        <w:rPr>
          <w:rFonts w:ascii="Times New Roman" w:hAnsi="Times New Roman" w:cs="Times New Roman"/>
          <w:lang w:eastAsia="pl-PL"/>
        </w:rPr>
        <w:t>umożliwi</w:t>
      </w:r>
      <w:r w:rsidR="001D203E" w:rsidRPr="002C2748">
        <w:rPr>
          <w:rFonts w:ascii="Times New Roman" w:hAnsi="Times New Roman" w:cs="Times New Roman"/>
          <w:lang w:eastAsia="pl-PL"/>
        </w:rPr>
        <w:t xml:space="preserve"> Prezesowi Urzędu Regulacji Energetyki rozliczenie obowiązku</w:t>
      </w:r>
      <w:r w:rsidRPr="002C2748">
        <w:rPr>
          <w:rFonts w:ascii="Times New Roman" w:hAnsi="Times New Roman" w:cs="Times New Roman"/>
          <w:lang w:eastAsia="pl-PL"/>
        </w:rPr>
        <w:t xml:space="preserve"> NCR.</w:t>
      </w:r>
    </w:p>
    <w:p w14:paraId="0BACF939" w14:textId="3835B5C7" w:rsidR="00450DD4" w:rsidRPr="002C2748" w:rsidRDefault="00562DB8" w:rsidP="00450DD4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>Przepis</w:t>
      </w:r>
      <w:r w:rsidR="00C9266F" w:rsidRPr="002C2748">
        <w:rPr>
          <w:rFonts w:ascii="Times New Roman" w:hAnsi="Times New Roman" w:cs="Times New Roman"/>
          <w:lang w:eastAsia="pl-PL"/>
        </w:rPr>
        <w:t xml:space="preserve"> </w:t>
      </w:r>
      <w:r w:rsidR="006763E9" w:rsidRPr="002C2748">
        <w:rPr>
          <w:rFonts w:ascii="Times New Roman" w:hAnsi="Times New Roman" w:cs="Times New Roman"/>
          <w:lang w:eastAsia="pl-PL"/>
        </w:rPr>
        <w:t>§ 3</w:t>
      </w:r>
      <w:r w:rsidRPr="002C2748">
        <w:rPr>
          <w:rFonts w:ascii="Times New Roman" w:hAnsi="Times New Roman" w:cs="Times New Roman"/>
          <w:lang w:eastAsia="pl-PL"/>
        </w:rPr>
        <w:t xml:space="preserve"> ust. 3</w:t>
      </w:r>
      <w:r w:rsidR="006763E9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 xml:space="preserve">projektu rozporządzenia wskazuje, że w przypadku przerobu ropy naftowej z biokomponentem, z wyjątkiem </w:t>
      </w:r>
      <w:proofErr w:type="spellStart"/>
      <w:r w:rsidRPr="002C2748">
        <w:rPr>
          <w:rFonts w:ascii="Times New Roman" w:hAnsi="Times New Roman" w:cs="Times New Roman"/>
          <w:lang w:eastAsia="pl-PL"/>
        </w:rPr>
        <w:t>skażalników</w:t>
      </w:r>
      <w:proofErr w:type="spellEnd"/>
      <w:r w:rsidRPr="002C2748">
        <w:rPr>
          <w:rFonts w:ascii="Times New Roman" w:hAnsi="Times New Roman" w:cs="Times New Roman"/>
          <w:lang w:eastAsia="pl-PL"/>
        </w:rPr>
        <w:t xml:space="preserve">, całkowitą energię dostarczoną z paliwa ustala się, uwzględniając stan biokomponentu po przetworzeniu. Ilość paliwa ustala się zgodnie z bilansem energetycznym i wydajnością procesu wspólnego przetwarzania, zgodnie z pkt II.3 </w:t>
      </w:r>
      <w:proofErr w:type="spellStart"/>
      <w:r w:rsidRPr="002C2748">
        <w:rPr>
          <w:rFonts w:ascii="Times New Roman" w:hAnsi="Times New Roman" w:cs="Times New Roman"/>
          <w:lang w:eastAsia="pl-PL"/>
        </w:rPr>
        <w:t>ppkt</w:t>
      </w:r>
      <w:proofErr w:type="spellEnd"/>
      <w:r w:rsidRPr="002C2748">
        <w:rPr>
          <w:rFonts w:ascii="Times New Roman" w:hAnsi="Times New Roman" w:cs="Times New Roman"/>
          <w:lang w:eastAsia="pl-PL"/>
        </w:rPr>
        <w:t xml:space="preserve"> 15 załącznika nr 2 do ustawy z dnia 25 sierpnia 2006 r. o biokomponentach i biopaliwach ciekłych (Dz. U. z </w:t>
      </w:r>
      <w:r w:rsidR="004546BD" w:rsidRPr="002C2748">
        <w:rPr>
          <w:rFonts w:ascii="Times New Roman" w:hAnsi="Times New Roman" w:cs="Times New Roman"/>
          <w:lang w:eastAsia="pl-PL"/>
        </w:rPr>
        <w:t>2021 poz. 1355 i 1642</w:t>
      </w:r>
      <w:r w:rsidRPr="002C2748">
        <w:rPr>
          <w:rFonts w:ascii="Times New Roman" w:hAnsi="Times New Roman" w:cs="Times New Roman"/>
          <w:lang w:eastAsia="pl-PL"/>
        </w:rPr>
        <w:t>).</w:t>
      </w:r>
    </w:p>
    <w:p w14:paraId="34E8C58B" w14:textId="6C4E1C9F" w:rsidR="00450DD4" w:rsidRPr="002C2748" w:rsidRDefault="00450DD4" w:rsidP="00450DD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2748">
        <w:rPr>
          <w:rFonts w:ascii="Times New Roman" w:eastAsia="Times New Roman" w:hAnsi="Times New Roman" w:cs="Times New Roman"/>
          <w:lang w:eastAsia="pl-PL"/>
        </w:rPr>
        <w:t xml:space="preserve">Przepis § 3 ust. 4 projektu rozporządzenia </w:t>
      </w:r>
      <w:r w:rsidR="00EE18E0" w:rsidRPr="002C2748">
        <w:rPr>
          <w:rFonts w:ascii="Times New Roman" w:eastAsia="Times New Roman" w:hAnsi="Times New Roman" w:cs="Times New Roman"/>
          <w:lang w:eastAsia="pl-PL"/>
        </w:rPr>
        <w:t>określa czynność przerobu</w:t>
      </w:r>
      <w:r w:rsidRPr="002C2748">
        <w:rPr>
          <w:rFonts w:ascii="Times New Roman" w:eastAsia="Times New Roman" w:hAnsi="Times New Roman" w:cs="Times New Roman"/>
          <w:lang w:eastAsia="pl-PL"/>
        </w:rPr>
        <w:t>.</w:t>
      </w:r>
      <w:r w:rsidR="00D24967" w:rsidRPr="002C2748">
        <w:rPr>
          <w:rFonts w:ascii="Times New Roman" w:eastAsia="Times New Roman" w:hAnsi="Times New Roman" w:cs="Times New Roman"/>
          <w:lang w:eastAsia="pl-PL"/>
        </w:rPr>
        <w:t xml:space="preserve"> P</w:t>
      </w:r>
      <w:r w:rsidR="00EE18E0" w:rsidRPr="002C2748">
        <w:rPr>
          <w:rFonts w:ascii="Times New Roman" w:eastAsia="Times New Roman" w:hAnsi="Times New Roman" w:cs="Times New Roman"/>
          <w:lang w:eastAsia="pl-PL"/>
        </w:rPr>
        <w:t>rzerób obejmuje wszelkie modyfikacje dokonywane podczas cyklu życia dostarczonego paliwa lub dostarczonej energii, powodujące zmianę w strukturze molekularnej produktu.</w:t>
      </w:r>
    </w:p>
    <w:p w14:paraId="4A55D73C" w14:textId="1661E49D" w:rsidR="00FC4100" w:rsidRPr="002C2748" w:rsidRDefault="00FC4100" w:rsidP="00FC410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 xml:space="preserve">Przepis </w:t>
      </w:r>
      <w:r w:rsidR="00D24967" w:rsidRPr="002C2748">
        <w:rPr>
          <w:rFonts w:ascii="Times New Roman" w:hAnsi="Times New Roman" w:cs="Times New Roman"/>
          <w:lang w:eastAsia="pl-PL"/>
        </w:rPr>
        <w:t>§ 3</w:t>
      </w:r>
      <w:r w:rsidRPr="002C2748">
        <w:rPr>
          <w:rFonts w:ascii="Times New Roman" w:hAnsi="Times New Roman" w:cs="Times New Roman"/>
          <w:lang w:eastAsia="pl-PL"/>
        </w:rPr>
        <w:t xml:space="preserve"> ust. 6</w:t>
      </w:r>
      <w:r w:rsidR="00D24967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 xml:space="preserve">projektu rozporządzenia </w:t>
      </w:r>
      <w:r w:rsidR="00D24967" w:rsidRPr="002C2748">
        <w:rPr>
          <w:rFonts w:ascii="Times New Roman" w:eastAsia="Times New Roman" w:hAnsi="Times New Roman" w:cs="Times New Roman"/>
          <w:lang w:eastAsia="pl-PL"/>
        </w:rPr>
        <w:t>wskazuje, że</w:t>
      </w:r>
      <w:r w:rsidR="00EE18E0" w:rsidRPr="002C2748">
        <w:rPr>
          <w:rFonts w:ascii="Times New Roman" w:eastAsia="Times New Roman" w:hAnsi="Times New Roman" w:cs="Times New Roman"/>
          <w:lang w:eastAsia="pl-PL"/>
        </w:rPr>
        <w:t xml:space="preserve"> przypadku przerobu ropy naftowej z biokomponentem, który nie spełnia kryteriów zrównoważonego rozwoju, o których mowa w art. 28b-28bc ustawy o biokomponentach i biopaliwach ciekłych, ilość dostarczonego biokomponentu</w:t>
      </w:r>
      <w:r w:rsidR="00F05C1B" w:rsidRPr="002C2748">
        <w:rPr>
          <w:rFonts w:ascii="Times New Roman" w:eastAsia="Times New Roman" w:hAnsi="Times New Roman" w:cs="Times New Roman"/>
          <w:lang w:eastAsia="pl-PL"/>
        </w:rPr>
        <w:t>, zgodnie z treścią dyrektywy 2015/652,</w:t>
      </w:r>
      <w:r w:rsidR="00EE18E0" w:rsidRPr="002C2748">
        <w:rPr>
          <w:rFonts w:ascii="Times New Roman" w:eastAsia="Times New Roman" w:hAnsi="Times New Roman" w:cs="Times New Roman"/>
          <w:lang w:eastAsia="pl-PL"/>
        </w:rPr>
        <w:t xml:space="preserve"> liczy się jako paliwo</w:t>
      </w:r>
      <w:r w:rsidR="006763E9" w:rsidRPr="002C2748">
        <w:rPr>
          <w:rFonts w:ascii="Times New Roman" w:eastAsia="Times New Roman" w:hAnsi="Times New Roman" w:cs="Times New Roman"/>
          <w:lang w:eastAsia="pl-PL"/>
        </w:rPr>
        <w:t>,</w:t>
      </w:r>
      <w:r w:rsidR="00EE18E0" w:rsidRPr="002C2748">
        <w:rPr>
          <w:rFonts w:ascii="Times New Roman" w:eastAsia="Times New Roman" w:hAnsi="Times New Roman" w:cs="Times New Roman"/>
          <w:lang w:eastAsia="pl-PL"/>
        </w:rPr>
        <w:t xml:space="preserve"> z którym biokomponent był przerabiany.</w:t>
      </w:r>
    </w:p>
    <w:p w14:paraId="3CFD5C27" w14:textId="797D8F1E" w:rsidR="00F5415E" w:rsidRPr="002C2748" w:rsidRDefault="00F5415E" w:rsidP="00FC4100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 xml:space="preserve">Przepis § 3 ust. </w:t>
      </w:r>
      <w:r w:rsidR="006454FB" w:rsidRPr="002C2748">
        <w:rPr>
          <w:rFonts w:ascii="Times New Roman" w:hAnsi="Times New Roman" w:cs="Times New Roman"/>
          <w:lang w:eastAsia="pl-PL"/>
        </w:rPr>
        <w:t>8</w:t>
      </w:r>
      <w:r w:rsidRPr="002C2748">
        <w:rPr>
          <w:rFonts w:ascii="Times New Roman" w:hAnsi="Times New Roman" w:cs="Times New Roman"/>
          <w:lang w:eastAsia="pl-PL"/>
        </w:rPr>
        <w:t xml:space="preserve"> projektu rozporządzenia precyzuje, że wartość redukcji emisji gazów cieplarnianych w segmencie wydobywczym (UER) uwzględnia się w obliczeniach emisji gazów cieplarnianych w przeliczeniu na jednostkę energii z</w:t>
      </w:r>
      <w:r w:rsidR="00FC4100" w:rsidRPr="002C2748">
        <w:rPr>
          <w:rFonts w:ascii="Times New Roman" w:hAnsi="Times New Roman" w:cs="Times New Roman"/>
          <w:lang w:eastAsia="pl-PL"/>
        </w:rPr>
        <w:t xml:space="preserve"> następujących</w:t>
      </w:r>
      <w:r w:rsidRPr="002C2748">
        <w:rPr>
          <w:rFonts w:ascii="Times New Roman" w:hAnsi="Times New Roman" w:cs="Times New Roman"/>
          <w:lang w:eastAsia="pl-PL"/>
        </w:rPr>
        <w:t xml:space="preserve"> paliw</w:t>
      </w:r>
      <w:r w:rsidR="00FC4100" w:rsidRPr="002C2748">
        <w:rPr>
          <w:rFonts w:ascii="Times New Roman" w:hAnsi="Times New Roman" w:cs="Times New Roman"/>
          <w:lang w:eastAsia="pl-PL"/>
        </w:rPr>
        <w:t>: benzyna silnikowa, olej napędowy, sprężony gaz ziemny (CNG) oraz gaz skroplony (LPG)</w:t>
      </w:r>
      <w:r w:rsidRPr="002C2748">
        <w:rPr>
          <w:rFonts w:ascii="Times New Roman" w:hAnsi="Times New Roman" w:cs="Times New Roman"/>
          <w:lang w:eastAsia="pl-PL"/>
        </w:rPr>
        <w:t>.</w:t>
      </w:r>
    </w:p>
    <w:p w14:paraId="04725A8A" w14:textId="4FAD9B97" w:rsidR="006B065E" w:rsidRPr="002C2748" w:rsidRDefault="00C9266F" w:rsidP="00996CE9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>Przepisy § 3</w:t>
      </w:r>
      <w:r w:rsidR="00996CE9" w:rsidRPr="002C2748">
        <w:rPr>
          <w:rFonts w:ascii="Times New Roman" w:hAnsi="Times New Roman" w:cs="Times New Roman"/>
          <w:lang w:eastAsia="pl-PL"/>
        </w:rPr>
        <w:t xml:space="preserve"> ust. </w:t>
      </w:r>
      <w:r w:rsidR="006454FB" w:rsidRPr="002C2748">
        <w:rPr>
          <w:rFonts w:ascii="Times New Roman" w:hAnsi="Times New Roman" w:cs="Times New Roman"/>
          <w:lang w:eastAsia="pl-PL"/>
        </w:rPr>
        <w:t>9</w:t>
      </w:r>
      <w:r w:rsidR="00996CE9" w:rsidRPr="002C2748">
        <w:rPr>
          <w:rFonts w:ascii="Times New Roman" w:hAnsi="Times New Roman" w:cs="Times New Roman"/>
          <w:lang w:eastAsia="pl-PL"/>
        </w:rPr>
        <w:t xml:space="preserve"> projektu rozporządzenia</w:t>
      </w:r>
      <w:r w:rsidRPr="002C2748">
        <w:rPr>
          <w:rFonts w:ascii="Times New Roman" w:hAnsi="Times New Roman" w:cs="Times New Roman"/>
          <w:lang w:eastAsia="pl-PL"/>
        </w:rPr>
        <w:t xml:space="preserve"> określają zasady uwzględnienia w obliczeniach </w:t>
      </w:r>
      <w:r w:rsidR="00996CE9" w:rsidRPr="002C2748">
        <w:rPr>
          <w:rFonts w:ascii="Times New Roman" w:hAnsi="Times New Roman" w:cs="Times New Roman"/>
          <w:lang w:eastAsia="pl-PL"/>
        </w:rPr>
        <w:t xml:space="preserve">emisji </w:t>
      </w:r>
      <w:r w:rsidR="00E9376C" w:rsidRPr="002C2748">
        <w:rPr>
          <w:rFonts w:ascii="Times New Roman" w:hAnsi="Times New Roman" w:cs="Times New Roman"/>
          <w:lang w:eastAsia="pl-PL"/>
        </w:rPr>
        <w:t>gazów cieplarnianych z paliw i energii</w:t>
      </w:r>
      <w:r w:rsidRPr="002C2748">
        <w:rPr>
          <w:rFonts w:ascii="Times New Roman" w:hAnsi="Times New Roman" w:cs="Times New Roman"/>
          <w:lang w:eastAsia="pl-PL"/>
        </w:rPr>
        <w:t xml:space="preserve"> </w:t>
      </w:r>
      <w:r w:rsidR="00E9376C" w:rsidRPr="002C2748">
        <w:rPr>
          <w:rFonts w:ascii="Times New Roman" w:hAnsi="Times New Roman" w:cs="Times New Roman"/>
          <w:lang w:eastAsia="pl-PL"/>
        </w:rPr>
        <w:t xml:space="preserve">wartości redukcji </w:t>
      </w:r>
      <w:r w:rsidRPr="002C2748">
        <w:rPr>
          <w:rFonts w:ascii="Times New Roman" w:hAnsi="Times New Roman" w:cs="Times New Roman"/>
          <w:lang w:eastAsia="pl-PL"/>
        </w:rPr>
        <w:t>emisji</w:t>
      </w:r>
      <w:r w:rsidR="00D23E47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 xml:space="preserve">gazów cieplarnianych </w:t>
      </w:r>
      <w:r w:rsidR="007262AA" w:rsidRPr="002C2748">
        <w:rPr>
          <w:rFonts w:ascii="Times New Roman" w:hAnsi="Times New Roman" w:cs="Times New Roman"/>
          <w:lang w:eastAsia="pl-PL"/>
        </w:rPr>
        <w:t xml:space="preserve">osiągniętej </w:t>
      </w:r>
      <w:r w:rsidRPr="002C2748">
        <w:rPr>
          <w:rFonts w:ascii="Times New Roman" w:hAnsi="Times New Roman" w:cs="Times New Roman"/>
          <w:lang w:eastAsia="pl-PL"/>
        </w:rPr>
        <w:t>w segmencie wydobywczym</w:t>
      </w:r>
      <w:r w:rsidR="00996CE9" w:rsidRPr="002C2748">
        <w:rPr>
          <w:rFonts w:ascii="Times New Roman" w:hAnsi="Times New Roman" w:cs="Times New Roman"/>
          <w:lang w:eastAsia="pl-PL"/>
        </w:rPr>
        <w:t xml:space="preserve"> ropy naftowej lub gazu ziemnego</w:t>
      </w:r>
      <w:r w:rsidRPr="002C2748">
        <w:rPr>
          <w:rFonts w:ascii="Times New Roman" w:hAnsi="Times New Roman" w:cs="Times New Roman"/>
          <w:lang w:eastAsia="pl-PL"/>
        </w:rPr>
        <w:t xml:space="preserve">. Podmioty mogą </w:t>
      </w:r>
      <w:r w:rsidR="00996CE9" w:rsidRPr="002C2748">
        <w:rPr>
          <w:rFonts w:ascii="Times New Roman" w:hAnsi="Times New Roman" w:cs="Times New Roman"/>
          <w:lang w:eastAsia="pl-PL"/>
        </w:rPr>
        <w:t>wykorzystać do realizacji NCR tylko redukcje emisji gazów cieplarnianych</w:t>
      </w:r>
      <w:r w:rsidR="00E9376C" w:rsidRPr="002C2748">
        <w:rPr>
          <w:rFonts w:ascii="Times New Roman" w:hAnsi="Times New Roman" w:cs="Times New Roman"/>
          <w:lang w:eastAsia="pl-PL"/>
        </w:rPr>
        <w:t>, które zostały</w:t>
      </w:r>
      <w:r w:rsidR="00996CE9" w:rsidRPr="002C2748">
        <w:rPr>
          <w:rFonts w:ascii="Times New Roman" w:hAnsi="Times New Roman" w:cs="Times New Roman"/>
          <w:lang w:eastAsia="pl-PL"/>
        </w:rPr>
        <w:t xml:space="preserve"> osiągnięte w segmencie wydobywczym</w:t>
      </w:r>
      <w:r w:rsidR="00E9376C" w:rsidRPr="002C2748">
        <w:rPr>
          <w:rFonts w:ascii="Times New Roman" w:hAnsi="Times New Roman" w:cs="Times New Roman"/>
          <w:lang w:eastAsia="pl-PL"/>
        </w:rPr>
        <w:t xml:space="preserve"> na projektach</w:t>
      </w:r>
      <w:r w:rsidRPr="002C2748">
        <w:rPr>
          <w:rFonts w:ascii="Times New Roman" w:hAnsi="Times New Roman" w:cs="Times New Roman"/>
          <w:lang w:eastAsia="pl-PL"/>
        </w:rPr>
        <w:t xml:space="preserve">, które rozpoczęły się po </w:t>
      </w:r>
      <w:r w:rsidR="00E9376C" w:rsidRPr="002C2748">
        <w:rPr>
          <w:rFonts w:ascii="Times New Roman" w:hAnsi="Times New Roman" w:cs="Times New Roman"/>
          <w:lang w:eastAsia="pl-PL"/>
        </w:rPr>
        <w:t xml:space="preserve">dniu </w:t>
      </w:r>
      <w:r w:rsidRPr="002C2748">
        <w:rPr>
          <w:rFonts w:ascii="Times New Roman" w:hAnsi="Times New Roman" w:cs="Times New Roman"/>
          <w:lang w:eastAsia="pl-PL"/>
        </w:rPr>
        <w:t>1 stycznia 2011 r. Projekty te muszą być realizowane</w:t>
      </w:r>
      <w:r w:rsidR="00D23E47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zgodnie z normami ISO.</w:t>
      </w:r>
    </w:p>
    <w:p w14:paraId="43476E8A" w14:textId="1C9F2F6C" w:rsidR="00817EE8" w:rsidRPr="002C2748" w:rsidRDefault="00C9266F" w:rsidP="00996CE9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 xml:space="preserve">Przepis </w:t>
      </w:r>
      <w:bookmarkStart w:id="3" w:name="_Hlk59478250"/>
      <w:r w:rsidRPr="002C2748">
        <w:rPr>
          <w:rFonts w:ascii="Times New Roman" w:hAnsi="Times New Roman" w:cs="Times New Roman"/>
          <w:lang w:eastAsia="pl-PL"/>
        </w:rPr>
        <w:t>§ 3</w:t>
      </w:r>
      <w:bookmarkEnd w:id="3"/>
      <w:r w:rsidRPr="002C2748">
        <w:rPr>
          <w:rFonts w:ascii="Times New Roman" w:hAnsi="Times New Roman" w:cs="Times New Roman"/>
          <w:lang w:eastAsia="pl-PL"/>
        </w:rPr>
        <w:t xml:space="preserve"> </w:t>
      </w:r>
      <w:r w:rsidR="00817EE8" w:rsidRPr="002C2748">
        <w:rPr>
          <w:rFonts w:ascii="Times New Roman" w:hAnsi="Times New Roman" w:cs="Times New Roman"/>
          <w:lang w:eastAsia="pl-PL"/>
        </w:rPr>
        <w:t>ust. 1</w:t>
      </w:r>
      <w:r w:rsidR="006454FB" w:rsidRPr="002C2748">
        <w:rPr>
          <w:rFonts w:ascii="Times New Roman" w:hAnsi="Times New Roman" w:cs="Times New Roman"/>
          <w:lang w:eastAsia="pl-PL"/>
        </w:rPr>
        <w:t>0</w:t>
      </w:r>
      <w:r w:rsidR="00817EE8" w:rsidRPr="002C2748">
        <w:rPr>
          <w:rFonts w:ascii="Times New Roman" w:hAnsi="Times New Roman" w:cs="Times New Roman"/>
          <w:lang w:eastAsia="pl-PL"/>
        </w:rPr>
        <w:t xml:space="preserve"> </w:t>
      </w:r>
      <w:r w:rsidR="00996CE9" w:rsidRPr="002C2748">
        <w:rPr>
          <w:rFonts w:ascii="Times New Roman" w:hAnsi="Times New Roman" w:cs="Times New Roman"/>
          <w:lang w:eastAsia="pl-PL"/>
        </w:rPr>
        <w:t>projektu</w:t>
      </w:r>
      <w:r w:rsidRPr="002C2748">
        <w:rPr>
          <w:rFonts w:ascii="Times New Roman" w:hAnsi="Times New Roman" w:cs="Times New Roman"/>
          <w:lang w:eastAsia="pl-PL"/>
        </w:rPr>
        <w:t xml:space="preserve"> rozporządzenia przewiduje</w:t>
      </w:r>
      <w:r w:rsidR="00D23E47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 xml:space="preserve">możliwość uwzględnienia </w:t>
      </w:r>
      <w:r w:rsidR="00817EE8" w:rsidRPr="002C2748">
        <w:rPr>
          <w:rFonts w:ascii="Times New Roman" w:hAnsi="Times New Roman" w:cs="Times New Roman"/>
          <w:lang w:eastAsia="pl-PL"/>
        </w:rPr>
        <w:t xml:space="preserve">w obliczeniach emisji </w:t>
      </w:r>
      <w:r w:rsidR="00996CE9" w:rsidRPr="002C2748">
        <w:rPr>
          <w:rFonts w:ascii="Times New Roman" w:hAnsi="Times New Roman" w:cs="Times New Roman"/>
          <w:lang w:eastAsia="pl-PL"/>
        </w:rPr>
        <w:t xml:space="preserve">GHG </w:t>
      </w:r>
      <w:r w:rsidR="00817EE8" w:rsidRPr="002C2748">
        <w:rPr>
          <w:rFonts w:ascii="Times New Roman" w:hAnsi="Times New Roman" w:cs="Times New Roman"/>
          <w:lang w:eastAsia="pl-PL"/>
        </w:rPr>
        <w:t xml:space="preserve">wartości </w:t>
      </w:r>
      <w:r w:rsidRPr="002C2748">
        <w:rPr>
          <w:rFonts w:ascii="Times New Roman" w:hAnsi="Times New Roman" w:cs="Times New Roman"/>
          <w:lang w:eastAsia="pl-PL"/>
        </w:rPr>
        <w:t>redukcji emisji gazów cieplarnianych w segmencie wydobywczym</w:t>
      </w:r>
      <w:r w:rsidR="00D23E47" w:rsidRPr="002C2748">
        <w:rPr>
          <w:rFonts w:ascii="Times New Roman" w:hAnsi="Times New Roman" w:cs="Times New Roman"/>
          <w:lang w:eastAsia="pl-PL"/>
        </w:rPr>
        <w:t xml:space="preserve"> </w:t>
      </w:r>
      <w:r w:rsidR="00817EE8" w:rsidRPr="002C2748">
        <w:rPr>
          <w:rFonts w:ascii="Times New Roman" w:hAnsi="Times New Roman" w:cs="Times New Roman"/>
          <w:lang w:eastAsia="pl-PL"/>
        </w:rPr>
        <w:t>(UER) dla surowca pochodzącego z kraju innego niż surowiec, z którego zostało wyprodukowane paliwo</w:t>
      </w:r>
      <w:r w:rsidR="00996CE9" w:rsidRPr="002C2748">
        <w:rPr>
          <w:rFonts w:ascii="Times New Roman" w:hAnsi="Times New Roman" w:cs="Times New Roman"/>
          <w:lang w:eastAsia="pl-PL"/>
        </w:rPr>
        <w:t>.</w:t>
      </w:r>
    </w:p>
    <w:p w14:paraId="21240C08" w14:textId="0AE5EF47" w:rsidR="00817EE8" w:rsidRPr="002C2748" w:rsidRDefault="000E5422" w:rsidP="00495D0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2748">
        <w:rPr>
          <w:rFonts w:ascii="Times New Roman" w:eastAsia="Times New Roman" w:hAnsi="Times New Roman" w:cs="Times New Roman"/>
          <w:lang w:eastAsia="pl-PL"/>
        </w:rPr>
        <w:t>Przepis</w:t>
      </w:r>
      <w:r w:rsidR="001C2561" w:rsidRPr="002C27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065E" w:rsidRPr="002C2748">
        <w:rPr>
          <w:rFonts w:ascii="Times New Roman" w:eastAsia="Times New Roman" w:hAnsi="Times New Roman" w:cs="Times New Roman"/>
          <w:lang w:eastAsia="pl-PL"/>
        </w:rPr>
        <w:t xml:space="preserve">§ 3 </w:t>
      </w:r>
      <w:r w:rsidRPr="002C2748">
        <w:rPr>
          <w:rFonts w:ascii="Times New Roman" w:eastAsia="Times New Roman" w:hAnsi="Times New Roman" w:cs="Times New Roman"/>
          <w:lang w:eastAsia="pl-PL"/>
        </w:rPr>
        <w:t>ust. 1</w:t>
      </w:r>
      <w:r w:rsidR="006454FB" w:rsidRPr="002C2748">
        <w:rPr>
          <w:rFonts w:ascii="Times New Roman" w:eastAsia="Times New Roman" w:hAnsi="Times New Roman" w:cs="Times New Roman"/>
          <w:lang w:eastAsia="pl-PL"/>
        </w:rPr>
        <w:t>1</w:t>
      </w:r>
      <w:r w:rsidRPr="002C2748">
        <w:rPr>
          <w:rFonts w:ascii="Times New Roman" w:eastAsia="Times New Roman" w:hAnsi="Times New Roman" w:cs="Times New Roman"/>
          <w:lang w:eastAsia="pl-PL"/>
        </w:rPr>
        <w:t xml:space="preserve"> projektu rozporządzenia </w:t>
      </w:r>
      <w:r w:rsidR="001C2561" w:rsidRPr="002C2748">
        <w:rPr>
          <w:rFonts w:ascii="Times New Roman" w:eastAsia="Times New Roman" w:hAnsi="Times New Roman" w:cs="Times New Roman"/>
          <w:lang w:eastAsia="pl-PL"/>
        </w:rPr>
        <w:t xml:space="preserve">ma na celu wskazanie, iż jednostki poświadczonej redukcji emisji wygenerowane w ramach Mechanizmu Czystego Rozwoju (CDM) oraz jednostki redukcji emisji wygenerowane przez projekty wspólnego wdrażania (JI) mogą zostać wykorzystane do realizacji NCR tylko i wyłączni pod warunkiem, że jednostki te zostały anulowane we właściwym systemie. </w:t>
      </w:r>
      <w:r w:rsidR="00E16DA8" w:rsidRPr="002C2748">
        <w:rPr>
          <w:rFonts w:ascii="Times New Roman" w:eastAsia="Times New Roman" w:hAnsi="Times New Roman" w:cs="Times New Roman"/>
          <w:lang w:eastAsia="pl-PL"/>
        </w:rPr>
        <w:t xml:space="preserve">Przepis </w:t>
      </w:r>
      <w:r w:rsidR="001C2561" w:rsidRPr="002C2748">
        <w:rPr>
          <w:rFonts w:ascii="Times New Roman" w:eastAsia="Times New Roman" w:hAnsi="Times New Roman" w:cs="Times New Roman"/>
          <w:lang w:eastAsia="pl-PL"/>
        </w:rPr>
        <w:t>ma usunąć wątpliwości interpretacyjne podmiotów realizujących NCR co do okoliczności, czy takie jednostki redukcji będą zaliczane do realizacji celu.</w:t>
      </w:r>
    </w:p>
    <w:p w14:paraId="564AA38E" w14:textId="7B5258C2" w:rsidR="00C9266F" w:rsidRPr="002C2748" w:rsidRDefault="00C9266F" w:rsidP="00F47C74">
      <w:pPr>
        <w:spacing w:before="240"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 xml:space="preserve">W § 4 </w:t>
      </w:r>
      <w:r w:rsidR="00495D08" w:rsidRPr="002C2748">
        <w:rPr>
          <w:rFonts w:ascii="Times New Roman" w:hAnsi="Times New Roman" w:cs="Times New Roman"/>
          <w:lang w:eastAsia="pl-PL"/>
        </w:rPr>
        <w:t xml:space="preserve">projektu rozporządzenia </w:t>
      </w:r>
      <w:r w:rsidRPr="002C2748">
        <w:rPr>
          <w:rFonts w:ascii="Times New Roman" w:hAnsi="Times New Roman" w:cs="Times New Roman"/>
          <w:lang w:eastAsia="pl-PL"/>
        </w:rPr>
        <w:t>określony został wskaźnik emisji gazów cieplarnianych dla poszczególnych paliw (</w:t>
      </w:r>
      <w:proofErr w:type="spellStart"/>
      <w:r w:rsidRPr="002C2748">
        <w:rPr>
          <w:rFonts w:ascii="Times New Roman" w:hAnsi="Times New Roman" w:cs="Times New Roman"/>
          <w:lang w:eastAsia="pl-PL"/>
        </w:rPr>
        <w:t>GHGi</w:t>
      </w:r>
      <w:proofErr w:type="spellEnd"/>
      <w:r w:rsidRPr="002C2748">
        <w:rPr>
          <w:rFonts w:ascii="Times New Roman" w:hAnsi="Times New Roman" w:cs="Times New Roman"/>
          <w:lang w:eastAsia="pl-PL"/>
        </w:rPr>
        <w:t>).</w:t>
      </w:r>
      <w:r w:rsidR="00495D08" w:rsidRPr="002C2748">
        <w:rPr>
          <w:rFonts w:ascii="Times New Roman" w:hAnsi="Times New Roman" w:cs="Times New Roman"/>
          <w:lang w:eastAsia="pl-PL"/>
        </w:rPr>
        <w:t xml:space="preserve"> Wskaźniki emisji gazów cieplarnianych dla paliw bez zawartości biokomponentów zostały określone w Tabeli 1 załącznika do projektu rozporządzenia. </w:t>
      </w:r>
    </w:p>
    <w:p w14:paraId="3A469A33" w14:textId="77777777" w:rsidR="001F1FD4" w:rsidRPr="002C2748" w:rsidRDefault="001F1FD4" w:rsidP="00495D08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14:paraId="5D4CD435" w14:textId="3F4C6858" w:rsidR="00495D08" w:rsidRPr="002C2748" w:rsidRDefault="001F1FD4" w:rsidP="00495D08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 xml:space="preserve">W stosunku do obowiązującego obecnie rozporządzenia z treści został usunięty </w:t>
      </w:r>
      <w:r w:rsidR="00966D60" w:rsidRPr="002C2748">
        <w:rPr>
          <w:rFonts w:ascii="Times New Roman" w:hAnsi="Times New Roman" w:cs="Times New Roman"/>
          <w:lang w:eastAsia="pl-PL"/>
        </w:rPr>
        <w:t>przepis</w:t>
      </w:r>
      <w:r w:rsidRPr="002C2748">
        <w:rPr>
          <w:rFonts w:ascii="Times New Roman" w:hAnsi="Times New Roman" w:cs="Times New Roman"/>
          <w:lang w:eastAsia="pl-PL"/>
        </w:rPr>
        <w:t xml:space="preserve"> wskazujący </w:t>
      </w:r>
      <w:r w:rsidR="000273A2" w:rsidRPr="002C2748">
        <w:rPr>
          <w:rFonts w:ascii="Times New Roman" w:hAnsi="Times New Roman" w:cs="Times New Roman"/>
          <w:lang w:eastAsia="pl-PL"/>
        </w:rPr>
        <w:t xml:space="preserve">na określenie </w:t>
      </w:r>
      <w:proofErr w:type="spellStart"/>
      <w:r w:rsidR="000273A2" w:rsidRPr="002C2748">
        <w:rPr>
          <w:rFonts w:ascii="Times New Roman" w:hAnsi="Times New Roman" w:cs="Times New Roman"/>
          <w:lang w:eastAsia="pl-PL"/>
        </w:rPr>
        <w:t>GHGi</w:t>
      </w:r>
      <w:proofErr w:type="spellEnd"/>
      <w:r w:rsidR="000273A2" w:rsidRPr="002C2748">
        <w:rPr>
          <w:rFonts w:ascii="Times New Roman" w:hAnsi="Times New Roman" w:cs="Times New Roman"/>
          <w:lang w:eastAsia="pl-PL"/>
        </w:rPr>
        <w:t xml:space="preserve"> dla biokomponentów spełniających kryteria zrównoważonego rozwoju. Dla tych biokomponentów </w:t>
      </w:r>
      <w:proofErr w:type="spellStart"/>
      <w:r w:rsidR="000273A2" w:rsidRPr="002C2748">
        <w:rPr>
          <w:rFonts w:ascii="Times New Roman" w:hAnsi="Times New Roman" w:cs="Times New Roman"/>
          <w:lang w:eastAsia="pl-PL"/>
        </w:rPr>
        <w:t>GHGi</w:t>
      </w:r>
      <w:proofErr w:type="spellEnd"/>
      <w:r w:rsidR="000273A2" w:rsidRPr="002C2748">
        <w:rPr>
          <w:rFonts w:ascii="Times New Roman" w:hAnsi="Times New Roman" w:cs="Times New Roman"/>
          <w:lang w:eastAsia="pl-PL"/>
        </w:rPr>
        <w:t xml:space="preserve"> oblicza się zgodnie z zasadami określonymi w zał. 2 do ustawy z dnia 25 sierpnia 2006 r.  o biokomponentach i biopaliwach ciekłych</w:t>
      </w:r>
      <w:r w:rsidR="00E16DA8" w:rsidRPr="002C2748">
        <w:rPr>
          <w:rFonts w:ascii="Times New Roman" w:hAnsi="Times New Roman" w:cs="Times New Roman"/>
          <w:lang w:eastAsia="pl-PL"/>
        </w:rPr>
        <w:t>.</w:t>
      </w:r>
      <w:r w:rsidR="000273A2" w:rsidRPr="002C2748">
        <w:rPr>
          <w:rFonts w:ascii="Times New Roman" w:hAnsi="Times New Roman" w:cs="Times New Roman"/>
          <w:lang w:eastAsia="pl-PL"/>
        </w:rPr>
        <w:t xml:space="preserve"> </w:t>
      </w:r>
      <w:r w:rsidR="00BD1A37" w:rsidRPr="002C2748">
        <w:rPr>
          <w:rFonts w:ascii="Times New Roman" w:hAnsi="Times New Roman" w:cs="Times New Roman"/>
          <w:lang w:eastAsia="pl-PL"/>
        </w:rPr>
        <w:t>Punkt 2 ww. paragrafu stanowi, że w</w:t>
      </w:r>
      <w:r w:rsidR="00495D08" w:rsidRPr="002C2748">
        <w:rPr>
          <w:rFonts w:ascii="Times New Roman" w:hAnsi="Times New Roman" w:cs="Times New Roman"/>
          <w:lang w:eastAsia="pl-PL"/>
        </w:rPr>
        <w:t>edług projektu rozporządzenia,</w:t>
      </w:r>
      <w:r w:rsidR="0092100F" w:rsidRPr="002C2748">
        <w:rPr>
          <w:rFonts w:ascii="Times New Roman" w:hAnsi="Times New Roman" w:cs="Times New Roman"/>
          <w:lang w:eastAsia="pl-PL"/>
        </w:rPr>
        <w:t xml:space="preserve"> </w:t>
      </w:r>
      <w:r w:rsidR="00495D08" w:rsidRPr="002C2748">
        <w:rPr>
          <w:rFonts w:ascii="Times New Roman" w:hAnsi="Times New Roman" w:cs="Times New Roman"/>
          <w:lang w:eastAsia="pl-PL"/>
        </w:rPr>
        <w:t>wskaźnik emisji gazów cieplarnianych dla biokomponentów spełniających kryteria zrównoważonego rozwoju oblicza się zgodnie z zasadami określonymi w</w:t>
      </w:r>
      <w:r w:rsidR="00F47C74" w:rsidRPr="002C2748">
        <w:rPr>
          <w:rFonts w:ascii="Times New Roman" w:hAnsi="Times New Roman" w:cs="Times New Roman"/>
          <w:lang w:eastAsia="pl-PL"/>
        </w:rPr>
        <w:t> </w:t>
      </w:r>
      <w:r w:rsidR="00495D08" w:rsidRPr="002C2748">
        <w:rPr>
          <w:rFonts w:ascii="Times New Roman" w:hAnsi="Times New Roman" w:cs="Times New Roman"/>
          <w:lang w:eastAsia="pl-PL"/>
        </w:rPr>
        <w:t>załączniku nr 2 do ustawy z dnia 25 sierpnia 2006 r. o biokomponentach i biopaliwach ciekłych</w:t>
      </w:r>
      <w:r w:rsidR="0092100F" w:rsidRPr="002C2748">
        <w:rPr>
          <w:rFonts w:ascii="Times New Roman" w:hAnsi="Times New Roman" w:cs="Times New Roman"/>
          <w:lang w:eastAsia="pl-PL"/>
        </w:rPr>
        <w:t>.</w:t>
      </w:r>
      <w:r w:rsidR="000273A2" w:rsidRPr="002C2748">
        <w:rPr>
          <w:rFonts w:ascii="Times New Roman" w:hAnsi="Times New Roman" w:cs="Times New Roman"/>
        </w:rPr>
        <w:t xml:space="preserve"> W przedmiotowym rozporządzeniu zrezygnowano z  ww. przepisu  w stosunku do obecnie obowiązującego rozporządzenia Ministra Energii z dnia 12 czerwca 2017 r. w sprawie metodyki obliczania emisji gazów cieplarnianych, </w:t>
      </w:r>
      <w:r w:rsidR="000273A2" w:rsidRPr="002C2748">
        <w:rPr>
          <w:rFonts w:ascii="Times New Roman" w:hAnsi="Times New Roman" w:cs="Times New Roman"/>
        </w:rPr>
        <w:lastRenderedPageBreak/>
        <w:t xml:space="preserve">określenia wskaźników ich emisji oraz wartości opałowej dla poszczególnych paliw i wartości energetycznej energii elektrycznej (Dz. U. z 2017 r., poz. 1294), ponieważ zgodnie z art. 118 Zasad Techniki Prawodawczej, będących załącznikiem do rozporządzenia Prezesa Rady Ministrów z dnia 20 czerwca 2002 r. w sprawie „Zasad techniki prawodawczej” (Dz. U. z 2002 r. nr 100, poz. 908)  w rozporządzeniu nie powtarza się przepisów innych aktów normatywnych. Wspomniana materia została wyczerpująco uregulowana w ustawie </w:t>
      </w:r>
      <w:r w:rsidR="000273A2" w:rsidRPr="002C2748">
        <w:rPr>
          <w:rFonts w:ascii="Times New Roman" w:hAnsi="Times New Roman" w:cs="Times New Roman"/>
          <w:lang w:eastAsia="pl-PL"/>
        </w:rPr>
        <w:t>z dnia 25 sierpnia 2006 r. o biokomponentach i biopaliwach ciekłych</w:t>
      </w:r>
      <w:r w:rsidR="000273A2" w:rsidRPr="002C2748">
        <w:rPr>
          <w:rFonts w:ascii="Times New Roman" w:hAnsi="Times New Roman" w:cs="Times New Roman"/>
        </w:rPr>
        <w:t>. Upoważnienie ustawowe pomimo zrezygnowania z ww. przepisów w dalszym ciągu jest w pełni wykonane, ponieważ wskazuje na określenie wskaźnika emisji gazów cieplarnianych</w:t>
      </w:r>
      <w:r w:rsidR="001818CF" w:rsidRPr="002C2748">
        <w:rPr>
          <w:rFonts w:ascii="Times New Roman" w:hAnsi="Times New Roman" w:cs="Times New Roman"/>
        </w:rPr>
        <w:t xml:space="preserve"> </w:t>
      </w:r>
      <w:r w:rsidR="000273A2" w:rsidRPr="002C2748">
        <w:rPr>
          <w:rFonts w:ascii="Times New Roman" w:hAnsi="Times New Roman" w:cs="Times New Roman"/>
        </w:rPr>
        <w:t>oraz wartości opałowej dla poszczególnych paliw</w:t>
      </w:r>
      <w:r w:rsidR="00E35A85" w:rsidRPr="002C2748">
        <w:rPr>
          <w:rFonts w:ascii="Times New Roman" w:hAnsi="Times New Roman" w:cs="Times New Roman"/>
          <w:lang w:eastAsia="pl-PL"/>
        </w:rPr>
        <w:t>.</w:t>
      </w:r>
    </w:p>
    <w:p w14:paraId="59DC5DC4" w14:textId="34FFF557" w:rsidR="0092100F" w:rsidRPr="002C2748" w:rsidRDefault="0092100F" w:rsidP="00495D08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 xml:space="preserve">Natomiast, wskaźnik dla biokomponentów niespełniających kryteriów zrównoważonego rozwoju jest równy wartości wskaźnika paliwa, do którego zostały dodane te biokomponenty. </w:t>
      </w:r>
      <w:r w:rsidR="00B94421" w:rsidRPr="002C2748">
        <w:rPr>
          <w:rFonts w:ascii="Times New Roman" w:hAnsi="Times New Roman" w:cs="Times New Roman"/>
          <w:lang w:eastAsia="pl-PL"/>
        </w:rPr>
        <w:t>Zaś w</w:t>
      </w:r>
      <w:r w:rsidRPr="002C2748">
        <w:rPr>
          <w:rFonts w:ascii="Times New Roman" w:hAnsi="Times New Roman" w:cs="Times New Roman"/>
          <w:lang w:eastAsia="pl-PL"/>
        </w:rPr>
        <w:t xml:space="preserve"> przypadku biopaliw ciekłych</w:t>
      </w:r>
      <w:r w:rsidR="00B94421" w:rsidRPr="002C2748">
        <w:rPr>
          <w:rFonts w:ascii="Times New Roman" w:hAnsi="Times New Roman" w:cs="Times New Roman"/>
          <w:lang w:eastAsia="pl-PL"/>
        </w:rPr>
        <w:t xml:space="preserve"> (punkt </w:t>
      </w:r>
      <w:r w:rsidR="001F1FD4" w:rsidRPr="002C2748">
        <w:rPr>
          <w:rFonts w:ascii="Times New Roman" w:hAnsi="Times New Roman" w:cs="Times New Roman"/>
          <w:lang w:eastAsia="pl-PL"/>
        </w:rPr>
        <w:t>3</w:t>
      </w:r>
      <w:r w:rsidR="00B94421" w:rsidRPr="002C2748">
        <w:rPr>
          <w:rFonts w:ascii="Times New Roman" w:hAnsi="Times New Roman" w:cs="Times New Roman"/>
          <w:lang w:eastAsia="pl-PL"/>
        </w:rPr>
        <w:t xml:space="preserve"> paragrafu 4)</w:t>
      </w:r>
      <w:r w:rsidRPr="002C2748">
        <w:rPr>
          <w:rFonts w:ascii="Times New Roman" w:hAnsi="Times New Roman" w:cs="Times New Roman"/>
          <w:lang w:eastAsia="pl-PL"/>
        </w:rPr>
        <w:t xml:space="preserve"> wskaźnik określa się na podstawie wskaźników emisji gazów cieplarnianych dla danego paliwa i dla biokomponentu, z których zostało wytworzone biopaliwo ciekłe.</w:t>
      </w:r>
      <w:r w:rsidR="00266B41" w:rsidRPr="002C2748">
        <w:rPr>
          <w:rFonts w:ascii="Times New Roman" w:hAnsi="Times New Roman" w:cs="Times New Roman"/>
          <w:lang w:eastAsia="pl-PL"/>
        </w:rPr>
        <w:t xml:space="preserve"> Oznacza to, że przy obliczaniu wskaźnika bierze się pod uwagę wskaźnik określony dla biokomponentu zgodnie z ustawą z dnia 25 sierpnia 2006 r. o biokomponentach i biopaliwach ciekłych oraz wskaźnik określony dla paliwa </w:t>
      </w:r>
      <w:r w:rsidR="006A0395" w:rsidRPr="002C2748">
        <w:rPr>
          <w:rFonts w:ascii="Times New Roman" w:hAnsi="Times New Roman" w:cs="Times New Roman"/>
          <w:lang w:eastAsia="pl-PL"/>
        </w:rPr>
        <w:t xml:space="preserve">bez zawartości biokomponentu na podstawie niniejszego rozporządzenia. </w:t>
      </w:r>
      <w:r w:rsidR="00966D60" w:rsidRPr="002C2748">
        <w:rPr>
          <w:rFonts w:ascii="Times New Roman" w:hAnsi="Times New Roman" w:cs="Times New Roman"/>
          <w:lang w:eastAsia="pl-PL"/>
        </w:rPr>
        <w:t xml:space="preserve">Przepis </w:t>
      </w:r>
      <w:r w:rsidR="004F2D26" w:rsidRPr="002C2748">
        <w:rPr>
          <w:rFonts w:ascii="Times New Roman" w:hAnsi="Times New Roman" w:cs="Times New Roman"/>
          <w:lang w:eastAsia="pl-PL"/>
        </w:rPr>
        <w:t>w takim samym brzmieniu funkcjonuje w obecnie obowiązującym rozporządzeniu.</w:t>
      </w:r>
    </w:p>
    <w:p w14:paraId="06C39B3F" w14:textId="10FCEB3B" w:rsidR="00C9266F" w:rsidRPr="002C2748" w:rsidRDefault="00C9266F" w:rsidP="00F47C74">
      <w:pPr>
        <w:spacing w:before="240"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>Przepis § 5</w:t>
      </w:r>
      <w:r w:rsidR="004C319C" w:rsidRPr="002C2748">
        <w:rPr>
          <w:rFonts w:ascii="Times New Roman" w:hAnsi="Times New Roman" w:cs="Times New Roman"/>
          <w:lang w:eastAsia="pl-PL"/>
        </w:rPr>
        <w:t xml:space="preserve"> projektu rozporządzenia</w:t>
      </w:r>
      <w:r w:rsidRPr="002C2748">
        <w:rPr>
          <w:rFonts w:ascii="Times New Roman" w:hAnsi="Times New Roman" w:cs="Times New Roman"/>
          <w:lang w:eastAsia="pl-PL"/>
        </w:rPr>
        <w:t xml:space="preserve"> </w:t>
      </w:r>
      <w:r w:rsidR="004C319C" w:rsidRPr="002C2748">
        <w:rPr>
          <w:rFonts w:ascii="Times New Roman" w:hAnsi="Times New Roman" w:cs="Times New Roman"/>
          <w:lang w:eastAsia="pl-PL"/>
        </w:rPr>
        <w:t>wskaz</w:t>
      </w:r>
      <w:r w:rsidR="00F47C74" w:rsidRPr="002C2748">
        <w:rPr>
          <w:rFonts w:ascii="Times New Roman" w:hAnsi="Times New Roman" w:cs="Times New Roman"/>
          <w:lang w:eastAsia="pl-PL"/>
        </w:rPr>
        <w:t>uje</w:t>
      </w:r>
      <w:r w:rsidR="004C319C" w:rsidRPr="002C2748">
        <w:rPr>
          <w:rFonts w:ascii="Times New Roman" w:hAnsi="Times New Roman" w:cs="Times New Roman"/>
          <w:lang w:eastAsia="pl-PL"/>
        </w:rPr>
        <w:t>, że</w:t>
      </w:r>
      <w:r w:rsidRPr="002C2748">
        <w:rPr>
          <w:rFonts w:ascii="Times New Roman" w:hAnsi="Times New Roman" w:cs="Times New Roman"/>
          <w:lang w:eastAsia="pl-PL"/>
        </w:rPr>
        <w:t xml:space="preserve"> emisj</w:t>
      </w:r>
      <w:r w:rsidR="004C319C" w:rsidRPr="002C2748">
        <w:rPr>
          <w:rFonts w:ascii="Times New Roman" w:hAnsi="Times New Roman" w:cs="Times New Roman"/>
          <w:lang w:eastAsia="pl-PL"/>
        </w:rPr>
        <w:t>a</w:t>
      </w:r>
      <w:r w:rsidRPr="002C2748">
        <w:rPr>
          <w:rFonts w:ascii="Times New Roman" w:hAnsi="Times New Roman" w:cs="Times New Roman"/>
          <w:lang w:eastAsia="pl-PL"/>
        </w:rPr>
        <w:t xml:space="preserve"> gazów cieplarnianych</w:t>
      </w:r>
      <w:r w:rsidR="004048E3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w przeliczeniu na jednostkę energii z 2010 r.</w:t>
      </w:r>
      <w:r w:rsidR="004C319C" w:rsidRPr="002C2748">
        <w:rPr>
          <w:rFonts w:ascii="Times New Roman" w:hAnsi="Times New Roman" w:cs="Times New Roman"/>
          <w:lang w:eastAsia="pl-PL"/>
        </w:rPr>
        <w:t xml:space="preserve"> wynosi 94,1 gCO2eq/MJ. Wartość ta wynika</w:t>
      </w:r>
      <w:r w:rsidRPr="002C2748">
        <w:rPr>
          <w:rFonts w:ascii="Times New Roman" w:hAnsi="Times New Roman" w:cs="Times New Roman"/>
          <w:lang w:eastAsia="pl-PL"/>
        </w:rPr>
        <w:t xml:space="preserve"> z </w:t>
      </w:r>
      <w:r w:rsidR="00CF6C89" w:rsidRPr="002C2748">
        <w:rPr>
          <w:rFonts w:ascii="Times New Roman" w:hAnsi="Times New Roman" w:cs="Times New Roman"/>
          <w:lang w:eastAsia="pl-PL"/>
        </w:rPr>
        <w:t>Z</w:t>
      </w:r>
      <w:r w:rsidRPr="002C2748">
        <w:rPr>
          <w:rFonts w:ascii="Times New Roman" w:hAnsi="Times New Roman" w:cs="Times New Roman"/>
          <w:lang w:eastAsia="pl-PL"/>
        </w:rPr>
        <w:t>ałącznika II dyrektywy</w:t>
      </w:r>
      <w:r w:rsidR="004048E3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2015/652</w:t>
      </w:r>
      <w:r w:rsidR="004C319C" w:rsidRPr="002C2748">
        <w:rPr>
          <w:rFonts w:ascii="Times New Roman" w:hAnsi="Times New Roman" w:cs="Times New Roman"/>
          <w:lang w:eastAsia="pl-PL"/>
        </w:rPr>
        <w:t xml:space="preserve"> i stanowi bazę porównawczą dla założonego minimalnego </w:t>
      </w:r>
      <w:r w:rsidRPr="002C2748">
        <w:rPr>
          <w:rFonts w:ascii="Times New Roman" w:hAnsi="Times New Roman" w:cs="Times New Roman"/>
          <w:lang w:eastAsia="pl-PL"/>
        </w:rPr>
        <w:t>celu redukcyjnego w 2020 r.</w:t>
      </w:r>
      <w:r w:rsidR="002C5BB4" w:rsidRPr="002C2748">
        <w:rPr>
          <w:rFonts w:ascii="Times New Roman" w:hAnsi="Times New Roman" w:cs="Times New Roman"/>
          <w:lang w:eastAsia="pl-PL"/>
        </w:rPr>
        <w:t xml:space="preserve"> i</w:t>
      </w:r>
      <w:r w:rsidR="00F47C74" w:rsidRPr="002C2748">
        <w:rPr>
          <w:rFonts w:ascii="Times New Roman" w:hAnsi="Times New Roman" w:cs="Times New Roman"/>
          <w:lang w:eastAsia="pl-PL"/>
        </w:rPr>
        <w:t> </w:t>
      </w:r>
      <w:r w:rsidR="00052D44" w:rsidRPr="002C2748">
        <w:rPr>
          <w:rFonts w:ascii="Times New Roman" w:hAnsi="Times New Roman" w:cs="Times New Roman"/>
          <w:lang w:eastAsia="pl-PL"/>
        </w:rPr>
        <w:t>w</w:t>
      </w:r>
      <w:r w:rsidR="00F47C74" w:rsidRPr="002C2748">
        <w:rPr>
          <w:rFonts w:ascii="Times New Roman" w:hAnsi="Times New Roman" w:cs="Times New Roman"/>
          <w:lang w:eastAsia="pl-PL"/>
        </w:rPr>
        <w:t> </w:t>
      </w:r>
      <w:r w:rsidR="002C5BB4" w:rsidRPr="002C2748">
        <w:rPr>
          <w:rFonts w:ascii="Times New Roman" w:hAnsi="Times New Roman" w:cs="Times New Roman"/>
          <w:lang w:eastAsia="pl-PL"/>
        </w:rPr>
        <w:t>latach następnych</w:t>
      </w:r>
      <w:r w:rsidR="00C540F8" w:rsidRPr="002C2748">
        <w:rPr>
          <w:rFonts w:ascii="Times New Roman" w:hAnsi="Times New Roman" w:cs="Times New Roman"/>
          <w:lang w:eastAsia="pl-PL"/>
        </w:rPr>
        <w:t xml:space="preserve">, </w:t>
      </w:r>
      <w:r w:rsidR="007367AF" w:rsidRPr="002C2748">
        <w:rPr>
          <w:rFonts w:ascii="Times New Roman" w:hAnsi="Times New Roman" w:cs="Times New Roman"/>
          <w:lang w:eastAsia="pl-PL"/>
        </w:rPr>
        <w:t xml:space="preserve">wynoszącego </w:t>
      </w:r>
      <w:r w:rsidR="00C540F8" w:rsidRPr="002C2748">
        <w:rPr>
          <w:rFonts w:ascii="Times New Roman" w:hAnsi="Times New Roman" w:cs="Times New Roman"/>
          <w:lang w:eastAsia="pl-PL"/>
        </w:rPr>
        <w:t>6%.</w:t>
      </w:r>
    </w:p>
    <w:p w14:paraId="798AEF99" w14:textId="77777777" w:rsidR="001818CF" w:rsidRPr="002C2748" w:rsidRDefault="00C9266F" w:rsidP="00F47C74">
      <w:pPr>
        <w:spacing w:before="240"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 xml:space="preserve">W § 6 </w:t>
      </w:r>
      <w:r w:rsidR="00495D08" w:rsidRPr="002C2748">
        <w:rPr>
          <w:rFonts w:ascii="Times New Roman" w:hAnsi="Times New Roman" w:cs="Times New Roman"/>
          <w:lang w:eastAsia="pl-PL"/>
        </w:rPr>
        <w:t xml:space="preserve">projektu rozporządzenia </w:t>
      </w:r>
      <w:r w:rsidRPr="002C2748">
        <w:rPr>
          <w:rFonts w:ascii="Times New Roman" w:hAnsi="Times New Roman" w:cs="Times New Roman"/>
          <w:lang w:eastAsia="pl-PL"/>
        </w:rPr>
        <w:t>określona zosta</w:t>
      </w:r>
      <w:r w:rsidR="00323B8F" w:rsidRPr="002C2748">
        <w:rPr>
          <w:rFonts w:ascii="Times New Roman" w:hAnsi="Times New Roman" w:cs="Times New Roman"/>
          <w:lang w:eastAsia="pl-PL"/>
        </w:rPr>
        <w:t>ła</w:t>
      </w:r>
      <w:r w:rsidRPr="002C2748">
        <w:rPr>
          <w:rFonts w:ascii="Times New Roman" w:hAnsi="Times New Roman" w:cs="Times New Roman"/>
          <w:lang w:eastAsia="pl-PL"/>
        </w:rPr>
        <w:t xml:space="preserve"> wartość opałow</w:t>
      </w:r>
      <w:r w:rsidR="006763E9" w:rsidRPr="002C2748">
        <w:rPr>
          <w:rFonts w:ascii="Times New Roman" w:hAnsi="Times New Roman" w:cs="Times New Roman"/>
          <w:lang w:eastAsia="pl-PL"/>
        </w:rPr>
        <w:t>a</w:t>
      </w:r>
      <w:r w:rsidRPr="002C2748">
        <w:rPr>
          <w:rFonts w:ascii="Times New Roman" w:hAnsi="Times New Roman" w:cs="Times New Roman"/>
          <w:lang w:eastAsia="pl-PL"/>
        </w:rPr>
        <w:t xml:space="preserve"> </w:t>
      </w:r>
      <w:r w:rsidR="00323B8F" w:rsidRPr="002C2748">
        <w:rPr>
          <w:rFonts w:ascii="Times New Roman" w:hAnsi="Times New Roman" w:cs="Times New Roman"/>
          <w:lang w:eastAsia="pl-PL"/>
        </w:rPr>
        <w:t xml:space="preserve">dla poszczególnych </w:t>
      </w:r>
      <w:r w:rsidRPr="002C2748">
        <w:rPr>
          <w:rFonts w:ascii="Times New Roman" w:hAnsi="Times New Roman" w:cs="Times New Roman"/>
          <w:lang w:eastAsia="pl-PL"/>
        </w:rPr>
        <w:t>paliw</w:t>
      </w:r>
      <w:r w:rsidR="00323B8F" w:rsidRPr="002C2748">
        <w:rPr>
          <w:rFonts w:ascii="Times New Roman" w:hAnsi="Times New Roman" w:cs="Times New Roman"/>
          <w:lang w:eastAsia="pl-PL"/>
        </w:rPr>
        <w:t xml:space="preserve"> oraz wartość energetyczna </w:t>
      </w:r>
      <w:r w:rsidR="00E25896" w:rsidRPr="002C2748">
        <w:rPr>
          <w:rFonts w:ascii="Times New Roman" w:hAnsi="Times New Roman" w:cs="Times New Roman"/>
          <w:lang w:eastAsia="pl-PL"/>
        </w:rPr>
        <w:t>energii elektrycznej.</w:t>
      </w:r>
      <w:r w:rsidRPr="002C2748">
        <w:rPr>
          <w:rFonts w:ascii="Times New Roman" w:hAnsi="Times New Roman" w:cs="Times New Roman"/>
          <w:lang w:eastAsia="pl-PL"/>
        </w:rPr>
        <w:t xml:space="preserve"> </w:t>
      </w:r>
      <w:r w:rsidR="00E25896" w:rsidRPr="002C2748">
        <w:rPr>
          <w:rFonts w:ascii="Times New Roman" w:hAnsi="Times New Roman" w:cs="Times New Roman"/>
          <w:lang w:eastAsia="pl-PL"/>
        </w:rPr>
        <w:t xml:space="preserve">Wartość opałowa dla paliw bez zawartości biokomponentów została określa w  Tabeli 3 załącznika do projektu rozporządzenia. </w:t>
      </w:r>
    </w:p>
    <w:p w14:paraId="510D0EF0" w14:textId="32191E0E" w:rsidR="001818CF" w:rsidRPr="002C2748" w:rsidRDefault="00E25896" w:rsidP="00F47C74">
      <w:pPr>
        <w:spacing w:before="240"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>Natomiast w</w:t>
      </w:r>
      <w:r w:rsidR="00C9266F" w:rsidRPr="002C2748">
        <w:rPr>
          <w:rFonts w:ascii="Times New Roman" w:hAnsi="Times New Roman" w:cs="Times New Roman"/>
          <w:lang w:eastAsia="pl-PL"/>
        </w:rPr>
        <w:t>artość opałow</w:t>
      </w:r>
      <w:r w:rsidRPr="002C2748">
        <w:rPr>
          <w:rFonts w:ascii="Times New Roman" w:hAnsi="Times New Roman" w:cs="Times New Roman"/>
          <w:lang w:eastAsia="pl-PL"/>
        </w:rPr>
        <w:t>a</w:t>
      </w:r>
      <w:r w:rsidR="00C9266F" w:rsidRPr="002C2748">
        <w:rPr>
          <w:rFonts w:ascii="Times New Roman" w:hAnsi="Times New Roman" w:cs="Times New Roman"/>
          <w:lang w:eastAsia="pl-PL"/>
        </w:rPr>
        <w:t xml:space="preserve"> biokomponentów </w:t>
      </w:r>
      <w:r w:rsidRPr="002C2748">
        <w:rPr>
          <w:rFonts w:ascii="Times New Roman" w:hAnsi="Times New Roman" w:cs="Times New Roman"/>
          <w:lang w:eastAsia="pl-PL"/>
        </w:rPr>
        <w:t xml:space="preserve">została </w:t>
      </w:r>
      <w:r w:rsidR="00C9266F" w:rsidRPr="002C2748">
        <w:rPr>
          <w:rFonts w:ascii="Times New Roman" w:hAnsi="Times New Roman" w:cs="Times New Roman"/>
          <w:lang w:eastAsia="pl-PL"/>
        </w:rPr>
        <w:t xml:space="preserve">określa </w:t>
      </w:r>
      <w:r w:rsidRPr="002C2748">
        <w:rPr>
          <w:rFonts w:ascii="Times New Roman" w:hAnsi="Times New Roman" w:cs="Times New Roman"/>
          <w:lang w:eastAsia="pl-PL"/>
        </w:rPr>
        <w:t xml:space="preserve">w </w:t>
      </w:r>
      <w:r w:rsidR="00E149AD" w:rsidRPr="002C2748">
        <w:rPr>
          <w:rFonts w:ascii="Times New Roman" w:hAnsi="Times New Roman" w:cs="Times New Roman"/>
          <w:lang w:eastAsia="pl-PL"/>
        </w:rPr>
        <w:t>rozporządzeni</w:t>
      </w:r>
      <w:r w:rsidRPr="002C2748">
        <w:rPr>
          <w:rFonts w:ascii="Times New Roman" w:hAnsi="Times New Roman" w:cs="Times New Roman"/>
          <w:lang w:eastAsia="pl-PL"/>
        </w:rPr>
        <w:t>u</w:t>
      </w:r>
      <w:r w:rsidR="00E149AD" w:rsidRPr="002C2748">
        <w:rPr>
          <w:rFonts w:ascii="Times New Roman" w:hAnsi="Times New Roman" w:cs="Times New Roman"/>
          <w:lang w:eastAsia="pl-PL"/>
        </w:rPr>
        <w:t xml:space="preserve"> Ministra Klimatu z dnia 11 lipca 2020 r. w sprawie wartości opałowej poszczególnych biokomponentów i paliw ciekłych (Dz.U. 2020 poz. 1278).</w:t>
      </w:r>
      <w:r w:rsidR="000E5F50" w:rsidRPr="002C2748">
        <w:rPr>
          <w:rFonts w:ascii="Times New Roman" w:hAnsi="Times New Roman" w:cs="Times New Roman"/>
          <w:lang w:eastAsia="pl-PL"/>
        </w:rPr>
        <w:t xml:space="preserve">, wydane na podstawie art. 23 ust. 3 ustawy z </w:t>
      </w:r>
      <w:r w:rsidR="000E5F50" w:rsidRPr="002C2748">
        <w:rPr>
          <w:rFonts w:ascii="Times New Roman" w:hAnsi="Times New Roman" w:cs="Times New Roman"/>
        </w:rPr>
        <w:t>dnia 25 sierpnia 2006 r. o biokomponentach i biopaliwach ciekłych.</w:t>
      </w:r>
      <w:r w:rsidR="001818CF" w:rsidRPr="002C2748">
        <w:rPr>
          <w:rFonts w:ascii="Times New Roman" w:hAnsi="Times New Roman" w:cs="Times New Roman"/>
        </w:rPr>
        <w:t xml:space="preserve"> W stosunku do obecnie obowiązującego rozporządzenia </w:t>
      </w:r>
      <w:r w:rsidR="00E16DA8" w:rsidRPr="002C2748">
        <w:rPr>
          <w:rFonts w:ascii="Times New Roman" w:hAnsi="Times New Roman" w:cs="Times New Roman"/>
        </w:rPr>
        <w:t xml:space="preserve">przepis </w:t>
      </w:r>
      <w:r w:rsidR="001818CF" w:rsidRPr="002C2748">
        <w:rPr>
          <w:rFonts w:ascii="Times New Roman" w:hAnsi="Times New Roman" w:cs="Times New Roman"/>
        </w:rPr>
        <w:t xml:space="preserve">o tym mówiący został wykreślony, </w:t>
      </w:r>
      <w:r w:rsidR="00312871" w:rsidRPr="002C2748">
        <w:rPr>
          <w:rFonts w:ascii="Times New Roman" w:hAnsi="Times New Roman" w:cs="Times New Roman"/>
        </w:rPr>
        <w:t xml:space="preserve">ponieważ zgodnie z art. 118 Zasad Techniki Prawodawczej, będących załącznikiem do rozporządzenia Prezesa Rady Ministrów z dnia 20 czerwca 2002 r. w sprawie „Zasad techniki prawodawczej” (Dz. U. z 2002 r. nr 100, poz. 908)  w rozporządzeniu nie powtarza się przepisów innych aktów normatywnych. Wspomniana materia została wyczerpująco uregulowana w ustawie </w:t>
      </w:r>
      <w:r w:rsidR="00312871" w:rsidRPr="002C2748">
        <w:rPr>
          <w:rFonts w:ascii="Times New Roman" w:hAnsi="Times New Roman" w:cs="Times New Roman"/>
          <w:lang w:eastAsia="pl-PL"/>
        </w:rPr>
        <w:t>z dnia 25 sierpnia 2006 r. o biokomponentach i biopaliwach ciekłych</w:t>
      </w:r>
      <w:r w:rsidR="00312871" w:rsidRPr="002C2748">
        <w:rPr>
          <w:rFonts w:ascii="Times New Roman" w:hAnsi="Times New Roman" w:cs="Times New Roman"/>
        </w:rPr>
        <w:t>. Upoważnienie ustawowe pomimo zrezygnowania z ww. przepisów w dalszym ciągu jest w pełni wykonane, ponieważ wskazuje na określenie wartości opałowej dla poszczególnych paliw</w:t>
      </w:r>
      <w:r w:rsidR="00312871" w:rsidRPr="002C2748">
        <w:rPr>
          <w:rFonts w:ascii="Times New Roman" w:hAnsi="Times New Roman" w:cs="Times New Roman"/>
          <w:lang w:eastAsia="pl-PL"/>
        </w:rPr>
        <w:t>.</w:t>
      </w:r>
    </w:p>
    <w:p w14:paraId="34EE14FF" w14:textId="2B680824" w:rsidR="00C9266F" w:rsidRPr="002C2748" w:rsidRDefault="00E25896" w:rsidP="00F47C74">
      <w:pPr>
        <w:spacing w:before="240"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</w:rPr>
        <w:t xml:space="preserve"> </w:t>
      </w:r>
      <w:r w:rsidR="001818CF" w:rsidRPr="002C2748">
        <w:rPr>
          <w:rFonts w:ascii="Times New Roman" w:hAnsi="Times New Roman" w:cs="Times New Roman"/>
        </w:rPr>
        <w:t>W punkcie 3 wskazano, że p</w:t>
      </w:r>
      <w:r w:rsidRPr="002C2748">
        <w:rPr>
          <w:rFonts w:ascii="Times New Roman" w:hAnsi="Times New Roman" w:cs="Times New Roman"/>
        </w:rPr>
        <w:t xml:space="preserve">rzy obliczaniu wartości opałowej paliw przyjmuje się, że </w:t>
      </w:r>
      <w:r w:rsidRPr="002C2748">
        <w:rPr>
          <w:rFonts w:ascii="Times New Roman" w:hAnsi="Times New Roman" w:cs="Times New Roman"/>
          <w:lang w:eastAsia="pl-PL"/>
        </w:rPr>
        <w:t>wartość opałowa dla biokomponentów niespełniających kryteriów zrównoważonego rozwoju jest równa wartości opałowej dla biokomponentów spełniających kryteria zrównoważonego rozwoju.</w:t>
      </w:r>
      <w:r w:rsidR="004C319C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Wskazano również, że wartość energetyczna energii elektrycznej wynosi 3,6 [MJ/kWh].</w:t>
      </w:r>
    </w:p>
    <w:p w14:paraId="0EF496FC" w14:textId="6E4EFF76" w:rsidR="0066399A" w:rsidRPr="002C2748" w:rsidRDefault="0066399A" w:rsidP="00F47C74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2748">
        <w:rPr>
          <w:rFonts w:ascii="Times New Roman" w:eastAsia="Times New Roman" w:hAnsi="Times New Roman" w:cs="Times New Roman"/>
          <w:lang w:eastAsia="pl-PL"/>
        </w:rPr>
        <w:t xml:space="preserve">W § </w:t>
      </w:r>
      <w:r w:rsidR="00B42C70" w:rsidRPr="002C2748">
        <w:rPr>
          <w:rFonts w:ascii="Times New Roman" w:eastAsia="Times New Roman" w:hAnsi="Times New Roman" w:cs="Times New Roman"/>
          <w:lang w:eastAsia="pl-PL"/>
        </w:rPr>
        <w:t>7</w:t>
      </w:r>
      <w:r w:rsidRPr="002C27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5D08" w:rsidRPr="002C2748">
        <w:rPr>
          <w:rFonts w:ascii="Times New Roman" w:eastAsia="Times New Roman" w:hAnsi="Times New Roman" w:cs="Times New Roman"/>
          <w:lang w:eastAsia="pl-PL"/>
        </w:rPr>
        <w:t xml:space="preserve">projektu rozporządzenia </w:t>
      </w:r>
      <w:r w:rsidRPr="002C2748">
        <w:rPr>
          <w:rFonts w:ascii="Times New Roman" w:eastAsia="Times New Roman" w:hAnsi="Times New Roman" w:cs="Times New Roman"/>
          <w:lang w:eastAsia="pl-PL"/>
        </w:rPr>
        <w:t xml:space="preserve">wskazano, że projekt rozporządzenia wchodzi w życie </w:t>
      </w:r>
      <w:r w:rsidR="00970A1D" w:rsidRPr="002C2748">
        <w:rPr>
          <w:rFonts w:ascii="Times New Roman" w:hAnsi="Times New Roman" w:cs="Times New Roman"/>
        </w:rPr>
        <w:t xml:space="preserve">po upływie 14 dni od dnia </w:t>
      </w:r>
      <w:r w:rsidR="00323B8F" w:rsidRPr="002C2748">
        <w:rPr>
          <w:rFonts w:ascii="Times New Roman" w:eastAsia="Times New Roman" w:hAnsi="Times New Roman" w:cs="Times New Roman"/>
          <w:lang w:eastAsia="pl-PL"/>
        </w:rPr>
        <w:t xml:space="preserve"> jego ogłoszenia</w:t>
      </w:r>
      <w:r w:rsidRPr="002C2748">
        <w:rPr>
          <w:rFonts w:ascii="Times New Roman" w:eastAsia="Times New Roman" w:hAnsi="Times New Roman" w:cs="Times New Roman"/>
          <w:lang w:eastAsia="pl-PL"/>
        </w:rPr>
        <w:t>.</w:t>
      </w:r>
    </w:p>
    <w:p w14:paraId="67AB4661" w14:textId="2C33DDB1" w:rsidR="00C46B55" w:rsidRPr="002C2748" w:rsidRDefault="00C65964" w:rsidP="00C46B55">
      <w:pPr>
        <w:spacing w:before="24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eastAsia="Times New Roman" w:hAnsi="Times New Roman" w:cs="Times New Roman"/>
          <w:lang w:eastAsia="pl-PL"/>
        </w:rPr>
        <w:t>Zgodnie z art. 16 ustawy z dnia 11 sierpnia 2021 r. o zmianie ustawy o systemie monitorowania i kontrolowania jakości paliw oraz niektórych innych ustaw (Dz. U. z 2021 r., poz. 1642) p</w:t>
      </w:r>
      <w:r w:rsidR="00C46B55" w:rsidRPr="002C2748">
        <w:rPr>
          <w:rFonts w:ascii="Times New Roman" w:eastAsia="Times New Roman" w:hAnsi="Times New Roman" w:cs="Times New Roman"/>
          <w:lang w:eastAsia="pl-PL"/>
        </w:rPr>
        <w:t xml:space="preserve">rzy obliczaniu </w:t>
      </w:r>
      <w:r w:rsidR="00C46B55" w:rsidRPr="002C2748">
        <w:rPr>
          <w:rFonts w:ascii="Times New Roman" w:eastAsia="Times New Roman" w:hAnsi="Times New Roman" w:cs="Times New Roman"/>
          <w:lang w:eastAsia="pl-PL"/>
        </w:rPr>
        <w:lastRenderedPageBreak/>
        <w:t xml:space="preserve">emisji gazów cieplarnianych z energii elektrycznej za rok 2021 przyjmuje się wskaźnik emisji gazów cieplarnianych </w:t>
      </w:r>
      <w:r w:rsidR="005449BB" w:rsidRPr="002C2748">
        <w:rPr>
          <w:rFonts w:ascii="Times New Roman" w:eastAsia="Times New Roman" w:hAnsi="Times New Roman" w:cs="Times New Roman"/>
          <w:lang w:eastAsia="pl-PL"/>
        </w:rPr>
        <w:t xml:space="preserve">dla energii elektrycznej </w:t>
      </w:r>
      <w:r w:rsidR="00C46B55" w:rsidRPr="002C2748">
        <w:rPr>
          <w:rFonts w:ascii="Times New Roman" w:eastAsia="Times New Roman" w:hAnsi="Times New Roman" w:cs="Times New Roman"/>
          <w:lang w:eastAsia="pl-PL"/>
        </w:rPr>
        <w:t xml:space="preserve">ustalony w obecnie obowiązującym rozporządzeniu (Dz. U. z 2017 r., poz. 1294). Od 2022 r. wskaźnik ten będzie ustalany rokrocznie w osobnym rozporządzeniu wynikającym z art. 30ha ustawy </w:t>
      </w:r>
      <w:r w:rsidR="00C46B55" w:rsidRPr="002C2748">
        <w:rPr>
          <w:rFonts w:ascii="Times New Roman" w:hAnsi="Times New Roman" w:cs="Times New Roman"/>
        </w:rPr>
        <w:t>o systemie monitorowania i kontrolowania jakości paliw.</w:t>
      </w:r>
    </w:p>
    <w:p w14:paraId="2E9911AC" w14:textId="25EA0478" w:rsidR="00C9266F" w:rsidRPr="002C2748" w:rsidRDefault="00C9266F" w:rsidP="00883DCF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>W tabeli 1 załącznika</w:t>
      </w:r>
      <w:r w:rsidR="007E45C1" w:rsidRPr="002C2748">
        <w:rPr>
          <w:rFonts w:ascii="Times New Roman" w:hAnsi="Times New Roman" w:cs="Times New Roman"/>
          <w:lang w:eastAsia="pl-PL"/>
        </w:rPr>
        <w:t xml:space="preserve"> </w:t>
      </w:r>
      <w:bookmarkStart w:id="4" w:name="_Hlk62656517"/>
      <w:r w:rsidR="007E45C1" w:rsidRPr="002C2748">
        <w:rPr>
          <w:rFonts w:ascii="Times New Roman" w:hAnsi="Times New Roman" w:cs="Times New Roman"/>
          <w:lang w:eastAsia="pl-PL"/>
        </w:rPr>
        <w:t>do projektu rozporządzenia</w:t>
      </w:r>
      <w:r w:rsidRPr="002C2748">
        <w:rPr>
          <w:rFonts w:ascii="Times New Roman" w:hAnsi="Times New Roman" w:cs="Times New Roman"/>
          <w:lang w:eastAsia="pl-PL"/>
        </w:rPr>
        <w:t xml:space="preserve"> </w:t>
      </w:r>
      <w:bookmarkEnd w:id="4"/>
      <w:r w:rsidRPr="002C2748">
        <w:rPr>
          <w:rFonts w:ascii="Times New Roman" w:hAnsi="Times New Roman" w:cs="Times New Roman"/>
          <w:lang w:eastAsia="pl-PL"/>
        </w:rPr>
        <w:t>określono wskaźniki emisji gazów cieplarnianych dla</w:t>
      </w:r>
      <w:r w:rsidR="007E5E4E" w:rsidRPr="002C2748">
        <w:rPr>
          <w:rFonts w:ascii="Times New Roman" w:hAnsi="Times New Roman" w:cs="Times New Roman"/>
          <w:lang w:eastAsia="pl-PL"/>
        </w:rPr>
        <w:t xml:space="preserve"> paliw bez zawartości biokomponentów (</w:t>
      </w:r>
      <w:proofErr w:type="spellStart"/>
      <w:r w:rsidR="007E5E4E" w:rsidRPr="002C2748">
        <w:rPr>
          <w:rFonts w:ascii="Times New Roman" w:hAnsi="Times New Roman" w:cs="Times New Roman"/>
          <w:lang w:eastAsia="pl-PL"/>
        </w:rPr>
        <w:t>GHGi</w:t>
      </w:r>
      <w:proofErr w:type="spellEnd"/>
      <w:r w:rsidR="007E5E4E" w:rsidRPr="002C2748">
        <w:rPr>
          <w:rFonts w:ascii="Times New Roman" w:hAnsi="Times New Roman" w:cs="Times New Roman"/>
          <w:lang w:eastAsia="pl-PL"/>
        </w:rPr>
        <w:t xml:space="preserve">). </w:t>
      </w:r>
      <w:r w:rsidRPr="002C2748">
        <w:rPr>
          <w:rFonts w:ascii="Times New Roman" w:hAnsi="Times New Roman" w:cs="Times New Roman"/>
          <w:lang w:eastAsia="pl-PL"/>
        </w:rPr>
        <w:t xml:space="preserve">Wskaźniki dla paliw pochodzą z pkt 5 </w:t>
      </w:r>
      <w:r w:rsidR="007E45C1" w:rsidRPr="002C2748">
        <w:rPr>
          <w:rFonts w:ascii="Times New Roman" w:hAnsi="Times New Roman" w:cs="Times New Roman"/>
          <w:lang w:eastAsia="pl-PL"/>
        </w:rPr>
        <w:t>Część</w:t>
      </w:r>
      <w:r w:rsidRPr="002C2748">
        <w:rPr>
          <w:rFonts w:ascii="Times New Roman" w:hAnsi="Times New Roman" w:cs="Times New Roman"/>
          <w:lang w:eastAsia="pl-PL"/>
        </w:rPr>
        <w:t xml:space="preserve"> 2</w:t>
      </w:r>
      <w:r w:rsidR="004048E3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 xml:space="preserve">Załącznika </w:t>
      </w:r>
      <w:r w:rsidR="007E45C1" w:rsidRPr="002C2748">
        <w:rPr>
          <w:rFonts w:ascii="Times New Roman" w:hAnsi="Times New Roman" w:cs="Times New Roman"/>
          <w:lang w:eastAsia="pl-PL"/>
        </w:rPr>
        <w:t>I do</w:t>
      </w:r>
      <w:r w:rsidRPr="002C2748">
        <w:rPr>
          <w:rFonts w:ascii="Times New Roman" w:hAnsi="Times New Roman" w:cs="Times New Roman"/>
          <w:lang w:eastAsia="pl-PL"/>
        </w:rPr>
        <w:t xml:space="preserve"> dyrektywy 2015/652.</w:t>
      </w:r>
    </w:p>
    <w:p w14:paraId="76BD002B" w14:textId="77777777" w:rsidR="0061025C" w:rsidRPr="002C2748" w:rsidRDefault="0061025C" w:rsidP="0061025C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 xml:space="preserve">Energia z </w:t>
      </w:r>
      <w:proofErr w:type="spellStart"/>
      <w:r w:rsidRPr="002C2748">
        <w:rPr>
          <w:rFonts w:ascii="Times New Roman" w:hAnsi="Times New Roman" w:cs="Times New Roman"/>
          <w:lang w:eastAsia="pl-PL"/>
        </w:rPr>
        <w:t>niebiologicznych</w:t>
      </w:r>
      <w:proofErr w:type="spellEnd"/>
      <w:r w:rsidRPr="002C2748">
        <w:rPr>
          <w:rFonts w:ascii="Times New Roman" w:hAnsi="Times New Roman" w:cs="Times New Roman"/>
          <w:lang w:eastAsia="pl-PL"/>
        </w:rPr>
        <w:t xml:space="preserve"> źródeł odnawialnych, o której mowa w wierszu 15 tabeli 1 załącznika do projektu rozporządzenia, to energia z innych paliw odnawialnych zdefiniowana w art. 2 pkt 23 ustawy o biokomponentach i biopaliwach ciekłych.</w:t>
      </w:r>
    </w:p>
    <w:p w14:paraId="4BBC7798" w14:textId="4EC727FC" w:rsidR="0061025C" w:rsidRPr="002C2748" w:rsidRDefault="0061025C" w:rsidP="0061025C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>Inne paliwa odnawialne to paliwa pochodzące z odnawialnych źródeł energii w rozumieniu ustawy z</w:t>
      </w:r>
      <w:r w:rsidR="00F47C74" w:rsidRPr="002C2748">
        <w:rPr>
          <w:rFonts w:ascii="Times New Roman" w:hAnsi="Times New Roman" w:cs="Times New Roman"/>
          <w:lang w:eastAsia="pl-PL"/>
        </w:rPr>
        <w:t> </w:t>
      </w:r>
      <w:r w:rsidRPr="002C2748">
        <w:rPr>
          <w:rFonts w:ascii="Times New Roman" w:hAnsi="Times New Roman" w:cs="Times New Roman"/>
          <w:lang w:eastAsia="pl-PL"/>
        </w:rPr>
        <w:t>dnia 20 lutego 2015 r. o odnawialnych źródłach energii (Dz. U. z 202</w:t>
      </w:r>
      <w:r w:rsidR="001F2A3A" w:rsidRPr="002C2748">
        <w:rPr>
          <w:rFonts w:ascii="Times New Roman" w:hAnsi="Times New Roman" w:cs="Times New Roman"/>
          <w:lang w:eastAsia="pl-PL"/>
        </w:rPr>
        <w:t>1</w:t>
      </w:r>
      <w:r w:rsidRPr="002C2748">
        <w:rPr>
          <w:rFonts w:ascii="Times New Roman" w:hAnsi="Times New Roman" w:cs="Times New Roman"/>
          <w:lang w:eastAsia="pl-PL"/>
        </w:rPr>
        <w:t xml:space="preserve"> r. poz. </w:t>
      </w:r>
      <w:r w:rsidR="001F2A3A" w:rsidRPr="002C2748">
        <w:rPr>
          <w:rFonts w:ascii="Times New Roman" w:hAnsi="Times New Roman" w:cs="Times New Roman"/>
          <w:lang w:eastAsia="pl-PL"/>
        </w:rPr>
        <w:t>610</w:t>
      </w:r>
      <w:r w:rsidRPr="002C2748">
        <w:rPr>
          <w:rFonts w:ascii="Times New Roman" w:hAnsi="Times New Roman" w:cs="Times New Roman"/>
          <w:lang w:eastAsia="pl-PL"/>
        </w:rPr>
        <w:t>), z</w:t>
      </w:r>
      <w:r w:rsidR="00F47C74" w:rsidRPr="002C2748">
        <w:rPr>
          <w:rFonts w:ascii="Times New Roman" w:hAnsi="Times New Roman" w:cs="Times New Roman"/>
          <w:lang w:eastAsia="pl-PL"/>
        </w:rPr>
        <w:t> </w:t>
      </w:r>
      <w:r w:rsidRPr="002C2748">
        <w:rPr>
          <w:rFonts w:ascii="Times New Roman" w:hAnsi="Times New Roman" w:cs="Times New Roman"/>
          <w:lang w:eastAsia="pl-PL"/>
        </w:rPr>
        <w:t>wyłączeniem paliw pochodzących z biomasy, stosowane w transporcie.</w:t>
      </w:r>
    </w:p>
    <w:p w14:paraId="1C3C54B2" w14:textId="236D8C20" w:rsidR="0061025C" w:rsidRPr="002C2748" w:rsidRDefault="0061025C" w:rsidP="00883DCF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 xml:space="preserve">Natomiast, odnawialne źródła energii to odnawialne, niekopalne źródła energii obejmujące energię wiatru, energię promieniowania słonecznego, energię </w:t>
      </w:r>
      <w:proofErr w:type="spellStart"/>
      <w:r w:rsidRPr="002C2748">
        <w:rPr>
          <w:rFonts w:ascii="Times New Roman" w:hAnsi="Times New Roman" w:cs="Times New Roman"/>
          <w:lang w:eastAsia="pl-PL"/>
        </w:rPr>
        <w:t>aerotermalną</w:t>
      </w:r>
      <w:proofErr w:type="spellEnd"/>
      <w:r w:rsidRPr="002C2748">
        <w:rPr>
          <w:rFonts w:ascii="Times New Roman" w:hAnsi="Times New Roman" w:cs="Times New Roman"/>
          <w:lang w:eastAsia="pl-PL"/>
        </w:rPr>
        <w:t xml:space="preserve">, energię geotermalną, energię hydrotermalną, hydroenergię, energię fal, prądów i pływów morskich, energię otrzymywaną z biomasy, biogazu, biogazu rolniczego oraz z </w:t>
      </w:r>
      <w:proofErr w:type="spellStart"/>
      <w:r w:rsidRPr="002C2748">
        <w:rPr>
          <w:rFonts w:ascii="Times New Roman" w:hAnsi="Times New Roman" w:cs="Times New Roman"/>
          <w:lang w:eastAsia="pl-PL"/>
        </w:rPr>
        <w:t>biopłynów</w:t>
      </w:r>
      <w:proofErr w:type="spellEnd"/>
      <w:r w:rsidRPr="002C2748">
        <w:rPr>
          <w:rFonts w:ascii="Times New Roman" w:hAnsi="Times New Roman" w:cs="Times New Roman"/>
          <w:lang w:eastAsia="pl-PL"/>
        </w:rPr>
        <w:t>.</w:t>
      </w:r>
    </w:p>
    <w:p w14:paraId="74144A1B" w14:textId="48CC2110" w:rsidR="00C9266F" w:rsidRPr="002C2748" w:rsidRDefault="00C9266F" w:rsidP="00F47C74">
      <w:pPr>
        <w:spacing w:before="240"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 xml:space="preserve">W tabeli 2 załącznika </w:t>
      </w:r>
      <w:r w:rsidR="007E45C1" w:rsidRPr="002C2748">
        <w:rPr>
          <w:rFonts w:ascii="Times New Roman" w:hAnsi="Times New Roman" w:cs="Times New Roman"/>
          <w:lang w:eastAsia="pl-PL"/>
        </w:rPr>
        <w:t xml:space="preserve">do projektu rozporządzenia </w:t>
      </w:r>
      <w:r w:rsidRPr="002C2748">
        <w:rPr>
          <w:rFonts w:ascii="Times New Roman" w:hAnsi="Times New Roman" w:cs="Times New Roman"/>
          <w:lang w:eastAsia="pl-PL"/>
        </w:rPr>
        <w:t>określono współczynnik korygujący wydajności układu</w:t>
      </w:r>
      <w:r w:rsidR="00CD3269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 xml:space="preserve">napędowego (AF) w zależy od rodzaju układu (silnika). Tabela stanowi implementację pkt 3 </w:t>
      </w:r>
      <w:r w:rsidR="009A4EFF" w:rsidRPr="002C2748">
        <w:rPr>
          <w:rFonts w:ascii="Times New Roman" w:hAnsi="Times New Roman" w:cs="Times New Roman"/>
          <w:lang w:eastAsia="pl-PL"/>
        </w:rPr>
        <w:t xml:space="preserve">lit. </w:t>
      </w:r>
      <w:r w:rsidRPr="002C2748">
        <w:rPr>
          <w:rFonts w:ascii="Times New Roman" w:hAnsi="Times New Roman" w:cs="Times New Roman"/>
          <w:lang w:eastAsia="pl-PL"/>
        </w:rPr>
        <w:t>f</w:t>
      </w:r>
      <w:r w:rsidR="00CD3269" w:rsidRPr="002C2748">
        <w:rPr>
          <w:rFonts w:ascii="Times New Roman" w:hAnsi="Times New Roman" w:cs="Times New Roman"/>
          <w:lang w:eastAsia="pl-PL"/>
        </w:rPr>
        <w:t xml:space="preserve"> </w:t>
      </w:r>
      <w:r w:rsidR="009A4EFF" w:rsidRPr="002C2748">
        <w:rPr>
          <w:rFonts w:ascii="Times New Roman" w:hAnsi="Times New Roman" w:cs="Times New Roman"/>
          <w:lang w:eastAsia="pl-PL"/>
        </w:rPr>
        <w:t>C</w:t>
      </w:r>
      <w:r w:rsidRPr="002C2748">
        <w:rPr>
          <w:rFonts w:ascii="Times New Roman" w:hAnsi="Times New Roman" w:cs="Times New Roman"/>
          <w:lang w:eastAsia="pl-PL"/>
        </w:rPr>
        <w:t xml:space="preserve">zęści 1 Załącznika </w:t>
      </w:r>
      <w:r w:rsidR="00CF6C89" w:rsidRPr="002C2748">
        <w:rPr>
          <w:rFonts w:ascii="Times New Roman" w:hAnsi="Times New Roman" w:cs="Times New Roman"/>
          <w:lang w:eastAsia="pl-PL"/>
        </w:rPr>
        <w:t>I</w:t>
      </w:r>
      <w:r w:rsidRPr="002C2748">
        <w:rPr>
          <w:rFonts w:ascii="Times New Roman" w:hAnsi="Times New Roman" w:cs="Times New Roman"/>
          <w:lang w:eastAsia="pl-PL"/>
        </w:rPr>
        <w:t xml:space="preserve"> dyrektywy 2015/652.</w:t>
      </w:r>
    </w:p>
    <w:p w14:paraId="1D7468D9" w14:textId="7C75F28C" w:rsidR="00C9266F" w:rsidRPr="002C2748" w:rsidRDefault="00C9266F" w:rsidP="00F47C74">
      <w:pPr>
        <w:spacing w:before="240"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2C2748">
        <w:rPr>
          <w:rFonts w:ascii="Times New Roman" w:hAnsi="Times New Roman" w:cs="Times New Roman"/>
          <w:lang w:eastAsia="pl-PL"/>
        </w:rPr>
        <w:t xml:space="preserve">W tabeli 3 </w:t>
      </w:r>
      <w:r w:rsidR="009A4EFF" w:rsidRPr="002C2748">
        <w:rPr>
          <w:rFonts w:ascii="Times New Roman" w:hAnsi="Times New Roman" w:cs="Times New Roman"/>
          <w:lang w:eastAsia="pl-PL"/>
        </w:rPr>
        <w:t xml:space="preserve">załącznika do projektu rozporządzenia </w:t>
      </w:r>
      <w:r w:rsidR="00883DCF" w:rsidRPr="002C2748">
        <w:rPr>
          <w:rFonts w:ascii="Times New Roman" w:hAnsi="Times New Roman" w:cs="Times New Roman"/>
          <w:lang w:eastAsia="pl-PL"/>
        </w:rPr>
        <w:t xml:space="preserve">określono, </w:t>
      </w:r>
      <w:r w:rsidRPr="002C2748">
        <w:rPr>
          <w:rFonts w:ascii="Times New Roman" w:hAnsi="Times New Roman" w:cs="Times New Roman"/>
          <w:lang w:eastAsia="pl-PL"/>
        </w:rPr>
        <w:t xml:space="preserve">na podstawie rozporządzenia Ministra </w:t>
      </w:r>
      <w:r w:rsidR="00883DCF" w:rsidRPr="002C2748">
        <w:rPr>
          <w:rFonts w:ascii="Times New Roman" w:hAnsi="Times New Roman" w:cs="Times New Roman"/>
          <w:lang w:eastAsia="pl-PL"/>
        </w:rPr>
        <w:t xml:space="preserve">Klimatu </w:t>
      </w:r>
      <w:r w:rsidRPr="002C2748">
        <w:rPr>
          <w:rFonts w:ascii="Times New Roman" w:hAnsi="Times New Roman" w:cs="Times New Roman"/>
          <w:lang w:eastAsia="pl-PL"/>
        </w:rPr>
        <w:t xml:space="preserve">z dnia </w:t>
      </w:r>
      <w:r w:rsidR="00883DCF" w:rsidRPr="002C2748">
        <w:rPr>
          <w:rFonts w:ascii="Times New Roman" w:hAnsi="Times New Roman" w:cs="Times New Roman"/>
          <w:lang w:eastAsia="pl-PL"/>
        </w:rPr>
        <w:t>1</w:t>
      </w:r>
      <w:r w:rsidRPr="002C2748">
        <w:rPr>
          <w:rFonts w:ascii="Times New Roman" w:hAnsi="Times New Roman" w:cs="Times New Roman"/>
          <w:lang w:eastAsia="pl-PL"/>
        </w:rPr>
        <w:t xml:space="preserve">1 </w:t>
      </w:r>
      <w:r w:rsidR="00883DCF" w:rsidRPr="002C2748">
        <w:rPr>
          <w:rFonts w:ascii="Times New Roman" w:hAnsi="Times New Roman" w:cs="Times New Roman"/>
          <w:lang w:eastAsia="pl-PL"/>
        </w:rPr>
        <w:t>lipca</w:t>
      </w:r>
      <w:r w:rsidR="00CD3269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20</w:t>
      </w:r>
      <w:r w:rsidR="00883DCF" w:rsidRPr="002C2748">
        <w:rPr>
          <w:rFonts w:ascii="Times New Roman" w:hAnsi="Times New Roman" w:cs="Times New Roman"/>
          <w:lang w:eastAsia="pl-PL"/>
        </w:rPr>
        <w:t>20</w:t>
      </w:r>
      <w:r w:rsidRPr="002C2748">
        <w:rPr>
          <w:rFonts w:ascii="Times New Roman" w:hAnsi="Times New Roman" w:cs="Times New Roman"/>
          <w:lang w:eastAsia="pl-PL"/>
        </w:rPr>
        <w:t xml:space="preserve"> r. w sprawie wartości opałowej poszczególnych biokomponentów i paliw ciekłych (Dz.</w:t>
      </w:r>
      <w:r w:rsidR="00CD3269" w:rsidRPr="002C2748">
        <w:rPr>
          <w:rFonts w:ascii="Times New Roman" w:hAnsi="Times New Roman" w:cs="Times New Roman"/>
          <w:lang w:eastAsia="pl-PL"/>
        </w:rPr>
        <w:t>U. poz. 1278</w:t>
      </w:r>
      <w:r w:rsidRPr="002C2748">
        <w:rPr>
          <w:rFonts w:ascii="Times New Roman" w:hAnsi="Times New Roman" w:cs="Times New Roman"/>
          <w:lang w:eastAsia="pl-PL"/>
        </w:rPr>
        <w:t>)</w:t>
      </w:r>
      <w:r w:rsidR="00883DCF" w:rsidRPr="002C2748">
        <w:rPr>
          <w:rFonts w:ascii="Times New Roman" w:hAnsi="Times New Roman" w:cs="Times New Roman"/>
          <w:lang w:eastAsia="pl-PL"/>
        </w:rPr>
        <w:t>,</w:t>
      </w:r>
      <w:r w:rsidRPr="002C2748">
        <w:rPr>
          <w:rFonts w:ascii="Times New Roman" w:hAnsi="Times New Roman" w:cs="Times New Roman"/>
          <w:lang w:eastAsia="pl-PL"/>
        </w:rPr>
        <w:t xml:space="preserve"> wartości opałowe dla benzyny</w:t>
      </w:r>
      <w:r w:rsidR="00883DCF" w:rsidRPr="002C2748">
        <w:rPr>
          <w:rFonts w:ascii="Times New Roman" w:hAnsi="Times New Roman" w:cs="Times New Roman"/>
          <w:lang w:eastAsia="pl-PL"/>
        </w:rPr>
        <w:t xml:space="preserve"> silnikowej,</w:t>
      </w:r>
      <w:r w:rsidRPr="002C2748">
        <w:rPr>
          <w:rFonts w:ascii="Times New Roman" w:hAnsi="Times New Roman" w:cs="Times New Roman"/>
          <w:lang w:eastAsia="pl-PL"/>
        </w:rPr>
        <w:t xml:space="preserve"> oleju napędowego oraz oleju do</w:t>
      </w:r>
      <w:r w:rsidR="00CD3269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silników statków żeglugi. Dla LPG, CNG i LNG posłużono się wartościami opałowymi</w:t>
      </w:r>
      <w:r w:rsidR="00CD3269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 xml:space="preserve">z załącznika I sprawozdania </w:t>
      </w:r>
      <w:proofErr w:type="spellStart"/>
      <w:r w:rsidRPr="002C2748">
        <w:rPr>
          <w:rFonts w:ascii="Times New Roman" w:hAnsi="Times New Roman" w:cs="Times New Roman"/>
          <w:lang w:eastAsia="pl-PL"/>
        </w:rPr>
        <w:t>Well</w:t>
      </w:r>
      <w:proofErr w:type="spellEnd"/>
      <w:r w:rsidRPr="002C2748">
        <w:rPr>
          <w:rFonts w:ascii="Times New Roman" w:hAnsi="Times New Roman" w:cs="Times New Roman"/>
          <w:lang w:eastAsia="pl-PL"/>
        </w:rPr>
        <w:t>-To-Tank sporządzonego przez Wspólne Centrum Badawcze-</w:t>
      </w:r>
      <w:r w:rsidR="00CD3269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EUCA-RCONCAWE (JEC) (wersja 4) z lipca 2013 r. Wartość opałowa gazu skroplonego LPG</w:t>
      </w:r>
      <w:r w:rsidR="00CD3269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 xml:space="preserve">przeliczona została zgodnie z gęstością przyjętą w Obwieszczeniu Ministra </w:t>
      </w:r>
      <w:r w:rsidR="00121204" w:rsidRPr="002C2748">
        <w:rPr>
          <w:rFonts w:ascii="Times New Roman" w:hAnsi="Times New Roman" w:cs="Times New Roman"/>
          <w:lang w:eastAsia="pl-PL"/>
        </w:rPr>
        <w:t>Aktywów Państwowych</w:t>
      </w:r>
      <w:r w:rsidRPr="002C2748">
        <w:rPr>
          <w:rFonts w:ascii="Times New Roman" w:hAnsi="Times New Roman" w:cs="Times New Roman"/>
          <w:lang w:eastAsia="pl-PL"/>
        </w:rPr>
        <w:t xml:space="preserve"> z dnia </w:t>
      </w:r>
      <w:r w:rsidR="00121204" w:rsidRPr="002C2748">
        <w:rPr>
          <w:rFonts w:ascii="Times New Roman" w:hAnsi="Times New Roman" w:cs="Times New Roman"/>
          <w:lang w:eastAsia="pl-PL"/>
        </w:rPr>
        <w:t>6</w:t>
      </w:r>
      <w:r w:rsidR="00CD3269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marca 20</w:t>
      </w:r>
      <w:r w:rsidR="00121204" w:rsidRPr="002C2748">
        <w:rPr>
          <w:rFonts w:ascii="Times New Roman" w:hAnsi="Times New Roman" w:cs="Times New Roman"/>
          <w:lang w:eastAsia="pl-PL"/>
        </w:rPr>
        <w:t>20</w:t>
      </w:r>
      <w:r w:rsidRPr="002C2748">
        <w:rPr>
          <w:rFonts w:ascii="Times New Roman" w:hAnsi="Times New Roman" w:cs="Times New Roman"/>
          <w:lang w:eastAsia="pl-PL"/>
        </w:rPr>
        <w:t xml:space="preserve"> r. w sprawie wielkości średniego dziennego przywozu netto ekwiwalentu ropy</w:t>
      </w:r>
      <w:r w:rsidR="00CD3269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naftowej, średniego dziennego zużycia krajowego brutto ekwiwalentu ropy naftowej, średniej</w:t>
      </w:r>
      <w:r w:rsidR="00CD3269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dziennej produkcji netto gazu płynnego (LPG), średniego dziennego przywozu gazu płynnego</w:t>
      </w:r>
      <w:r w:rsidR="00CD3269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(LPG) w 201</w:t>
      </w:r>
      <w:r w:rsidR="00121204" w:rsidRPr="002C2748">
        <w:rPr>
          <w:rFonts w:ascii="Times New Roman" w:hAnsi="Times New Roman" w:cs="Times New Roman"/>
          <w:lang w:eastAsia="pl-PL"/>
        </w:rPr>
        <w:t>9</w:t>
      </w:r>
      <w:r w:rsidRPr="002C2748">
        <w:rPr>
          <w:rFonts w:ascii="Times New Roman" w:hAnsi="Times New Roman" w:cs="Times New Roman"/>
          <w:lang w:eastAsia="pl-PL"/>
        </w:rPr>
        <w:t xml:space="preserve"> r. oraz wartości współczynników określających gęstość produktów naftowych</w:t>
      </w:r>
      <w:r w:rsidR="00CD3269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służących do ich przeliczenia z jednostek objętościowych na jednostki wagowe, stosowanych w</w:t>
      </w:r>
      <w:r w:rsidR="00CD3269" w:rsidRPr="002C2748">
        <w:rPr>
          <w:rFonts w:ascii="Times New Roman" w:hAnsi="Times New Roman" w:cs="Times New Roman"/>
          <w:lang w:eastAsia="pl-PL"/>
        </w:rPr>
        <w:t xml:space="preserve"> </w:t>
      </w:r>
      <w:r w:rsidRPr="002C2748">
        <w:rPr>
          <w:rFonts w:ascii="Times New Roman" w:hAnsi="Times New Roman" w:cs="Times New Roman"/>
          <w:lang w:eastAsia="pl-PL"/>
        </w:rPr>
        <w:t>20</w:t>
      </w:r>
      <w:r w:rsidR="00121204" w:rsidRPr="002C2748">
        <w:rPr>
          <w:rFonts w:ascii="Times New Roman" w:hAnsi="Times New Roman" w:cs="Times New Roman"/>
          <w:lang w:eastAsia="pl-PL"/>
        </w:rPr>
        <w:t>20</w:t>
      </w:r>
      <w:r w:rsidRPr="002C2748">
        <w:rPr>
          <w:rFonts w:ascii="Times New Roman" w:hAnsi="Times New Roman" w:cs="Times New Roman"/>
          <w:lang w:eastAsia="pl-PL"/>
        </w:rPr>
        <w:t xml:space="preserve"> r. (M.P. z 20</w:t>
      </w:r>
      <w:r w:rsidR="00121204" w:rsidRPr="002C2748">
        <w:rPr>
          <w:rFonts w:ascii="Times New Roman" w:hAnsi="Times New Roman" w:cs="Times New Roman"/>
          <w:lang w:eastAsia="pl-PL"/>
        </w:rPr>
        <w:t>20</w:t>
      </w:r>
      <w:r w:rsidRPr="002C2748">
        <w:rPr>
          <w:rFonts w:ascii="Times New Roman" w:hAnsi="Times New Roman" w:cs="Times New Roman"/>
          <w:lang w:eastAsia="pl-PL"/>
        </w:rPr>
        <w:t xml:space="preserve"> r. poz. 2</w:t>
      </w:r>
      <w:r w:rsidR="00121204" w:rsidRPr="002C2748">
        <w:rPr>
          <w:rFonts w:ascii="Times New Roman" w:hAnsi="Times New Roman" w:cs="Times New Roman"/>
          <w:lang w:eastAsia="pl-PL"/>
        </w:rPr>
        <w:t>60</w:t>
      </w:r>
      <w:r w:rsidRPr="002C2748">
        <w:rPr>
          <w:rFonts w:ascii="Times New Roman" w:hAnsi="Times New Roman" w:cs="Times New Roman"/>
          <w:lang w:eastAsia="pl-PL"/>
        </w:rPr>
        <w:t>).</w:t>
      </w:r>
      <w:r w:rsidR="00B3038F" w:rsidRPr="002C2748">
        <w:rPr>
          <w:rFonts w:ascii="Times New Roman" w:hAnsi="Times New Roman" w:cs="Times New Roman"/>
          <w:lang w:eastAsia="pl-PL"/>
        </w:rPr>
        <w:t xml:space="preserve"> Natomiast w przypadku sprężonego wodoru w wodorowym ogniwie paliwowym wartość opałową wg wagi zaczerpnięto z</w:t>
      </w:r>
      <w:r w:rsidR="00F47C74" w:rsidRPr="002C2748">
        <w:rPr>
          <w:rFonts w:ascii="Times New Roman" w:hAnsi="Times New Roman" w:cs="Times New Roman"/>
          <w:lang w:eastAsia="pl-PL"/>
        </w:rPr>
        <w:t> </w:t>
      </w:r>
      <w:r w:rsidR="00B3038F" w:rsidRPr="002C2748">
        <w:rPr>
          <w:rFonts w:ascii="Times New Roman" w:hAnsi="Times New Roman" w:cs="Times New Roman"/>
          <w:lang w:eastAsia="pl-PL"/>
        </w:rPr>
        <w:t xml:space="preserve">normy PN – EN ISO 6976 Gaz ziemny -- Obliczanie wartości kalorycznych, gęstości, gęstości względnej i liczby </w:t>
      </w:r>
      <w:proofErr w:type="spellStart"/>
      <w:r w:rsidR="00B3038F" w:rsidRPr="002C2748">
        <w:rPr>
          <w:rFonts w:ascii="Times New Roman" w:hAnsi="Times New Roman" w:cs="Times New Roman"/>
          <w:lang w:eastAsia="pl-PL"/>
        </w:rPr>
        <w:t>Wobbego</w:t>
      </w:r>
      <w:proofErr w:type="spellEnd"/>
      <w:r w:rsidR="00B3038F" w:rsidRPr="002C2748">
        <w:rPr>
          <w:rFonts w:ascii="Times New Roman" w:hAnsi="Times New Roman" w:cs="Times New Roman"/>
          <w:lang w:eastAsia="pl-PL"/>
        </w:rPr>
        <w:t xml:space="preserve"> na podstawie składu.</w:t>
      </w:r>
    </w:p>
    <w:p w14:paraId="479F4C06" w14:textId="77777777" w:rsidR="00883DCF" w:rsidRPr="002C2748" w:rsidRDefault="00883DCF" w:rsidP="00B3038F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14:paraId="314B5B0F" w14:textId="5DDFB21C" w:rsidR="0029427C" w:rsidRPr="002C2748" w:rsidRDefault="0029427C" w:rsidP="0029427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2748">
        <w:rPr>
          <w:rFonts w:ascii="Times New Roman" w:eastAsia="Times New Roman" w:hAnsi="Times New Roman" w:cs="Times New Roman"/>
          <w:lang w:eastAsia="pl-PL"/>
        </w:rPr>
        <w:t>Projekt rozporządzenia nie podlega notyfikacji, zgodnie z przepisami rozporządzenia Rady Ministrów z dnia 23 grudnia 2002 r. w sprawie sposobu funkcjonowania krajowego systemu notyfikacji norm i</w:t>
      </w:r>
      <w:r w:rsidR="00F47C74" w:rsidRPr="002C2748">
        <w:rPr>
          <w:rFonts w:ascii="Times New Roman" w:eastAsia="Times New Roman" w:hAnsi="Times New Roman" w:cs="Times New Roman"/>
          <w:lang w:eastAsia="pl-PL"/>
        </w:rPr>
        <w:t> </w:t>
      </w:r>
      <w:r w:rsidRPr="002C2748">
        <w:rPr>
          <w:rFonts w:ascii="Times New Roman" w:eastAsia="Times New Roman" w:hAnsi="Times New Roman" w:cs="Times New Roman"/>
          <w:lang w:eastAsia="pl-PL"/>
        </w:rPr>
        <w:t xml:space="preserve">aktów prawnych (Dz. U. poz. 2039, z </w:t>
      </w:r>
      <w:proofErr w:type="spellStart"/>
      <w:r w:rsidRPr="002C274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C2748">
        <w:rPr>
          <w:rFonts w:ascii="Times New Roman" w:eastAsia="Times New Roman" w:hAnsi="Times New Roman" w:cs="Times New Roman"/>
          <w:lang w:eastAsia="pl-PL"/>
        </w:rPr>
        <w:t xml:space="preserve">. zm.). </w:t>
      </w:r>
    </w:p>
    <w:p w14:paraId="32F121D8" w14:textId="231C5443" w:rsidR="0029427C" w:rsidRPr="002C2748" w:rsidRDefault="0029427C" w:rsidP="0029427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2748">
        <w:rPr>
          <w:rFonts w:ascii="Times New Roman" w:eastAsia="Times New Roman" w:hAnsi="Times New Roman" w:cs="Times New Roman"/>
          <w:lang w:eastAsia="pl-PL"/>
        </w:rPr>
        <w:t>Projekt rozporządzenia nie wymaga notyfikacji programu pomocowego, zgodnie z przepisami ustawy z dnia 30 kwietnia 2004 r. o postępowaniu w sprawach dotyczących pomocy publicznej (Dz. U. z 202</w:t>
      </w:r>
      <w:r w:rsidR="00AE7DD7" w:rsidRPr="002C2748">
        <w:rPr>
          <w:rFonts w:ascii="Times New Roman" w:eastAsia="Times New Roman" w:hAnsi="Times New Roman" w:cs="Times New Roman"/>
          <w:lang w:eastAsia="pl-PL"/>
        </w:rPr>
        <w:t>1</w:t>
      </w:r>
      <w:r w:rsidRPr="002C2748">
        <w:rPr>
          <w:rFonts w:ascii="Times New Roman" w:eastAsia="Times New Roman" w:hAnsi="Times New Roman" w:cs="Times New Roman"/>
          <w:lang w:eastAsia="pl-PL"/>
        </w:rPr>
        <w:t xml:space="preserve"> r. poz. 7</w:t>
      </w:r>
      <w:r w:rsidR="00AE7DD7" w:rsidRPr="002C2748">
        <w:rPr>
          <w:rFonts w:ascii="Times New Roman" w:eastAsia="Times New Roman" w:hAnsi="Times New Roman" w:cs="Times New Roman"/>
          <w:lang w:eastAsia="pl-PL"/>
        </w:rPr>
        <w:t>43</w:t>
      </w:r>
      <w:r w:rsidRPr="002C2748">
        <w:rPr>
          <w:rFonts w:ascii="Times New Roman" w:eastAsia="Times New Roman" w:hAnsi="Times New Roman" w:cs="Times New Roman"/>
          <w:lang w:eastAsia="pl-PL"/>
        </w:rPr>
        <w:t>).</w:t>
      </w:r>
    </w:p>
    <w:p w14:paraId="67AC3BAD" w14:textId="77777777" w:rsidR="0029427C" w:rsidRPr="002C2748" w:rsidRDefault="0029427C" w:rsidP="0029427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2748">
        <w:rPr>
          <w:rFonts w:ascii="Times New Roman" w:eastAsia="Times New Roman" w:hAnsi="Times New Roman" w:cs="Times New Roman"/>
          <w:lang w:eastAsia="pl-PL"/>
        </w:rPr>
        <w:t>Brak wpływu na sektor mikro, małych i średnich przedsiębiorstw.</w:t>
      </w:r>
    </w:p>
    <w:p w14:paraId="557A3E61" w14:textId="77777777" w:rsidR="0029427C" w:rsidRPr="002C2748" w:rsidRDefault="0029427C" w:rsidP="0029427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2748">
        <w:rPr>
          <w:rFonts w:ascii="Times New Roman" w:eastAsia="Times New Roman" w:hAnsi="Times New Roman" w:cs="Times New Roman"/>
          <w:lang w:eastAsia="pl-PL"/>
        </w:rPr>
        <w:lastRenderedPageBreak/>
        <w:t xml:space="preserve">Projekt rozporządzenia nie podlega przedstawieniu właściwym organom i instytucjom Unii Europejskiej, w tym Europejskiemu Bankowi Centralnemu, zgodnie z § 27 ust. 4 uchwały nr 190 Rady Ministrów z dnia 29 października 2013 r. – Regulamin pracy Rady Ministrów (M. P. z 2016 r. poz. 1006, z </w:t>
      </w:r>
      <w:proofErr w:type="spellStart"/>
      <w:r w:rsidRPr="002C274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C2748">
        <w:rPr>
          <w:rFonts w:ascii="Times New Roman" w:eastAsia="Times New Roman" w:hAnsi="Times New Roman" w:cs="Times New Roman"/>
          <w:lang w:eastAsia="pl-PL"/>
        </w:rPr>
        <w:t>. zm.).</w:t>
      </w:r>
    </w:p>
    <w:p w14:paraId="4DB7E39B" w14:textId="21730F04" w:rsidR="0029427C" w:rsidRPr="002C2748" w:rsidRDefault="0029427C" w:rsidP="0029427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2748">
        <w:rPr>
          <w:rFonts w:ascii="Times New Roman" w:eastAsia="Times New Roman" w:hAnsi="Times New Roman" w:cs="Times New Roman"/>
          <w:lang w:eastAsia="pl-PL"/>
        </w:rPr>
        <w:t xml:space="preserve">Projekt rozporządzenia, zgodnie z § 52 ust. 1 uchwały nr 190 Rady Ministrów z dnia 29  października 2013 r. – Regulamin pracy Rady Ministrów zostanie umieszczony w Biuletynie Informacji Publicznej na stronie podmiotowej Rządowego Centrum Legislacji, w serwisie Rządowy Proces Legislacyjny. </w:t>
      </w:r>
    </w:p>
    <w:p w14:paraId="503DC068" w14:textId="22A39F61" w:rsidR="00986C53" w:rsidRPr="002C2748" w:rsidRDefault="0029427C" w:rsidP="0029427C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2748">
        <w:rPr>
          <w:rFonts w:ascii="Times New Roman" w:eastAsia="Times New Roman" w:hAnsi="Times New Roman" w:cs="Times New Roman"/>
          <w:lang w:eastAsia="pl-PL"/>
        </w:rPr>
        <w:t>Projekt rozporządzenia jest zgodny z prawem Unii Europejskiej.</w:t>
      </w:r>
    </w:p>
    <w:sectPr w:rsidR="00986C53" w:rsidRPr="002C2748" w:rsidSect="00F3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E438" w14:textId="77777777" w:rsidR="00896231" w:rsidRDefault="00896231" w:rsidP="00107426">
      <w:pPr>
        <w:spacing w:after="0" w:line="240" w:lineRule="auto"/>
      </w:pPr>
      <w:r>
        <w:separator/>
      </w:r>
    </w:p>
  </w:endnote>
  <w:endnote w:type="continuationSeparator" w:id="0">
    <w:p w14:paraId="7B86D7AF" w14:textId="77777777" w:rsidR="00896231" w:rsidRDefault="00896231" w:rsidP="0010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EC23" w14:textId="77777777" w:rsidR="00896231" w:rsidRDefault="00896231" w:rsidP="00107426">
      <w:pPr>
        <w:spacing w:after="0" w:line="240" w:lineRule="auto"/>
      </w:pPr>
      <w:r>
        <w:separator/>
      </w:r>
    </w:p>
  </w:footnote>
  <w:footnote w:type="continuationSeparator" w:id="0">
    <w:p w14:paraId="733EBABE" w14:textId="77777777" w:rsidR="00896231" w:rsidRDefault="00896231" w:rsidP="00107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BD9"/>
    <w:multiLevelType w:val="hybridMultilevel"/>
    <w:tmpl w:val="742899FE"/>
    <w:lvl w:ilvl="0" w:tplc="64CA0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A93"/>
    <w:multiLevelType w:val="hybridMultilevel"/>
    <w:tmpl w:val="F3D28292"/>
    <w:lvl w:ilvl="0" w:tplc="706A24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2376D8"/>
    <w:multiLevelType w:val="hybridMultilevel"/>
    <w:tmpl w:val="37449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7D50"/>
    <w:multiLevelType w:val="hybridMultilevel"/>
    <w:tmpl w:val="7C72BDA0"/>
    <w:lvl w:ilvl="0" w:tplc="A3D0F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A8ED52E">
      <w:start w:val="1"/>
      <w:numFmt w:val="decimal"/>
      <w:lvlText w:val="%2)"/>
      <w:lvlJc w:val="left"/>
      <w:pPr>
        <w:tabs>
          <w:tab w:val="num" w:pos="1995"/>
        </w:tabs>
        <w:ind w:left="1995" w:hanging="567"/>
      </w:pPr>
      <w:rPr>
        <w:rFonts w:cs="Times New Roman" w:hint="default"/>
        <w:b w:val="0"/>
        <w:i w:val="0"/>
        <w:color w:val="auto"/>
      </w:rPr>
    </w:lvl>
    <w:lvl w:ilvl="2" w:tplc="706A24CA">
      <w:start w:val="1"/>
      <w:numFmt w:val="lowerLetter"/>
      <w:lvlText w:val="%3)"/>
      <w:lvlJc w:val="left"/>
      <w:pPr>
        <w:tabs>
          <w:tab w:val="num" w:pos="2668"/>
        </w:tabs>
        <w:ind w:left="2668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EC7805"/>
    <w:multiLevelType w:val="hybridMultilevel"/>
    <w:tmpl w:val="73424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F7808"/>
    <w:multiLevelType w:val="hybridMultilevel"/>
    <w:tmpl w:val="405690E0"/>
    <w:lvl w:ilvl="0" w:tplc="8AE02AC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49EB"/>
    <w:multiLevelType w:val="hybridMultilevel"/>
    <w:tmpl w:val="F4563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0799"/>
    <w:multiLevelType w:val="hybridMultilevel"/>
    <w:tmpl w:val="4F1A24B8"/>
    <w:lvl w:ilvl="0" w:tplc="8AE02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0627B"/>
    <w:multiLevelType w:val="hybridMultilevel"/>
    <w:tmpl w:val="A23A0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1603"/>
    <w:multiLevelType w:val="hybridMultilevel"/>
    <w:tmpl w:val="2BAE112E"/>
    <w:lvl w:ilvl="0" w:tplc="8AE02AC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CA"/>
    <w:rsid w:val="00002523"/>
    <w:rsid w:val="00002814"/>
    <w:rsid w:val="00005A1F"/>
    <w:rsid w:val="00011506"/>
    <w:rsid w:val="00016801"/>
    <w:rsid w:val="000273A2"/>
    <w:rsid w:val="00037D3C"/>
    <w:rsid w:val="0004747D"/>
    <w:rsid w:val="00052D44"/>
    <w:rsid w:val="000707D4"/>
    <w:rsid w:val="00074FB5"/>
    <w:rsid w:val="00076022"/>
    <w:rsid w:val="000802D8"/>
    <w:rsid w:val="00082344"/>
    <w:rsid w:val="000D50F3"/>
    <w:rsid w:val="000E5422"/>
    <w:rsid w:val="000E5F50"/>
    <w:rsid w:val="000F6301"/>
    <w:rsid w:val="00101884"/>
    <w:rsid w:val="00102BF4"/>
    <w:rsid w:val="00103BD0"/>
    <w:rsid w:val="00107426"/>
    <w:rsid w:val="001173F2"/>
    <w:rsid w:val="00121204"/>
    <w:rsid w:val="001356F2"/>
    <w:rsid w:val="00150AD2"/>
    <w:rsid w:val="00150BE6"/>
    <w:rsid w:val="001563A7"/>
    <w:rsid w:val="00161B26"/>
    <w:rsid w:val="00162918"/>
    <w:rsid w:val="001659CE"/>
    <w:rsid w:val="00170373"/>
    <w:rsid w:val="0017640D"/>
    <w:rsid w:val="00177C6C"/>
    <w:rsid w:val="001818CF"/>
    <w:rsid w:val="00182E7C"/>
    <w:rsid w:val="00187F05"/>
    <w:rsid w:val="001919BB"/>
    <w:rsid w:val="00196440"/>
    <w:rsid w:val="001C2561"/>
    <w:rsid w:val="001D0356"/>
    <w:rsid w:val="001D05B8"/>
    <w:rsid w:val="001D203E"/>
    <w:rsid w:val="001D2597"/>
    <w:rsid w:val="001D37FF"/>
    <w:rsid w:val="001E1181"/>
    <w:rsid w:val="001E309C"/>
    <w:rsid w:val="001E6788"/>
    <w:rsid w:val="001F1FD4"/>
    <w:rsid w:val="001F2A3A"/>
    <w:rsid w:val="001F5D95"/>
    <w:rsid w:val="0020125F"/>
    <w:rsid w:val="00201455"/>
    <w:rsid w:val="00223A0A"/>
    <w:rsid w:val="002251B2"/>
    <w:rsid w:val="0025589E"/>
    <w:rsid w:val="00263E08"/>
    <w:rsid w:val="00266B41"/>
    <w:rsid w:val="0029427C"/>
    <w:rsid w:val="002A602B"/>
    <w:rsid w:val="002B1A2B"/>
    <w:rsid w:val="002B258A"/>
    <w:rsid w:val="002C2748"/>
    <w:rsid w:val="002C423F"/>
    <w:rsid w:val="002C5BB4"/>
    <w:rsid w:val="002C6CD3"/>
    <w:rsid w:val="002E6A1C"/>
    <w:rsid w:val="002E6D8C"/>
    <w:rsid w:val="002F226C"/>
    <w:rsid w:val="00312871"/>
    <w:rsid w:val="00314B91"/>
    <w:rsid w:val="00323B8F"/>
    <w:rsid w:val="00323D29"/>
    <w:rsid w:val="003256F5"/>
    <w:rsid w:val="003375ED"/>
    <w:rsid w:val="00340E3A"/>
    <w:rsid w:val="00355350"/>
    <w:rsid w:val="00363DC6"/>
    <w:rsid w:val="00382A2E"/>
    <w:rsid w:val="00382EA2"/>
    <w:rsid w:val="003A4447"/>
    <w:rsid w:val="003B1815"/>
    <w:rsid w:val="003B4227"/>
    <w:rsid w:val="003D0D6C"/>
    <w:rsid w:val="003E4339"/>
    <w:rsid w:val="003E6543"/>
    <w:rsid w:val="003E706E"/>
    <w:rsid w:val="003F2DE9"/>
    <w:rsid w:val="003F6E69"/>
    <w:rsid w:val="004048E3"/>
    <w:rsid w:val="00411E0C"/>
    <w:rsid w:val="00417BE9"/>
    <w:rsid w:val="00423350"/>
    <w:rsid w:val="0043111A"/>
    <w:rsid w:val="00450DD4"/>
    <w:rsid w:val="00451634"/>
    <w:rsid w:val="004546BD"/>
    <w:rsid w:val="004724DA"/>
    <w:rsid w:val="00482BCA"/>
    <w:rsid w:val="004916B9"/>
    <w:rsid w:val="00495D08"/>
    <w:rsid w:val="004B627F"/>
    <w:rsid w:val="004C319C"/>
    <w:rsid w:val="004D1712"/>
    <w:rsid w:val="004E021C"/>
    <w:rsid w:val="004F0817"/>
    <w:rsid w:val="004F098C"/>
    <w:rsid w:val="004F2D26"/>
    <w:rsid w:val="004F3F86"/>
    <w:rsid w:val="00500EB2"/>
    <w:rsid w:val="005449BB"/>
    <w:rsid w:val="00562DB8"/>
    <w:rsid w:val="00565737"/>
    <w:rsid w:val="005660EA"/>
    <w:rsid w:val="00572DFB"/>
    <w:rsid w:val="005814AB"/>
    <w:rsid w:val="00582C8D"/>
    <w:rsid w:val="0059421B"/>
    <w:rsid w:val="00596C66"/>
    <w:rsid w:val="005A1C36"/>
    <w:rsid w:val="005A1F57"/>
    <w:rsid w:val="005A5E9B"/>
    <w:rsid w:val="005C26F5"/>
    <w:rsid w:val="005F23B8"/>
    <w:rsid w:val="005F440E"/>
    <w:rsid w:val="00602A73"/>
    <w:rsid w:val="0061025C"/>
    <w:rsid w:val="00621AB9"/>
    <w:rsid w:val="00623ACA"/>
    <w:rsid w:val="0062655B"/>
    <w:rsid w:val="006454FB"/>
    <w:rsid w:val="00646562"/>
    <w:rsid w:val="00651484"/>
    <w:rsid w:val="00651F1B"/>
    <w:rsid w:val="00653086"/>
    <w:rsid w:val="006628B0"/>
    <w:rsid w:val="0066399A"/>
    <w:rsid w:val="006763E9"/>
    <w:rsid w:val="00677FB6"/>
    <w:rsid w:val="00681EF8"/>
    <w:rsid w:val="006A0395"/>
    <w:rsid w:val="006A2230"/>
    <w:rsid w:val="006B065E"/>
    <w:rsid w:val="006B1250"/>
    <w:rsid w:val="006B4073"/>
    <w:rsid w:val="006D108F"/>
    <w:rsid w:val="006D17AD"/>
    <w:rsid w:val="006D7BA9"/>
    <w:rsid w:val="006E1648"/>
    <w:rsid w:val="006E5DF5"/>
    <w:rsid w:val="006E6FB3"/>
    <w:rsid w:val="006F40AB"/>
    <w:rsid w:val="00717EFE"/>
    <w:rsid w:val="0072577C"/>
    <w:rsid w:val="007262AA"/>
    <w:rsid w:val="00730C44"/>
    <w:rsid w:val="007367AF"/>
    <w:rsid w:val="00736923"/>
    <w:rsid w:val="00742CC6"/>
    <w:rsid w:val="00746BF6"/>
    <w:rsid w:val="00753C36"/>
    <w:rsid w:val="00754594"/>
    <w:rsid w:val="007619C1"/>
    <w:rsid w:val="00762A6C"/>
    <w:rsid w:val="00766C81"/>
    <w:rsid w:val="00770C73"/>
    <w:rsid w:val="00775614"/>
    <w:rsid w:val="00777D0D"/>
    <w:rsid w:val="00791FB3"/>
    <w:rsid w:val="007A2154"/>
    <w:rsid w:val="007D3B53"/>
    <w:rsid w:val="007E45C1"/>
    <w:rsid w:val="007E5E4E"/>
    <w:rsid w:val="007F3DEB"/>
    <w:rsid w:val="008006AB"/>
    <w:rsid w:val="00801403"/>
    <w:rsid w:val="0080498F"/>
    <w:rsid w:val="00806835"/>
    <w:rsid w:val="008165FA"/>
    <w:rsid w:val="00817EE8"/>
    <w:rsid w:val="00836CC1"/>
    <w:rsid w:val="00841226"/>
    <w:rsid w:val="0084392C"/>
    <w:rsid w:val="0084590E"/>
    <w:rsid w:val="00861E4F"/>
    <w:rsid w:val="008649D8"/>
    <w:rsid w:val="00883DCF"/>
    <w:rsid w:val="00884334"/>
    <w:rsid w:val="00893BA6"/>
    <w:rsid w:val="00895B19"/>
    <w:rsid w:val="00896231"/>
    <w:rsid w:val="008A128D"/>
    <w:rsid w:val="008A1818"/>
    <w:rsid w:val="008A5097"/>
    <w:rsid w:val="008D4602"/>
    <w:rsid w:val="0091431D"/>
    <w:rsid w:val="0091790B"/>
    <w:rsid w:val="0092100F"/>
    <w:rsid w:val="00927F10"/>
    <w:rsid w:val="009379AD"/>
    <w:rsid w:val="00966D60"/>
    <w:rsid w:val="00967980"/>
    <w:rsid w:val="00970A1D"/>
    <w:rsid w:val="00976ECF"/>
    <w:rsid w:val="00985636"/>
    <w:rsid w:val="00986C53"/>
    <w:rsid w:val="00996CE9"/>
    <w:rsid w:val="009A4EFF"/>
    <w:rsid w:val="009B6EF7"/>
    <w:rsid w:val="009D05B7"/>
    <w:rsid w:val="009D1047"/>
    <w:rsid w:val="009E36C0"/>
    <w:rsid w:val="009F1F2F"/>
    <w:rsid w:val="00A032C4"/>
    <w:rsid w:val="00A130CD"/>
    <w:rsid w:val="00A139EF"/>
    <w:rsid w:val="00A352B4"/>
    <w:rsid w:val="00A37985"/>
    <w:rsid w:val="00A42E46"/>
    <w:rsid w:val="00A524D5"/>
    <w:rsid w:val="00A52D61"/>
    <w:rsid w:val="00A60DA2"/>
    <w:rsid w:val="00A67893"/>
    <w:rsid w:val="00A73D54"/>
    <w:rsid w:val="00A76033"/>
    <w:rsid w:val="00A9049A"/>
    <w:rsid w:val="00A94640"/>
    <w:rsid w:val="00A9730B"/>
    <w:rsid w:val="00AA4D34"/>
    <w:rsid w:val="00AB2A06"/>
    <w:rsid w:val="00AC3822"/>
    <w:rsid w:val="00AD04C7"/>
    <w:rsid w:val="00AD7A40"/>
    <w:rsid w:val="00AE5F3F"/>
    <w:rsid w:val="00AE7DD7"/>
    <w:rsid w:val="00AF3DCF"/>
    <w:rsid w:val="00B00D4A"/>
    <w:rsid w:val="00B04AEE"/>
    <w:rsid w:val="00B20EA5"/>
    <w:rsid w:val="00B25B24"/>
    <w:rsid w:val="00B3038F"/>
    <w:rsid w:val="00B330F5"/>
    <w:rsid w:val="00B36286"/>
    <w:rsid w:val="00B42C70"/>
    <w:rsid w:val="00B46F7C"/>
    <w:rsid w:val="00B52429"/>
    <w:rsid w:val="00B52E52"/>
    <w:rsid w:val="00B549CD"/>
    <w:rsid w:val="00B604B2"/>
    <w:rsid w:val="00B94421"/>
    <w:rsid w:val="00B94EFD"/>
    <w:rsid w:val="00BC2419"/>
    <w:rsid w:val="00BD1A37"/>
    <w:rsid w:val="00C001AB"/>
    <w:rsid w:val="00C0421C"/>
    <w:rsid w:val="00C04B8E"/>
    <w:rsid w:val="00C12CB3"/>
    <w:rsid w:val="00C247EE"/>
    <w:rsid w:val="00C44FD3"/>
    <w:rsid w:val="00C46B55"/>
    <w:rsid w:val="00C540F8"/>
    <w:rsid w:val="00C54154"/>
    <w:rsid w:val="00C611AE"/>
    <w:rsid w:val="00C62B8D"/>
    <w:rsid w:val="00C651D6"/>
    <w:rsid w:val="00C65964"/>
    <w:rsid w:val="00C9266F"/>
    <w:rsid w:val="00CC3FBE"/>
    <w:rsid w:val="00CD3269"/>
    <w:rsid w:val="00CD7406"/>
    <w:rsid w:val="00CE6767"/>
    <w:rsid w:val="00CF6C89"/>
    <w:rsid w:val="00D121D8"/>
    <w:rsid w:val="00D14E28"/>
    <w:rsid w:val="00D220C8"/>
    <w:rsid w:val="00D23E47"/>
    <w:rsid w:val="00D24967"/>
    <w:rsid w:val="00D45EAF"/>
    <w:rsid w:val="00D8074D"/>
    <w:rsid w:val="00D84C41"/>
    <w:rsid w:val="00D92F75"/>
    <w:rsid w:val="00DA0C4A"/>
    <w:rsid w:val="00DA2D21"/>
    <w:rsid w:val="00DA629A"/>
    <w:rsid w:val="00DB19C9"/>
    <w:rsid w:val="00DB56D2"/>
    <w:rsid w:val="00DB6EA7"/>
    <w:rsid w:val="00DC42E9"/>
    <w:rsid w:val="00DC4610"/>
    <w:rsid w:val="00DD2F57"/>
    <w:rsid w:val="00DF256B"/>
    <w:rsid w:val="00DF5B7B"/>
    <w:rsid w:val="00E149AD"/>
    <w:rsid w:val="00E16DA8"/>
    <w:rsid w:val="00E24601"/>
    <w:rsid w:val="00E25896"/>
    <w:rsid w:val="00E26CB3"/>
    <w:rsid w:val="00E30E65"/>
    <w:rsid w:val="00E35965"/>
    <w:rsid w:val="00E35A85"/>
    <w:rsid w:val="00E36CA3"/>
    <w:rsid w:val="00E4773A"/>
    <w:rsid w:val="00E63451"/>
    <w:rsid w:val="00E666AE"/>
    <w:rsid w:val="00E817EB"/>
    <w:rsid w:val="00E8584C"/>
    <w:rsid w:val="00E904E5"/>
    <w:rsid w:val="00E9376C"/>
    <w:rsid w:val="00E947C1"/>
    <w:rsid w:val="00E97271"/>
    <w:rsid w:val="00EB3744"/>
    <w:rsid w:val="00EB4CEE"/>
    <w:rsid w:val="00EC1D05"/>
    <w:rsid w:val="00EC2D66"/>
    <w:rsid w:val="00EC7177"/>
    <w:rsid w:val="00ED0607"/>
    <w:rsid w:val="00ED38BF"/>
    <w:rsid w:val="00EE115B"/>
    <w:rsid w:val="00EE18E0"/>
    <w:rsid w:val="00F05C1B"/>
    <w:rsid w:val="00F362CE"/>
    <w:rsid w:val="00F367EF"/>
    <w:rsid w:val="00F47C74"/>
    <w:rsid w:val="00F5415E"/>
    <w:rsid w:val="00F60407"/>
    <w:rsid w:val="00F611F1"/>
    <w:rsid w:val="00F61C2D"/>
    <w:rsid w:val="00F62765"/>
    <w:rsid w:val="00F648AC"/>
    <w:rsid w:val="00F64FB0"/>
    <w:rsid w:val="00F83C4E"/>
    <w:rsid w:val="00F958D9"/>
    <w:rsid w:val="00FB551F"/>
    <w:rsid w:val="00FC4100"/>
    <w:rsid w:val="00FC4DE5"/>
    <w:rsid w:val="00FD3AC1"/>
    <w:rsid w:val="00FD51CC"/>
    <w:rsid w:val="00FE6935"/>
    <w:rsid w:val="00FF0616"/>
    <w:rsid w:val="00FF0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C5A6"/>
  <w15:docId w15:val="{FAD7CD90-1628-4424-8AFA-A4F2486C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4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4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4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4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1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1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08F"/>
    <w:rPr>
      <w:rFonts w:ascii="Segoe UI" w:hAnsi="Segoe UI" w:cs="Segoe UI"/>
      <w:sz w:val="18"/>
      <w:szCs w:val="18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30E6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F60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9CBB-B856-4D92-943F-E57674AF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Piskorz Ewelina</dc:creator>
  <cp:lastModifiedBy>Słowik Aleksander</cp:lastModifiedBy>
  <cp:revision>7</cp:revision>
  <cp:lastPrinted>2022-01-25T11:13:00Z</cp:lastPrinted>
  <dcterms:created xsi:type="dcterms:W3CDTF">2022-03-02T10:27:00Z</dcterms:created>
  <dcterms:modified xsi:type="dcterms:W3CDTF">2022-03-02T11:48:00Z</dcterms:modified>
</cp:coreProperties>
</file>