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26"/>
        <w:gridCol w:w="61"/>
        <w:gridCol w:w="383"/>
        <w:gridCol w:w="554"/>
        <w:gridCol w:w="16"/>
        <w:gridCol w:w="269"/>
        <w:gridCol w:w="300"/>
        <w:gridCol w:w="353"/>
        <w:gridCol w:w="217"/>
        <w:gridCol w:w="115"/>
        <w:gridCol w:w="455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E95BA1" w14:paraId="7E0FDFED" w14:textId="77777777" w:rsidTr="224E50F4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0EE271F9" w14:textId="77777777" w:rsidR="006A701A" w:rsidRPr="00E95BA1" w:rsidRDefault="006A701A" w:rsidP="00840788">
            <w:pPr>
              <w:spacing w:before="120"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E95BA1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95BA1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8AD62BF" w14:textId="39646601" w:rsidR="006A701A" w:rsidRPr="00E95BA1" w:rsidRDefault="00D96BA6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Ustawa</w:t>
            </w:r>
            <w:r w:rsidR="007A34B3" w:rsidRPr="00E95BA1">
              <w:rPr>
                <w:rFonts w:ascii="Times New Roman" w:hAnsi="Times New Roman"/>
                <w:color w:val="000000"/>
              </w:rPr>
              <w:t xml:space="preserve"> o zwalczaniu nadużyć </w:t>
            </w:r>
            <w:r w:rsidR="00F25C7C" w:rsidRPr="00E95BA1">
              <w:rPr>
                <w:rFonts w:ascii="Times New Roman" w:hAnsi="Times New Roman"/>
                <w:color w:val="000000"/>
              </w:rPr>
              <w:t>w komunikacji elektronicznej</w:t>
            </w:r>
          </w:p>
          <w:p w14:paraId="6D95C847" w14:textId="77777777" w:rsidR="006A701A" w:rsidRPr="00E95BA1" w:rsidRDefault="006A701A" w:rsidP="00840788">
            <w:pPr>
              <w:spacing w:before="120"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7C943A8" w14:textId="38A1432A" w:rsidR="007415D0" w:rsidRPr="00E95BA1" w:rsidRDefault="72FF1907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E95BA1">
              <w:rPr>
                <w:rFonts w:ascii="Times New Roman" w:hAnsi="Times New Roman"/>
                <w:color w:val="000000" w:themeColor="text1"/>
              </w:rPr>
              <w:t>Kancelaria Prezesa Rady Ministrów</w:t>
            </w:r>
          </w:p>
          <w:p w14:paraId="76F9A649" w14:textId="77777777" w:rsidR="001B3460" w:rsidRPr="00840788" w:rsidRDefault="001B3460" w:rsidP="0084078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84078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28942F4" w14:textId="1D9A6FF6" w:rsidR="001B3460" w:rsidRPr="00F143AB" w:rsidRDefault="37D0FF65" w:rsidP="00840788">
            <w:pPr>
              <w:spacing w:after="120" w:line="240" w:lineRule="auto"/>
              <w:rPr>
                <w:rFonts w:ascii="Times New Roman" w:hAnsi="Times New Roman"/>
              </w:rPr>
            </w:pPr>
            <w:r w:rsidRPr="00840788">
              <w:rPr>
                <w:rFonts w:ascii="Times New Roman" w:hAnsi="Times New Roman"/>
              </w:rPr>
              <w:t xml:space="preserve">Janusz Cieszyński, Sekretarz Stanu w Kancelarii Prezesa Rady </w:t>
            </w:r>
            <w:r w:rsidRPr="00F143AB">
              <w:rPr>
                <w:rFonts w:ascii="Times New Roman" w:hAnsi="Times New Roman"/>
              </w:rPr>
              <w:t>Ministrów</w:t>
            </w:r>
          </w:p>
          <w:p w14:paraId="2E2A6BCF" w14:textId="77777777" w:rsidR="006A701A" w:rsidRPr="00F143AB" w:rsidRDefault="006A701A" w:rsidP="00840788">
            <w:pPr>
              <w:spacing w:before="120"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F143A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78D8CB5" w14:textId="77777777" w:rsidR="007A34B3" w:rsidRPr="00F143AB" w:rsidRDefault="007A34B3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143AB">
              <w:rPr>
                <w:rFonts w:ascii="Times New Roman" w:hAnsi="Times New Roman"/>
                <w:color w:val="000000"/>
              </w:rPr>
              <w:t xml:space="preserve">Łukasz Wojewoda, Dyrektor Departamentu Cyberbezpieczeństwa, </w:t>
            </w:r>
          </w:p>
          <w:p w14:paraId="3C5BE87A" w14:textId="48C5F1B4" w:rsidR="007A34B3" w:rsidRPr="00F143AB" w:rsidRDefault="007A34B3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F143AB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8" w:history="1">
              <w:r w:rsidR="00D91FF7" w:rsidRPr="00F143AB">
                <w:rPr>
                  <w:rStyle w:val="Hipercze"/>
                  <w:rFonts w:ascii="Times New Roman" w:hAnsi="Times New Roman"/>
                  <w:lang w:val="en-GB"/>
                </w:rPr>
                <w:t>sekretariat.dc@mc.gov.pl</w:t>
              </w:r>
            </w:hyperlink>
            <w:r w:rsidR="00D91FF7" w:rsidRPr="00F143AB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14:paraId="2CF2594D" w14:textId="77777777" w:rsidR="007A34B3" w:rsidRPr="00F143AB" w:rsidRDefault="007A34B3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143AB">
              <w:rPr>
                <w:rFonts w:ascii="Times New Roman" w:hAnsi="Times New Roman"/>
                <w:color w:val="000000"/>
              </w:rPr>
              <w:t>Marcin Wysocki, Zastępca Dyrektora Departamentu Cyberbezpieczeństwa,</w:t>
            </w:r>
          </w:p>
          <w:p w14:paraId="03EAC4C1" w14:textId="6CD66F37" w:rsidR="006A701A" w:rsidRPr="00840788" w:rsidRDefault="007A34B3" w:rsidP="00840788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F143AB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9" w:history="1">
              <w:r w:rsidR="00D91FF7" w:rsidRPr="00F143AB">
                <w:rPr>
                  <w:rStyle w:val="Hipercze"/>
                  <w:rFonts w:ascii="Times New Roman" w:hAnsi="Times New Roman"/>
                  <w:lang w:val="en-GB"/>
                </w:rPr>
                <w:t>sekretariat.dc@mc.gov.pl</w:t>
              </w:r>
            </w:hyperlink>
            <w:r w:rsidR="00D91FF7" w:rsidRPr="00E95BA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306" w:type="dxa"/>
            <w:gridSpan w:val="11"/>
            <w:shd w:val="clear" w:color="auto" w:fill="FFFFFF" w:themeFill="background1"/>
          </w:tcPr>
          <w:p w14:paraId="044ABCA4" w14:textId="0D7068F5" w:rsidR="001B3460" w:rsidRPr="00840788" w:rsidRDefault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40788">
              <w:rPr>
                <w:rFonts w:ascii="Times New Roman" w:hAnsi="Times New Roman"/>
                <w:b/>
              </w:rPr>
              <w:t>Data sporządzenia</w:t>
            </w:r>
            <w:r w:rsidRPr="00840788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b/>
                </w:rPr>
                <w:id w:val="-345788683"/>
                <w:placeholder>
                  <w:docPart w:val="DefaultPlaceholder_1082065160"/>
                </w:placeholder>
                <w:date w:fullDate="2022-06-1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D2FA5">
                  <w:rPr>
                    <w:rFonts w:ascii="Times New Roman" w:hAnsi="Times New Roman"/>
                    <w:b/>
                  </w:rPr>
                  <w:t>15.06.2022</w:t>
                </w:r>
              </w:sdtContent>
            </w:sdt>
          </w:p>
          <w:p w14:paraId="672A6659" w14:textId="77777777" w:rsidR="00F76884" w:rsidRPr="00E95BA1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980F608" w14:textId="77777777" w:rsidR="00F76884" w:rsidRPr="00E95BA1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95BA1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9F37233" w14:textId="3B679CFF" w:rsidR="00F76884" w:rsidRPr="00E95BA1" w:rsidRDefault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A37501D" w14:textId="798DE326" w:rsidR="00BA2BB7" w:rsidRPr="00E95BA1" w:rsidRDefault="00F25C7C">
            <w:pPr>
              <w:spacing w:line="240" w:lineRule="auto"/>
              <w:rPr>
                <w:rFonts w:ascii="Times New Roman" w:hAnsi="Times New Roman"/>
              </w:rPr>
            </w:pPr>
            <w:r w:rsidRPr="00E95BA1">
              <w:rPr>
                <w:rFonts w:ascii="Times New Roman" w:hAnsi="Times New Roman"/>
              </w:rPr>
              <w:t>Inicjatywa własna</w:t>
            </w:r>
          </w:p>
          <w:p w14:paraId="5DAB6C7B" w14:textId="77777777" w:rsidR="00F76884" w:rsidRPr="00E95BA1" w:rsidRDefault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568704B" w14:textId="175C6226" w:rsidR="006A701A" w:rsidRPr="000C0431" w:rsidRDefault="006A701A" w:rsidP="000C043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E95BA1">
              <w:rPr>
                <w:rFonts w:ascii="Times New Roman" w:hAnsi="Times New Roman"/>
                <w:b/>
                <w:color w:val="000000"/>
              </w:rPr>
              <w:t>w</w:t>
            </w:r>
            <w:r w:rsidRPr="00E95BA1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E95BA1">
              <w:rPr>
                <w:rFonts w:ascii="Times New Roman" w:hAnsi="Times New Roman"/>
                <w:b/>
                <w:color w:val="000000"/>
              </w:rPr>
              <w:t>ie</w:t>
            </w:r>
            <w:r w:rsidR="000C0431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02EB378F" w14:textId="59D1AED9" w:rsidR="006A701A" w:rsidRPr="00840788" w:rsidRDefault="000C04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UD402</w:t>
            </w:r>
          </w:p>
        </w:tc>
      </w:tr>
      <w:tr w:rsidR="006A701A" w:rsidRPr="00E95BA1" w14:paraId="4990CACC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15966BC" w14:textId="77777777" w:rsidR="006A701A" w:rsidRPr="00840788" w:rsidRDefault="006A701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4078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E95BA1" w14:paraId="0260389F" w14:textId="77777777" w:rsidTr="224E50F4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801143" w14:textId="77777777" w:rsidR="006A701A" w:rsidRPr="00E95BA1" w:rsidRDefault="003D12F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95BA1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E95BA1" w14:paraId="6A05A809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732A3DF2" w14:textId="2FDF8E72" w:rsidR="008F3D13" w:rsidRPr="00840788" w:rsidRDefault="008F3D13" w:rsidP="00840788">
            <w:pPr>
              <w:pStyle w:val="NormalnyWeb"/>
              <w:shd w:val="clear" w:color="auto" w:fill="FFFFFF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>Komunikacja elektroniczna stanowi narzędzie powszechnie wykorzystywane w życiu codziennym przez współczesne społeczeństwo informacyjne. Z usług dostarczanych przez przedsiębiorców telekomunikacyjnych codziennie korzysta wiele milionów osób. Usługi te są również coraz szerzej i w sposób bardziej wyszukany wykorzystywane przez przestępców w celu wyrządzenia szkód po stronie przedsiębiorców telekomunikacyjnych, użytkowników końcowych lub osiągnięcie nienależnych korzyści.</w:t>
            </w:r>
          </w:p>
          <w:p w14:paraId="3697652D" w14:textId="11479D91" w:rsidR="008F3D13" w:rsidRPr="00840788" w:rsidRDefault="008F3D13" w:rsidP="00840788">
            <w:pPr>
              <w:pStyle w:val="NormalnyWeb"/>
              <w:shd w:val="clear" w:color="auto" w:fill="FFFFFF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>W ostatnich miesiącach nasiliły się również ataki na osoby fizyczne z wykorzystaniem usług telekomunikacyjnych</w:t>
            </w:r>
            <w:r w:rsidRPr="00840788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 xml:space="preserve">. Przestępcy, stosując specjalne bramki internetowe VoIP podszywali się pod numer zaufanych instytucji czy osoby publiczne i dzwonili z rzekomo prawdziwego numeru. W ten sposób próbowali nakłonić odbiorców do niekorzystnego działania czy w niektórych przypadkach nawet próbowali </w:t>
            </w:r>
            <w:r w:rsidR="00F143AB">
              <w:rPr>
                <w:rFonts w:eastAsiaTheme="minorEastAsia"/>
                <w:sz w:val="22"/>
                <w:szCs w:val="22"/>
                <w:lang w:eastAsia="en-US"/>
              </w:rPr>
              <w:t xml:space="preserve">ich </w:t>
            </w:r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 xml:space="preserve">zastraszyć. Oszuści wykorzystywali w ten sposób słabości sieci telekomunikacyjnych, które powodują, że operatorzy sieci mobilnych często nie są w stanie zweryfikować, czy połączenie w ramach którego jest prezentowany numer faktycznie pochodzi z karty SIM, która jest zarejestrowana dla danego numeru. Zjawisko to występuje pod nazwą CLI </w:t>
            </w:r>
            <w:proofErr w:type="spellStart"/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>spoofing</w:t>
            </w:r>
            <w:proofErr w:type="spellEnd"/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14:paraId="6911375A" w14:textId="646B06A8" w:rsidR="008F3D13" w:rsidRPr="00840788" w:rsidRDefault="008F3D13" w:rsidP="00840788">
            <w:pPr>
              <w:pStyle w:val="NormalnyWeb"/>
              <w:shd w:val="clear" w:color="auto" w:fill="FFFFFF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840788">
              <w:rPr>
                <w:rFonts w:eastAsiaTheme="minorEastAsia"/>
                <w:sz w:val="22"/>
                <w:szCs w:val="22"/>
                <w:lang w:eastAsia="en-US"/>
              </w:rPr>
              <w:t>Innym zagrożeniem dla użytkowników są fałszywe krótkie wiadomości tekstowe SMS. Oszuści podszywając się pod zaufane instytucje próbują nakłonić nieświadome ofiary do ujawnienia danych osobowych, informacji o karcie kredytowej czy zainfekować urządzenie poprzez kliknięcie w link w wiadomości. Zjawisko to występuje pod nazwą smishingu.</w:t>
            </w:r>
          </w:p>
          <w:p w14:paraId="0E27B00A" w14:textId="0AF06D42" w:rsidR="006A701A" w:rsidRPr="00E95BA1" w:rsidRDefault="008F3D1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eastAsiaTheme="minorEastAsia" w:hAnsi="Times New Roman"/>
              </w:rPr>
              <w:t>W tej sytuacji konieczne jest wprowadzenia odpowiednich przepisów dotyczących zwalczania nadużyć w komunikacji elektronicznej. Proponowane rozwiązania mają służyć stworzeniu odpowiednich ram prawnych do podejmowania działań w zakresie zapobiegania nadużyciom w komunikacji elektronicznej przez przedsiębiorców telekomunikacyjnych, a</w:t>
            </w:r>
            <w:r w:rsidR="003D2FA5">
              <w:rPr>
                <w:rFonts w:ascii="Times New Roman" w:eastAsiaTheme="minorEastAsia" w:hAnsi="Times New Roman"/>
              </w:rPr>
              <w:t> </w:t>
            </w:r>
            <w:r w:rsidRPr="00840788">
              <w:rPr>
                <w:rFonts w:ascii="Times New Roman" w:eastAsiaTheme="minorEastAsia" w:hAnsi="Times New Roman"/>
              </w:rPr>
              <w:t>w</w:t>
            </w:r>
            <w:r w:rsidR="003D2FA5">
              <w:rPr>
                <w:rFonts w:ascii="Times New Roman" w:eastAsiaTheme="minorEastAsia" w:hAnsi="Times New Roman"/>
              </w:rPr>
              <w:t> </w:t>
            </w:r>
            <w:r w:rsidRPr="00840788">
              <w:rPr>
                <w:rFonts w:ascii="Times New Roman" w:eastAsiaTheme="minorEastAsia" w:hAnsi="Times New Roman"/>
              </w:rPr>
              <w:t>dalszej perspektywie pozwolą w większym stopniu niż o</w:t>
            </w:r>
            <w:r w:rsidR="00A73A63">
              <w:rPr>
                <w:rFonts w:ascii="Times New Roman" w:eastAsiaTheme="minorEastAsia" w:hAnsi="Times New Roman"/>
              </w:rPr>
              <w:t>becnie ograniczyć skalę nadużyć</w:t>
            </w:r>
            <w:r w:rsidRPr="00840788">
              <w:rPr>
                <w:rFonts w:ascii="Times New Roman" w:eastAsiaTheme="minorEastAsia" w:hAnsi="Times New Roman"/>
              </w:rPr>
              <w:t xml:space="preserve"> i chron</w:t>
            </w:r>
            <w:r w:rsidR="00A73A63">
              <w:rPr>
                <w:rFonts w:ascii="Times New Roman" w:eastAsiaTheme="minorEastAsia" w:hAnsi="Times New Roman"/>
              </w:rPr>
              <w:t>ić bezpieczeństwo użytkowników.</w:t>
            </w:r>
          </w:p>
          <w:p w14:paraId="60061E4C" w14:textId="77777777" w:rsidR="006A701A" w:rsidRPr="00E95BA1" w:rsidRDefault="006A701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E95BA1" w14:paraId="0A53011D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DD8BBC" w14:textId="77777777" w:rsidR="006A701A" w:rsidRPr="00E95BA1" w:rsidRDefault="001321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E95BA1" w14:paraId="44EAFD9C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94D5A5" w14:textId="612D9ABF" w:rsidR="006A701A" w:rsidRPr="00E95BA1" w:rsidRDefault="006A70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EEC669" w14:textId="75412E57" w:rsidR="00363309" w:rsidRPr="00E95BA1" w:rsidRDefault="00123C8B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Na przedsiębiorców telekomunikacyjnych zostaną nałożone obowiązki i uprawnienia związane z zwalczaniem nadużyć telekomunikacyjnych.</w:t>
            </w:r>
          </w:p>
          <w:p w14:paraId="257A2027" w14:textId="238248CA" w:rsidR="00C1017E" w:rsidRDefault="00123C8B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Przedsiębiorcy telekomunikacyjnie będą obowiązani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, w szczególności do:</w:t>
            </w:r>
          </w:p>
          <w:p w14:paraId="354DD652" w14:textId="432CEBB3" w:rsidR="00123C8B" w:rsidRDefault="00123C8B" w:rsidP="00D96BA6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96BA6">
              <w:rPr>
                <w:rFonts w:ascii="Times New Roman" w:hAnsi="Times New Roman"/>
                <w:color w:val="000000"/>
                <w:spacing w:val="-2"/>
              </w:rPr>
              <w:t>podejmowa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proporcjonaln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 xml:space="preserve">ych 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>środk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6146" w:rsidRPr="00D96BA6">
              <w:rPr>
                <w:rFonts w:ascii="Times New Roman" w:hAnsi="Times New Roman"/>
                <w:color w:val="000000"/>
                <w:spacing w:val="-2"/>
              </w:rPr>
              <w:t>techniczn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9D6146" w:rsidRPr="00D96BA6">
              <w:rPr>
                <w:rFonts w:ascii="Times New Roman" w:hAnsi="Times New Roman"/>
                <w:color w:val="000000"/>
                <w:spacing w:val="-2"/>
              </w:rPr>
              <w:t xml:space="preserve"> i organizacyjn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9D6146" w:rsidRPr="00D96B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>mając</w:t>
            </w:r>
            <w:r w:rsidR="00D96BA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na celu przeciwdziałać nadużyciom w komunikacji elektronicznej</w:t>
            </w:r>
            <w:r w:rsidR="006E2630" w:rsidRPr="00D96BA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6E3F467" w14:textId="1865760F" w:rsidR="00123C8B" w:rsidRDefault="00123C8B" w:rsidP="00D96BA6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96BA6">
              <w:rPr>
                <w:rFonts w:ascii="Times New Roman" w:hAnsi="Times New Roman"/>
                <w:color w:val="000000"/>
                <w:spacing w:val="-2"/>
              </w:rPr>
              <w:lastRenderedPageBreak/>
              <w:t>blokowa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krótki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wiadomości tekstow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6E2630" w:rsidRPr="00D96BA6">
              <w:rPr>
                <w:rFonts w:ascii="Times New Roman" w:hAnsi="Times New Roman"/>
                <w:color w:val="000000"/>
                <w:spacing w:val="-2"/>
              </w:rPr>
              <w:t>, które</w:t>
            </w:r>
            <w:r w:rsidRPr="00D96BA6">
              <w:rPr>
                <w:rFonts w:ascii="Times New Roman" w:hAnsi="Times New Roman"/>
                <w:color w:val="000000"/>
                <w:spacing w:val="-2"/>
              </w:rPr>
              <w:t xml:space="preserve"> zawierają</w:t>
            </w:r>
            <w:r w:rsidR="00C1017E" w:rsidRPr="00D96BA6">
              <w:rPr>
                <w:rFonts w:ascii="Times New Roman" w:hAnsi="Times New Roman"/>
                <w:color w:val="000000"/>
                <w:spacing w:val="-2"/>
              </w:rPr>
              <w:t xml:space="preserve"> treści </w:t>
            </w:r>
            <w:r w:rsidR="009D6146" w:rsidRPr="00D96BA6">
              <w:rPr>
                <w:rFonts w:ascii="Times New Roman" w:hAnsi="Times New Roman"/>
                <w:color w:val="000000"/>
                <w:spacing w:val="-2"/>
              </w:rPr>
              <w:t xml:space="preserve">o charakterze smishingu </w:t>
            </w:r>
            <w:r w:rsidR="00C1017E" w:rsidRPr="00D96BA6">
              <w:rPr>
                <w:rFonts w:ascii="Times New Roman" w:hAnsi="Times New Roman"/>
                <w:color w:val="000000"/>
                <w:spacing w:val="-2"/>
              </w:rPr>
              <w:t>zgodne ze wzorcem wiadomości przekazanym przez CSIRT NASK</w:t>
            </w:r>
            <w:r w:rsidR="006E2630" w:rsidRPr="00D96BA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AD502E5" w14:textId="2AC365D2" w:rsidR="00123C8B" w:rsidRPr="00513F38" w:rsidRDefault="00513F38" w:rsidP="00513F38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F38">
              <w:rPr>
                <w:rFonts w:ascii="Times New Roman" w:hAnsi="Times New Roman"/>
                <w:color w:val="000000"/>
                <w:spacing w:val="-2"/>
              </w:rPr>
              <w:t>blokowania połączeń głosowych, które mają na celu podszywanie się pod inną osobę lub instytucję.</w:t>
            </w:r>
          </w:p>
          <w:p w14:paraId="5490C53F" w14:textId="1B3B0504" w:rsidR="00123C8B" w:rsidRPr="00E95BA1" w:rsidRDefault="00123C8B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Prezes Urzędu Komunikacji Elektronicznej będzie prowadził wykaz numerów służących wyłącznie do odbierania połączeń głosowych</w:t>
            </w:r>
            <w:r w:rsidR="00C1017E" w:rsidRPr="00E95B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F734DC3" w14:textId="6D8750EA" w:rsidR="00C1017E" w:rsidRPr="00E95BA1" w:rsidRDefault="006E2630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Zespół </w:t>
            </w:r>
            <w:r w:rsidR="00C1017E" w:rsidRPr="00E95BA1">
              <w:rPr>
                <w:rFonts w:ascii="Times New Roman" w:hAnsi="Times New Roman"/>
                <w:color w:val="000000"/>
                <w:spacing w:val="-2"/>
              </w:rPr>
              <w:t>CSIRT NASK będzie monitorował występowanie smishingu i przekazywał przedsiębiorcom telekomunikacyjnym wzorce wiadomości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 wskazujące na wystąpienie</w:t>
            </w:r>
            <w:r w:rsidR="00C1017E" w:rsidRPr="00E95BA1">
              <w:rPr>
                <w:rFonts w:ascii="Times New Roman" w:hAnsi="Times New Roman"/>
                <w:color w:val="000000"/>
                <w:spacing w:val="-2"/>
              </w:rPr>
              <w:t xml:space="preserve"> smishing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1017E" w:rsidRPr="00E95B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3128261" w14:textId="1ABCE771" w:rsidR="006A701A" w:rsidRPr="00E95BA1" w:rsidRDefault="00C101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Dostawcy poczty elektronicznej dla co najmniej 500 000 użytkowników, 500 000 aktywnych kont lub podmiotów publicznych będą obowiązani stosować mechanizm </w:t>
            </w:r>
            <w:r w:rsidR="00751C63" w:rsidRPr="00E95BA1">
              <w:rPr>
                <w:rFonts w:ascii="Times New Roman" w:hAnsi="Times New Roman"/>
                <w:color w:val="000000"/>
                <w:spacing w:val="-2"/>
              </w:rPr>
              <w:t>uwierzytelnienia poczty elektronicznej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2486C05" w14:textId="77777777" w:rsidR="006A701A" w:rsidRPr="00E95BA1" w:rsidRDefault="006A70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E95BA1" w14:paraId="5918BF52" w14:textId="77777777" w:rsidTr="224E50F4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261D5D" w14:textId="77777777" w:rsidR="006A701A" w:rsidRPr="00E95BA1" w:rsidRDefault="009E3C4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E95BA1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E95BA1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E95BA1" w14:paraId="4101652C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99056E" w14:textId="7A4C7168" w:rsidR="006A701A" w:rsidRDefault="00F25C7C" w:rsidP="00513F3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F38">
              <w:rPr>
                <w:rFonts w:ascii="Times New Roman" w:hAnsi="Times New Roman"/>
                <w:color w:val="000000"/>
                <w:spacing w:val="-2"/>
              </w:rPr>
              <w:t>W Wielkiej Brytanii OFCOM prowadzi listę numerów, z których nie są inicjowane połączenia. Są to numery m. in. instytucji publicznych np. infolinie</w:t>
            </w:r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dla obywateli.</w:t>
            </w:r>
          </w:p>
          <w:p w14:paraId="6E54FE35" w14:textId="62B9E471" w:rsidR="00F25C7C" w:rsidRPr="00513F38" w:rsidRDefault="00F25C7C" w:rsidP="00513F3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F38">
              <w:rPr>
                <w:rFonts w:ascii="Times New Roman" w:hAnsi="Times New Roman"/>
                <w:color w:val="000000"/>
                <w:spacing w:val="-2"/>
              </w:rPr>
              <w:t xml:space="preserve">W Stanach Zjednoczonych przedsiębiorcy zostali zobowiązani na podstawie </w:t>
            </w:r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Telephone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Robocall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Abuse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Criminal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Enforcement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and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Deterrence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Act</w:t>
            </w:r>
            <w:proofErr w:type="spellEnd"/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13F38">
              <w:rPr>
                <w:rFonts w:ascii="Times New Roman" w:hAnsi="Times New Roman"/>
                <w:color w:val="000000"/>
                <w:spacing w:val="-2"/>
              </w:rPr>
              <w:t xml:space="preserve">oraz decyzji Federal </w:t>
            </w:r>
            <w:proofErr w:type="spellStart"/>
            <w:r w:rsidRPr="00513F38">
              <w:rPr>
                <w:rFonts w:ascii="Times New Roman" w:hAnsi="Times New Roman"/>
                <w:color w:val="000000"/>
                <w:spacing w:val="-2"/>
              </w:rPr>
              <w:t>Communication</w:t>
            </w:r>
            <w:proofErr w:type="spellEnd"/>
            <w:r w:rsidRPr="00513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13F38">
              <w:rPr>
                <w:rFonts w:ascii="Times New Roman" w:hAnsi="Times New Roman"/>
                <w:color w:val="000000"/>
                <w:spacing w:val="-2"/>
              </w:rPr>
              <w:t>Commision</w:t>
            </w:r>
            <w:proofErr w:type="spellEnd"/>
            <w:r w:rsidRPr="00513F38">
              <w:rPr>
                <w:rFonts w:ascii="Times New Roman" w:hAnsi="Times New Roman"/>
                <w:color w:val="000000"/>
                <w:spacing w:val="-2"/>
              </w:rPr>
              <w:t xml:space="preserve"> do stosowania rozwiązania STIR/SHAKEN, które umożliwia </w:t>
            </w:r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uwierzytelnienie informacji adresowej połączenia</w:t>
            </w:r>
            <w:r w:rsidR="00FE0381" w:rsidRPr="00E95BA1">
              <w:rPr>
                <w:rStyle w:val="Odwoanieprzypisudolnego"/>
                <w:rFonts w:ascii="Times New Roman" w:hAnsi="Times New Roman"/>
                <w:color w:val="000000"/>
                <w:spacing w:val="-2"/>
              </w:rPr>
              <w:footnoteReference w:id="2"/>
            </w:r>
            <w:r w:rsidR="00FE0381" w:rsidRPr="00513F3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FC39945" w14:textId="77777777" w:rsidR="006A701A" w:rsidRPr="00E95BA1" w:rsidRDefault="006A70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E95BA1" w14:paraId="640801AA" w14:textId="77777777" w:rsidTr="224E50F4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5FB2F6" w14:textId="77777777" w:rsidR="006A701A" w:rsidRPr="00E95BA1" w:rsidRDefault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E95BA1" w14:paraId="0E93945B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3EC8F8" w14:textId="77777777" w:rsidR="00260F33" w:rsidRPr="00E95BA1" w:rsidRDefault="00260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60" w:type="dxa"/>
            <w:gridSpan w:val="4"/>
            <w:shd w:val="clear" w:color="auto" w:fill="auto"/>
          </w:tcPr>
          <w:p w14:paraId="4C48A98E" w14:textId="77777777" w:rsidR="00260F33" w:rsidRPr="00E95BA1" w:rsidRDefault="0056319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5334418" w14:textId="77777777" w:rsidR="00260F33" w:rsidRPr="00E95BA1" w:rsidRDefault="00260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E95BA1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841" w:type="dxa"/>
            <w:gridSpan w:val="13"/>
            <w:shd w:val="clear" w:color="auto" w:fill="auto"/>
          </w:tcPr>
          <w:p w14:paraId="4C50C970" w14:textId="77777777" w:rsidR="00260F33" w:rsidRPr="00E95BA1" w:rsidRDefault="00260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F3D13" w:rsidRPr="00E95BA1" w14:paraId="38B06776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C3BE1" w14:textId="281B0DBC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CSIRT NASK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30EAB1A6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523C" w14:textId="36AE0AAB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48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6223" w14:textId="0C46EACA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Zespół CSIRT NASK będzie monitorował nadużycia w komunikacji elektronicznej oraz uruchomi system teleinformatyczny przekazujący wzorce wiadomości zawierające treści o charakterze smishingu.</w:t>
            </w:r>
          </w:p>
        </w:tc>
      </w:tr>
      <w:tr w:rsidR="008F3D13" w:rsidRPr="00E95BA1" w14:paraId="5BFD53AC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C73F" w14:textId="17AA00DB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Dostawcy poczty elektronicznej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BFB0" w14:textId="6FEF913F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t>brak danych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689E6" w14:textId="54A406DC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4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F08D" w14:textId="51CECDB2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t>Dostawcy poczty elektronicznej dla co najmniej 500 000 użytkowników, 500 000 aktywnych kont lub podmiotów publicznych będą obowiązani stosować mechanizm uwierzytelnienia poczty elektronicznej.</w:t>
            </w:r>
          </w:p>
        </w:tc>
      </w:tr>
      <w:tr w:rsidR="008F3D13" w:rsidRPr="00E95BA1" w14:paraId="13B7C653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31CEB" w14:textId="05B61516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Komendant Główny Policji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5809" w14:textId="3553A44A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23FD" w14:textId="64D286AB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484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8F21" w14:textId="41491849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Obowiązek podłączenia się do systemu teleinformatycznego przekazującego wzorce wiadomości zawierające treści o charakterze smishingu. </w:t>
            </w:r>
          </w:p>
        </w:tc>
      </w:tr>
      <w:tr w:rsidR="008F3D13" w:rsidRPr="00E95BA1" w14:paraId="0C1F8C7A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8ADF70" w14:textId="2C358090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Minister właściwy do spraw informatyzacji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AABC28" w14:textId="1B91D833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0116A9" w14:textId="451FE5BB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484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CF19DB" w14:textId="4392EE7F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Minister właściwy do spraw informatyzacji będzie obowiązany zamieścić w Biuletynie Informacji Publicznej informację o uruchomieniu przez CSIRT NASK systemu teleinformatycznego przekazującego wzorce wiadomości zawierające treści o charakterze smishingu.</w:t>
            </w:r>
          </w:p>
        </w:tc>
      </w:tr>
      <w:tr w:rsidR="008F3D13" w:rsidRPr="00E95BA1" w14:paraId="5D8FBE33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82A" w14:textId="76D45F64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Prezes Urzędu Komunikacji Elektronicznej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A6B4" w14:textId="4C5C76B0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F7A6" w14:textId="6DF4E46F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bookmarkStart w:id="3" w:name="RANGE!E10"/>
            <w:r w:rsidRPr="00840788"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  <w:bookmarkEnd w:id="3"/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64E0" w14:textId="22EB9675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Obowiązek podłączenia się do systemu teleinformatycznego przekazującego wzorce wiadomości zawierające treści o charakterze nadużycia 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w komunikacji elektronicznej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. Prezes UKE otrzyma również kompetencję do rozpatrywania 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sprzeciwu</w:t>
            </w:r>
            <w:r w:rsidR="009D6146" w:rsidRPr="008407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E95BA1" w:rsidRPr="00E95BA1">
              <w:rPr>
                <w:rFonts w:ascii="Times New Roman" w:hAnsi="Times New Roman"/>
                <w:color w:val="000000"/>
                <w:spacing w:val="-2"/>
              </w:rPr>
              <w:t>zablokowanie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komunikatu. Prezes UKE będzie również nakładał </w:t>
            </w:r>
            <w:r w:rsidR="00E95BA1" w:rsidRPr="00E95BA1">
              <w:rPr>
                <w:rFonts w:ascii="Times New Roman" w:hAnsi="Times New Roman"/>
                <w:color w:val="000000"/>
                <w:spacing w:val="-2"/>
              </w:rPr>
              <w:t>administracyjne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kary pienię</w:t>
            </w:r>
            <w:r w:rsidR="00E95BA1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>ne na przedsiębiorców telekomunikacyjnych za niestosowanie się do przepisów ustawy. Uzyska możliwość zawarcia z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operatorami telekomunikacyjnymi porozumienia określającego  środki organizacyjne i techniczne stosowanych przy przeciwdziałania CLI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spoofing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F3D13" w:rsidRPr="00E95BA1" w14:paraId="6B39DD81" w14:textId="77777777" w:rsidTr="224E50F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EF6" w14:textId="658C5610" w:rsidR="008F3D13" w:rsidRPr="00E95BA1" w:rsidRDefault="008F3D1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lastRenderedPageBreak/>
              <w:t>Przedsiębiorcy telekomunikacyjni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44A" w14:textId="5B651775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4017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AB51" w14:textId="3D663CC2" w:rsidR="008F3D13" w:rsidRPr="00840788" w:rsidRDefault="008F3D13" w:rsidP="00840788">
            <w:pPr>
              <w:rPr>
                <w:rFonts w:ascii="Times New Roman" w:hAnsi="Times New Roman"/>
              </w:rPr>
            </w:pPr>
            <w:r w:rsidRPr="00840788">
              <w:rPr>
                <w:rFonts w:ascii="Times New Roman" w:hAnsi="Times New Roman"/>
              </w:rPr>
              <w:t>Rejestr przedsiębiorców telekomunikacyjnych</w:t>
            </w:r>
          </w:p>
        </w:tc>
        <w:tc>
          <w:tcPr>
            <w:tcW w:w="48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1380" w14:textId="453D8E63" w:rsidR="008F3D13" w:rsidRPr="00E95BA1" w:rsidRDefault="008F3D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 Na przedsiębiorców telekomunikacyjnych zostaną nałożone obowiązki i uprawnienia związane z zwalczaniem nadużyć w komunikacji elektronicznej.</w:t>
            </w:r>
          </w:p>
        </w:tc>
      </w:tr>
      <w:tr w:rsidR="006A701A" w:rsidRPr="00E95BA1" w14:paraId="241F0F68" w14:textId="77777777" w:rsidTr="224E50F4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446F2B" w14:textId="77777777" w:rsidR="006A701A" w:rsidRPr="00E95BA1" w:rsidRDefault="001B34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E95BA1">
              <w:rPr>
                <w:rFonts w:ascii="Times New Roman" w:hAnsi="Times New Roman"/>
                <w:b/>
                <w:color w:val="000000"/>
              </w:rPr>
              <w:t>,</w:t>
            </w:r>
            <w:r w:rsidRPr="00E95BA1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E95BA1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E95BA1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E95BA1" w14:paraId="07547A01" w14:textId="77777777" w:rsidTr="224E50F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405F7C6D" w14:textId="55E0C29C" w:rsidR="00F24D4C" w:rsidRPr="00DE53D4" w:rsidRDefault="00F24D4C" w:rsidP="00DE53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53D4">
              <w:rPr>
                <w:rFonts w:ascii="Times New Roman" w:hAnsi="Times New Roman"/>
                <w:color w:val="000000"/>
                <w:spacing w:val="-2"/>
              </w:rPr>
              <w:t>W ramach</w:t>
            </w:r>
            <w:r w:rsidR="003D2FA5">
              <w:rPr>
                <w:rFonts w:ascii="Times New Roman" w:hAnsi="Times New Roman"/>
                <w:color w:val="000000"/>
                <w:spacing w:val="-2"/>
              </w:rPr>
              <w:t xml:space="preserve"> 14 -</w:t>
            </w:r>
            <w:r w:rsidRPr="00DE53D4">
              <w:rPr>
                <w:rFonts w:ascii="Times New Roman" w:hAnsi="Times New Roman"/>
                <w:color w:val="000000"/>
                <w:spacing w:val="-2"/>
              </w:rPr>
              <w:t xml:space="preserve"> dniowych konsulta</w:t>
            </w:r>
            <w:r w:rsidRPr="00F24D4C">
              <w:rPr>
                <w:rFonts w:ascii="Times New Roman" w:hAnsi="Times New Roman"/>
                <w:color w:val="000000"/>
                <w:spacing w:val="-2"/>
              </w:rPr>
              <w:t>cji i opiniowania 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DE53D4">
              <w:rPr>
                <w:rFonts w:ascii="Times New Roman" w:hAnsi="Times New Roman"/>
                <w:color w:val="000000"/>
                <w:spacing w:val="-2"/>
              </w:rPr>
              <w:t xml:space="preserve"> skierowany do zaopiniowania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przez:</w:t>
            </w:r>
          </w:p>
          <w:p w14:paraId="39E3787A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>American Chamber of Commerce in Poland;</w:t>
            </w:r>
          </w:p>
          <w:p w14:paraId="6691C639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>Busines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Centre Club; </w:t>
            </w:r>
          </w:p>
          <w:p w14:paraId="016E53C0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>Federacja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>Konsumentów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  <w:lang w:val="en-GB"/>
              </w:rPr>
              <w:t>;</w:t>
            </w:r>
          </w:p>
          <w:p w14:paraId="008F947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Bezpieczna Przestrzeń; </w:t>
            </w:r>
          </w:p>
          <w:p w14:paraId="1F3F570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im. Kazimierza Pułaskiego; </w:t>
            </w:r>
          </w:p>
          <w:p w14:paraId="5BFB4714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im. Stefana Batorego; </w:t>
            </w:r>
          </w:p>
          <w:p w14:paraId="51E2A20B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Instytut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Mikromakro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E6F64FF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Moje Państwo; </w:t>
            </w:r>
          </w:p>
          <w:p w14:paraId="12828526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MY Pacjenci; </w:t>
            </w:r>
          </w:p>
          <w:p w14:paraId="343AB5AF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Nowoczesna Polska; </w:t>
            </w:r>
          </w:p>
          <w:p w14:paraId="4B58BAD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Panoptykon; </w:t>
            </w:r>
          </w:p>
          <w:p w14:paraId="26058448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Fundacja Projekt: Polska; </w:t>
            </w:r>
          </w:p>
          <w:p w14:paraId="3CB08963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Interdyscyplinarne Centrum Modelowania Matematycznego i Komputerowego UW;</w:t>
            </w:r>
          </w:p>
          <w:p w14:paraId="5B935C8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Izba Gospodarki Elektronicznej;</w:t>
            </w:r>
          </w:p>
          <w:p w14:paraId="3F517E69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Klaster #CyberMadeInPoland;</w:t>
            </w:r>
          </w:p>
          <w:p w14:paraId="346B540B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Konfederacja Lewiatan;</w:t>
            </w:r>
          </w:p>
          <w:p w14:paraId="1483F1EE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Krajowa Izba Gospodarcza Elektroniki i Telekomunikacji;</w:t>
            </w:r>
          </w:p>
          <w:p w14:paraId="24E4F953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Krajowa Izba Gospodarcza;</w:t>
            </w:r>
          </w:p>
          <w:p w14:paraId="7F3DB206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Krajowa Izba Gospodarki Cyfrowej;</w:t>
            </w:r>
          </w:p>
          <w:p w14:paraId="7CE39E51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Krajowa Izba Gospodarki Morskiej;</w:t>
            </w:r>
          </w:p>
          <w:p w14:paraId="433D794B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Krajowa Izba Komunikacji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Ethernetowej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63136E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Krajowa Izba Rozliczeniowa S.A.;</w:t>
            </w:r>
          </w:p>
          <w:p w14:paraId="7BED2CF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Krajowe Stowarzyszenie Ochrony Informacji Niejawnych;</w:t>
            </w:r>
          </w:p>
          <w:p w14:paraId="54E3D16E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Naczelna Organizacja Techniczna;</w:t>
            </w:r>
          </w:p>
          <w:p w14:paraId="42E65BFA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Naczelna Rada Zrzeszeń Handlu i Usług;</w:t>
            </w:r>
          </w:p>
          <w:p w14:paraId="1A6358B2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Ogólnopolskie Porozumienie Organizacji Radioamatorskich;</w:t>
            </w:r>
          </w:p>
          <w:p w14:paraId="704E541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PKP TELKOL sp. z o.o.;</w:t>
            </w:r>
          </w:p>
          <w:p w14:paraId="07FCF5B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Federacja Szpitali;</w:t>
            </w:r>
          </w:p>
          <w:p w14:paraId="0E6BFF0C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Izba Handlu;</w:t>
            </w:r>
          </w:p>
          <w:p w14:paraId="6024295A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Izba Informatyki i Telekomunikacji;</w:t>
            </w:r>
          </w:p>
          <w:p w14:paraId="66535229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Izba Komunikacji Elektronicznej;</w:t>
            </w:r>
          </w:p>
          <w:p w14:paraId="2583E163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Izba Producentów Urządzeń i Usług na Rzecz Kolei;</w:t>
            </w:r>
          </w:p>
          <w:p w14:paraId="4F6A5B6B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Izba Radiodyfuzji Cyfrowej;</w:t>
            </w:r>
          </w:p>
          <w:p w14:paraId="3E420A83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Organizacja Handlu i Dystrybucji;</w:t>
            </w:r>
          </w:p>
          <w:p w14:paraId="069A19FC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Polska Organizacja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Niebankowych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Instytucji Płatności;</w:t>
            </w:r>
          </w:p>
          <w:p w14:paraId="60E39C95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Rada Biznesu;</w:t>
            </w:r>
          </w:p>
          <w:p w14:paraId="16FAD746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Polska Wytwórnia Papierów Wartościowych;</w:t>
            </w:r>
          </w:p>
          <w:p w14:paraId="3021556C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 Związek Krótkofalowców;</w:t>
            </w:r>
          </w:p>
          <w:p w14:paraId="09D6E488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 Związek Pracodawców Przemysłu Farmaceutycznego;</w:t>
            </w:r>
          </w:p>
          <w:p w14:paraId="1409F626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Centrum Badań i Certyfikacji S.A.;</w:t>
            </w:r>
          </w:p>
          <w:p w14:paraId="5D34C0E2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Górnictwo Naftowe i Gazownictwo;</w:t>
            </w:r>
          </w:p>
          <w:p w14:paraId="4BD876F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Koleje Państwowe S.A.;</w:t>
            </w:r>
          </w:p>
          <w:p w14:paraId="4A58CBE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Stowarzyszenie Marketingu SMB;</w:t>
            </w:r>
          </w:p>
          <w:p w14:paraId="4B934584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Towarzystwo Informatyczne;</w:t>
            </w:r>
          </w:p>
          <w:p w14:paraId="6BDEC8AB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Polskie Związek Przemysłu Motoryzacyjnego;</w:t>
            </w:r>
          </w:p>
          <w:p w14:paraId="5CC541A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SABI – stowarzyszenie inspektorów ochrony danych;</w:t>
            </w:r>
          </w:p>
          <w:p w14:paraId="1674957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Sieć Obywatelska 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Watchdog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Polska;</w:t>
            </w:r>
          </w:p>
          <w:p w14:paraId="11978C84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Stowarzyszenie „</w:t>
            </w:r>
            <w:proofErr w:type="spellStart"/>
            <w:r w:rsidRPr="00840788">
              <w:rPr>
                <w:rFonts w:ascii="Times New Roman" w:hAnsi="Times New Roman"/>
                <w:color w:val="000000"/>
                <w:spacing w:val="-2"/>
              </w:rPr>
              <w:t>Archiwizjoner</w:t>
            </w:r>
            <w:proofErr w:type="spellEnd"/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”; </w:t>
            </w:r>
          </w:p>
          <w:p w14:paraId="7DF66EF4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Stowarzyszenie Inżynierów Telekomunikacji;</w:t>
            </w:r>
          </w:p>
          <w:p w14:paraId="720B8006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Stowarzyszenie ISACA;</w:t>
            </w:r>
          </w:p>
          <w:p w14:paraId="3E3B49E9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Towarzystwo Gospodarcze Polskie Elektrownie;</w:t>
            </w:r>
          </w:p>
          <w:p w14:paraId="038F407F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Związek Banków Polskich; </w:t>
            </w:r>
          </w:p>
          <w:p w14:paraId="29A9FB3D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Związek Importerów i Producentów Sprzętu Elektrycznego i Elektronicznego – ZIPSEE Cyfrowa Polska; </w:t>
            </w:r>
          </w:p>
          <w:p w14:paraId="7918285A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Związek Pracodawców Branży Internetowej IAB Polska; </w:t>
            </w:r>
          </w:p>
          <w:p w14:paraId="2ED0F2B1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Związek Pracodawców Mediów Elektronicznych i Telekomunikacji MEDIAKOM; </w:t>
            </w:r>
          </w:p>
          <w:p w14:paraId="20FB3CA8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Związek Pracodawców Mediów Publicznych; </w:t>
            </w:r>
          </w:p>
          <w:p w14:paraId="6152B007" w14:textId="77777777" w:rsidR="00213A07" w:rsidRPr="00840788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Związek Przedsiębiorców i Pracodawców; </w:t>
            </w:r>
          </w:p>
          <w:p w14:paraId="5C89DF22" w14:textId="42F7DA59" w:rsidR="00213A07" w:rsidRDefault="00213A07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Związek Telewizji Kablowych w Polsce – Izba Gospodarcza.</w:t>
            </w:r>
          </w:p>
          <w:p w14:paraId="39806BFD" w14:textId="391F7FFD" w:rsidR="00513F38" w:rsidRDefault="00513F38" w:rsidP="00840788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Prezesa Urzędu Komunikacji Elektronicznej</w:t>
            </w:r>
            <w:r w:rsidR="003D2FA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319BA7" w14:textId="4337626D" w:rsidR="003D2FA5" w:rsidRPr="003D2FA5" w:rsidRDefault="003D2FA5" w:rsidP="003D2FA5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2FA5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D2FA5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087DD6DE" w14:textId="6057AB42" w:rsidR="003D2FA5" w:rsidRPr="003D2FA5" w:rsidRDefault="003D2FA5" w:rsidP="003D2FA5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2FA5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D2FA5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Konsumentów.</w:t>
            </w:r>
          </w:p>
          <w:p w14:paraId="7CC4CD03" w14:textId="77777777" w:rsidR="007A34B3" w:rsidRPr="00E95BA1" w:rsidRDefault="007A34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459315" w14:textId="7057DF12" w:rsidR="00363309" w:rsidRPr="00E95BA1" w:rsidRDefault="007A34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Stosownie do art. 5 ustawy z dnia 7 lipca 2005 r. o działalności lobbingowej w procesie stanowienia prawa (Dz. U. z 2017 r. poz. 248) oraz art. 52 § 1 uchwały nr 190 Rady Ministrów z dnia 29 października 2013 r. – Regulamin pracy Rady Ministrów </w:t>
            </w:r>
            <w:r w:rsidR="00F143AB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F143AB" w:rsidRPr="00FA4BBF">
              <w:rPr>
                <w:rFonts w:ascii="Times New Roman" w:eastAsiaTheme="minorEastAsia" w:hAnsi="Times New Roman"/>
                <w:sz w:val="24"/>
                <w:szCs w:val="24"/>
              </w:rPr>
              <w:t>M.P. z 20</w:t>
            </w:r>
            <w:r w:rsidR="00F143AB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F143AB" w:rsidRPr="00FA4BBF">
              <w:rPr>
                <w:rFonts w:ascii="Times New Roman" w:eastAsiaTheme="minorEastAsia" w:hAnsi="Times New Roman"/>
                <w:sz w:val="24"/>
                <w:szCs w:val="24"/>
              </w:rPr>
              <w:t xml:space="preserve"> r. poz. </w:t>
            </w:r>
            <w:r w:rsidR="00F143AB">
              <w:rPr>
                <w:rFonts w:ascii="Times New Roman" w:eastAsiaTheme="minorEastAsia" w:hAnsi="Times New Roman"/>
                <w:sz w:val="24"/>
                <w:szCs w:val="24"/>
              </w:rPr>
              <w:t>348</w:t>
            </w:r>
            <w:r w:rsidR="00F143AB" w:rsidRPr="00FA4BB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="00F143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projekt ustawy zosta</w:t>
            </w:r>
            <w:r w:rsidR="003D2FA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Rządowego Centrum Legislacji w serwisie Rządowy Proces Legislacyjny.</w:t>
            </w:r>
          </w:p>
          <w:p w14:paraId="2BA226A1" w14:textId="77777777" w:rsidR="006A701A" w:rsidRPr="00E95BA1" w:rsidRDefault="006A70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E95BA1" w14:paraId="0BBEAE9B" w14:textId="77777777" w:rsidTr="224E50F4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3B0CB8" w14:textId="77777777" w:rsidR="006A701A" w:rsidRPr="00E95BA1" w:rsidRDefault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E95BA1" w14:paraId="1F0A4BE2" w14:textId="77777777" w:rsidTr="224E50F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 w:themeFill="background1"/>
          </w:tcPr>
          <w:p w14:paraId="773023D5" w14:textId="77777777" w:rsidR="00260F33" w:rsidRPr="00840788" w:rsidRDefault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840788">
              <w:rPr>
                <w:rFonts w:ascii="Times New Roman" w:hAnsi="Times New Roman"/>
                <w:color w:val="000000"/>
              </w:rPr>
              <w:t>stałe</w:t>
            </w:r>
            <w:r w:rsidRPr="00840788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 w:themeFill="background1"/>
          </w:tcPr>
          <w:p w14:paraId="37430DAD" w14:textId="77777777" w:rsidR="00260F33" w:rsidRPr="00840788" w:rsidRDefault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840788">
              <w:rPr>
                <w:rFonts w:ascii="Times New Roman" w:hAnsi="Times New Roman"/>
                <w:color w:val="000000"/>
              </w:rPr>
              <w:t xml:space="preserve">mln </w:t>
            </w:r>
            <w:r w:rsidRPr="00840788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E95BA1" w14:paraId="51FC9B47" w14:textId="77777777" w:rsidTr="224E50F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</w:tcPr>
          <w:p w14:paraId="17AD93B2" w14:textId="77777777" w:rsidR="0057668E" w:rsidRPr="00840788" w:rsidRDefault="0057668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B584315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49841BE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8F999B5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FCD5EC4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598DEE6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8941E47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29B4EA11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5697EEC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 w:themeFill="background1"/>
          </w:tcPr>
          <w:p w14:paraId="44B0A208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B2B7304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</w:tcPr>
          <w:p w14:paraId="5D369756" w14:textId="77777777" w:rsidR="0057668E" w:rsidRPr="00840788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14:paraId="2E2B42B2" w14:textId="77777777" w:rsidR="0057668E" w:rsidRPr="00840788" w:rsidRDefault="0057668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840788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E95BA1" w14:paraId="7148EA15" w14:textId="77777777" w:rsidTr="224E50F4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3231FC6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DE4B5B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6204FF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DBF0D7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B62F1B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2F2C34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80A4E5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921983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96FEF7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194DBD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69D0D3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4CD245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1231BE6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E95BA1" w14:paraId="3285312D" w14:textId="77777777" w:rsidTr="224E50F4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5533828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6FEB5B0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0D7AA6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196D06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4FF1C9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072C0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8A2191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BD18F9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38601F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F3CABC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B08B5D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DEB4A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0AD9C6F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E95BA1" w14:paraId="12DDA1B5" w14:textId="77777777" w:rsidTr="224E50F4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7499D2B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B1F511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5F9C3D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023141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F3B140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62C75D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64355A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A96511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DF4E37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4FB30F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DA6542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041E39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722B00A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5358CAF4" w14:textId="77777777" w:rsidTr="224E50F4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4F80D5C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2C6D79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E1831B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4E11D2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1126E5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DE403A5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2431CD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9E398E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6287F2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BE93A6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84BA73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B3F2E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7D34F5C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182CB2FF" w14:textId="77777777" w:rsidTr="224E50F4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17EEE28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B4020A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D7B270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F904CB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6971CD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A1F701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3EFCA4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F96A72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B95CD1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220BBB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3CB595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D9C8D3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675E05E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0FE98B17" w14:textId="77777777" w:rsidTr="224E50F4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2881BFC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FC17F8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0A4F722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AE48A4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0F40DE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7A5229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07DCDA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50EA2D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DD355C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A81F0B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17AAFB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6EE48E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2908EB2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3B4B36E9" w14:textId="77777777" w:rsidTr="224E50F4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332D013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21FD38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FE2DD9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735753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7F023C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BDB549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916C19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4869460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87F57B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4738AF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6ABBD8F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6BBA33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464FCBC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49FC962D" w14:textId="77777777" w:rsidTr="224E50F4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5819C4A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C8C6B0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382A365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C71F13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2199465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DA123B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C4CEA3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0895670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8C1F85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8FE7C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1004F1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C0C65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308D56C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4538F780" w14:textId="77777777" w:rsidTr="224E50F4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12E54C4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97E50C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B04FA4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68C698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A93948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AA258D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FFBD3E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0DCCCA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6AF688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4C529E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C0157D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91E7B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526770C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4240E634" w14:textId="77777777" w:rsidTr="224E50F4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5A1203A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CBEED82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E36661F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8645DC7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35E58C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2EBF9A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C6C2CD5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09E88E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08C98E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9F8E7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818863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4F69B9A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5F07D11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4A465FB5" w14:textId="77777777" w:rsidTr="224E50F4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70B3B2E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1508A3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3D6B1D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7DBC15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F8BD81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613E9C1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037B8A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87C6DE0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B2F9378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E6DD4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D3BEE8F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88899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69E2BB2B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E95BA1" w14:paraId="21C1B622" w14:textId="77777777" w:rsidTr="224E50F4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7CBF8CB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7C0D796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0D142F6F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475AD1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20C4E94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2AFC42D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71CA72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5FBE42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D3F0BEC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CF4315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CB648E9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178E9E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3C0395D3" w14:textId="77777777" w:rsidR="0057668E" w:rsidRPr="00840788" w:rsidRDefault="005766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E95BA1" w14:paraId="239E7352" w14:textId="77777777" w:rsidTr="224E50F4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566BB84F" w14:textId="77777777" w:rsidR="006A701A" w:rsidRPr="00840788" w:rsidRDefault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052CCBDF" w14:textId="77777777" w:rsidR="009D6146" w:rsidRDefault="009D6146" w:rsidP="003D2F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Przyjęte rozwiązania nie spowodują dodatkowych skutków finansowych dla sektora</w:t>
            </w:r>
            <w:r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14:paraId="2295CF1A" w14:textId="77777777" w:rsidR="009D6146" w:rsidRDefault="009D6146" w:rsidP="003D2F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finansów publicznych, w tym budżetu państwa i budżetów jednostek samorządu</w:t>
            </w:r>
            <w:r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14:paraId="6836EEE9" w14:textId="77777777" w:rsidR="009D6146" w:rsidRDefault="009D6146" w:rsidP="003D2F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terytorialnego</w:t>
            </w:r>
            <w:r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14:paraId="269E314A" w14:textId="2A96D0C3" w:rsidR="006A701A" w:rsidRPr="00840788" w:rsidRDefault="009D61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Del="009D614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4BD7" w:rsidRPr="00E95BA1" w14:paraId="36279B90" w14:textId="77777777" w:rsidTr="224E50F4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 w:themeFill="background1"/>
          </w:tcPr>
          <w:p w14:paraId="2A29523C" w14:textId="77777777" w:rsidR="00E24BD7" w:rsidRPr="00840788" w:rsidRDefault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 w:themeFill="background1"/>
          </w:tcPr>
          <w:p w14:paraId="38288749" w14:textId="77777777" w:rsidR="00E24BD7" w:rsidRPr="00840788" w:rsidRDefault="00E24B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E95BA1" w14:paraId="1B5A5B08" w14:textId="77777777" w:rsidTr="224E50F4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CF15A58" w14:textId="77777777" w:rsidR="006A701A" w:rsidRPr="00E95BA1" w:rsidRDefault="006A701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E95BA1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E95BA1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E95BA1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E95B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E95BA1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E95BA1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E95BA1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E95B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E95BA1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E95BA1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E95BA1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E95B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E95BA1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E95BA1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E95BA1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E95BA1" w14:paraId="033EFA64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3B5AE819" w14:textId="77777777" w:rsidR="005E7371" w:rsidRPr="00840788" w:rsidRDefault="001B34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E95BA1" w14:paraId="175CDB1B" w14:textId="77777777" w:rsidTr="224E50F4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 w:themeFill="background1"/>
          </w:tcPr>
          <w:p w14:paraId="371E4673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2322F001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56B20A0C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7144751B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0B778152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4240AAE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46DE71A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</w:tcPr>
          <w:p w14:paraId="09614205" w14:textId="77777777" w:rsidR="002E6D63" w:rsidRPr="00840788" w:rsidRDefault="002E6D6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84078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84078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E95BA1" w14:paraId="5EF43321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1524FC71" w14:textId="77777777" w:rsidR="006F78C4" w:rsidRPr="00840788" w:rsidRDefault="002E6D63">
            <w:pPr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840788">
              <w:rPr>
                <w:rFonts w:ascii="Times New Roman" w:hAnsi="Times New Roman"/>
                <w:color w:val="000000"/>
              </w:rPr>
              <w:t>ujęciu</w:t>
            </w:r>
            <w:r w:rsidRPr="00840788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213FC5E2" w14:textId="77777777" w:rsidR="006F78C4" w:rsidRPr="00840788" w:rsidRDefault="006F78C4">
            <w:pPr>
              <w:rPr>
                <w:rFonts w:ascii="Times New Roman" w:hAnsi="Times New Roman"/>
                <w:spacing w:val="-2"/>
              </w:rPr>
            </w:pPr>
            <w:r w:rsidRPr="0084078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AAA8DF9" w14:textId="77777777" w:rsidR="002E6D63" w:rsidRPr="00840788" w:rsidRDefault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spacing w:val="-2"/>
              </w:rPr>
              <w:lastRenderedPageBreak/>
              <w:t xml:space="preserve">ceny </w:t>
            </w:r>
            <w:r w:rsidR="00CF5F4F" w:rsidRPr="00840788">
              <w:rPr>
                <w:rFonts w:ascii="Times New Roman" w:hAnsi="Times New Roman"/>
                <w:spacing w:val="-2"/>
              </w:rPr>
              <w:t>stałe</w:t>
            </w:r>
            <w:r w:rsidRPr="00840788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53A5B91E" w14:textId="77777777" w:rsidR="002E6D63" w:rsidRPr="00840788" w:rsidRDefault="009E3C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20BD9A1A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0C136CF1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0A392C6A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290583F9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68F21D90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13C326F3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853B841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E95BA1" w14:paraId="257FE8E0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50125231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556EAD74" w14:textId="77777777" w:rsidR="002E6D63" w:rsidRPr="00840788" w:rsidRDefault="00705A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5A25747A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09B8D95D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78BEFD2A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27A76422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9206A88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67B7A70C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1887C79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E95BA1" w14:paraId="05FF9325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3B7FD67C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15AD400A" w14:textId="77777777" w:rsidR="002E6D63" w:rsidRPr="00840788" w:rsidRDefault="00A92B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</w:rPr>
              <w:t xml:space="preserve">rodzina, </w:t>
            </w:r>
            <w:r w:rsidR="009E3C4B" w:rsidRPr="00840788">
              <w:rPr>
                <w:rFonts w:ascii="Times New Roman" w:hAnsi="Times New Roman"/>
              </w:rPr>
              <w:t>o</w:t>
            </w:r>
            <w:r w:rsidR="002E6D63" w:rsidRPr="00840788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38D6B9B6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2F860BB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698536F5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7BC1BAF2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61C988F9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3B22BB7D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7B246DD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E95BA1" w14:paraId="34649E9B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6BF89DA3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728943B2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07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788">
              <w:rPr>
                <w:rFonts w:ascii="Times New Roman" w:hAnsi="Times New Roman"/>
                <w:color w:val="000000"/>
              </w:rPr>
            </w:r>
            <w:r w:rsidRPr="00840788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5C3E0E74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66A1FAB9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76BB753C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513DA1E0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75CAC6F5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66060428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D0656FE" w14:textId="77777777" w:rsidR="002E6D63" w:rsidRPr="00840788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E95BA1" w14:paraId="46806EEE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2F9CD48B" w14:textId="77777777" w:rsidR="008A608F" w:rsidRPr="00840788" w:rsidRDefault="008A6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840788">
              <w:rPr>
                <w:rFonts w:ascii="Times New Roman" w:hAnsi="Times New Roman"/>
                <w:color w:val="000000"/>
              </w:rPr>
              <w:t xml:space="preserve">ujęciu </w:t>
            </w:r>
            <w:r w:rsidRPr="00840788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00A634B7" w14:textId="77777777" w:rsidR="008A608F" w:rsidRPr="00840788" w:rsidRDefault="009E3C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duże p</w:t>
            </w:r>
            <w:r w:rsidR="008A608F" w:rsidRPr="00840788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2CC1E68A" w14:textId="0CDC4646" w:rsidR="00751C63" w:rsidRPr="00E95BA1" w:rsidRDefault="006E26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Przedsiębiorcy telekomunikacyjni będą obowiązani do podejmowania proporcjonalnych 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środków technicznych i organizacyjnych</w:t>
            </w:r>
            <w:r w:rsidR="009D6146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mających na celu zapobieganie nadużyciom w komunikacji elektronicznej i ich zwalczani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B37605A" w14:textId="559E0151" w:rsidR="008A608F" w:rsidRPr="00840788" w:rsidRDefault="00751C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Dostawcy poczty elektronicznej dla co najmniej 500 000 użytkowników, 500 000 aktywnych kont lub podmiotów publicznych będą obowiązani stosować mechanizm uwierzytelnienia poczty elektronicznej.</w:t>
            </w:r>
          </w:p>
        </w:tc>
      </w:tr>
      <w:tr w:rsidR="008A608F" w:rsidRPr="00E95BA1" w14:paraId="59317F3B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394798F2" w14:textId="77777777" w:rsidR="008A608F" w:rsidRPr="00840788" w:rsidRDefault="008A6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3437270C" w14:textId="77777777" w:rsidR="008A608F" w:rsidRPr="00840788" w:rsidRDefault="009E3C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s</w:t>
            </w:r>
            <w:r w:rsidR="008A608F" w:rsidRPr="00840788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29A56CD9" w14:textId="4FCEED8C" w:rsidR="00751C63" w:rsidRPr="00E95BA1" w:rsidRDefault="00696C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Mikro, mali i średni przedsiębiorcy telekomunikacyjni będą obowiązani do podejmowania proporcjonalnych 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technicznych i organizacyjnych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mających na celu zapobieganie nadużyciom </w:t>
            </w:r>
            <w:r w:rsidR="006E2630" w:rsidRPr="00E95BA1">
              <w:rPr>
                <w:rFonts w:ascii="Times New Roman" w:hAnsi="Times New Roman"/>
                <w:color w:val="000000"/>
                <w:spacing w:val="-2"/>
              </w:rPr>
              <w:t>w komunikacji elektronicznej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i ich zwalczanie.</w:t>
            </w:r>
          </w:p>
          <w:p w14:paraId="3889A505" w14:textId="4A4D944D" w:rsidR="008A608F" w:rsidRPr="00840788" w:rsidRDefault="008A6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E3C4B" w:rsidRPr="00E95BA1" w14:paraId="727B8AFA" w14:textId="77777777" w:rsidTr="224E50F4">
        <w:trPr>
          <w:gridAfter w:val="1"/>
          <w:wAfter w:w="10" w:type="dxa"/>
          <w:trHeight w:val="596"/>
        </w:trPr>
        <w:tc>
          <w:tcPr>
            <w:tcW w:w="1596" w:type="dxa"/>
            <w:vMerge/>
          </w:tcPr>
          <w:p w14:paraId="29079D35" w14:textId="77777777" w:rsidR="009E3C4B" w:rsidRPr="00840788" w:rsidRDefault="009E3C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64E2CCC0" w14:textId="77777777" w:rsidR="009E3C4B" w:rsidRPr="00840788" w:rsidRDefault="00A92BA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</w:rPr>
              <w:t xml:space="preserve">rodzina, </w:t>
            </w:r>
            <w:r w:rsidR="009E3C4B" w:rsidRPr="00840788">
              <w:rPr>
                <w:rFonts w:ascii="Times New Roman" w:hAnsi="Times New Roman"/>
              </w:rPr>
              <w:t>obywatele oraz gospodarstwa domowe</w:t>
            </w:r>
            <w:r w:rsidR="009E3C4B" w:rsidRPr="008407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17686DC7" w14:textId="35BFA7BC" w:rsidR="009E3C4B" w:rsidRPr="00840788" w:rsidRDefault="00696CCF" w:rsidP="00A73A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Projekt ustawy przełoży się na zwiększenie bezpieczeństwa usług </w:t>
            </w:r>
            <w:r w:rsidR="00A73A63">
              <w:rPr>
                <w:rFonts w:ascii="Times New Roman" w:hAnsi="Times New Roman"/>
                <w:color w:val="000000"/>
                <w:spacing w:val="-2"/>
              </w:rPr>
              <w:t>komunikacji elektronicznej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 xml:space="preserve"> świadczonych dla obywateli. Utrudni przestępcom podszywanie się pod inne osoby i oszukiwanie obywateli.</w:t>
            </w:r>
          </w:p>
        </w:tc>
      </w:tr>
      <w:tr w:rsidR="008A608F" w:rsidRPr="00E95BA1" w14:paraId="378DAC6C" w14:textId="77777777" w:rsidTr="224E50F4">
        <w:trPr>
          <w:gridAfter w:val="1"/>
          <w:wAfter w:w="10" w:type="dxa"/>
          <w:trHeight w:val="240"/>
        </w:trPr>
        <w:tc>
          <w:tcPr>
            <w:tcW w:w="1596" w:type="dxa"/>
            <w:vMerge/>
          </w:tcPr>
          <w:p w14:paraId="53BD644D" w14:textId="77777777" w:rsidR="008A608F" w:rsidRPr="00840788" w:rsidRDefault="008A6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3E012574" w14:textId="77777777" w:rsidR="008A608F" w:rsidRPr="00840788" w:rsidRDefault="008A608F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07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788">
              <w:rPr>
                <w:rFonts w:ascii="Times New Roman" w:hAnsi="Times New Roman"/>
                <w:color w:val="000000"/>
              </w:rPr>
            </w:r>
            <w:r w:rsidRPr="00840788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1A3FAC43" w14:textId="77777777" w:rsidR="008A608F" w:rsidRPr="00840788" w:rsidRDefault="008A608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E7371" w:rsidRPr="00E95BA1" w14:paraId="038CD55E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546DA908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18FDFD88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07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788">
              <w:rPr>
                <w:rFonts w:ascii="Times New Roman" w:hAnsi="Times New Roman"/>
                <w:color w:val="000000"/>
              </w:rPr>
            </w:r>
            <w:r w:rsidRPr="00840788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2BBD94B2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E7371" w:rsidRPr="00E95BA1" w14:paraId="664CDBC7" w14:textId="77777777" w:rsidTr="224E50F4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5854DE7F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1B505E8C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07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788">
              <w:rPr>
                <w:rFonts w:ascii="Times New Roman" w:hAnsi="Times New Roman"/>
                <w:color w:val="000000"/>
              </w:rPr>
            </w:r>
            <w:r w:rsidRPr="00840788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 w:themeFill="background1"/>
          </w:tcPr>
          <w:p w14:paraId="2CA7ADD4" w14:textId="77777777" w:rsidR="005E7371" w:rsidRPr="00840788" w:rsidRDefault="005E73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E95BA1" w14:paraId="6D390C57" w14:textId="77777777" w:rsidTr="224E50F4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 w:themeFill="background1"/>
          </w:tcPr>
          <w:p w14:paraId="68EAB365" w14:textId="77777777" w:rsidR="00E24BD7" w:rsidRPr="00840788" w:rsidRDefault="00E24B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2AC57CB0" w14:textId="77777777" w:rsidR="00E24BD7" w:rsidRPr="00840788" w:rsidRDefault="00E24B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E95BA1" w14:paraId="65917713" w14:textId="77777777" w:rsidTr="224E50F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7021E4" w14:textId="77777777" w:rsidR="006A701A" w:rsidRPr="00E95BA1" w:rsidRDefault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>Zmiana o</w:t>
            </w:r>
            <w:r w:rsidRPr="00E95BA1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>ń</w:t>
            </w:r>
            <w:r w:rsidRPr="00E95BA1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E95BA1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E95BA1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E95BA1">
              <w:rPr>
                <w:rFonts w:ascii="Times New Roman" w:hAnsi="Times New Roman"/>
                <w:b/>
                <w:color w:val="000000"/>
              </w:rPr>
              <w:t>)</w:t>
            </w:r>
            <w:r w:rsidRPr="00E95BA1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E95BA1">
              <w:rPr>
                <w:rFonts w:ascii="Times New Roman" w:hAnsi="Times New Roman"/>
                <w:b/>
                <w:color w:val="000000"/>
              </w:rPr>
              <w:t>ych</w:t>
            </w:r>
            <w:r w:rsidRPr="00E95BA1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E95BA1" w14:paraId="687E12AC" w14:textId="77777777" w:rsidTr="224E50F4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 w:themeFill="background1"/>
          </w:tcPr>
          <w:p w14:paraId="28CE9E53" w14:textId="77777777" w:rsidR="00D86AFF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E95BA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E95BA1" w14:paraId="33432C0D" w14:textId="77777777" w:rsidTr="224E50F4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 w:themeFill="background1"/>
          </w:tcPr>
          <w:p w14:paraId="43D6C7C2" w14:textId="77777777" w:rsidR="00D86AFF" w:rsidRPr="00E95BA1" w:rsidRDefault="00D86AFF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95BA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2D228758" w14:textId="3987E137" w:rsidR="00D86AFF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30" w:rsidRPr="0084078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E95BA1">
              <w:rPr>
                <w:rFonts w:ascii="Times New Roman" w:hAnsi="Times New Roman"/>
                <w:color w:val="000000"/>
              </w:rPr>
              <w:t>tak</w:t>
            </w:r>
          </w:p>
          <w:p w14:paraId="525821E6" w14:textId="77777777" w:rsidR="00D86AFF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E95BA1">
              <w:rPr>
                <w:rFonts w:ascii="Times New Roman" w:hAnsi="Times New Roman"/>
                <w:color w:val="000000"/>
              </w:rPr>
              <w:t>nie</w:t>
            </w:r>
          </w:p>
          <w:p w14:paraId="2F60B49C" w14:textId="37BE2B7F" w:rsidR="00D86AFF" w:rsidRPr="00E95BA1" w:rsidRDefault="0051137D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30" w:rsidRPr="00840788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E95BA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E95BA1" w14:paraId="4ABBED17" w14:textId="77777777" w:rsidTr="224E50F4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 w:themeFill="background1"/>
          </w:tcPr>
          <w:p w14:paraId="49BCF919" w14:textId="77777777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15C9D57" w14:textId="77777777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0CC056B" w14:textId="77777777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E95BA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82BF28E" w14:textId="77777777" w:rsidR="001B3460" w:rsidRPr="00E95BA1" w:rsidRDefault="0051137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7415D0" w:rsidRPr="00E95BA1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124CEBFD" w14:textId="2EA709FD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B3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2E235B5" w14:textId="4B485F34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B3" w:rsidRPr="00840788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48C9FE3" w14:textId="77777777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E95BA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E120AB4" w14:textId="77777777" w:rsidR="001B3460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E95BA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7415D0" w:rsidRPr="00E95BA1">
              <w:rPr>
                <w:rFonts w:ascii="Times New Roman" w:hAnsi="Times New Roman"/>
                <w:color w:val="000000"/>
              </w:rPr>
              <w:t>…</w:t>
            </w:r>
          </w:p>
          <w:p w14:paraId="5186B13D" w14:textId="77777777" w:rsidR="001B3460" w:rsidRPr="00E95BA1" w:rsidRDefault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E95BA1" w14:paraId="72A7841B" w14:textId="77777777" w:rsidTr="224E50F4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 w:themeFill="background1"/>
          </w:tcPr>
          <w:p w14:paraId="1860B17D" w14:textId="77777777" w:rsidR="00BF0DA2" w:rsidRPr="00E95BA1" w:rsidRDefault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71A5E51D" w14:textId="34F51B45" w:rsidR="00BF0DA2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4B3" w:rsidRPr="00840788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E95BA1">
              <w:rPr>
                <w:rFonts w:ascii="Times New Roman" w:hAnsi="Times New Roman"/>
                <w:color w:val="000000"/>
              </w:rPr>
              <w:t>tak</w:t>
            </w:r>
          </w:p>
          <w:p w14:paraId="18E52702" w14:textId="77777777" w:rsidR="00BF0DA2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E95BA1">
              <w:rPr>
                <w:rFonts w:ascii="Times New Roman" w:hAnsi="Times New Roman"/>
                <w:color w:val="000000"/>
              </w:rPr>
              <w:t>nie</w:t>
            </w:r>
          </w:p>
          <w:p w14:paraId="0CC76A9F" w14:textId="77777777" w:rsidR="00BF0DA2" w:rsidRPr="00E95BA1" w:rsidRDefault="005113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4078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E95BA1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E95BA1">
              <w:rPr>
                <w:rFonts w:ascii="Times New Roman" w:hAnsi="Times New Roman"/>
                <w:color w:val="000000"/>
              </w:rPr>
              <w:t>nie dotyczy</w:t>
            </w:r>
          </w:p>
          <w:p w14:paraId="6C57C439" w14:textId="77777777" w:rsidR="00117017" w:rsidRPr="00E95BA1" w:rsidRDefault="001170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E95BA1" w14:paraId="14764973" w14:textId="77777777" w:rsidTr="224E50F4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 w:themeFill="background1"/>
          </w:tcPr>
          <w:p w14:paraId="4DFE9714" w14:textId="69376FB6" w:rsidR="00117017" w:rsidRPr="00E95BA1" w:rsidRDefault="00117017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</w:rPr>
              <w:t>Komentarz:</w:t>
            </w:r>
          </w:p>
          <w:p w14:paraId="3D404BC9" w14:textId="0638429E" w:rsidR="00117017" w:rsidRPr="00E95BA1" w:rsidRDefault="007A34B3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</w:rPr>
              <w:t>Ustawa wprowadza następujące obowiązki na przedsiębiorców telekomunikacyjnych:</w:t>
            </w:r>
          </w:p>
          <w:p w14:paraId="35B89BA8" w14:textId="19C269DA" w:rsidR="007A34B3" w:rsidRPr="00840788" w:rsidRDefault="007A34B3" w:rsidP="0084078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podejmowania proporcjonalnych </w:t>
            </w:r>
            <w:r w:rsidR="009D6146">
              <w:rPr>
                <w:rFonts w:ascii="Times New Roman" w:hAnsi="Times New Roman"/>
                <w:color w:val="000000"/>
              </w:rPr>
              <w:t xml:space="preserve">środków 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technicznych i organizacyjnych</w:t>
            </w:r>
            <w:r w:rsidRPr="00840788">
              <w:rPr>
                <w:rFonts w:ascii="Times New Roman" w:hAnsi="Times New Roman"/>
                <w:color w:val="000000"/>
              </w:rPr>
              <w:t xml:space="preserve"> mających na celu zapobieganie nadużyciom </w:t>
            </w:r>
            <w:r w:rsidR="006E2630" w:rsidRPr="00E95BA1">
              <w:rPr>
                <w:rFonts w:ascii="Times New Roman" w:hAnsi="Times New Roman"/>
                <w:color w:val="000000"/>
              </w:rPr>
              <w:t>w komunikacji elektronicznej</w:t>
            </w:r>
            <w:r w:rsidRPr="00840788">
              <w:rPr>
                <w:rFonts w:ascii="Times New Roman" w:hAnsi="Times New Roman"/>
                <w:color w:val="000000"/>
              </w:rPr>
              <w:t xml:space="preserve"> i ich zwalczanie</w:t>
            </w:r>
            <w:r w:rsidR="009D6146">
              <w:rPr>
                <w:rFonts w:ascii="Times New Roman" w:hAnsi="Times New Roman"/>
                <w:color w:val="000000"/>
              </w:rPr>
              <w:t>;</w:t>
            </w:r>
          </w:p>
          <w:p w14:paraId="062F71CC" w14:textId="36762B54" w:rsidR="007A34B3" w:rsidRPr="00840788" w:rsidRDefault="007A34B3" w:rsidP="0084078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podłączenie się do </w:t>
            </w:r>
            <w:r w:rsidR="006E2630" w:rsidRPr="00E95BA1">
              <w:rPr>
                <w:rFonts w:ascii="Times New Roman" w:hAnsi="Times New Roman"/>
                <w:color w:val="000000"/>
              </w:rPr>
              <w:t>systemu teleinformatycznego</w:t>
            </w:r>
            <w:r w:rsidRPr="00840788">
              <w:rPr>
                <w:rFonts w:ascii="Times New Roman" w:hAnsi="Times New Roman"/>
                <w:color w:val="000000"/>
              </w:rPr>
              <w:t xml:space="preserve"> przekazującego wzorce wiadomości</w:t>
            </w:r>
            <w:r w:rsidR="006E2630" w:rsidRPr="00E95BA1">
              <w:rPr>
                <w:rFonts w:ascii="Times New Roman" w:hAnsi="Times New Roman"/>
                <w:color w:val="000000"/>
              </w:rPr>
              <w:t xml:space="preserve"> o charakterze smishingu</w:t>
            </w:r>
            <w:r w:rsidR="009D6146">
              <w:rPr>
                <w:rFonts w:ascii="Times New Roman" w:hAnsi="Times New Roman"/>
                <w:color w:val="000000"/>
              </w:rPr>
              <w:t>;</w:t>
            </w:r>
          </w:p>
          <w:p w14:paraId="79FD7E10" w14:textId="4687E07B" w:rsidR="007A34B3" w:rsidRPr="00E95BA1" w:rsidRDefault="007A34B3" w:rsidP="0084078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 xml:space="preserve">niezwłoczne blokowanie krótkich wiadomości tekstowych zawierających treści </w:t>
            </w:r>
            <w:r w:rsidR="006E2630" w:rsidRPr="00E95BA1">
              <w:rPr>
                <w:rFonts w:ascii="Times New Roman" w:hAnsi="Times New Roman"/>
                <w:color w:val="000000"/>
              </w:rPr>
              <w:t>zawarte we wzorcu wiadomości</w:t>
            </w:r>
            <w:r w:rsidR="009D6146">
              <w:rPr>
                <w:rFonts w:ascii="Times New Roman" w:hAnsi="Times New Roman"/>
                <w:color w:val="000000"/>
              </w:rPr>
              <w:t>;</w:t>
            </w:r>
          </w:p>
          <w:p w14:paraId="323D066E" w14:textId="526394C2" w:rsidR="00751C63" w:rsidRPr="00840788" w:rsidRDefault="006C35C4" w:rsidP="0084078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</w:rPr>
              <w:t>b</w:t>
            </w:r>
            <w:r w:rsidR="00751C63" w:rsidRPr="00E95BA1">
              <w:rPr>
                <w:rFonts w:ascii="Times New Roman" w:hAnsi="Times New Roman"/>
                <w:color w:val="000000"/>
              </w:rPr>
              <w:t xml:space="preserve">lokowanie lub ukrycie identyfikacji numeru wywołującego dla użytkownika końcowego w przypadku wystąpienia CLI </w:t>
            </w:r>
            <w:proofErr w:type="spellStart"/>
            <w:r w:rsidR="00751C63" w:rsidRPr="00E95BA1">
              <w:rPr>
                <w:rFonts w:ascii="Times New Roman" w:hAnsi="Times New Roman"/>
                <w:color w:val="000000"/>
              </w:rPr>
              <w:t>spoofingu</w:t>
            </w:r>
            <w:proofErr w:type="spellEnd"/>
            <w:r w:rsidR="009D6146">
              <w:rPr>
                <w:rFonts w:ascii="Times New Roman" w:hAnsi="Times New Roman"/>
                <w:color w:val="000000"/>
              </w:rPr>
              <w:t>;</w:t>
            </w:r>
          </w:p>
          <w:p w14:paraId="3B095880" w14:textId="3957CCC6" w:rsidR="007A34B3" w:rsidRPr="00E95BA1" w:rsidRDefault="007A34B3" w:rsidP="0084078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t>rejestracja danych o usługach telekomunikacyjnych, które nie zostały wykonane z uwagi na blokowanie krótkich wiadomości tekstowych</w:t>
            </w:r>
            <w:r w:rsidR="009D6146">
              <w:rPr>
                <w:rFonts w:ascii="Times New Roman" w:hAnsi="Times New Roman"/>
                <w:color w:val="000000"/>
              </w:rPr>
              <w:t>.</w:t>
            </w:r>
          </w:p>
          <w:p w14:paraId="70DF735C" w14:textId="4D50C8A3" w:rsidR="00117017" w:rsidRPr="00E95BA1" w:rsidRDefault="00751C63" w:rsidP="008407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Dostawcy poczty elektronicznej dla co najmniej 500 000 użytkowników, 500 000 aktywnych kont lub podmiotów publicznych będą obowiązani stosować mechanizm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 uwierzytelnienia poczty elektronicznej.</w:t>
            </w:r>
          </w:p>
        </w:tc>
      </w:tr>
      <w:tr w:rsidR="001B3460" w:rsidRPr="00E95BA1" w14:paraId="4018C746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F01BA3" w14:textId="77777777" w:rsidR="001B3460" w:rsidRPr="00E95BA1" w:rsidRDefault="001B346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1B3460" w:rsidRPr="00E95BA1" w14:paraId="3A413BF6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FCBC07" w14:textId="07432306" w:rsidR="001B3460" w:rsidRPr="00E95BA1" w:rsidRDefault="007A34B3" w:rsidP="0084078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</w:rPr>
              <w:t>Projekt może wygenerować potrzebę zatrudnienia</w:t>
            </w:r>
            <w:r w:rsidR="00696CCF" w:rsidRPr="00E95BA1">
              <w:rPr>
                <w:rFonts w:ascii="Times New Roman" w:hAnsi="Times New Roman"/>
                <w:color w:val="000000"/>
              </w:rPr>
              <w:t xml:space="preserve"> przez niektórych przedsiębiorców telekomunikacyjnych</w:t>
            </w:r>
            <w:r w:rsidRPr="00E95BA1">
              <w:rPr>
                <w:rFonts w:ascii="Times New Roman" w:hAnsi="Times New Roman"/>
                <w:color w:val="000000"/>
              </w:rPr>
              <w:t xml:space="preserve"> specjalistów do obsługi systemów wykrywania i zwalczania nadużyć </w:t>
            </w:r>
            <w:r w:rsidR="00751C63" w:rsidRPr="00E95BA1">
              <w:rPr>
                <w:rFonts w:ascii="Times New Roman" w:hAnsi="Times New Roman"/>
                <w:color w:val="000000"/>
              </w:rPr>
              <w:t>w komunikacji elektronicznej</w:t>
            </w:r>
            <w:r w:rsidRPr="00E95BA1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1B3460" w:rsidRPr="00E95BA1" w14:paraId="7A3E5601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EE11C1" w14:textId="77777777" w:rsidR="001B3460" w:rsidRPr="00E95BA1" w:rsidRDefault="001B346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F109F" w:rsidRPr="00E95BA1" w14:paraId="05B517FB" w14:textId="77777777" w:rsidTr="224E50F4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 w:themeFill="background1"/>
          </w:tcPr>
          <w:p w14:paraId="13E3C18F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853E80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9BB8D24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CE01D50" w14:textId="14E6F906" w:rsidR="001F109F" w:rsidRPr="00E95BA1" w:rsidRDefault="001F10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6"/>
            <w:shd w:val="clear" w:color="auto" w:fill="FFFFFF" w:themeFill="background1"/>
          </w:tcPr>
          <w:p w14:paraId="66007DEA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BEB6382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0554279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</w:rPr>
              <w:t>mienie państwowe</w:t>
            </w:r>
          </w:p>
          <w:p w14:paraId="0854E1D5" w14:textId="652B61B1" w:rsidR="001F109F" w:rsidRPr="00E95BA1" w:rsidRDefault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788">
              <w:rPr>
                <w:rFonts w:ascii="Times New Roman" w:hAnsi="Times New Roman"/>
                <w:color w:val="000000"/>
              </w:rPr>
            </w:r>
            <w:r w:rsidRPr="00840788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407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407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407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407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 w:themeFill="background1"/>
          </w:tcPr>
          <w:p w14:paraId="47A79AAD" w14:textId="77777777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3E5A702" w14:textId="4E631D1B" w:rsidR="001F109F" w:rsidRPr="00E95BA1" w:rsidRDefault="001F109F" w:rsidP="001F10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031B6BB" w14:textId="2F577EDB" w:rsidR="001F109F" w:rsidRPr="00E95BA1" w:rsidRDefault="001F10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07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A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1137D">
              <w:rPr>
                <w:rFonts w:ascii="Times New Roman" w:hAnsi="Times New Roman"/>
                <w:color w:val="000000"/>
              </w:rPr>
            </w:r>
            <w:r w:rsidR="0051137D">
              <w:rPr>
                <w:rFonts w:ascii="Times New Roman" w:hAnsi="Times New Roman"/>
                <w:color w:val="000000"/>
              </w:rPr>
              <w:fldChar w:fldCharType="separate"/>
            </w:r>
            <w:r w:rsidRPr="00840788">
              <w:rPr>
                <w:rFonts w:ascii="Times New Roman" w:hAnsi="Times New Roman"/>
                <w:color w:val="000000"/>
              </w:rPr>
              <w:fldChar w:fldCharType="end"/>
            </w:r>
            <w:r w:rsidRPr="00E95B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E95BA1" w14:paraId="56EC4477" w14:textId="77777777" w:rsidTr="224E50F4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4F0A0B06" w14:textId="77777777" w:rsidR="001B3460" w:rsidRPr="00E95BA1" w:rsidRDefault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95BA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4357A966" w14:textId="77777777" w:rsidR="001B3460" w:rsidRPr="00E95BA1" w:rsidRDefault="001B34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AF274A6" w14:textId="514EA8AC" w:rsidR="006C35C4" w:rsidRPr="00E95BA1" w:rsidRDefault="006C35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Projekt spowoduje powstanie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94CAF27" w14:textId="4E0B877A" w:rsidR="006C35C4" w:rsidRPr="00840788" w:rsidRDefault="006C35C4" w:rsidP="00F143AB">
            <w:pPr>
              <w:pStyle w:val="Akapitzlist"/>
              <w:numPr>
                <w:ilvl w:val="0"/>
                <w:numId w:val="34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nowego systemu teleinformatycznego służącego do wymiany informacji o wzorcach wiadomości o charakterze smishingu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4539910" w14:textId="67BC7F60" w:rsidR="001B3460" w:rsidRPr="00E95BA1" w:rsidRDefault="006C35C4" w:rsidP="00F143AB">
            <w:pPr>
              <w:pStyle w:val="Akapitzlist"/>
              <w:numPr>
                <w:ilvl w:val="0"/>
                <w:numId w:val="34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0788">
              <w:rPr>
                <w:rFonts w:ascii="Times New Roman" w:hAnsi="Times New Roman"/>
                <w:color w:val="000000"/>
                <w:spacing w:val="-2"/>
              </w:rPr>
              <w:t>wykazu numerów służących wyłącznie do odbierania połączeń głosowych.</w:t>
            </w:r>
          </w:p>
          <w:p w14:paraId="4BE55F0F" w14:textId="30EB1D26" w:rsidR="001F109F" w:rsidRPr="00840788" w:rsidRDefault="001F109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46D51E2" w14:textId="566B5B4E" w:rsidR="001F109F" w:rsidRPr="00840788" w:rsidRDefault="001F10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Ustawa wprowadza administracyjne kary za niedostosowanie się do obowiązków wynikających z</w:t>
            </w:r>
            <w:r w:rsidR="00513F3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jej przepisów. Skargi na decyzje administracyjne o nałożeniu kary będą rozpatrywane przez sądy administracyjne. Trudno jest oszacować ile może być nałożonych kar, a co za tym idzie nie jest możliwe oszacowanie liczby postępowań </w:t>
            </w:r>
            <w:proofErr w:type="spellStart"/>
            <w:r w:rsidRPr="00E95BA1">
              <w:rPr>
                <w:rFonts w:ascii="Times New Roman" w:hAnsi="Times New Roman"/>
                <w:color w:val="000000"/>
                <w:spacing w:val="-2"/>
              </w:rPr>
              <w:t>sądowoadministracyjnych</w:t>
            </w:r>
            <w:proofErr w:type="spellEnd"/>
            <w:r w:rsidRPr="00E95BA1">
              <w:rPr>
                <w:rFonts w:ascii="Times New Roman" w:hAnsi="Times New Roman"/>
                <w:color w:val="000000"/>
                <w:spacing w:val="-2"/>
              </w:rPr>
              <w:t xml:space="preserve"> wszczętych na podstawie skarg na te decyzje.</w:t>
            </w:r>
          </w:p>
          <w:p w14:paraId="5A7E0CF2" w14:textId="77777777" w:rsidR="001B3460" w:rsidRPr="00E95BA1" w:rsidRDefault="001B34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E95BA1" w14:paraId="37D59E7E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25BBE6" w14:textId="0DE86A1A" w:rsidR="001B3460" w:rsidRPr="00E95BA1" w:rsidRDefault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40788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840788">
              <w:rPr>
                <w:rFonts w:ascii="Times New Roman" w:hAnsi="Times New Roman"/>
                <w:b/>
                <w:spacing w:val="-2"/>
              </w:rPr>
              <w:t>owane</w:t>
            </w:r>
            <w:r w:rsidRPr="00840788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840788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840788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840788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E95BA1" w14:paraId="60FA6563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51D2A4EB" w14:textId="1B8E0705" w:rsidR="00EB098A" w:rsidRPr="00E95BA1" w:rsidRDefault="00EB098A" w:rsidP="00840788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95BA1">
              <w:rPr>
                <w:rFonts w:ascii="Times New Roman" w:hAnsi="Times New Roman"/>
                <w:spacing w:val="-2"/>
              </w:rPr>
              <w:t xml:space="preserve">Ustawa wejdzie w życie po upływie </w:t>
            </w:r>
            <w:r w:rsidR="008F3D13" w:rsidRPr="00E95BA1">
              <w:rPr>
                <w:rFonts w:ascii="Times New Roman" w:hAnsi="Times New Roman"/>
                <w:spacing w:val="-2"/>
              </w:rPr>
              <w:t>30</w:t>
            </w:r>
            <w:r w:rsidRPr="00E95BA1">
              <w:rPr>
                <w:rFonts w:ascii="Times New Roman" w:hAnsi="Times New Roman"/>
                <w:spacing w:val="-2"/>
              </w:rPr>
              <w:t xml:space="preserve"> dni od dnia ogłoszenia. W terminie 3 miesięcy od dnia wejścia w życie ustawy zespół CSIRT NASK uruchomi system teleinformatyczny</w:t>
            </w:r>
            <w:r w:rsidR="00751C63" w:rsidRPr="00E95BA1">
              <w:rPr>
                <w:rFonts w:ascii="Times New Roman" w:hAnsi="Times New Roman"/>
                <w:spacing w:val="-2"/>
              </w:rPr>
              <w:t xml:space="preserve"> służący do przekazywania wzorców wiadomości o charakterze smishingu</w:t>
            </w:r>
            <w:r w:rsidRPr="00E95BA1">
              <w:rPr>
                <w:rFonts w:ascii="Times New Roman" w:hAnsi="Times New Roman"/>
                <w:spacing w:val="-2"/>
              </w:rPr>
              <w:t xml:space="preserve"> i poinformuje o tym ministra właściwego do spraw informatyzacji. Minister z kolei niezwłocznie po otrzymaniu informacji z</w:t>
            </w:r>
            <w:r w:rsidR="00513F38">
              <w:rPr>
                <w:rFonts w:ascii="Times New Roman" w:hAnsi="Times New Roman"/>
                <w:spacing w:val="-2"/>
              </w:rPr>
              <w:t> </w:t>
            </w:r>
            <w:r w:rsidRPr="00E95BA1">
              <w:rPr>
                <w:rFonts w:ascii="Times New Roman" w:hAnsi="Times New Roman"/>
                <w:spacing w:val="-2"/>
              </w:rPr>
              <w:t>CSIRT NASK zamieści informację o uruchomieniu tego systemu w Biuletynie Informacji Publicznej. Po opublikowaniu tej informacji Komendant Główny Policji, Prezes Urzędu Komunikacji Elektronicznej oraz przedsiębiorcy telekomunikacyjni będą obowiązani podłączyć się do tego systemu w terminie 3 miesięcy.</w:t>
            </w:r>
          </w:p>
          <w:p w14:paraId="6CEB15CE" w14:textId="5B58FC7A" w:rsidR="001B3460" w:rsidRPr="00513F38" w:rsidRDefault="00EB098A" w:rsidP="00513F38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95BA1">
              <w:rPr>
                <w:rFonts w:ascii="Times New Roman" w:hAnsi="Times New Roman"/>
                <w:spacing w:val="-2"/>
              </w:rPr>
              <w:t xml:space="preserve">Przedsiębiorcy telekomunikacyjni będą obowiązani </w:t>
            </w:r>
            <w:r w:rsidR="009D6146">
              <w:rPr>
                <w:rFonts w:ascii="Times New Roman" w:hAnsi="Times New Roman"/>
                <w:spacing w:val="-2"/>
              </w:rPr>
              <w:t>podjąć proporcjonalne środki techniczne i organizacyjne</w:t>
            </w:r>
            <w:r w:rsidRPr="00E95BA1">
              <w:rPr>
                <w:rFonts w:ascii="Times New Roman" w:hAnsi="Times New Roman"/>
                <w:spacing w:val="-2"/>
              </w:rPr>
              <w:t xml:space="preserve"> </w:t>
            </w:r>
            <w:r w:rsidR="009D6146" w:rsidRPr="00E95BA1">
              <w:rPr>
                <w:rFonts w:ascii="Times New Roman" w:hAnsi="Times New Roman"/>
                <w:spacing w:val="-2"/>
              </w:rPr>
              <w:t>mając</w:t>
            </w:r>
            <w:r w:rsidR="009D6146">
              <w:rPr>
                <w:rFonts w:ascii="Times New Roman" w:hAnsi="Times New Roman"/>
                <w:spacing w:val="-2"/>
              </w:rPr>
              <w:t>e</w:t>
            </w:r>
            <w:r w:rsidR="009D6146" w:rsidRPr="00E95BA1">
              <w:rPr>
                <w:rFonts w:ascii="Times New Roman" w:hAnsi="Times New Roman"/>
                <w:spacing w:val="-2"/>
              </w:rPr>
              <w:t xml:space="preserve"> </w:t>
            </w:r>
            <w:r w:rsidRPr="00E95BA1">
              <w:rPr>
                <w:rFonts w:ascii="Times New Roman" w:hAnsi="Times New Roman"/>
                <w:spacing w:val="-2"/>
              </w:rPr>
              <w:t>na celu zapobieganie i zwalczanie</w:t>
            </w:r>
            <w:r w:rsidR="00751C63" w:rsidRPr="00E95BA1">
              <w:rPr>
                <w:rFonts w:ascii="Times New Roman" w:hAnsi="Times New Roman"/>
                <w:spacing w:val="-2"/>
              </w:rPr>
              <w:t>:</w:t>
            </w:r>
            <w:r w:rsidR="00513F38">
              <w:rPr>
                <w:rFonts w:ascii="Times New Roman" w:hAnsi="Times New Roman"/>
                <w:spacing w:val="-2"/>
              </w:rPr>
              <w:t xml:space="preserve"> </w:t>
            </w:r>
            <w:r w:rsidR="009D6146" w:rsidRPr="00513F38">
              <w:rPr>
                <w:rFonts w:ascii="Times New Roman" w:hAnsi="Times New Roman"/>
                <w:spacing w:val="-2"/>
              </w:rPr>
              <w:t>s</w:t>
            </w:r>
            <w:r w:rsidRPr="00513F38">
              <w:rPr>
                <w:rFonts w:ascii="Times New Roman" w:hAnsi="Times New Roman"/>
                <w:spacing w:val="-2"/>
              </w:rPr>
              <w:t>mishingu</w:t>
            </w:r>
            <w:r w:rsidR="00751C63" w:rsidRPr="00513F38">
              <w:rPr>
                <w:rFonts w:ascii="Times New Roman" w:hAnsi="Times New Roman"/>
                <w:spacing w:val="-2"/>
              </w:rPr>
              <w:t xml:space="preserve"> – w terminie </w:t>
            </w:r>
            <w:r w:rsidR="009D6146" w:rsidRPr="00513F38">
              <w:rPr>
                <w:rFonts w:ascii="Times New Roman" w:hAnsi="Times New Roman"/>
                <w:spacing w:val="-2"/>
              </w:rPr>
              <w:t>6</w:t>
            </w:r>
            <w:r w:rsidR="00751C63" w:rsidRPr="00513F38">
              <w:rPr>
                <w:rFonts w:ascii="Times New Roman" w:hAnsi="Times New Roman"/>
                <w:spacing w:val="-2"/>
              </w:rPr>
              <w:t xml:space="preserve"> miesięcy od dnia wejścia w życie ustawy</w:t>
            </w:r>
            <w:r w:rsidR="00513F38">
              <w:rPr>
                <w:rFonts w:ascii="Times New Roman" w:hAnsi="Times New Roman"/>
                <w:spacing w:val="-2"/>
              </w:rPr>
              <w:t xml:space="preserve"> oraz </w:t>
            </w:r>
            <w:r w:rsidR="00751C63" w:rsidRPr="00513F38">
              <w:rPr>
                <w:rFonts w:ascii="Times New Roman" w:hAnsi="Times New Roman"/>
                <w:spacing w:val="-2"/>
              </w:rPr>
              <w:t xml:space="preserve">CLI </w:t>
            </w:r>
            <w:proofErr w:type="spellStart"/>
            <w:r w:rsidR="00751C63" w:rsidRPr="00513F38">
              <w:rPr>
                <w:rFonts w:ascii="Times New Roman" w:hAnsi="Times New Roman"/>
                <w:spacing w:val="-2"/>
              </w:rPr>
              <w:t>spoofingu</w:t>
            </w:r>
            <w:proofErr w:type="spellEnd"/>
            <w:r w:rsidR="00751C63" w:rsidRPr="00513F38">
              <w:rPr>
                <w:rFonts w:ascii="Times New Roman" w:hAnsi="Times New Roman"/>
                <w:spacing w:val="-2"/>
              </w:rPr>
              <w:t xml:space="preserve"> – w terminie 12 miesięcy od dnia wejścia w życie ustawy.</w:t>
            </w:r>
          </w:p>
          <w:p w14:paraId="66518E39" w14:textId="77777777" w:rsidR="001B3460" w:rsidRPr="00E95BA1" w:rsidRDefault="001B34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E95BA1" w14:paraId="63954F6B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91C766" w14:textId="77777777" w:rsidR="001B3460" w:rsidRPr="00E95BA1" w:rsidRDefault="001B34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5B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40788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840788">
              <w:rPr>
                <w:rFonts w:ascii="Times New Roman" w:hAnsi="Times New Roman"/>
                <w:b/>
                <w:spacing w:val="-2"/>
              </w:rPr>
              <w:t>oraz</w:t>
            </w:r>
            <w:r w:rsidRPr="00840788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840788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E95BA1" w14:paraId="7E75FCD0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528B8ED5" w14:textId="1C2ACA25" w:rsidR="008F3D13" w:rsidRPr="00E95BA1" w:rsidRDefault="008F3D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Ewaluacja efektów projektu nastąpi po roku. Zostaną zastosowane następujące mierniki:</w:t>
            </w:r>
          </w:p>
          <w:p w14:paraId="554DDF03" w14:textId="1DEBAE0C" w:rsidR="008F3D13" w:rsidRPr="00840788" w:rsidRDefault="006C35C4" w:rsidP="00F143A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8F3D13" w:rsidRPr="00840788">
              <w:rPr>
                <w:rFonts w:ascii="Times New Roman" w:hAnsi="Times New Roman"/>
                <w:color w:val="000000"/>
                <w:spacing w:val="-2"/>
              </w:rPr>
              <w:t xml:space="preserve">iczba numerów wpisanych do wykazu 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>numerów służących wyłącznie do odbierania połączeń głosowych</w:t>
            </w:r>
            <w:r w:rsidR="009D6146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667B410" w14:textId="3ABCC450" w:rsidR="006C35C4" w:rsidRPr="00840788" w:rsidRDefault="006C35C4" w:rsidP="00F143A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Pr="00840788">
              <w:rPr>
                <w:rFonts w:ascii="Times New Roman" w:hAnsi="Times New Roman"/>
                <w:color w:val="000000"/>
                <w:spacing w:val="-2"/>
              </w:rPr>
              <w:t>iczba wzorców wiadomości o charakterze smishingu przekazanych przez CSIRT NASK do przedsiębiorców telekomunikacyjnych.</w:t>
            </w:r>
          </w:p>
          <w:p w14:paraId="7673E5AE" w14:textId="77777777" w:rsidR="001B3460" w:rsidRPr="00E95BA1" w:rsidRDefault="001B34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E95BA1" w14:paraId="70130A9F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BA9F666" w14:textId="77777777" w:rsidR="001B3460" w:rsidRPr="00E95BA1" w:rsidRDefault="001B34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40788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840788">
              <w:rPr>
                <w:rFonts w:ascii="Times New Roman" w:hAnsi="Times New Roman"/>
                <w:b/>
                <w:spacing w:val="-2"/>
              </w:rPr>
              <w:t>itp.</w:t>
            </w:r>
            <w:r w:rsidRPr="00E95BA1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E95BA1" w14:paraId="041D98D7" w14:textId="77777777" w:rsidTr="224E50F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5AB7C0C5" w14:textId="77777777" w:rsidR="001B3460" w:rsidRPr="00840788" w:rsidRDefault="001B346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14:paraId="1C2776EB" w14:textId="02180E9E" w:rsidR="001B3460" w:rsidRPr="00E95BA1" w:rsidRDefault="00AE7C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BA1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15342E60" w14:textId="77777777" w:rsidR="001B3460" w:rsidRPr="00E95BA1" w:rsidRDefault="001B34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6176FA6" w14:textId="3DCA3F23" w:rsidR="006176ED" w:rsidRPr="00840788" w:rsidRDefault="006176ED" w:rsidP="00840788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840788" w:rsidSect="00725DE7">
      <w:headerReference w:type="default" r:id="rId10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EC2A" w14:textId="77777777" w:rsidR="0051137D" w:rsidRDefault="0051137D" w:rsidP="00044739">
      <w:pPr>
        <w:spacing w:line="240" w:lineRule="auto"/>
      </w:pPr>
      <w:r>
        <w:separator/>
      </w:r>
    </w:p>
  </w:endnote>
  <w:endnote w:type="continuationSeparator" w:id="0">
    <w:p w14:paraId="2B02616A" w14:textId="77777777" w:rsidR="0051137D" w:rsidRDefault="005113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F40C" w14:textId="77777777" w:rsidR="0051137D" w:rsidRDefault="0051137D" w:rsidP="00044739">
      <w:pPr>
        <w:spacing w:line="240" w:lineRule="auto"/>
      </w:pPr>
      <w:r>
        <w:separator/>
      </w:r>
    </w:p>
  </w:footnote>
  <w:footnote w:type="continuationSeparator" w:id="0">
    <w:p w14:paraId="1F8EEA5D" w14:textId="77777777" w:rsidR="0051137D" w:rsidRDefault="0051137D" w:rsidP="00044739">
      <w:pPr>
        <w:spacing w:line="240" w:lineRule="auto"/>
      </w:pPr>
      <w:r>
        <w:continuationSeparator/>
      </w:r>
    </w:p>
  </w:footnote>
  <w:footnote w:id="1">
    <w:p w14:paraId="1CC90196" w14:textId="77777777" w:rsidR="008F3D13" w:rsidRPr="00840788" w:rsidRDefault="008F3D13" w:rsidP="008F3D13">
      <w:pPr>
        <w:pStyle w:val="Tekstprzypisudolnego"/>
        <w:rPr>
          <w:rFonts w:ascii="Times New Roman" w:hAnsi="Times New Roman"/>
        </w:rPr>
      </w:pPr>
      <w:r w:rsidRPr="00840788">
        <w:rPr>
          <w:rStyle w:val="Odwoanieprzypisudolnego"/>
          <w:rFonts w:ascii="Times New Roman" w:hAnsi="Times New Roman"/>
        </w:rPr>
        <w:footnoteRef/>
      </w:r>
      <w:r w:rsidRPr="00840788">
        <w:rPr>
          <w:rFonts w:ascii="Times New Roman" w:hAnsi="Times New Roman"/>
        </w:rPr>
        <w:t xml:space="preserve"> Raport roczny z działalności CERT Polska Krajobraz bezpieczeństwa polskiego Internetu 2021 </w:t>
      </w:r>
      <w:proofErr w:type="spellStart"/>
      <w:r w:rsidRPr="00840788">
        <w:rPr>
          <w:rFonts w:ascii="Times New Roman" w:hAnsi="Times New Roman"/>
        </w:rPr>
        <w:t>str</w:t>
      </w:r>
      <w:proofErr w:type="spellEnd"/>
      <w:r w:rsidRPr="00840788">
        <w:rPr>
          <w:rFonts w:ascii="Times New Roman" w:hAnsi="Times New Roman"/>
        </w:rPr>
        <w:t xml:space="preserve"> 81</w:t>
      </w:r>
    </w:p>
    <w:p w14:paraId="664E9947" w14:textId="77777777" w:rsidR="008F3D13" w:rsidRPr="00840788" w:rsidRDefault="008F3D13" w:rsidP="008F3D13">
      <w:pPr>
        <w:pStyle w:val="Tekstprzypisudolnego"/>
        <w:rPr>
          <w:rFonts w:ascii="Times New Roman" w:hAnsi="Times New Roman"/>
        </w:rPr>
      </w:pPr>
      <w:r w:rsidRPr="00840788">
        <w:rPr>
          <w:rFonts w:ascii="Times New Roman" w:hAnsi="Times New Roman"/>
        </w:rPr>
        <w:t>https://cert.pl/uploads/docs/Raport_CP_2021.pdf</w:t>
      </w:r>
    </w:p>
  </w:footnote>
  <w:footnote w:id="2">
    <w:p w14:paraId="107DB877" w14:textId="3DC00344" w:rsidR="00751C63" w:rsidRPr="00840788" w:rsidRDefault="00751C63">
      <w:pPr>
        <w:pStyle w:val="Tekstprzypisudolnego"/>
        <w:rPr>
          <w:rFonts w:ascii="Times New Roman" w:hAnsi="Times New Roman"/>
        </w:rPr>
      </w:pPr>
      <w:r w:rsidRPr="00840788">
        <w:rPr>
          <w:rStyle w:val="Odwoanieprzypisudolnego"/>
          <w:rFonts w:ascii="Times New Roman" w:hAnsi="Times New Roman"/>
        </w:rPr>
        <w:footnoteRef/>
      </w:r>
      <w:r w:rsidRPr="00840788">
        <w:rPr>
          <w:rFonts w:ascii="Times New Roman" w:hAnsi="Times New Roman"/>
        </w:rPr>
        <w:t xml:space="preserve"> </w:t>
      </w:r>
      <w:hyperlink r:id="rId1" w:history="1">
        <w:r w:rsidRPr="00840788">
          <w:rPr>
            <w:rStyle w:val="Hipercze"/>
            <w:rFonts w:ascii="Times New Roman" w:hAnsi="Times New Roman"/>
          </w:rPr>
          <w:t>https://www.fcc.gov/document/mandating-stirshaken-combat-spoofed-robocalls-0</w:t>
        </w:r>
      </w:hyperlink>
      <w:r w:rsidRPr="00840788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098831"/>
      <w:docPartObj>
        <w:docPartGallery w:val="Page Numbers (Top of Page)"/>
        <w:docPartUnique/>
      </w:docPartObj>
    </w:sdtPr>
    <w:sdtEndPr/>
    <w:sdtContent>
      <w:p w14:paraId="439D2E4E" w14:textId="0CEF77F8" w:rsidR="00E95BA1" w:rsidRDefault="00E95BA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31">
          <w:rPr>
            <w:noProof/>
          </w:rPr>
          <w:t>6</w:t>
        </w:r>
        <w:r>
          <w:fldChar w:fldCharType="end"/>
        </w:r>
      </w:p>
    </w:sdtContent>
  </w:sdt>
  <w:p w14:paraId="0655F7BA" w14:textId="77777777" w:rsidR="00E95BA1" w:rsidRDefault="00E95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EFA"/>
    <w:multiLevelType w:val="hybridMultilevel"/>
    <w:tmpl w:val="0CB82D40"/>
    <w:lvl w:ilvl="0" w:tplc="27C2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B803513"/>
    <w:multiLevelType w:val="hybridMultilevel"/>
    <w:tmpl w:val="8F6C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7A66"/>
    <w:multiLevelType w:val="hybridMultilevel"/>
    <w:tmpl w:val="D5FA876E"/>
    <w:lvl w:ilvl="0" w:tplc="CEB8F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21BEB"/>
    <w:multiLevelType w:val="hybridMultilevel"/>
    <w:tmpl w:val="67465A60"/>
    <w:lvl w:ilvl="0" w:tplc="CEB8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5BB0"/>
    <w:multiLevelType w:val="hybridMultilevel"/>
    <w:tmpl w:val="6EB6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AB62968"/>
    <w:multiLevelType w:val="hybridMultilevel"/>
    <w:tmpl w:val="67A829AC"/>
    <w:lvl w:ilvl="0" w:tplc="27C2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FC656D6"/>
    <w:multiLevelType w:val="hybridMultilevel"/>
    <w:tmpl w:val="4F0CF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A1F572D"/>
    <w:multiLevelType w:val="hybridMultilevel"/>
    <w:tmpl w:val="25DC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1A0454"/>
    <w:multiLevelType w:val="hybridMultilevel"/>
    <w:tmpl w:val="9594D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E62DB"/>
    <w:multiLevelType w:val="hybridMultilevel"/>
    <w:tmpl w:val="5906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051112"/>
    <w:multiLevelType w:val="hybridMultilevel"/>
    <w:tmpl w:val="FF947D00"/>
    <w:lvl w:ilvl="0" w:tplc="CEB8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616A"/>
    <w:multiLevelType w:val="hybridMultilevel"/>
    <w:tmpl w:val="E512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06028"/>
    <w:multiLevelType w:val="hybridMultilevel"/>
    <w:tmpl w:val="4478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662"/>
    <w:multiLevelType w:val="hybridMultilevel"/>
    <w:tmpl w:val="4DF0839A"/>
    <w:lvl w:ilvl="0" w:tplc="CEB8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2316"/>
    <w:multiLevelType w:val="hybridMultilevel"/>
    <w:tmpl w:val="5466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1862C8"/>
    <w:multiLevelType w:val="hybridMultilevel"/>
    <w:tmpl w:val="CE4E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21171"/>
    <w:multiLevelType w:val="hybridMultilevel"/>
    <w:tmpl w:val="C35424BA"/>
    <w:lvl w:ilvl="0" w:tplc="CEB8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3"/>
  </w:num>
  <w:num w:numId="5">
    <w:abstractNumId w:val="2"/>
  </w:num>
  <w:num w:numId="6">
    <w:abstractNumId w:val="9"/>
  </w:num>
  <w:num w:numId="7">
    <w:abstractNumId w:val="18"/>
  </w:num>
  <w:num w:numId="8">
    <w:abstractNumId w:val="6"/>
  </w:num>
  <w:num w:numId="9">
    <w:abstractNumId w:val="21"/>
  </w:num>
  <w:num w:numId="10">
    <w:abstractNumId w:val="16"/>
  </w:num>
  <w:num w:numId="11">
    <w:abstractNumId w:val="19"/>
  </w:num>
  <w:num w:numId="12">
    <w:abstractNumId w:val="3"/>
  </w:num>
  <w:num w:numId="13">
    <w:abstractNumId w:val="14"/>
  </w:num>
  <w:num w:numId="14">
    <w:abstractNumId w:val="34"/>
  </w:num>
  <w:num w:numId="15">
    <w:abstractNumId w:val="24"/>
  </w:num>
  <w:num w:numId="16">
    <w:abstractNumId w:val="32"/>
  </w:num>
  <w:num w:numId="17">
    <w:abstractNumId w:val="7"/>
  </w:num>
  <w:num w:numId="18">
    <w:abstractNumId w:val="35"/>
  </w:num>
  <w:num w:numId="19">
    <w:abstractNumId w:val="37"/>
  </w:num>
  <w:num w:numId="20">
    <w:abstractNumId w:val="30"/>
  </w:num>
  <w:num w:numId="21">
    <w:abstractNumId w:val="8"/>
  </w:num>
  <w:num w:numId="22">
    <w:abstractNumId w:val="20"/>
  </w:num>
  <w:num w:numId="23">
    <w:abstractNumId w:val="23"/>
  </w:num>
  <w:num w:numId="24">
    <w:abstractNumId w:val="1"/>
  </w:num>
  <w:num w:numId="25">
    <w:abstractNumId w:val="15"/>
  </w:num>
  <w:num w:numId="26">
    <w:abstractNumId w:val="26"/>
  </w:num>
  <w:num w:numId="27">
    <w:abstractNumId w:val="27"/>
  </w:num>
  <w:num w:numId="28">
    <w:abstractNumId w:val="12"/>
  </w:num>
  <w:num w:numId="29">
    <w:abstractNumId w:val="4"/>
  </w:num>
  <w:num w:numId="30">
    <w:abstractNumId w:val="31"/>
  </w:num>
  <w:num w:numId="31">
    <w:abstractNumId w:val="17"/>
  </w:num>
  <w:num w:numId="32">
    <w:abstractNumId w:val="36"/>
  </w:num>
  <w:num w:numId="33">
    <w:abstractNumId w:val="11"/>
  </w:num>
  <w:num w:numId="34">
    <w:abstractNumId w:val="25"/>
  </w:num>
  <w:num w:numId="35">
    <w:abstractNumId w:val="10"/>
  </w:num>
  <w:num w:numId="36">
    <w:abstractNumId w:val="28"/>
  </w:num>
  <w:num w:numId="37">
    <w:abstractNumId w:val="2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0431"/>
    <w:rsid w:val="000C29B0"/>
    <w:rsid w:val="000C76FC"/>
    <w:rsid w:val="000D38FC"/>
    <w:rsid w:val="000D4D90"/>
    <w:rsid w:val="000E2D10"/>
    <w:rsid w:val="000F1B0A"/>
    <w:rsid w:val="000F3204"/>
    <w:rsid w:val="0010548B"/>
    <w:rsid w:val="001072D1"/>
    <w:rsid w:val="00117017"/>
    <w:rsid w:val="00123C8B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77A7A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550E"/>
    <w:rsid w:val="001B75D8"/>
    <w:rsid w:val="001C1060"/>
    <w:rsid w:val="001C3C63"/>
    <w:rsid w:val="001D4732"/>
    <w:rsid w:val="001D6A3C"/>
    <w:rsid w:val="001D6D51"/>
    <w:rsid w:val="001F109F"/>
    <w:rsid w:val="001F653A"/>
    <w:rsid w:val="001F6979"/>
    <w:rsid w:val="00202BC6"/>
    <w:rsid w:val="00205141"/>
    <w:rsid w:val="0020516B"/>
    <w:rsid w:val="00213559"/>
    <w:rsid w:val="00213A07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06364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6934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D2FA5"/>
    <w:rsid w:val="003E2F4E"/>
    <w:rsid w:val="003E720A"/>
    <w:rsid w:val="00403E6E"/>
    <w:rsid w:val="00404861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6DA6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137D"/>
    <w:rsid w:val="00513F3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3578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3DF3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4D2D"/>
    <w:rsid w:val="006370D2"/>
    <w:rsid w:val="0064074F"/>
    <w:rsid w:val="00641F55"/>
    <w:rsid w:val="00645E4A"/>
    <w:rsid w:val="00653688"/>
    <w:rsid w:val="0066091B"/>
    <w:rsid w:val="00664596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96CCF"/>
    <w:rsid w:val="006A4904"/>
    <w:rsid w:val="006A548F"/>
    <w:rsid w:val="006A701A"/>
    <w:rsid w:val="006B1659"/>
    <w:rsid w:val="006B64DC"/>
    <w:rsid w:val="006B7A91"/>
    <w:rsid w:val="006C35C4"/>
    <w:rsid w:val="006D4704"/>
    <w:rsid w:val="006D6A2D"/>
    <w:rsid w:val="006D7BF4"/>
    <w:rsid w:val="006E1E18"/>
    <w:rsid w:val="006E2630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40B7"/>
    <w:rsid w:val="00740D2C"/>
    <w:rsid w:val="007415D0"/>
    <w:rsid w:val="00744BF9"/>
    <w:rsid w:val="00751C63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4B3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0788"/>
    <w:rsid w:val="00841422"/>
    <w:rsid w:val="00841D3B"/>
    <w:rsid w:val="0084314C"/>
    <w:rsid w:val="00843171"/>
    <w:rsid w:val="00856799"/>
    <w:rsid w:val="008575C3"/>
    <w:rsid w:val="00863D28"/>
    <w:rsid w:val="008648C3"/>
    <w:rsid w:val="0088055E"/>
    <w:rsid w:val="00880F26"/>
    <w:rsid w:val="008906FD"/>
    <w:rsid w:val="00896C2E"/>
    <w:rsid w:val="008A5095"/>
    <w:rsid w:val="008A608F"/>
    <w:rsid w:val="008B1A9A"/>
    <w:rsid w:val="008B4FE6"/>
    <w:rsid w:val="008B6C37"/>
    <w:rsid w:val="008C25BC"/>
    <w:rsid w:val="008E18F7"/>
    <w:rsid w:val="008E1E10"/>
    <w:rsid w:val="008E291B"/>
    <w:rsid w:val="008E4F2F"/>
    <w:rsid w:val="008E74B0"/>
    <w:rsid w:val="008F3D13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2F7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A6BBA"/>
    <w:rsid w:val="009B049C"/>
    <w:rsid w:val="009B11C8"/>
    <w:rsid w:val="009B2BCF"/>
    <w:rsid w:val="009B2FF8"/>
    <w:rsid w:val="009B5BA3"/>
    <w:rsid w:val="009D0027"/>
    <w:rsid w:val="009D0655"/>
    <w:rsid w:val="009D6146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3A63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D66A9"/>
    <w:rsid w:val="00AE22DD"/>
    <w:rsid w:val="00AE36C4"/>
    <w:rsid w:val="00AE472C"/>
    <w:rsid w:val="00AE5375"/>
    <w:rsid w:val="00AE6CF8"/>
    <w:rsid w:val="00AE7C22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80C"/>
    <w:rsid w:val="00BB6B80"/>
    <w:rsid w:val="00BC3773"/>
    <w:rsid w:val="00BC381A"/>
    <w:rsid w:val="00BC41CB"/>
    <w:rsid w:val="00BD0962"/>
    <w:rsid w:val="00BD0997"/>
    <w:rsid w:val="00BD1EED"/>
    <w:rsid w:val="00BF0DA2"/>
    <w:rsid w:val="00BF109C"/>
    <w:rsid w:val="00BF34FA"/>
    <w:rsid w:val="00C004B6"/>
    <w:rsid w:val="00C047A7"/>
    <w:rsid w:val="00C05DE5"/>
    <w:rsid w:val="00C1017E"/>
    <w:rsid w:val="00C13D0D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6BD5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237E"/>
    <w:rsid w:val="00CA63EB"/>
    <w:rsid w:val="00CA69F1"/>
    <w:rsid w:val="00CB6991"/>
    <w:rsid w:val="00CC6194"/>
    <w:rsid w:val="00CC6305"/>
    <w:rsid w:val="00CC78A5"/>
    <w:rsid w:val="00CD0516"/>
    <w:rsid w:val="00CD39A7"/>
    <w:rsid w:val="00CD756B"/>
    <w:rsid w:val="00CE070A"/>
    <w:rsid w:val="00CE734F"/>
    <w:rsid w:val="00CF112E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1FF7"/>
    <w:rsid w:val="00D95A44"/>
    <w:rsid w:val="00D95D16"/>
    <w:rsid w:val="00D96BA6"/>
    <w:rsid w:val="00D97C76"/>
    <w:rsid w:val="00DB02B4"/>
    <w:rsid w:val="00DB538D"/>
    <w:rsid w:val="00DC275C"/>
    <w:rsid w:val="00DC4B0D"/>
    <w:rsid w:val="00DC7FE1"/>
    <w:rsid w:val="00DD3F3F"/>
    <w:rsid w:val="00DD5572"/>
    <w:rsid w:val="00DE53D4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8E"/>
    <w:rsid w:val="00E7509B"/>
    <w:rsid w:val="00E86590"/>
    <w:rsid w:val="00E907FF"/>
    <w:rsid w:val="00E95BA1"/>
    <w:rsid w:val="00EA42D1"/>
    <w:rsid w:val="00EA42EF"/>
    <w:rsid w:val="00EA54C6"/>
    <w:rsid w:val="00EB098A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43AB"/>
    <w:rsid w:val="00F15327"/>
    <w:rsid w:val="00F168CF"/>
    <w:rsid w:val="00F24D4C"/>
    <w:rsid w:val="00F2555C"/>
    <w:rsid w:val="00F25C7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A6618"/>
    <w:rsid w:val="00FB386A"/>
    <w:rsid w:val="00FC0786"/>
    <w:rsid w:val="00FC49EF"/>
    <w:rsid w:val="00FE0381"/>
    <w:rsid w:val="00FE1654"/>
    <w:rsid w:val="00FE36E2"/>
    <w:rsid w:val="00FF11AD"/>
    <w:rsid w:val="00FF2971"/>
    <w:rsid w:val="00FF34D4"/>
    <w:rsid w:val="224E50F4"/>
    <w:rsid w:val="37D0FF65"/>
    <w:rsid w:val="72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10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8F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D6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6146"/>
  </w:style>
  <w:style w:type="character" w:customStyle="1" w:styleId="eop">
    <w:name w:val="eop"/>
    <w:basedOn w:val="Domylnaczcionkaakapitu"/>
    <w:rsid w:val="009D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c@m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dc@m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document/mandating-stirshaken-combat-spoofed-robocalls-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557F4"/>
    <w:rsid w:val="002B3EE4"/>
    <w:rsid w:val="00557BE8"/>
    <w:rsid w:val="00587E9F"/>
    <w:rsid w:val="005C7100"/>
    <w:rsid w:val="0066639E"/>
    <w:rsid w:val="00673A86"/>
    <w:rsid w:val="00782DAE"/>
    <w:rsid w:val="007F405A"/>
    <w:rsid w:val="008C7CA2"/>
    <w:rsid w:val="00AD66A9"/>
    <w:rsid w:val="00B57C8A"/>
    <w:rsid w:val="00B92FFD"/>
    <w:rsid w:val="00D61E59"/>
    <w:rsid w:val="00E87062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A3C0-D3A1-4028-8013-6AB0938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2022-06-15T05:32:00Z</dcterms:created>
  <dcterms:modified xsi:type="dcterms:W3CDTF">2022-06-15T10:19:00Z</dcterms:modified>
</cp:coreProperties>
</file>