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E344B" w14:textId="77777777" w:rsidR="00A93512" w:rsidRPr="00A93512" w:rsidRDefault="00A93512" w:rsidP="00A93512">
      <w:pPr>
        <w:jc w:val="center"/>
        <w:rPr>
          <w:b/>
        </w:rPr>
      </w:pPr>
      <w:r w:rsidRPr="00A93512">
        <w:rPr>
          <w:b/>
        </w:rPr>
        <w:t>Tabela zgodności</w:t>
      </w:r>
    </w:p>
    <w:tbl>
      <w:tblPr>
        <w:tblStyle w:val="Tabela-Siatka"/>
        <w:tblW w:w="14885" w:type="dxa"/>
        <w:tblInd w:w="-431" w:type="dxa"/>
        <w:tblLayout w:type="fixed"/>
        <w:tblLook w:val="04A0" w:firstRow="1" w:lastRow="0" w:firstColumn="1" w:lastColumn="0" w:noHBand="0" w:noVBand="1"/>
      </w:tblPr>
      <w:tblGrid>
        <w:gridCol w:w="2127"/>
        <w:gridCol w:w="5103"/>
        <w:gridCol w:w="1418"/>
        <w:gridCol w:w="1134"/>
        <w:gridCol w:w="5103"/>
      </w:tblGrid>
      <w:tr w:rsidR="00A93512" w:rsidRPr="00A93512" w14:paraId="1635453F" w14:textId="77777777" w:rsidTr="00183AD9">
        <w:tc>
          <w:tcPr>
            <w:tcW w:w="2127" w:type="dxa"/>
          </w:tcPr>
          <w:p w14:paraId="1C38FF22" w14:textId="77777777" w:rsidR="00A93512" w:rsidRPr="00A93512" w:rsidRDefault="00A93512" w:rsidP="00A93512">
            <w:pPr>
              <w:jc w:val="center"/>
              <w:rPr>
                <w:rFonts w:ascii="Times New Roman" w:hAnsi="Times New Roman" w:cs="Times New Roman"/>
                <w:b/>
              </w:rPr>
            </w:pPr>
            <w:r w:rsidRPr="00A93512">
              <w:rPr>
                <w:rFonts w:ascii="Times New Roman" w:hAnsi="Times New Roman" w:cs="Times New Roman"/>
                <w:b/>
              </w:rPr>
              <w:t>Tytuł projektu</w:t>
            </w:r>
          </w:p>
        </w:tc>
        <w:tc>
          <w:tcPr>
            <w:tcW w:w="12758" w:type="dxa"/>
            <w:gridSpan w:val="4"/>
          </w:tcPr>
          <w:p w14:paraId="51A085AE" w14:textId="237B0C01" w:rsidR="00565C9F" w:rsidRPr="00A93512" w:rsidRDefault="003E69C4" w:rsidP="00E838A4">
            <w:pPr>
              <w:jc w:val="both"/>
              <w:rPr>
                <w:rFonts w:ascii="Times New Roman" w:hAnsi="Times New Roman" w:cs="Times New Roman"/>
              </w:rPr>
            </w:pPr>
            <w:r w:rsidRPr="003E69C4">
              <w:rPr>
                <w:rFonts w:ascii="Times New Roman" w:hAnsi="Times New Roman" w:cs="Times New Roman"/>
                <w:i/>
              </w:rPr>
              <w:t xml:space="preserve">Rozporządzenie Ministra Zdrowia </w:t>
            </w:r>
            <w:r w:rsidR="00966FE8" w:rsidRPr="00966FE8">
              <w:rPr>
                <w:rFonts w:ascii="Times New Roman" w:hAnsi="Times New Roman" w:cs="Times New Roman"/>
                <w:i/>
              </w:rPr>
              <w:t>w sprawie warunków bezpiecznego stosowania promieniowania jonizującego dla wszystkich rodzajów ekspozycji medycznej</w:t>
            </w:r>
          </w:p>
        </w:tc>
      </w:tr>
      <w:tr w:rsidR="00A93512" w:rsidRPr="00A93512" w14:paraId="5B06AD51" w14:textId="77777777" w:rsidTr="00183AD9">
        <w:tc>
          <w:tcPr>
            <w:tcW w:w="2127" w:type="dxa"/>
          </w:tcPr>
          <w:p w14:paraId="14AE3DFB" w14:textId="77777777" w:rsidR="00A93512" w:rsidRPr="00A93512" w:rsidRDefault="00A93512" w:rsidP="00A93512">
            <w:pPr>
              <w:jc w:val="center"/>
              <w:rPr>
                <w:rFonts w:ascii="Times New Roman" w:hAnsi="Times New Roman" w:cs="Times New Roman"/>
                <w:b/>
              </w:rPr>
            </w:pPr>
            <w:r w:rsidRPr="00A93512">
              <w:rPr>
                <w:rFonts w:ascii="Times New Roman" w:hAnsi="Times New Roman" w:cs="Times New Roman"/>
                <w:b/>
              </w:rPr>
              <w:t>TYTUŁ WDRAŻANEGO AKTU PRAWNEGO/ WDRAŻANYCH AKTÓW PRAWNYCH</w:t>
            </w:r>
          </w:p>
        </w:tc>
        <w:tc>
          <w:tcPr>
            <w:tcW w:w="12758" w:type="dxa"/>
            <w:gridSpan w:val="4"/>
          </w:tcPr>
          <w:p w14:paraId="7B8C9395" w14:textId="77777777" w:rsidR="00A93512" w:rsidRPr="00A93512" w:rsidRDefault="00A93512" w:rsidP="00A93512">
            <w:pPr>
              <w:jc w:val="both"/>
              <w:rPr>
                <w:rFonts w:ascii="Times New Roman" w:hAnsi="Times New Roman" w:cs="Times New Roman"/>
              </w:rPr>
            </w:pPr>
            <w:r w:rsidRPr="00A93512">
              <w:rPr>
                <w:rFonts w:ascii="Times New Roman" w:hAnsi="Times New Roman" w:cs="Times New Roman"/>
              </w:rPr>
              <w:t>Dyrektywa Rady 2013/59/</w:t>
            </w:r>
            <w:proofErr w:type="spellStart"/>
            <w:r w:rsidRPr="00A93512">
              <w:rPr>
                <w:rFonts w:ascii="Times New Roman" w:hAnsi="Times New Roman" w:cs="Times New Roman"/>
              </w:rPr>
              <w:t>Euratom</w:t>
            </w:r>
            <w:proofErr w:type="spellEnd"/>
            <w:r w:rsidRPr="00A93512">
              <w:rPr>
                <w:rFonts w:ascii="Times New Roman" w:hAnsi="Times New Roman" w:cs="Times New Roman"/>
              </w:rPr>
              <w:t xml:space="preserve"> z dnia 5 grudnia 2013 r. ustanawiająca podstawowe normy bezpieczeństwa w celu ochrony przed zagrożeniami wynikającymi z narażenia na działanie promieniowania jonizującego oraz uchylająca dyrektywy 89/618/</w:t>
            </w:r>
            <w:proofErr w:type="spellStart"/>
            <w:r w:rsidRPr="00A93512">
              <w:rPr>
                <w:rFonts w:ascii="Times New Roman" w:hAnsi="Times New Roman" w:cs="Times New Roman"/>
              </w:rPr>
              <w:t>Euratom</w:t>
            </w:r>
            <w:proofErr w:type="spellEnd"/>
            <w:r w:rsidRPr="00A93512">
              <w:rPr>
                <w:rFonts w:ascii="Times New Roman" w:hAnsi="Times New Roman" w:cs="Times New Roman"/>
              </w:rPr>
              <w:t>, 90/641/</w:t>
            </w:r>
            <w:proofErr w:type="spellStart"/>
            <w:r w:rsidRPr="00A93512">
              <w:rPr>
                <w:rFonts w:ascii="Times New Roman" w:hAnsi="Times New Roman" w:cs="Times New Roman"/>
              </w:rPr>
              <w:t>Euratom</w:t>
            </w:r>
            <w:proofErr w:type="spellEnd"/>
            <w:r w:rsidRPr="00A93512">
              <w:rPr>
                <w:rFonts w:ascii="Times New Roman" w:hAnsi="Times New Roman" w:cs="Times New Roman"/>
              </w:rPr>
              <w:t>, 96/29/</w:t>
            </w:r>
            <w:proofErr w:type="spellStart"/>
            <w:r w:rsidRPr="00A93512">
              <w:rPr>
                <w:rFonts w:ascii="Times New Roman" w:hAnsi="Times New Roman" w:cs="Times New Roman"/>
              </w:rPr>
              <w:t>Euratom</w:t>
            </w:r>
            <w:proofErr w:type="spellEnd"/>
            <w:r w:rsidRPr="00A93512">
              <w:rPr>
                <w:rFonts w:ascii="Times New Roman" w:hAnsi="Times New Roman" w:cs="Times New Roman"/>
              </w:rPr>
              <w:t>, 97/43/</w:t>
            </w:r>
            <w:proofErr w:type="spellStart"/>
            <w:r w:rsidRPr="00A93512">
              <w:rPr>
                <w:rFonts w:ascii="Times New Roman" w:hAnsi="Times New Roman" w:cs="Times New Roman"/>
              </w:rPr>
              <w:t>Euratom</w:t>
            </w:r>
            <w:proofErr w:type="spellEnd"/>
            <w:r w:rsidRPr="00A93512">
              <w:rPr>
                <w:rFonts w:ascii="Times New Roman" w:hAnsi="Times New Roman" w:cs="Times New Roman"/>
              </w:rPr>
              <w:t xml:space="preserve"> i 2003/122/</w:t>
            </w:r>
            <w:proofErr w:type="spellStart"/>
            <w:r w:rsidRPr="00A93512">
              <w:rPr>
                <w:rFonts w:ascii="Times New Roman" w:hAnsi="Times New Roman" w:cs="Times New Roman"/>
              </w:rPr>
              <w:t>Euratom</w:t>
            </w:r>
            <w:proofErr w:type="spellEnd"/>
            <w:r w:rsidRPr="00A93512">
              <w:rPr>
                <w:rFonts w:ascii="Times New Roman" w:hAnsi="Times New Roman" w:cs="Times New Roman"/>
              </w:rPr>
              <w:t xml:space="preserve"> (Dz. Urz. UE L 13 z 17.01.2014, str.1, Dz. Urz. UE L 72 z 17.03.2016, str. 69, Dz. Urz. UE. L 152 z 11.06.2019, str. 128 oraz Dz. Urz. UE L 324 z 13.12.2019, str. 80) </w:t>
            </w:r>
          </w:p>
        </w:tc>
      </w:tr>
      <w:tr w:rsidR="00A93512" w:rsidRPr="00A93512" w14:paraId="26670A0F" w14:textId="77777777" w:rsidTr="00183AD9">
        <w:tc>
          <w:tcPr>
            <w:tcW w:w="14885" w:type="dxa"/>
            <w:gridSpan w:val="5"/>
          </w:tcPr>
          <w:p w14:paraId="2A33F5BD"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PRZEPISY UNII EUROPEJSKIEJ</w:t>
            </w:r>
          </w:p>
        </w:tc>
      </w:tr>
      <w:tr w:rsidR="00A93512" w:rsidRPr="00A93512" w14:paraId="677AE847" w14:textId="77777777" w:rsidTr="00183AD9">
        <w:trPr>
          <w:trHeight w:val="937"/>
        </w:trPr>
        <w:tc>
          <w:tcPr>
            <w:tcW w:w="2127" w:type="dxa"/>
          </w:tcPr>
          <w:p w14:paraId="59F9B657"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Jedn. red.</w:t>
            </w:r>
          </w:p>
        </w:tc>
        <w:tc>
          <w:tcPr>
            <w:tcW w:w="5103" w:type="dxa"/>
          </w:tcPr>
          <w:p w14:paraId="5BD52017"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Treść przepisu UE</w:t>
            </w:r>
          </w:p>
        </w:tc>
        <w:tc>
          <w:tcPr>
            <w:tcW w:w="1418" w:type="dxa"/>
          </w:tcPr>
          <w:p w14:paraId="1A3CEF32"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 xml:space="preserve">Konieczność wdrożenia </w:t>
            </w:r>
          </w:p>
          <w:p w14:paraId="2EB106AA"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T / N / W</w:t>
            </w:r>
          </w:p>
        </w:tc>
        <w:tc>
          <w:tcPr>
            <w:tcW w:w="1134" w:type="dxa"/>
          </w:tcPr>
          <w:p w14:paraId="585975C2" w14:textId="77777777" w:rsidR="00A93512" w:rsidRPr="00A93512" w:rsidRDefault="00A93512" w:rsidP="00A93512">
            <w:pPr>
              <w:jc w:val="center"/>
              <w:rPr>
                <w:rFonts w:ascii="Times New Roman" w:hAnsi="Times New Roman" w:cs="Times New Roman"/>
              </w:rPr>
            </w:pPr>
            <w:r w:rsidRPr="00A93512">
              <w:rPr>
                <w:rFonts w:ascii="Times New Roman" w:hAnsi="Times New Roman" w:cs="Times New Roman"/>
              </w:rPr>
              <w:t xml:space="preserve">Jedn. red. </w:t>
            </w:r>
          </w:p>
        </w:tc>
        <w:tc>
          <w:tcPr>
            <w:tcW w:w="5103" w:type="dxa"/>
          </w:tcPr>
          <w:p w14:paraId="7B0770AF" w14:textId="77777777" w:rsidR="00A93512" w:rsidRPr="004432AC" w:rsidRDefault="00A93512" w:rsidP="004432AC">
            <w:pPr>
              <w:jc w:val="center"/>
              <w:rPr>
                <w:rFonts w:ascii="Times New Roman" w:hAnsi="Times New Roman" w:cs="Times New Roman"/>
              </w:rPr>
            </w:pPr>
            <w:r w:rsidRPr="004432AC">
              <w:rPr>
                <w:rFonts w:ascii="Times New Roman" w:hAnsi="Times New Roman" w:cs="Times New Roman"/>
              </w:rPr>
              <w:t>Treść przepisu projektu rozporządzenia</w:t>
            </w:r>
          </w:p>
        </w:tc>
      </w:tr>
      <w:tr w:rsidR="00982883" w:rsidRPr="00616FAA" w14:paraId="4B7C8930" w14:textId="77777777" w:rsidTr="00183AD9">
        <w:trPr>
          <w:trHeight w:val="937"/>
        </w:trPr>
        <w:tc>
          <w:tcPr>
            <w:tcW w:w="2127" w:type="dxa"/>
          </w:tcPr>
          <w:p w14:paraId="2085126B" w14:textId="1C31A00C" w:rsidR="00982883" w:rsidRPr="00616FAA" w:rsidRDefault="0013000E" w:rsidP="00A93512">
            <w:pPr>
              <w:jc w:val="center"/>
              <w:rPr>
                <w:rFonts w:ascii="Times New Roman" w:hAnsi="Times New Roman" w:cs="Times New Roman"/>
              </w:rPr>
            </w:pPr>
            <w:r w:rsidRPr="00616FAA">
              <w:rPr>
                <w:rFonts w:ascii="Times New Roman" w:hAnsi="Times New Roman" w:cs="Times New Roman"/>
              </w:rPr>
              <w:t>Art. 56 ust. 1</w:t>
            </w:r>
            <w:r w:rsidR="000579C0" w:rsidRPr="00616FAA">
              <w:rPr>
                <w:rFonts w:ascii="Times New Roman" w:hAnsi="Times New Roman" w:cs="Times New Roman"/>
              </w:rPr>
              <w:t>, 3 i 5</w:t>
            </w:r>
          </w:p>
          <w:p w14:paraId="6E376A7E" w14:textId="77777777" w:rsidR="0013000E" w:rsidRPr="00616FAA" w:rsidRDefault="0013000E" w:rsidP="00A93512">
            <w:pPr>
              <w:jc w:val="center"/>
              <w:rPr>
                <w:rFonts w:ascii="Times New Roman" w:hAnsi="Times New Roman" w:cs="Times New Roman"/>
              </w:rPr>
            </w:pPr>
          </w:p>
          <w:p w14:paraId="3B11CD47" w14:textId="09E27CDA" w:rsidR="0013000E" w:rsidRPr="00616FAA" w:rsidRDefault="0013000E" w:rsidP="00A93512">
            <w:pPr>
              <w:jc w:val="center"/>
              <w:rPr>
                <w:rFonts w:ascii="Times New Roman" w:hAnsi="Times New Roman" w:cs="Times New Roman"/>
              </w:rPr>
            </w:pPr>
            <w:r w:rsidRPr="00616FAA">
              <w:rPr>
                <w:rFonts w:ascii="Times New Roman" w:hAnsi="Times New Roman" w:cs="Times New Roman"/>
              </w:rPr>
              <w:t>Art. 60</w:t>
            </w:r>
            <w:r w:rsidR="00595F50" w:rsidRPr="00616FAA">
              <w:rPr>
                <w:rFonts w:ascii="Times New Roman" w:hAnsi="Times New Roman" w:cs="Times New Roman"/>
              </w:rPr>
              <w:t xml:space="preserve"> ust. 1 i 2</w:t>
            </w:r>
          </w:p>
        </w:tc>
        <w:tc>
          <w:tcPr>
            <w:tcW w:w="5103" w:type="dxa"/>
          </w:tcPr>
          <w:p w14:paraId="28BA9146" w14:textId="77777777" w:rsidR="000A71A7" w:rsidRPr="004432AC" w:rsidRDefault="000A71A7" w:rsidP="000A71A7">
            <w:pPr>
              <w:jc w:val="both"/>
              <w:rPr>
                <w:rFonts w:ascii="Times New Roman" w:hAnsi="Times New Roman" w:cs="Times New Roman"/>
                <w:b/>
                <w:bCs/>
              </w:rPr>
            </w:pPr>
            <w:r w:rsidRPr="004432AC">
              <w:rPr>
                <w:rFonts w:ascii="Times New Roman" w:hAnsi="Times New Roman" w:cs="Times New Roman"/>
                <w:b/>
                <w:bCs/>
              </w:rPr>
              <w:t>Artykuł  56</w:t>
            </w:r>
          </w:p>
          <w:p w14:paraId="186402B3" w14:textId="77777777" w:rsidR="000A71A7" w:rsidRPr="004432AC" w:rsidRDefault="000A71A7" w:rsidP="000A71A7">
            <w:pPr>
              <w:jc w:val="both"/>
              <w:rPr>
                <w:rFonts w:ascii="Times New Roman" w:hAnsi="Times New Roman" w:cs="Times New Roman"/>
              </w:rPr>
            </w:pPr>
          </w:p>
          <w:p w14:paraId="4FC83F74" w14:textId="496DAF64" w:rsidR="000A71A7" w:rsidRPr="004432AC" w:rsidRDefault="000A71A7" w:rsidP="000A71A7">
            <w:pPr>
              <w:jc w:val="both"/>
              <w:rPr>
                <w:rFonts w:ascii="Times New Roman" w:hAnsi="Times New Roman" w:cs="Times New Roman"/>
              </w:rPr>
            </w:pPr>
            <w:r w:rsidRPr="004432AC">
              <w:rPr>
                <w:rFonts w:ascii="Times New Roman" w:hAnsi="Times New Roman" w:cs="Times New Roman"/>
              </w:rPr>
              <w:t>Optymalizacja</w:t>
            </w:r>
          </w:p>
          <w:p w14:paraId="0FEE766F" w14:textId="77777777" w:rsidR="000579C0" w:rsidRPr="004432AC" w:rsidRDefault="000579C0" w:rsidP="000A71A7">
            <w:pPr>
              <w:jc w:val="both"/>
              <w:rPr>
                <w:rFonts w:ascii="Times New Roman" w:hAnsi="Times New Roman" w:cs="Times New Roman"/>
              </w:rPr>
            </w:pPr>
          </w:p>
          <w:p w14:paraId="6F13A4B0" w14:textId="790CB260" w:rsidR="000A71A7" w:rsidRPr="004432AC" w:rsidRDefault="000A71A7" w:rsidP="000A71A7">
            <w:pPr>
              <w:jc w:val="both"/>
              <w:rPr>
                <w:rFonts w:ascii="Times New Roman" w:hAnsi="Times New Roman" w:cs="Times New Roman"/>
              </w:rPr>
            </w:pPr>
            <w:r w:rsidRPr="004432AC">
              <w:rPr>
                <w:rFonts w:ascii="Times New Roman" w:hAnsi="Times New Roman" w:cs="Times New Roman"/>
              </w:rPr>
              <w:t>1. Państwa członkowskie zapewniają utrzymywanie wszystkich dawek wynikających z narażenia medycznego do celów radiodiagnostyki i radiologii zabiegowej, planowania, prowadzenia i weryfikacji na jak najniższym, racjonalnie osiągalnym poziomie, umożliwiającym uzyskanie wymaganej informacji medycznej, z uwzględnieniem czynników ekonomicznych i społecznych.</w:t>
            </w:r>
          </w:p>
          <w:p w14:paraId="5FA1E348" w14:textId="77777777" w:rsidR="000A71A7" w:rsidRPr="004432AC" w:rsidRDefault="000A71A7" w:rsidP="000A71A7">
            <w:pPr>
              <w:jc w:val="both"/>
              <w:rPr>
                <w:rFonts w:ascii="Times New Roman" w:hAnsi="Times New Roman" w:cs="Times New Roman"/>
              </w:rPr>
            </w:pPr>
          </w:p>
          <w:p w14:paraId="609917FF" w14:textId="77777777" w:rsidR="000A71A7" w:rsidRPr="004432AC" w:rsidRDefault="000A71A7" w:rsidP="000A71A7">
            <w:pPr>
              <w:jc w:val="both"/>
              <w:rPr>
                <w:rFonts w:ascii="Times New Roman" w:hAnsi="Times New Roman" w:cs="Times New Roman"/>
              </w:rPr>
            </w:pPr>
            <w:r w:rsidRPr="004432AC">
              <w:rPr>
                <w:rFonts w:ascii="Times New Roman" w:hAnsi="Times New Roman" w:cs="Times New Roman"/>
              </w:rPr>
              <w:t xml:space="preserve">W odniesieniu do każdego medycznego narażenia pacjentów do celów radioterapeutycznych dawka w objętości tarczowej jest planowana indywidualnie, a jej podanie jest odpowiednio weryfikowane, przy uwzględnieniu, że dawki dla obszarów krytycznych i tkanek prawidłowych są tak niskie, jak jest to </w:t>
            </w:r>
            <w:r w:rsidRPr="004432AC">
              <w:rPr>
                <w:rFonts w:ascii="Times New Roman" w:hAnsi="Times New Roman" w:cs="Times New Roman"/>
              </w:rPr>
              <w:lastRenderedPageBreak/>
              <w:t>racjonalnie osiągalne, oraz zgodne z zamierzonymi radioterapeutycznymi celami narażenia.</w:t>
            </w:r>
          </w:p>
          <w:p w14:paraId="023A610A" w14:textId="78DB0549" w:rsidR="000A71A7" w:rsidRPr="004432AC" w:rsidRDefault="000A71A7" w:rsidP="000A71A7">
            <w:pPr>
              <w:jc w:val="both"/>
              <w:rPr>
                <w:rFonts w:ascii="Times New Roman" w:hAnsi="Times New Roman" w:cs="Times New Roman"/>
              </w:rPr>
            </w:pPr>
            <w:r w:rsidRPr="004432AC">
              <w:rPr>
                <w:rFonts w:ascii="Times New Roman" w:hAnsi="Times New Roman" w:cs="Times New Roman"/>
              </w:rPr>
              <w:t xml:space="preserve">(…) </w:t>
            </w:r>
          </w:p>
          <w:p w14:paraId="0566C58C" w14:textId="77777777" w:rsidR="000A71A7" w:rsidRPr="004432AC" w:rsidRDefault="000A71A7" w:rsidP="000A71A7">
            <w:pPr>
              <w:jc w:val="both"/>
              <w:rPr>
                <w:rFonts w:ascii="Times New Roman" w:hAnsi="Times New Roman" w:cs="Times New Roman"/>
              </w:rPr>
            </w:pPr>
          </w:p>
          <w:p w14:paraId="55712AFE" w14:textId="44C5A242" w:rsidR="000A71A7" w:rsidRPr="004432AC" w:rsidRDefault="000A71A7" w:rsidP="000A71A7">
            <w:pPr>
              <w:jc w:val="both"/>
              <w:rPr>
                <w:rFonts w:ascii="Times New Roman" w:hAnsi="Times New Roman" w:cs="Times New Roman"/>
              </w:rPr>
            </w:pPr>
            <w:r w:rsidRPr="004432AC">
              <w:rPr>
                <w:rFonts w:ascii="Times New Roman" w:hAnsi="Times New Roman" w:cs="Times New Roman"/>
              </w:rPr>
              <w:t>3. Państwa członkowskie zapewniają, aby w przypadku każdego projektu w zakresie badań medycznych i biomedycznych:</w:t>
            </w:r>
          </w:p>
          <w:p w14:paraId="033F252D" w14:textId="05CF37C0" w:rsidR="000A71A7" w:rsidRPr="004432AC" w:rsidRDefault="000A71A7" w:rsidP="000A71A7">
            <w:pPr>
              <w:jc w:val="both"/>
              <w:rPr>
                <w:rFonts w:ascii="Times New Roman" w:hAnsi="Times New Roman" w:cs="Times New Roman"/>
              </w:rPr>
            </w:pPr>
            <w:r w:rsidRPr="004432AC">
              <w:rPr>
                <w:rFonts w:ascii="Times New Roman" w:hAnsi="Times New Roman" w:cs="Times New Roman"/>
              </w:rPr>
              <w:t>a) zainteresowane osoby uczestniczyły w nich dobrowolnie;</w:t>
            </w:r>
          </w:p>
          <w:p w14:paraId="1AAB0189" w14:textId="374C9104" w:rsidR="000A71A7" w:rsidRPr="004432AC" w:rsidRDefault="000A71A7" w:rsidP="000A71A7">
            <w:pPr>
              <w:jc w:val="both"/>
              <w:rPr>
                <w:rFonts w:ascii="Times New Roman" w:hAnsi="Times New Roman" w:cs="Times New Roman"/>
              </w:rPr>
            </w:pPr>
            <w:r w:rsidRPr="004432AC">
              <w:rPr>
                <w:rFonts w:ascii="Times New Roman" w:hAnsi="Times New Roman" w:cs="Times New Roman"/>
              </w:rPr>
              <w:t>b) osoby te zostały poinformowane o zagrożeniach związanych z narażeniem;</w:t>
            </w:r>
          </w:p>
          <w:p w14:paraId="558C47CE" w14:textId="0EE7328B" w:rsidR="000A71A7" w:rsidRPr="004432AC" w:rsidRDefault="000A71A7" w:rsidP="000A71A7">
            <w:pPr>
              <w:jc w:val="both"/>
              <w:rPr>
                <w:rFonts w:ascii="Times New Roman" w:hAnsi="Times New Roman" w:cs="Times New Roman"/>
              </w:rPr>
            </w:pPr>
            <w:r w:rsidRPr="004432AC">
              <w:rPr>
                <w:rFonts w:ascii="Times New Roman" w:hAnsi="Times New Roman" w:cs="Times New Roman"/>
              </w:rPr>
              <w:t>c) ustalono ogranicznik dawki dla osób, w odniesieniu do których nie oczekuje się bezpośredniej korzyści medycznej wynikającej z narażenia;</w:t>
            </w:r>
          </w:p>
          <w:p w14:paraId="2E45DA3C" w14:textId="21D4AF64" w:rsidR="000A71A7" w:rsidRPr="004432AC" w:rsidRDefault="000A71A7" w:rsidP="000A71A7">
            <w:pPr>
              <w:jc w:val="both"/>
              <w:rPr>
                <w:rFonts w:ascii="Times New Roman" w:hAnsi="Times New Roman" w:cs="Times New Roman"/>
              </w:rPr>
            </w:pPr>
            <w:r w:rsidRPr="004432AC">
              <w:rPr>
                <w:rFonts w:ascii="Times New Roman" w:hAnsi="Times New Roman" w:cs="Times New Roman"/>
              </w:rPr>
              <w:t>d) w przypadku pacjentów, którzy dobrowolnie poddają się doświadczalnym zabiegom medycznym, i w odniesieniu do których w wyniku tych zabiegów oczekuje się korzyści diagnostycznych lub terapeutycznych, odnośne poziomy dawek były ustalane indywidualnie przez lekarza prowadzącego lub lekarza kierującego przed poddaniem pacjenta narażeniu.</w:t>
            </w:r>
          </w:p>
          <w:p w14:paraId="0E9C144C" w14:textId="77777777" w:rsidR="000A71A7" w:rsidRPr="004432AC" w:rsidRDefault="000A71A7" w:rsidP="000A71A7">
            <w:pPr>
              <w:jc w:val="both"/>
              <w:rPr>
                <w:rFonts w:ascii="Times New Roman" w:hAnsi="Times New Roman" w:cs="Times New Roman"/>
              </w:rPr>
            </w:pPr>
          </w:p>
          <w:p w14:paraId="256D6DF6" w14:textId="3F6ED51A" w:rsidR="000A71A7" w:rsidRPr="004432AC" w:rsidRDefault="000579C0" w:rsidP="000A71A7">
            <w:pPr>
              <w:jc w:val="both"/>
              <w:rPr>
                <w:rFonts w:ascii="Times New Roman" w:hAnsi="Times New Roman" w:cs="Times New Roman"/>
              </w:rPr>
            </w:pPr>
            <w:r w:rsidRPr="004432AC">
              <w:rPr>
                <w:rFonts w:ascii="Times New Roman" w:hAnsi="Times New Roman" w:cs="Times New Roman"/>
              </w:rPr>
              <w:t xml:space="preserve">(…) </w:t>
            </w:r>
          </w:p>
          <w:p w14:paraId="5D67E935" w14:textId="77777777" w:rsidR="000579C0" w:rsidRPr="004432AC" w:rsidRDefault="000579C0" w:rsidP="000A71A7">
            <w:pPr>
              <w:jc w:val="both"/>
              <w:rPr>
                <w:rFonts w:ascii="Times New Roman" w:hAnsi="Times New Roman" w:cs="Times New Roman"/>
              </w:rPr>
            </w:pPr>
          </w:p>
          <w:p w14:paraId="352809DC" w14:textId="14C35A57" w:rsidR="000A71A7" w:rsidRPr="004432AC" w:rsidRDefault="000A71A7" w:rsidP="000A71A7">
            <w:pPr>
              <w:jc w:val="both"/>
              <w:rPr>
                <w:rFonts w:ascii="Times New Roman" w:hAnsi="Times New Roman" w:cs="Times New Roman"/>
              </w:rPr>
            </w:pPr>
            <w:r w:rsidRPr="004432AC">
              <w:rPr>
                <w:rFonts w:ascii="Times New Roman" w:hAnsi="Times New Roman" w:cs="Times New Roman"/>
              </w:rPr>
              <w:t>5. Państwa członkowskie zapewniają ustanowienie:</w:t>
            </w:r>
          </w:p>
          <w:p w14:paraId="46F22AA7" w14:textId="0E35E478" w:rsidR="000A71A7" w:rsidRPr="004432AC" w:rsidRDefault="000A71A7" w:rsidP="000A71A7">
            <w:pPr>
              <w:jc w:val="both"/>
              <w:rPr>
                <w:rFonts w:ascii="Times New Roman" w:hAnsi="Times New Roman" w:cs="Times New Roman"/>
              </w:rPr>
            </w:pPr>
            <w:r w:rsidRPr="004432AC">
              <w:rPr>
                <w:rFonts w:ascii="Times New Roman" w:hAnsi="Times New Roman" w:cs="Times New Roman"/>
              </w:rPr>
              <w:t>a) w stosownych przypadkach ograniczników dawki dla narażenia opiekunów i osób towarzyszących;</w:t>
            </w:r>
          </w:p>
          <w:p w14:paraId="6C474FE0" w14:textId="12516A04" w:rsidR="000A71A7" w:rsidRPr="004432AC" w:rsidRDefault="000A71A7" w:rsidP="000A71A7">
            <w:pPr>
              <w:jc w:val="both"/>
              <w:rPr>
                <w:rFonts w:ascii="Times New Roman" w:hAnsi="Times New Roman" w:cs="Times New Roman"/>
              </w:rPr>
            </w:pPr>
            <w:r w:rsidRPr="004432AC">
              <w:rPr>
                <w:rFonts w:ascii="Times New Roman" w:hAnsi="Times New Roman" w:cs="Times New Roman"/>
              </w:rPr>
              <w:t>b) odpowiednich wytycznych w zakresie narażenia opiekunów i osób towarzyszących.</w:t>
            </w:r>
          </w:p>
          <w:p w14:paraId="574E1100" w14:textId="77777777" w:rsidR="000A71A7" w:rsidRPr="004432AC" w:rsidRDefault="000A71A7" w:rsidP="000A71A7">
            <w:pPr>
              <w:jc w:val="both"/>
              <w:rPr>
                <w:rFonts w:ascii="Times New Roman" w:hAnsi="Times New Roman" w:cs="Times New Roman"/>
              </w:rPr>
            </w:pPr>
          </w:p>
          <w:p w14:paraId="461B60B9" w14:textId="36D5B4D1" w:rsidR="0013000E" w:rsidRPr="004432AC" w:rsidRDefault="0013000E" w:rsidP="000A71A7">
            <w:pPr>
              <w:jc w:val="both"/>
              <w:rPr>
                <w:rFonts w:ascii="Times New Roman" w:hAnsi="Times New Roman" w:cs="Times New Roman"/>
              </w:rPr>
            </w:pPr>
          </w:p>
          <w:p w14:paraId="3F868234" w14:textId="263DDB49" w:rsidR="000579C0" w:rsidRPr="004432AC" w:rsidRDefault="000579C0" w:rsidP="000A71A7">
            <w:pPr>
              <w:jc w:val="both"/>
              <w:rPr>
                <w:rFonts w:ascii="Times New Roman" w:hAnsi="Times New Roman" w:cs="Times New Roman"/>
              </w:rPr>
            </w:pPr>
          </w:p>
          <w:p w14:paraId="2E12438E" w14:textId="5C5B9D61" w:rsidR="000579C0" w:rsidRDefault="000579C0" w:rsidP="000A71A7">
            <w:pPr>
              <w:jc w:val="both"/>
              <w:rPr>
                <w:rFonts w:ascii="Times New Roman" w:hAnsi="Times New Roman" w:cs="Times New Roman"/>
              </w:rPr>
            </w:pPr>
          </w:p>
          <w:p w14:paraId="41B17EE2" w14:textId="77777777" w:rsidR="004432AC" w:rsidRPr="004432AC" w:rsidRDefault="004432AC" w:rsidP="000A71A7">
            <w:pPr>
              <w:jc w:val="both"/>
              <w:rPr>
                <w:rFonts w:ascii="Times New Roman" w:hAnsi="Times New Roman" w:cs="Times New Roman"/>
              </w:rPr>
            </w:pPr>
          </w:p>
          <w:p w14:paraId="38E512C2" w14:textId="77C226ED" w:rsidR="0032665C" w:rsidRPr="004432AC" w:rsidRDefault="0032665C" w:rsidP="0013000E">
            <w:pPr>
              <w:jc w:val="both"/>
              <w:rPr>
                <w:rFonts w:ascii="Times New Roman" w:hAnsi="Times New Roman" w:cs="Times New Roman"/>
                <w:b/>
                <w:bCs/>
              </w:rPr>
            </w:pPr>
            <w:r w:rsidRPr="004432AC">
              <w:rPr>
                <w:rFonts w:ascii="Times New Roman" w:hAnsi="Times New Roman" w:cs="Times New Roman"/>
                <w:b/>
                <w:bCs/>
              </w:rPr>
              <w:lastRenderedPageBreak/>
              <w:t>a</w:t>
            </w:r>
            <w:r w:rsidR="0013000E" w:rsidRPr="004432AC">
              <w:rPr>
                <w:rFonts w:ascii="Times New Roman" w:hAnsi="Times New Roman" w:cs="Times New Roman"/>
                <w:b/>
                <w:bCs/>
              </w:rPr>
              <w:t xml:space="preserve">rt. 60 ust. 1 </w:t>
            </w:r>
            <w:r w:rsidRPr="004432AC">
              <w:rPr>
                <w:rFonts w:ascii="Times New Roman" w:hAnsi="Times New Roman" w:cs="Times New Roman"/>
                <w:b/>
                <w:bCs/>
              </w:rPr>
              <w:t>i 2</w:t>
            </w:r>
          </w:p>
          <w:p w14:paraId="161E2819" w14:textId="77777777" w:rsidR="00595F50" w:rsidRPr="004432AC" w:rsidRDefault="00595F50" w:rsidP="0013000E">
            <w:pPr>
              <w:jc w:val="both"/>
              <w:rPr>
                <w:rFonts w:ascii="Times New Roman" w:hAnsi="Times New Roman" w:cs="Times New Roman"/>
              </w:rPr>
            </w:pPr>
          </w:p>
          <w:p w14:paraId="1E6CDD46" w14:textId="230F1ED2" w:rsidR="0013000E" w:rsidRPr="004432AC" w:rsidRDefault="0013000E" w:rsidP="0013000E">
            <w:pPr>
              <w:jc w:val="both"/>
              <w:rPr>
                <w:rFonts w:ascii="Times New Roman" w:hAnsi="Times New Roman" w:cs="Times New Roman"/>
              </w:rPr>
            </w:pPr>
            <w:r w:rsidRPr="004432AC">
              <w:rPr>
                <w:rFonts w:ascii="Times New Roman" w:hAnsi="Times New Roman" w:cs="Times New Roman"/>
              </w:rPr>
              <w:t>Sprzęt</w:t>
            </w:r>
          </w:p>
          <w:p w14:paraId="351FE133" w14:textId="77777777" w:rsidR="00595F50" w:rsidRPr="004432AC" w:rsidRDefault="00595F50" w:rsidP="0013000E">
            <w:pPr>
              <w:jc w:val="both"/>
              <w:rPr>
                <w:rFonts w:ascii="Times New Roman" w:hAnsi="Times New Roman" w:cs="Times New Roman"/>
              </w:rPr>
            </w:pPr>
          </w:p>
          <w:p w14:paraId="08E2F085" w14:textId="50DC7922" w:rsidR="0013000E" w:rsidRPr="004432AC" w:rsidRDefault="0013000E" w:rsidP="0013000E">
            <w:pPr>
              <w:jc w:val="both"/>
              <w:rPr>
                <w:rFonts w:ascii="Times New Roman" w:hAnsi="Times New Roman" w:cs="Times New Roman"/>
              </w:rPr>
            </w:pPr>
            <w:r w:rsidRPr="004432AC">
              <w:rPr>
                <w:rFonts w:ascii="Times New Roman" w:hAnsi="Times New Roman" w:cs="Times New Roman"/>
              </w:rPr>
              <w:t>1. Państwa członkowskie zapewniają, aby:</w:t>
            </w:r>
          </w:p>
          <w:p w14:paraId="61086469" w14:textId="324A1FA3" w:rsidR="0013000E" w:rsidRPr="004432AC" w:rsidRDefault="0013000E" w:rsidP="0013000E">
            <w:pPr>
              <w:jc w:val="both"/>
              <w:rPr>
                <w:rFonts w:ascii="Times New Roman" w:hAnsi="Times New Roman" w:cs="Times New Roman"/>
              </w:rPr>
            </w:pPr>
            <w:r w:rsidRPr="004432AC">
              <w:rPr>
                <w:rFonts w:ascii="Times New Roman" w:hAnsi="Times New Roman" w:cs="Times New Roman"/>
              </w:rPr>
              <w:t>a) wszelki medyczny sprzęt radiologiczny będący w użyciu był utrzymywany pod ścisłym nadzorem w zakresie ochrony przed promieniowaniem;</w:t>
            </w:r>
          </w:p>
          <w:p w14:paraId="3372F3CF" w14:textId="52595960" w:rsidR="0013000E" w:rsidRPr="004432AC" w:rsidRDefault="0013000E" w:rsidP="0013000E">
            <w:pPr>
              <w:jc w:val="both"/>
              <w:rPr>
                <w:rFonts w:ascii="Times New Roman" w:hAnsi="Times New Roman" w:cs="Times New Roman"/>
              </w:rPr>
            </w:pPr>
            <w:r w:rsidRPr="004432AC">
              <w:rPr>
                <w:rFonts w:ascii="Times New Roman" w:hAnsi="Times New Roman" w:cs="Times New Roman"/>
              </w:rPr>
              <w:t>b) właściwy organ miał dostęp do zaktualizowanego spisu medycznego sprzętu radiologicznego w odniesieniu do każdej medycznej instalacji radiologicznej;</w:t>
            </w:r>
          </w:p>
          <w:p w14:paraId="0D3BB9BF" w14:textId="0518C7EC" w:rsidR="0013000E" w:rsidRPr="004432AC" w:rsidRDefault="0013000E" w:rsidP="0013000E">
            <w:pPr>
              <w:jc w:val="both"/>
              <w:rPr>
                <w:rFonts w:ascii="Times New Roman" w:hAnsi="Times New Roman" w:cs="Times New Roman"/>
              </w:rPr>
            </w:pPr>
            <w:r w:rsidRPr="004432AC">
              <w:rPr>
                <w:rFonts w:ascii="Times New Roman" w:hAnsi="Times New Roman" w:cs="Times New Roman"/>
              </w:rPr>
              <w:t>c) jednostka organizacyjna wdrażała odpowiednie programy zapewnienia jakości oraz prowadziła oceny dawki lub weryfikację zaaplikowanej aktywności; oraz</w:t>
            </w:r>
          </w:p>
          <w:p w14:paraId="1FF54284" w14:textId="2391C816" w:rsidR="0013000E" w:rsidRPr="004432AC" w:rsidRDefault="0013000E" w:rsidP="0013000E">
            <w:pPr>
              <w:jc w:val="both"/>
              <w:rPr>
                <w:rFonts w:ascii="Times New Roman" w:hAnsi="Times New Roman" w:cs="Times New Roman"/>
              </w:rPr>
            </w:pPr>
            <w:r w:rsidRPr="004432AC">
              <w:rPr>
                <w:rFonts w:ascii="Times New Roman" w:hAnsi="Times New Roman" w:cs="Times New Roman"/>
              </w:rPr>
              <w:t>d) przed pierwszym użyciem sprzętu do celów klinicznych przeprowadzone zostało badanie zatwierdzające, a następnie regularnie przeprowadzane były badania jego działania, także po dokonaniu wszelkich procedur konserwacyjnych mogących wpłynąć na jego działanie.</w:t>
            </w:r>
          </w:p>
          <w:p w14:paraId="2AB5B6FB" w14:textId="77777777" w:rsidR="0013000E" w:rsidRPr="004432AC" w:rsidRDefault="0013000E" w:rsidP="0013000E">
            <w:pPr>
              <w:jc w:val="both"/>
              <w:rPr>
                <w:rFonts w:ascii="Times New Roman" w:hAnsi="Times New Roman" w:cs="Times New Roman"/>
              </w:rPr>
            </w:pPr>
          </w:p>
          <w:p w14:paraId="34FCEBEB" w14:textId="4F26EE53" w:rsidR="0013000E" w:rsidRPr="004432AC" w:rsidRDefault="0013000E" w:rsidP="0013000E">
            <w:pPr>
              <w:jc w:val="both"/>
              <w:rPr>
                <w:rFonts w:ascii="Times New Roman" w:hAnsi="Times New Roman" w:cs="Times New Roman"/>
                <w:b/>
                <w:bCs/>
              </w:rPr>
            </w:pPr>
            <w:r w:rsidRPr="004432AC">
              <w:rPr>
                <w:rFonts w:ascii="Times New Roman" w:hAnsi="Times New Roman" w:cs="Times New Roman"/>
              </w:rPr>
              <w:t>2. Państwa członkowskie zapewniają podjęcie przez właściwy organ kroków w celu zapewnienia przyjęcia przez jednostkę organizacyjną niezbędnych środków w celu poprawy nieodpowiedniego lub wadliwego działania stosowanego medycznego sprzętu radiologicznego. Przyjmują również szczególne kryteria zatwierdzania sprzętu w celu wskazania konieczności podjęcia stosownych działań naprawczych, włącznie z wycofaniem sprzętu z użytkowania.</w:t>
            </w:r>
          </w:p>
        </w:tc>
        <w:tc>
          <w:tcPr>
            <w:tcW w:w="1418" w:type="dxa"/>
          </w:tcPr>
          <w:p w14:paraId="65F36904" w14:textId="4F43C5DB" w:rsidR="00982883" w:rsidRPr="00616FAA" w:rsidRDefault="000A71A7" w:rsidP="00A93512">
            <w:pPr>
              <w:jc w:val="center"/>
              <w:rPr>
                <w:rFonts w:ascii="Times New Roman" w:hAnsi="Times New Roman" w:cs="Times New Roman"/>
              </w:rPr>
            </w:pPr>
            <w:r w:rsidRPr="00616FAA">
              <w:rPr>
                <w:rFonts w:ascii="Times New Roman" w:hAnsi="Times New Roman" w:cs="Times New Roman"/>
              </w:rPr>
              <w:lastRenderedPageBreak/>
              <w:t>T</w:t>
            </w:r>
          </w:p>
        </w:tc>
        <w:tc>
          <w:tcPr>
            <w:tcW w:w="1134" w:type="dxa"/>
          </w:tcPr>
          <w:p w14:paraId="4610A5B4" w14:textId="78F9E069" w:rsidR="00982883" w:rsidRPr="00616FAA" w:rsidRDefault="000A71A7" w:rsidP="00A93512">
            <w:pPr>
              <w:jc w:val="center"/>
              <w:rPr>
                <w:rFonts w:ascii="Times New Roman" w:hAnsi="Times New Roman" w:cs="Times New Roman"/>
              </w:rPr>
            </w:pPr>
            <w:r w:rsidRPr="00616FAA">
              <w:rPr>
                <w:rFonts w:ascii="Times New Roman" w:hAnsi="Times New Roman" w:cs="Times New Roman"/>
              </w:rPr>
              <w:t>§</w:t>
            </w:r>
            <w:r w:rsidR="00104DB6" w:rsidRPr="00616FAA">
              <w:rPr>
                <w:rFonts w:ascii="Times New Roman" w:hAnsi="Times New Roman" w:cs="Times New Roman"/>
              </w:rPr>
              <w:t>2</w:t>
            </w:r>
            <w:r w:rsidRPr="00616FAA">
              <w:rPr>
                <w:rFonts w:ascii="Times New Roman" w:hAnsi="Times New Roman" w:cs="Times New Roman"/>
              </w:rPr>
              <w:t>-1</w:t>
            </w:r>
            <w:r w:rsidR="00DB0374" w:rsidRPr="00616FAA">
              <w:rPr>
                <w:rFonts w:ascii="Times New Roman" w:hAnsi="Times New Roman" w:cs="Times New Roman"/>
              </w:rPr>
              <w:t>8</w:t>
            </w:r>
          </w:p>
        </w:tc>
        <w:tc>
          <w:tcPr>
            <w:tcW w:w="5103" w:type="dxa"/>
          </w:tcPr>
          <w:p w14:paraId="0825E15D" w14:textId="77777777" w:rsidR="00794226" w:rsidRPr="00794226" w:rsidRDefault="00794226" w:rsidP="00794226">
            <w:pPr>
              <w:keepNext/>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2.</w:t>
            </w:r>
            <w:r w:rsidRPr="00794226">
              <w:rPr>
                <w:rFonts w:ascii="Times" w:eastAsia="Times New Roman" w:hAnsi="Times" w:cs="Arial"/>
                <w:sz w:val="24"/>
                <w:szCs w:val="20"/>
                <w:lang w:eastAsia="pl-PL"/>
              </w:rPr>
              <w:t> Użyte w rozporządzeniu określenia oznaczają:</w:t>
            </w:r>
          </w:p>
          <w:p w14:paraId="30434EE1"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narządy krytyczne – zdrowe narządy lub tkanki, których wrażliwość na promieniowanie jonizujące może mieć znaczący wpływ na planowanie leczenia lub dawkę otrzymywaną przez pacjenta;</w:t>
            </w:r>
          </w:p>
          <w:p w14:paraId="2135DA04"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ryzyko radiacyjne – prawdopodobieństwo wystąpienia określonego szkodliwego efektu zdrowotnego w wyniku narażenia na promieniowanie jonizujące; ryzyko obejmuje także nasilenie i charakter niepożądanych następstw;</w:t>
            </w:r>
          </w:p>
          <w:p w14:paraId="29F9A1D9" w14:textId="77777777" w:rsidR="00794226" w:rsidRPr="00794226" w:rsidRDefault="00794226" w:rsidP="00794226">
            <w:pPr>
              <w:keepNext/>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t>technik elektroradiologii – osobę posiadającą:</w:t>
            </w:r>
          </w:p>
          <w:p w14:paraId="68C2C5DD" w14:textId="77777777" w:rsidR="00794226" w:rsidRPr="00794226" w:rsidRDefault="00794226" w:rsidP="00794226">
            <w:pPr>
              <w:ind w:left="986" w:hanging="476"/>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a)</w:t>
            </w:r>
            <w:r w:rsidRPr="00794226">
              <w:rPr>
                <w:rFonts w:ascii="Times" w:eastAsia="Times New Roman" w:hAnsi="Times" w:cs="Arial"/>
                <w:bCs/>
                <w:sz w:val="24"/>
                <w:szCs w:val="20"/>
                <w:lang w:eastAsia="pl-PL"/>
              </w:rPr>
              <w:tab/>
              <w:t>tytuł zawodowy technika elektroradiologii lub,</w:t>
            </w:r>
          </w:p>
          <w:p w14:paraId="132DACCB" w14:textId="77777777" w:rsidR="00794226" w:rsidRPr="00794226" w:rsidRDefault="00794226" w:rsidP="00794226">
            <w:pPr>
              <w:ind w:left="986" w:hanging="476"/>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b)</w:t>
            </w:r>
            <w:r w:rsidRPr="00794226">
              <w:rPr>
                <w:rFonts w:ascii="Times" w:eastAsia="Times New Roman" w:hAnsi="Times" w:cs="Arial"/>
                <w:bCs/>
                <w:sz w:val="24"/>
                <w:szCs w:val="20"/>
                <w:lang w:eastAsia="pl-PL"/>
              </w:rPr>
              <w:tab/>
              <w:t xml:space="preserve">dyplom ukończenia studiów wyższych na kierunkach kształcących w zakresie </w:t>
            </w:r>
            <w:r w:rsidRPr="00794226">
              <w:rPr>
                <w:rFonts w:ascii="Times" w:eastAsia="Times New Roman" w:hAnsi="Times" w:cs="Arial"/>
                <w:bCs/>
                <w:sz w:val="24"/>
                <w:szCs w:val="20"/>
                <w:lang w:eastAsia="pl-PL"/>
              </w:rPr>
              <w:lastRenderedPageBreak/>
              <w:t>elektroradiologii i tytuł zawodowy licencjata lub magistra.</w:t>
            </w:r>
          </w:p>
          <w:p w14:paraId="5A4AA4BD" w14:textId="77777777"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
                <w:bCs/>
                <w:sz w:val="24"/>
                <w:szCs w:val="20"/>
                <w:lang w:eastAsia="pl-PL"/>
              </w:rPr>
              <w:t>§ 3.</w:t>
            </w:r>
            <w:r w:rsidRPr="00794226">
              <w:rPr>
                <w:rFonts w:ascii="Times" w:eastAsia="Times New Roman" w:hAnsi="Times" w:cs="Arial"/>
                <w:bCs/>
                <w:sz w:val="24"/>
                <w:szCs w:val="20"/>
                <w:lang w:eastAsia="pl-PL"/>
              </w:rPr>
              <w:t xml:space="preserve"> 1. Badanie diagnostyczne, zabieg lub leczenie z zastosowaniem promieniowania jonizującego wykonuje się na podstawie skierowania lub zlecenia. </w:t>
            </w:r>
          </w:p>
          <w:p w14:paraId="7C9EBAF3" w14:textId="0865D5EB"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 Skierowanie, o którym mowa w ust. 1, poza wymaganiami określonymi w przepisach wydanych na podstawie art. 30 ust. 1 ustawy z dnia 6 listopada 2008 r. o prawach pacjenta i Rzeczniku Praw Pacjenta (Dz. U. z 2020 r. poz. 666</w:t>
            </w:r>
            <w:r w:rsidR="00CE5873">
              <w:rPr>
                <w:rFonts w:ascii="Times" w:eastAsia="Times New Roman" w:hAnsi="Times" w:cs="Arial"/>
                <w:bCs/>
                <w:sz w:val="24"/>
                <w:szCs w:val="20"/>
                <w:lang w:eastAsia="pl-PL"/>
              </w:rPr>
              <w:t xml:space="preserve"> i </w:t>
            </w:r>
            <w:r w:rsidR="00CE5873" w:rsidRPr="00CE5873">
              <w:rPr>
                <w:rFonts w:ascii="Times" w:eastAsia="Times New Roman" w:hAnsi="Times" w:cs="Arial"/>
                <w:bCs/>
                <w:sz w:val="24"/>
                <w:szCs w:val="20"/>
                <w:lang w:eastAsia="pl-PL"/>
              </w:rPr>
              <w:t>849 oraz z 2022 r. poz. 64 i 974</w:t>
            </w:r>
            <w:r w:rsidRPr="00794226">
              <w:rPr>
                <w:rFonts w:ascii="Times" w:eastAsia="Times New Roman" w:hAnsi="Times" w:cs="Arial"/>
                <w:bCs/>
                <w:sz w:val="24"/>
                <w:szCs w:val="20"/>
                <w:lang w:eastAsia="pl-PL"/>
              </w:rPr>
              <w:t>) zawiera:</w:t>
            </w:r>
          </w:p>
          <w:p w14:paraId="707709BD"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cel i uzasadnienie badania;</w:t>
            </w:r>
          </w:p>
          <w:p w14:paraId="21BD9578"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wstępne rozpoznanie kliniczne;</w:t>
            </w:r>
          </w:p>
          <w:p w14:paraId="011BCF2D"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t>informacje istotne do prawidłowego przeprowadzenia medycznej procedury radiologicznej.</w:t>
            </w:r>
          </w:p>
          <w:p w14:paraId="22E795C4" w14:textId="77777777" w:rsidR="00794226" w:rsidRPr="00794226" w:rsidRDefault="00794226" w:rsidP="00794226">
            <w:pPr>
              <w:keepNext/>
              <w:suppressAutoHyphens/>
              <w:autoSpaceDE w:val="0"/>
              <w:autoSpaceDN w:val="0"/>
              <w:adjustRightInd w:val="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3. Jeżeli obrazy radiologiczne stanowiące część dokumentacji medycznej zostały zapisane w postaci cyfrowej, ich przekazywanie i archiwizowane odbywa się w standardzie DICOM (Digital </w:t>
            </w:r>
            <w:proofErr w:type="spellStart"/>
            <w:r w:rsidRPr="00794226">
              <w:rPr>
                <w:rFonts w:ascii="Times" w:eastAsia="Times New Roman" w:hAnsi="Times" w:cs="Arial"/>
                <w:bCs/>
                <w:sz w:val="24"/>
                <w:szCs w:val="20"/>
                <w:lang w:eastAsia="pl-PL"/>
              </w:rPr>
              <w:t>Imaging</w:t>
            </w:r>
            <w:proofErr w:type="spellEnd"/>
            <w:r w:rsidRPr="00794226">
              <w:rPr>
                <w:rFonts w:ascii="Times" w:eastAsia="Times New Roman" w:hAnsi="Times" w:cs="Arial"/>
                <w:bCs/>
                <w:sz w:val="24"/>
                <w:szCs w:val="20"/>
                <w:lang w:eastAsia="pl-PL"/>
              </w:rPr>
              <w:t xml:space="preserve"> and </w:t>
            </w:r>
            <w:proofErr w:type="spellStart"/>
            <w:r w:rsidRPr="00794226">
              <w:rPr>
                <w:rFonts w:ascii="Times" w:eastAsia="Times New Roman" w:hAnsi="Times" w:cs="Arial"/>
                <w:bCs/>
                <w:sz w:val="24"/>
                <w:szCs w:val="20"/>
                <w:lang w:eastAsia="pl-PL"/>
              </w:rPr>
              <w:t>Communication</w:t>
            </w:r>
            <w:proofErr w:type="spellEnd"/>
            <w:r w:rsidRPr="00794226">
              <w:rPr>
                <w:rFonts w:ascii="Times" w:eastAsia="Times New Roman" w:hAnsi="Times" w:cs="Arial"/>
                <w:bCs/>
                <w:sz w:val="24"/>
                <w:szCs w:val="20"/>
                <w:lang w:eastAsia="pl-PL"/>
              </w:rPr>
              <w:t xml:space="preserve"> in </w:t>
            </w:r>
            <w:proofErr w:type="spellStart"/>
            <w:r w:rsidRPr="00794226">
              <w:rPr>
                <w:rFonts w:ascii="Times" w:eastAsia="Times New Roman" w:hAnsi="Times" w:cs="Arial"/>
                <w:bCs/>
                <w:sz w:val="24"/>
                <w:szCs w:val="20"/>
                <w:lang w:eastAsia="pl-PL"/>
              </w:rPr>
              <w:t>Medicine</w:t>
            </w:r>
            <w:proofErr w:type="spellEnd"/>
            <w:r w:rsidRPr="00794226">
              <w:rPr>
                <w:rFonts w:ascii="Times" w:eastAsia="Times New Roman" w:hAnsi="Times" w:cs="Arial"/>
                <w:bCs/>
                <w:sz w:val="24"/>
                <w:szCs w:val="20"/>
                <w:lang w:eastAsia="pl-PL"/>
              </w:rPr>
              <w:t>) zgodnym z normą PN-ISO ISO 12052. Wymaganie to nie dotyczy stomatologicznych badań wewnątrzustnych.</w:t>
            </w:r>
          </w:p>
          <w:p w14:paraId="29693E52" w14:textId="77777777"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4. Przepis ust. 3 stosuje się odpowiednio w </w:t>
            </w:r>
            <w:proofErr w:type="spellStart"/>
            <w:r w:rsidRPr="00794226">
              <w:rPr>
                <w:rFonts w:ascii="Times" w:eastAsia="Times New Roman" w:hAnsi="Times" w:cs="Arial"/>
                <w:bCs/>
                <w:sz w:val="24"/>
                <w:szCs w:val="20"/>
                <w:lang w:eastAsia="pl-PL"/>
              </w:rPr>
              <w:t>teleradiologii</w:t>
            </w:r>
            <w:proofErr w:type="spellEnd"/>
            <w:r w:rsidRPr="00794226">
              <w:rPr>
                <w:rFonts w:ascii="Times" w:eastAsia="Times New Roman" w:hAnsi="Times" w:cs="Arial"/>
                <w:bCs/>
                <w:sz w:val="24"/>
                <w:szCs w:val="20"/>
                <w:lang w:eastAsia="pl-PL"/>
              </w:rPr>
              <w:t>.</w:t>
            </w:r>
          </w:p>
          <w:p w14:paraId="4588A505" w14:textId="77777777"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5. Opis i przegląd obrazów radiologicznych rejestrowanych w postaci cyfrowej odbywa się </w:t>
            </w:r>
            <w:r w:rsidRPr="00794226">
              <w:rPr>
                <w:rFonts w:ascii="Times" w:eastAsia="Times New Roman" w:hAnsi="Times" w:cs="Arial"/>
                <w:bCs/>
                <w:sz w:val="24"/>
                <w:szCs w:val="20"/>
                <w:lang w:eastAsia="pl-PL"/>
              </w:rPr>
              <w:lastRenderedPageBreak/>
              <w:t>zgodnie z wymaganiami określonymi w załączniku nr 1 do rozporządzenia.</w:t>
            </w:r>
          </w:p>
          <w:p w14:paraId="262F8F1E" w14:textId="77777777" w:rsidR="00794226" w:rsidRPr="00794226" w:rsidRDefault="00794226" w:rsidP="00794226">
            <w:pPr>
              <w:keepNext/>
              <w:suppressAutoHyphens/>
              <w:autoSpaceDE w:val="0"/>
              <w:autoSpaceDN w:val="0"/>
              <w:adjustRightInd w:val="0"/>
              <w:spacing w:before="120"/>
              <w:ind w:firstLine="510"/>
              <w:jc w:val="both"/>
              <w:rPr>
                <w:rFonts w:ascii="Times" w:eastAsia="Times New Roman" w:hAnsi="Times" w:cs="Arial"/>
                <w:sz w:val="24"/>
                <w:szCs w:val="20"/>
                <w:lang w:eastAsia="pl-PL"/>
              </w:rPr>
            </w:pPr>
            <w:bookmarkStart w:id="0" w:name="_Hlk71715864"/>
            <w:r w:rsidRPr="00794226">
              <w:rPr>
                <w:rFonts w:ascii="Times" w:eastAsia="Times New Roman" w:hAnsi="Times" w:cs="Arial"/>
                <w:b/>
                <w:sz w:val="24"/>
                <w:szCs w:val="20"/>
                <w:lang w:eastAsia="pl-PL"/>
              </w:rPr>
              <w:t>§ 4.</w:t>
            </w:r>
            <w:r w:rsidRPr="00794226">
              <w:rPr>
                <w:rFonts w:ascii="Times" w:eastAsia="Times New Roman" w:hAnsi="Times" w:cs="Arial"/>
                <w:sz w:val="24"/>
                <w:szCs w:val="20"/>
                <w:lang w:eastAsia="pl-PL"/>
              </w:rPr>
              <w:t xml:space="preserve"> 1. Podczas wykonywania medycznych procedur radiologicznych związanych z podawaniem pacjentom produktów </w:t>
            </w:r>
            <w:proofErr w:type="spellStart"/>
            <w:r w:rsidRPr="00794226">
              <w:rPr>
                <w:rFonts w:ascii="Times" w:eastAsia="Times New Roman" w:hAnsi="Times" w:cs="Arial"/>
                <w:sz w:val="24"/>
                <w:szCs w:val="20"/>
                <w:lang w:eastAsia="pl-PL"/>
              </w:rPr>
              <w:t>radiofarmaceutycznych</w:t>
            </w:r>
            <w:proofErr w:type="spellEnd"/>
            <w:r w:rsidRPr="00794226">
              <w:rPr>
                <w:rFonts w:ascii="Times" w:eastAsia="Times New Roman" w:hAnsi="Times" w:cs="Arial"/>
                <w:sz w:val="24"/>
                <w:szCs w:val="20"/>
                <w:lang w:eastAsia="pl-PL"/>
              </w:rPr>
              <w:t xml:space="preserve"> do celów diagnostycznych lub leczniczych przestrzega się następujących zasad postępowania:</w:t>
            </w:r>
          </w:p>
          <w:p w14:paraId="0992290D"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 xml:space="preserve">wszelkie czynności związane z przygotowaniem produktów </w:t>
            </w:r>
            <w:proofErr w:type="spellStart"/>
            <w:r w:rsidRPr="00794226">
              <w:rPr>
                <w:rFonts w:ascii="Times" w:eastAsia="Times New Roman" w:hAnsi="Times" w:cs="Arial"/>
                <w:bCs/>
                <w:sz w:val="24"/>
                <w:szCs w:val="20"/>
                <w:lang w:eastAsia="pl-PL"/>
              </w:rPr>
              <w:t>radiofarmaceutycznych</w:t>
            </w:r>
            <w:proofErr w:type="spellEnd"/>
            <w:r w:rsidRPr="00794226">
              <w:rPr>
                <w:rFonts w:ascii="Times" w:eastAsia="Times New Roman" w:hAnsi="Times" w:cs="Arial"/>
                <w:bCs/>
                <w:sz w:val="24"/>
                <w:szCs w:val="20"/>
                <w:lang w:eastAsia="pl-PL"/>
              </w:rPr>
              <w:t xml:space="preserve"> polegające na znakowaniu gotowych zestawów lub dzieleniu większych porcji gotowych produktów </w:t>
            </w:r>
            <w:proofErr w:type="spellStart"/>
            <w:r w:rsidRPr="00794226">
              <w:rPr>
                <w:rFonts w:ascii="Times" w:eastAsia="Times New Roman" w:hAnsi="Times" w:cs="Arial"/>
                <w:bCs/>
                <w:sz w:val="24"/>
                <w:szCs w:val="20"/>
                <w:lang w:eastAsia="pl-PL"/>
              </w:rPr>
              <w:t>radiofarmaceutycznych</w:t>
            </w:r>
            <w:proofErr w:type="spellEnd"/>
            <w:r w:rsidRPr="00794226">
              <w:rPr>
                <w:rFonts w:ascii="Times" w:eastAsia="Times New Roman" w:hAnsi="Times" w:cs="Arial"/>
                <w:bCs/>
                <w:sz w:val="24"/>
                <w:szCs w:val="20"/>
                <w:lang w:eastAsia="pl-PL"/>
              </w:rPr>
              <w:t>, w celu podania pacjentom, jest wykonywane wyłącznie w przeznaczonych do tego celu pomieszczeniach, które są wyposażone w komory z laminarnym przepływem powietrza zapewniające zachowanie jałowości w procesie znakowania; zapewniających;</w:t>
            </w:r>
          </w:p>
          <w:p w14:paraId="473D7F36" w14:textId="0219C29F"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w przypadku gdy w zakładzie medycyny nuklearnej znakuje się radionuklidem pobrany od pacjenta materiał biologiczny, wydzielone do tego celu pomieszczenia i tryb pracy zapewniają utrzymanie stopnia czystości bakteriologicznej klasy A w rozumieniu przepisów wydanych na podstawie art. 39 ust. 5 pkt 1 ustawy z dnia 6 września 2001 r. – Prawo farmaceutyczne (Dz. U. z 2021 r. poz. 1977 i 2120 oraz z 2022</w:t>
            </w:r>
            <w:r w:rsidR="00171F0E">
              <w:rPr>
                <w:rFonts w:ascii="Times" w:eastAsia="Times New Roman" w:hAnsi="Times" w:cs="Arial"/>
                <w:bCs/>
                <w:sz w:val="24"/>
                <w:szCs w:val="20"/>
                <w:lang w:eastAsia="pl-PL"/>
              </w:rPr>
              <w:t> </w:t>
            </w:r>
            <w:r w:rsidRPr="00794226">
              <w:rPr>
                <w:rFonts w:ascii="Times" w:eastAsia="Times New Roman" w:hAnsi="Times" w:cs="Arial"/>
                <w:bCs/>
                <w:sz w:val="24"/>
                <w:szCs w:val="20"/>
                <w:lang w:eastAsia="pl-PL"/>
              </w:rPr>
              <w:t>r. poz. 830</w:t>
            </w:r>
            <w:r w:rsidR="00171F0E" w:rsidRPr="00171F0E">
              <w:rPr>
                <w:rFonts w:ascii="Times" w:eastAsia="Times New Roman" w:hAnsi="Times" w:cs="Arial"/>
                <w:bCs/>
                <w:sz w:val="24"/>
                <w:szCs w:val="20"/>
                <w:lang w:eastAsia="pl-PL"/>
              </w:rPr>
              <w:t>, 974 i 1095</w:t>
            </w:r>
            <w:r w:rsidRPr="00794226">
              <w:rPr>
                <w:rFonts w:ascii="Times" w:eastAsia="Times New Roman" w:hAnsi="Times" w:cs="Arial"/>
                <w:bCs/>
                <w:sz w:val="24"/>
                <w:szCs w:val="20"/>
                <w:lang w:eastAsia="pl-PL"/>
              </w:rPr>
              <w:t>);</w:t>
            </w:r>
          </w:p>
          <w:p w14:paraId="1D4609E5" w14:textId="0286BEC9"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lastRenderedPageBreak/>
              <w:t>3)</w:t>
            </w:r>
            <w:r w:rsidRPr="00794226">
              <w:rPr>
                <w:rFonts w:ascii="Times" w:eastAsia="Times New Roman" w:hAnsi="Times" w:cs="Arial"/>
                <w:bCs/>
                <w:sz w:val="24"/>
                <w:szCs w:val="20"/>
                <w:lang w:eastAsia="pl-PL"/>
              </w:rPr>
              <w:tab/>
              <w:t xml:space="preserve">przy podawaniu pacjentom produktów </w:t>
            </w:r>
            <w:proofErr w:type="spellStart"/>
            <w:r w:rsidRPr="00794226">
              <w:rPr>
                <w:rFonts w:ascii="Times" w:eastAsia="Times New Roman" w:hAnsi="Times" w:cs="Arial"/>
                <w:bCs/>
                <w:sz w:val="24"/>
                <w:szCs w:val="20"/>
                <w:lang w:eastAsia="pl-PL"/>
              </w:rPr>
              <w:t>radiofarmaceutycznych</w:t>
            </w:r>
            <w:proofErr w:type="spellEnd"/>
            <w:r w:rsidRPr="00794226">
              <w:rPr>
                <w:rFonts w:ascii="Times" w:eastAsia="Times New Roman" w:hAnsi="Times" w:cs="Arial"/>
                <w:bCs/>
                <w:sz w:val="24"/>
                <w:szCs w:val="20"/>
                <w:lang w:eastAsia="pl-PL"/>
              </w:rPr>
              <w:t xml:space="preserve"> w celach diagnostycznych należy stosować</w:t>
            </w:r>
            <w:r w:rsidR="006474D6">
              <w:rPr>
                <w:rFonts w:ascii="Times" w:eastAsia="Times New Roman" w:hAnsi="Times" w:cs="Arial"/>
                <w:bCs/>
                <w:sz w:val="24"/>
                <w:szCs w:val="20"/>
                <w:lang w:eastAsia="pl-PL"/>
              </w:rPr>
              <w:t>,</w:t>
            </w:r>
            <w:r w:rsidRPr="00794226">
              <w:rPr>
                <w:rFonts w:ascii="Times" w:eastAsia="Times New Roman" w:hAnsi="Times" w:cs="Arial"/>
                <w:bCs/>
                <w:sz w:val="24"/>
                <w:szCs w:val="20"/>
                <w:lang w:eastAsia="pl-PL"/>
              </w:rPr>
              <w:t xml:space="preserve"> jeżeli jest to możliwe</w:t>
            </w:r>
            <w:r w:rsidR="006474D6">
              <w:rPr>
                <w:rFonts w:ascii="Times" w:eastAsia="Times New Roman" w:hAnsi="Times" w:cs="Arial"/>
                <w:bCs/>
                <w:sz w:val="24"/>
                <w:szCs w:val="20"/>
                <w:lang w:eastAsia="pl-PL"/>
              </w:rPr>
              <w:t>,</w:t>
            </w:r>
            <w:r w:rsidRPr="00794226">
              <w:rPr>
                <w:rFonts w:ascii="Times" w:eastAsia="Times New Roman" w:hAnsi="Times" w:cs="Arial"/>
                <w:bCs/>
                <w:sz w:val="24"/>
                <w:szCs w:val="20"/>
                <w:lang w:eastAsia="pl-PL"/>
              </w:rPr>
              <w:t xml:space="preserve"> metody postępowania ograniczające odkładanie się znacznika promieniotwórczego w narządach niepodlegających badaniu oraz przyspieszające wydalanie znacznika z organizmu pacjenta;</w:t>
            </w:r>
          </w:p>
          <w:p w14:paraId="22F6506A"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4)</w:t>
            </w:r>
            <w:r w:rsidRPr="00794226">
              <w:rPr>
                <w:rFonts w:ascii="Times" w:eastAsia="Times New Roman" w:hAnsi="Times" w:cs="Arial"/>
                <w:bCs/>
                <w:sz w:val="24"/>
                <w:szCs w:val="20"/>
                <w:lang w:eastAsia="pl-PL"/>
              </w:rPr>
              <w:tab/>
              <w:t xml:space="preserve">każdorazowe podanie pacjentowi produktu </w:t>
            </w:r>
            <w:proofErr w:type="spellStart"/>
            <w:r w:rsidRPr="00794226">
              <w:rPr>
                <w:rFonts w:ascii="Times" w:eastAsia="Times New Roman" w:hAnsi="Times" w:cs="Arial"/>
                <w:bCs/>
                <w:sz w:val="24"/>
                <w:szCs w:val="20"/>
                <w:lang w:eastAsia="pl-PL"/>
              </w:rPr>
              <w:t>radiofarmaceutycznego</w:t>
            </w:r>
            <w:proofErr w:type="spellEnd"/>
            <w:r w:rsidRPr="00794226">
              <w:rPr>
                <w:rFonts w:ascii="Times" w:eastAsia="Times New Roman" w:hAnsi="Times" w:cs="Arial"/>
                <w:bCs/>
                <w:sz w:val="24"/>
                <w:szCs w:val="20"/>
                <w:lang w:eastAsia="pl-PL"/>
              </w:rPr>
              <w:t xml:space="preserve"> jest poprzedzone zmierzeniem aktywności tego produktu, tak aby pacjent otrzymał ilość (aktywność) produktu przepisaną przez lekarza nadzorującego lub wykonującego badanie lub leczenie;</w:t>
            </w:r>
          </w:p>
          <w:p w14:paraId="5E77AB27" w14:textId="3034C302"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5)</w:t>
            </w:r>
            <w:r w:rsidRPr="00794226">
              <w:rPr>
                <w:rFonts w:ascii="Times" w:eastAsia="Times New Roman" w:hAnsi="Times" w:cs="Arial"/>
                <w:bCs/>
                <w:sz w:val="24"/>
                <w:szCs w:val="20"/>
                <w:lang w:eastAsia="pl-PL"/>
              </w:rPr>
              <w:tab/>
              <w:t xml:space="preserve">podawanie produktu </w:t>
            </w:r>
            <w:proofErr w:type="spellStart"/>
            <w:r w:rsidRPr="00794226">
              <w:rPr>
                <w:rFonts w:ascii="Times" w:eastAsia="Times New Roman" w:hAnsi="Times" w:cs="Arial"/>
                <w:bCs/>
                <w:sz w:val="24"/>
                <w:szCs w:val="20"/>
                <w:lang w:eastAsia="pl-PL"/>
              </w:rPr>
              <w:t>radiofarmaceutycznego</w:t>
            </w:r>
            <w:proofErr w:type="spellEnd"/>
            <w:r w:rsidRPr="00794226">
              <w:rPr>
                <w:rFonts w:ascii="Times" w:eastAsia="Times New Roman" w:hAnsi="Times" w:cs="Arial"/>
                <w:bCs/>
                <w:sz w:val="24"/>
                <w:szCs w:val="20"/>
                <w:lang w:eastAsia="pl-PL"/>
              </w:rPr>
              <w:t xml:space="preserve"> dorosłym pacjentom uwzględnia</w:t>
            </w:r>
            <w:r w:rsidR="00896FED">
              <w:rPr>
                <w:rFonts w:ascii="Times" w:eastAsia="Times New Roman" w:hAnsi="Times" w:cs="Arial"/>
                <w:bCs/>
                <w:sz w:val="24"/>
                <w:szCs w:val="20"/>
                <w:lang w:eastAsia="pl-PL"/>
              </w:rPr>
              <w:t xml:space="preserve">, </w:t>
            </w:r>
            <w:r w:rsidRPr="00794226">
              <w:rPr>
                <w:rFonts w:ascii="Times" w:eastAsia="Times New Roman" w:hAnsi="Times" w:cs="Arial"/>
                <w:bCs/>
                <w:sz w:val="24"/>
                <w:szCs w:val="20"/>
                <w:lang w:eastAsia="pl-PL"/>
              </w:rPr>
              <w:t xml:space="preserve"> w przypadkach, w których jest to uzasadnione – masę lub powierzchnię ciała.</w:t>
            </w:r>
          </w:p>
          <w:p w14:paraId="2FEDDD4C"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ab/>
              <w:t xml:space="preserve">2. W przypadku stosowania automatycznych i półautomatycznych systemów dozujących </w:t>
            </w:r>
            <w:proofErr w:type="spellStart"/>
            <w:r w:rsidRPr="00794226">
              <w:rPr>
                <w:rFonts w:ascii="Times" w:eastAsia="Times New Roman" w:hAnsi="Times" w:cs="Arial"/>
                <w:bCs/>
                <w:sz w:val="24"/>
                <w:szCs w:val="20"/>
                <w:lang w:eastAsia="pl-PL"/>
              </w:rPr>
              <w:t>radiofarmaceutyki</w:t>
            </w:r>
            <w:proofErr w:type="spellEnd"/>
            <w:r w:rsidRPr="00794226">
              <w:rPr>
                <w:rFonts w:ascii="Times" w:eastAsia="Times New Roman" w:hAnsi="Times" w:cs="Arial"/>
                <w:bCs/>
                <w:sz w:val="24"/>
                <w:szCs w:val="20"/>
                <w:lang w:eastAsia="pl-PL"/>
              </w:rPr>
              <w:t xml:space="preserve"> wymagań, o których mowa w ust. 1 pkt 1 i 4 nie stosuje się.</w:t>
            </w:r>
          </w:p>
          <w:p w14:paraId="534F7630"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3. W leczeniu ambulatoryjnym otwartymi źródłami jodu-131 podana jednorazowa aktywność nie może przekraczać 800 </w:t>
            </w:r>
            <w:proofErr w:type="spellStart"/>
            <w:r w:rsidRPr="00794226">
              <w:rPr>
                <w:rFonts w:ascii="Times" w:eastAsia="Times New Roman" w:hAnsi="Times" w:cs="Arial"/>
                <w:bCs/>
                <w:sz w:val="24"/>
                <w:szCs w:val="20"/>
                <w:lang w:eastAsia="pl-PL"/>
              </w:rPr>
              <w:t>MBq</w:t>
            </w:r>
            <w:proofErr w:type="spellEnd"/>
            <w:r w:rsidRPr="00794226">
              <w:rPr>
                <w:rFonts w:ascii="Times" w:eastAsia="Times New Roman" w:hAnsi="Times" w:cs="Arial"/>
                <w:bCs/>
                <w:sz w:val="24"/>
                <w:szCs w:val="20"/>
                <w:lang w:eastAsia="pl-PL"/>
              </w:rPr>
              <w:t>.</w:t>
            </w:r>
          </w:p>
          <w:p w14:paraId="2A75F784"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4. Jeżeli podana jednorazowa aktywność przekracza wartość określoną w ust. 3 pacjent może być zwolniony ze szpitala po spadku aktywności w ciele tego pacjenta poniżej tej wartości. Przy podejmowaniu decyzji o zwolnieniu ze </w:t>
            </w:r>
            <w:r w:rsidRPr="00794226">
              <w:rPr>
                <w:rFonts w:ascii="Times" w:eastAsia="Times New Roman" w:hAnsi="Times" w:cs="Arial"/>
                <w:bCs/>
                <w:sz w:val="24"/>
                <w:szCs w:val="20"/>
                <w:lang w:eastAsia="pl-PL"/>
              </w:rPr>
              <w:lastRenderedPageBreak/>
              <w:t xml:space="preserve">szpitala pacjenta leczonego otwartymi źródłami jodu-131 uwzględnić należy każdorazowo warunki mieszkaniowe i rodzinne pacjenta oraz możliwości przestrzegania przez niego ograniczeń warunkujących zmniejszenie ryzyka radiacyjnego dla osób z otoczenia. </w:t>
            </w:r>
          </w:p>
          <w:p w14:paraId="0AA541E5"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5. Produkty </w:t>
            </w:r>
            <w:proofErr w:type="spellStart"/>
            <w:r w:rsidRPr="00794226">
              <w:rPr>
                <w:rFonts w:ascii="Times" w:eastAsia="Times New Roman" w:hAnsi="Times" w:cs="Arial"/>
                <w:bCs/>
                <w:sz w:val="24"/>
                <w:szCs w:val="20"/>
                <w:lang w:eastAsia="pl-PL"/>
              </w:rPr>
              <w:t>radiofarmaceutyczne</w:t>
            </w:r>
            <w:proofErr w:type="spellEnd"/>
            <w:r w:rsidRPr="00794226">
              <w:rPr>
                <w:rFonts w:ascii="Times" w:eastAsia="Times New Roman" w:hAnsi="Times" w:cs="Arial"/>
                <w:bCs/>
                <w:sz w:val="24"/>
                <w:szCs w:val="20"/>
                <w:lang w:eastAsia="pl-PL"/>
              </w:rPr>
              <w:t xml:space="preserve"> podlegają wewnętrznym testom kontroli jakości przeprowadzanym przez przeszkolony w tym zakresie personel jednostki ochrony zdrowia.</w:t>
            </w:r>
          </w:p>
          <w:bookmarkEnd w:id="0"/>
          <w:p w14:paraId="00DDB7DA" w14:textId="77777777" w:rsidR="00794226" w:rsidRPr="00794226" w:rsidRDefault="00794226" w:rsidP="00794226">
            <w:pPr>
              <w:keepNext/>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5.</w:t>
            </w:r>
            <w:r w:rsidRPr="00794226">
              <w:rPr>
                <w:rFonts w:ascii="Times" w:eastAsia="Times New Roman" w:hAnsi="Times" w:cs="Arial"/>
                <w:sz w:val="24"/>
                <w:szCs w:val="20"/>
                <w:lang w:eastAsia="pl-PL"/>
              </w:rPr>
              <w:t> 1. Podczas wykonywania medycznych procedur radiologicznych z zakresu rentgenodiagnostyki przestrzega się następujących zasad postępowania:</w:t>
            </w:r>
          </w:p>
          <w:p w14:paraId="54E2C883"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 xml:space="preserve">stosuje się wyłącznie aparaturę rentgenodiagnostyczną wyposażoną w co najmniej </w:t>
            </w:r>
            <w:proofErr w:type="spellStart"/>
            <w:r w:rsidRPr="00794226">
              <w:rPr>
                <w:rFonts w:ascii="Times" w:eastAsia="Times New Roman" w:hAnsi="Times" w:cs="Arial"/>
                <w:bCs/>
                <w:sz w:val="24"/>
                <w:szCs w:val="20"/>
                <w:lang w:eastAsia="pl-PL"/>
              </w:rPr>
              <w:t>sześciopulsowe</w:t>
            </w:r>
            <w:proofErr w:type="spellEnd"/>
            <w:r w:rsidRPr="00794226">
              <w:rPr>
                <w:rFonts w:ascii="Times" w:eastAsia="Times New Roman" w:hAnsi="Times" w:cs="Arial"/>
                <w:bCs/>
                <w:sz w:val="24"/>
                <w:szCs w:val="20"/>
                <w:lang w:eastAsia="pl-PL"/>
              </w:rPr>
              <w:t xml:space="preserve"> zasilacze, z zastrzeżeniem wyjątków określonych w przepisach wydanych na podstawie art. 46 ustawy z dnia 29 listopada 2000 r. – Prawo atomowe;</w:t>
            </w:r>
          </w:p>
          <w:p w14:paraId="1B332AC7"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ogranicza się liczbę projekcji, czas ekspozycji oraz rozmiary wiązki promieniowania jonizującego padającej na ciało pacjenta do wartości niezbędnych dla uzyskania żądanej informacji diagnostycznej;</w:t>
            </w:r>
          </w:p>
          <w:p w14:paraId="14FCC36D" w14:textId="77777777" w:rsidR="00794226" w:rsidRPr="00794226" w:rsidRDefault="00794226" w:rsidP="00794226">
            <w:pPr>
              <w:ind w:left="510" w:hanging="510"/>
              <w:jc w:val="both"/>
              <w:rPr>
                <w:rFonts w:ascii="Times" w:eastAsia="Times New Roman" w:hAnsi="Times" w:cs="Arial"/>
                <w:bCs/>
                <w:sz w:val="24"/>
                <w:szCs w:val="20"/>
                <w:lang w:eastAsia="pl-PL"/>
              </w:rPr>
            </w:pPr>
            <w:bookmarkStart w:id="1" w:name="_Hlk101881911"/>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r>
            <w:bookmarkStart w:id="2" w:name="_Hlk102122043"/>
            <w:r w:rsidRPr="00794226">
              <w:rPr>
                <w:rFonts w:ascii="Times" w:eastAsia="Times New Roman" w:hAnsi="Times" w:cs="Arial"/>
                <w:bCs/>
                <w:sz w:val="24"/>
                <w:szCs w:val="20"/>
                <w:lang w:eastAsia="pl-PL"/>
              </w:rPr>
              <w:t xml:space="preserve">stosuje się osłony osobiste chroniące przed promieniowaniem jonizującym części ciała i narządy pacjenta niebędące przedmiotem badania, w szczególności znajdujące się w obrębie wiązki pierwotnej tego promieniowania, jeżeli nie umniejsza to </w:t>
            </w:r>
            <w:r w:rsidRPr="00794226">
              <w:rPr>
                <w:rFonts w:ascii="Times" w:eastAsia="Times New Roman" w:hAnsi="Times" w:cs="Arial"/>
                <w:bCs/>
                <w:sz w:val="24"/>
                <w:szCs w:val="20"/>
                <w:lang w:eastAsia="pl-PL"/>
              </w:rPr>
              <w:lastRenderedPageBreak/>
              <w:t>diagnostycznych wartości wyniku badania; w przypadku wykonywania procedur z zakresu stomatologii stosuje się osłony osobiste chroniące w szczególności tarczycę;</w:t>
            </w:r>
          </w:p>
          <w:bookmarkEnd w:id="1"/>
          <w:bookmarkEnd w:id="2"/>
          <w:p w14:paraId="3FE1E9BD"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4)</w:t>
            </w:r>
            <w:r w:rsidRPr="00794226">
              <w:rPr>
                <w:rFonts w:ascii="Times" w:eastAsia="Times New Roman" w:hAnsi="Times" w:cs="Arial"/>
                <w:bCs/>
                <w:sz w:val="24"/>
                <w:szCs w:val="20"/>
                <w:lang w:eastAsia="pl-PL"/>
              </w:rPr>
              <w:tab/>
              <w:t>stosuje się materiały, fizyczne parametry pracy aparatu rentgenowskiego i wyposażenie do akwizycji i prezentacji obrazu zmniejszające do minimum narażenie na promieniowanie jonizujące przy jednoczesnym zapewnieniu uzyskania obrazu o wartości diagnostycznej;</w:t>
            </w:r>
          </w:p>
          <w:p w14:paraId="58D0D9E4"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5)</w:t>
            </w:r>
            <w:r w:rsidRPr="00794226">
              <w:rPr>
                <w:rFonts w:ascii="Times" w:eastAsia="Times New Roman" w:hAnsi="Times" w:cs="Arial"/>
                <w:bCs/>
                <w:sz w:val="24"/>
                <w:szCs w:val="20"/>
                <w:lang w:eastAsia="pl-PL"/>
              </w:rPr>
              <w:tab/>
              <w:t>przy analogowej rejestracji obrazów stosuje się wyłącznie automatyczną obróbkę fotochemiczną podlegającą procesowi optymalizacji, z wyłączeniem stomatologicznych badań wewnątrzustnych;</w:t>
            </w:r>
          </w:p>
          <w:p w14:paraId="5F43DEB0"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6)</w:t>
            </w:r>
            <w:r w:rsidRPr="00794226">
              <w:rPr>
                <w:rFonts w:ascii="Times" w:eastAsia="Times New Roman" w:hAnsi="Times" w:cs="Arial"/>
                <w:bCs/>
                <w:sz w:val="24"/>
                <w:szCs w:val="20"/>
                <w:lang w:eastAsia="pl-PL"/>
              </w:rPr>
              <w:tab/>
              <w:t>w dokumentacji medycznej pacjenta zapisuje się fizyczne parametry ekspozycji w sposób umożliwiający odtworzenie warunków badania i dawki, którą otrzymał pacjent, z wyłączeniem stomatologicznych zdjęć wewnątrzustnych, gdzie wymagane jest zapisanie informacji o wykonaniu badania;</w:t>
            </w:r>
          </w:p>
          <w:p w14:paraId="49C2DE21"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7)</w:t>
            </w:r>
            <w:r w:rsidRPr="00794226">
              <w:rPr>
                <w:rFonts w:ascii="Times" w:eastAsia="Times New Roman" w:hAnsi="Times" w:cs="Arial"/>
                <w:bCs/>
                <w:sz w:val="24"/>
                <w:szCs w:val="20"/>
                <w:lang w:eastAsia="pl-PL"/>
              </w:rPr>
              <w:tab/>
              <w:t>podczas wykonywania medycznych procedur radiologicznych z zakresu mammografii  ogranicza się do niezbędnego minimum stosowanie geometrycznego powiększenia obrazu;</w:t>
            </w:r>
          </w:p>
          <w:p w14:paraId="53D069CF"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8)</w:t>
            </w:r>
            <w:r w:rsidRPr="00794226">
              <w:rPr>
                <w:rFonts w:ascii="Times" w:eastAsia="Times New Roman" w:hAnsi="Times" w:cs="Arial"/>
                <w:bCs/>
                <w:sz w:val="24"/>
                <w:szCs w:val="20"/>
                <w:lang w:eastAsia="pl-PL"/>
              </w:rPr>
              <w:tab/>
              <w:t xml:space="preserve">ogranicza się stosowanie jezdnego i przenośnego sprzętu radiologicznego wyłącznie do przypadków, gdy przybycie pacjenta do stacjonarnego urządzenia </w:t>
            </w:r>
            <w:r w:rsidRPr="00794226">
              <w:rPr>
                <w:rFonts w:ascii="Times" w:eastAsia="Times New Roman" w:hAnsi="Times" w:cs="Arial"/>
                <w:bCs/>
                <w:sz w:val="24"/>
                <w:szCs w:val="20"/>
                <w:lang w:eastAsia="pl-PL"/>
              </w:rPr>
              <w:lastRenderedPageBreak/>
              <w:t>radiologicznego jest przeciwwskazane ze względów medycznych; ograniczenie to nie dotyczy jezdnego sprzętu radiologicznego stosowanego wyłącznie do zdjęć wewnątrzustnych.</w:t>
            </w:r>
          </w:p>
          <w:p w14:paraId="7D781186" w14:textId="77777777" w:rsidR="00794226" w:rsidRPr="00794226" w:rsidRDefault="00794226" w:rsidP="00794226">
            <w:pPr>
              <w:keepNext/>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sz w:val="24"/>
                <w:szCs w:val="20"/>
                <w:lang w:eastAsia="pl-PL"/>
              </w:rPr>
              <w:t>2. Podczas wykonywania medycznych procedur radiologicznych z zakresu tomografii komputerowej, poza wymaganiami określonymi w ust. 1, należy:</w:t>
            </w:r>
          </w:p>
          <w:p w14:paraId="02452E08" w14:textId="57CCF904"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 xml:space="preserve">w technice spiralnej </w:t>
            </w:r>
            <w:r w:rsidR="00C2773D">
              <w:rPr>
                <w:rFonts w:ascii="Times" w:eastAsia="Times New Roman" w:hAnsi="Times" w:cs="Arial"/>
                <w:bCs/>
                <w:sz w:val="24"/>
                <w:szCs w:val="20"/>
                <w:lang w:eastAsia="pl-PL"/>
              </w:rPr>
              <w:t xml:space="preserve">- </w:t>
            </w:r>
            <w:r w:rsidRPr="00794226">
              <w:rPr>
                <w:rFonts w:ascii="Times" w:eastAsia="Times New Roman" w:hAnsi="Times" w:cs="Arial"/>
                <w:bCs/>
                <w:sz w:val="24"/>
                <w:szCs w:val="20"/>
                <w:lang w:eastAsia="pl-PL"/>
              </w:rPr>
              <w:t xml:space="preserve">rekonstruować obraz warstw pośrednich </w:t>
            </w:r>
            <w:r w:rsidR="00C2773D" w:rsidRPr="00794226">
              <w:rPr>
                <w:rFonts w:ascii="Times" w:eastAsia="Times New Roman" w:hAnsi="Times" w:cs="Arial"/>
                <w:bCs/>
                <w:sz w:val="24"/>
                <w:szCs w:val="20"/>
                <w:lang w:eastAsia="pl-PL"/>
              </w:rPr>
              <w:t xml:space="preserve">z istniejących danych </w:t>
            </w:r>
            <w:r w:rsidRPr="00794226">
              <w:rPr>
                <w:rFonts w:ascii="Times" w:eastAsia="Times New Roman" w:hAnsi="Times" w:cs="Arial"/>
                <w:bCs/>
                <w:sz w:val="24"/>
                <w:szCs w:val="20"/>
                <w:lang w:eastAsia="pl-PL"/>
              </w:rPr>
              <w:t>zamiast wykonywania dodatkowych obrazów;</w:t>
            </w:r>
          </w:p>
          <w:p w14:paraId="33038F32" w14:textId="7AA301F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 xml:space="preserve">w technice spiralnej </w:t>
            </w:r>
            <w:r w:rsidR="00C2773D">
              <w:rPr>
                <w:rFonts w:ascii="Times" w:eastAsia="Times New Roman" w:hAnsi="Times" w:cs="Arial"/>
                <w:bCs/>
                <w:sz w:val="24"/>
                <w:szCs w:val="20"/>
                <w:lang w:eastAsia="pl-PL"/>
              </w:rPr>
              <w:t xml:space="preserve">- </w:t>
            </w:r>
            <w:r w:rsidRPr="00794226">
              <w:rPr>
                <w:rFonts w:ascii="Times" w:eastAsia="Times New Roman" w:hAnsi="Times" w:cs="Arial"/>
                <w:bCs/>
                <w:sz w:val="24"/>
                <w:szCs w:val="20"/>
                <w:lang w:eastAsia="pl-PL"/>
              </w:rPr>
              <w:t>zapewnić, aby stosunek skoku spirali do szerokości wiązki był nie mniejszy od jedności;</w:t>
            </w:r>
          </w:p>
          <w:p w14:paraId="2A99440A" w14:textId="47251DFD"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t xml:space="preserve">w technice stacjonarnej </w:t>
            </w:r>
            <w:r w:rsidR="00C2773D">
              <w:rPr>
                <w:rFonts w:ascii="Times" w:eastAsia="Times New Roman" w:hAnsi="Times" w:cs="Arial"/>
                <w:bCs/>
                <w:sz w:val="24"/>
                <w:szCs w:val="20"/>
                <w:lang w:eastAsia="pl-PL"/>
              </w:rPr>
              <w:t xml:space="preserve">- </w:t>
            </w:r>
            <w:r w:rsidRPr="00794226">
              <w:rPr>
                <w:rFonts w:ascii="Times" w:eastAsia="Times New Roman" w:hAnsi="Times" w:cs="Arial"/>
                <w:bCs/>
                <w:sz w:val="24"/>
                <w:szCs w:val="20"/>
                <w:lang w:eastAsia="pl-PL"/>
              </w:rPr>
              <w:t xml:space="preserve">zapewnić, aby przesunięcie stołu między kolejnymi skanami było nie mniejsze niż szerokość </w:t>
            </w:r>
            <w:proofErr w:type="spellStart"/>
            <w:r w:rsidRPr="00794226">
              <w:rPr>
                <w:rFonts w:ascii="Times" w:eastAsia="Times New Roman" w:hAnsi="Times" w:cs="Arial"/>
                <w:bCs/>
                <w:sz w:val="24"/>
                <w:szCs w:val="20"/>
                <w:lang w:eastAsia="pl-PL"/>
              </w:rPr>
              <w:t>kolimowanej</w:t>
            </w:r>
            <w:proofErr w:type="spellEnd"/>
            <w:r w:rsidRPr="00794226">
              <w:rPr>
                <w:rFonts w:ascii="Times" w:eastAsia="Times New Roman" w:hAnsi="Times" w:cs="Arial"/>
                <w:bCs/>
                <w:sz w:val="24"/>
                <w:szCs w:val="20"/>
                <w:lang w:eastAsia="pl-PL"/>
              </w:rPr>
              <w:t xml:space="preserve"> wiązki.</w:t>
            </w:r>
            <w:r w:rsidRPr="00794226" w:rsidDel="001050E7">
              <w:rPr>
                <w:rFonts w:ascii="Times" w:eastAsia="Times New Roman" w:hAnsi="Times" w:cs="Arial"/>
                <w:bCs/>
                <w:sz w:val="24"/>
                <w:szCs w:val="20"/>
                <w:lang w:eastAsia="pl-PL"/>
              </w:rPr>
              <w:t xml:space="preserve"> </w:t>
            </w:r>
          </w:p>
          <w:p w14:paraId="54D3FA11"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 Podczas wykonywania medycznych procedur radiologicznych z zakresu stomatologii wewnątrzustnej, poza wymaganiami określonymi w ust. 1, należy:</w:t>
            </w:r>
          </w:p>
          <w:p w14:paraId="632D2E1F"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 xml:space="preserve">stosować napięcie w przedziale 60–70 </w:t>
            </w:r>
            <w:proofErr w:type="spellStart"/>
            <w:r w:rsidRPr="00794226">
              <w:rPr>
                <w:rFonts w:ascii="Times" w:eastAsia="Times New Roman" w:hAnsi="Times" w:cs="Arial"/>
                <w:bCs/>
                <w:sz w:val="24"/>
                <w:szCs w:val="20"/>
                <w:lang w:eastAsia="pl-PL"/>
              </w:rPr>
              <w:t>kV</w:t>
            </w:r>
            <w:proofErr w:type="spellEnd"/>
            <w:r w:rsidRPr="00794226">
              <w:rPr>
                <w:rFonts w:ascii="Times" w:eastAsia="Times New Roman" w:hAnsi="Times" w:cs="Arial"/>
                <w:bCs/>
                <w:sz w:val="24"/>
                <w:szCs w:val="20"/>
                <w:lang w:eastAsia="pl-PL"/>
              </w:rPr>
              <w:t>;</w:t>
            </w:r>
          </w:p>
          <w:p w14:paraId="574F5432"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jeżeli jest to możliwe, stosować kolimację prostokątną wraz z układem trzymającym rejestrator obrazu; przy stosowaniu kolimacji okrągłej nie przekraczać średnicy wiązki 60 mm;</w:t>
            </w:r>
          </w:p>
          <w:p w14:paraId="195DE273" w14:textId="1BC7065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lastRenderedPageBreak/>
              <w:t>3)</w:t>
            </w:r>
            <w:r w:rsidRPr="00794226">
              <w:rPr>
                <w:rFonts w:ascii="Times" w:eastAsia="Times New Roman" w:hAnsi="Times" w:cs="Arial"/>
                <w:bCs/>
                <w:sz w:val="24"/>
                <w:szCs w:val="20"/>
                <w:lang w:eastAsia="pl-PL"/>
              </w:rPr>
              <w:tab/>
              <w:t>przy analogowej rejestracji obrazów stosować błony o czułości E lub F według klasyfikacji określonej w normie PN-EN ISO 3665</w:t>
            </w:r>
            <w:r w:rsidR="007A5C55">
              <w:rPr>
                <w:rFonts w:ascii="Times" w:eastAsia="Times New Roman" w:hAnsi="Times" w:cs="Arial"/>
                <w:bCs/>
                <w:sz w:val="24"/>
                <w:szCs w:val="20"/>
                <w:lang w:eastAsia="pl-PL"/>
              </w:rPr>
              <w:t>.</w:t>
            </w:r>
          </w:p>
          <w:p w14:paraId="41C518EA" w14:textId="77777777" w:rsidR="00794226" w:rsidRPr="00794226" w:rsidRDefault="00794226" w:rsidP="00794226">
            <w:pPr>
              <w:keepNext/>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sz w:val="24"/>
                <w:szCs w:val="20"/>
                <w:lang w:eastAsia="pl-PL"/>
              </w:rPr>
              <w:t xml:space="preserve">4. Podczas wykonywania medycznych procedur radiologicznych z zakresu pantomografii, </w:t>
            </w:r>
            <w:proofErr w:type="spellStart"/>
            <w:r w:rsidRPr="00794226">
              <w:rPr>
                <w:rFonts w:ascii="Times" w:eastAsia="Times New Roman" w:hAnsi="Times" w:cs="Arial"/>
                <w:sz w:val="24"/>
                <w:szCs w:val="20"/>
                <w:lang w:eastAsia="pl-PL"/>
              </w:rPr>
              <w:t>cefalometrii</w:t>
            </w:r>
            <w:proofErr w:type="spellEnd"/>
            <w:r w:rsidRPr="00794226">
              <w:rPr>
                <w:rFonts w:ascii="Times" w:eastAsia="Times New Roman" w:hAnsi="Times" w:cs="Arial"/>
                <w:sz w:val="24"/>
                <w:szCs w:val="20"/>
                <w:lang w:eastAsia="pl-PL"/>
              </w:rPr>
              <w:t xml:space="preserve"> i tomografii stomatologicznej, poza wymaganiami określonymi w ust. 1, należy:</w:t>
            </w:r>
          </w:p>
          <w:p w14:paraId="41599942"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przy analogowej rejestracji obrazów stosować układ błona-folia wzmacniająca o czułości 400;</w:t>
            </w:r>
          </w:p>
          <w:p w14:paraId="2559410F"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rozmiar napromienionego pola ograniczyć do rozmiaru nieprzekraczającego rozmiaru błony lub rejestratora obrazu;</w:t>
            </w:r>
          </w:p>
          <w:p w14:paraId="6C21AC3F" w14:textId="78812002"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r>
            <w:r w:rsidR="0089295F" w:rsidRPr="00794226">
              <w:rPr>
                <w:rFonts w:ascii="Times" w:eastAsia="Times New Roman" w:hAnsi="Times" w:cs="Arial"/>
                <w:bCs/>
                <w:sz w:val="24"/>
                <w:szCs w:val="20"/>
                <w:lang w:eastAsia="pl-PL"/>
              </w:rPr>
              <w:t xml:space="preserve">w przypadku badań z zakresu </w:t>
            </w:r>
            <w:proofErr w:type="spellStart"/>
            <w:r w:rsidR="0089295F" w:rsidRPr="00794226">
              <w:rPr>
                <w:rFonts w:ascii="Times" w:eastAsia="Times New Roman" w:hAnsi="Times" w:cs="Arial"/>
                <w:bCs/>
                <w:sz w:val="24"/>
                <w:szCs w:val="20"/>
                <w:lang w:eastAsia="pl-PL"/>
              </w:rPr>
              <w:t>cefalometrii</w:t>
            </w:r>
            <w:proofErr w:type="spellEnd"/>
            <w:r w:rsidR="0089295F" w:rsidRPr="00794226">
              <w:rPr>
                <w:rFonts w:ascii="Times" w:eastAsia="Times New Roman" w:hAnsi="Times" w:cs="Arial"/>
                <w:bCs/>
                <w:sz w:val="24"/>
                <w:szCs w:val="20"/>
                <w:lang w:eastAsia="pl-PL"/>
              </w:rPr>
              <w:t xml:space="preserve"> lub tomografii stomatologicznej</w:t>
            </w:r>
            <w:r w:rsidR="00DB68CA">
              <w:rPr>
                <w:rFonts w:ascii="Times" w:eastAsia="Times New Roman" w:hAnsi="Times" w:cs="Arial"/>
                <w:bCs/>
                <w:sz w:val="24"/>
                <w:szCs w:val="20"/>
                <w:lang w:eastAsia="pl-PL"/>
              </w:rPr>
              <w:t xml:space="preserve"> </w:t>
            </w:r>
            <w:r w:rsidR="0089295F">
              <w:rPr>
                <w:rFonts w:ascii="Times" w:eastAsia="Times New Roman" w:hAnsi="Times" w:cs="Arial"/>
                <w:bCs/>
                <w:sz w:val="24"/>
                <w:szCs w:val="20"/>
                <w:lang w:eastAsia="pl-PL"/>
              </w:rPr>
              <w:sym w:font="Symbol" w:char="F02D"/>
            </w:r>
            <w:r w:rsidR="0089295F">
              <w:rPr>
                <w:rFonts w:ascii="Times" w:eastAsia="Times New Roman" w:hAnsi="Times" w:cs="Arial"/>
                <w:bCs/>
                <w:sz w:val="24"/>
                <w:szCs w:val="20"/>
                <w:lang w:eastAsia="pl-PL"/>
              </w:rPr>
              <w:t xml:space="preserve"> </w:t>
            </w:r>
            <w:r w:rsidRPr="00794226">
              <w:rPr>
                <w:rFonts w:ascii="Times" w:eastAsia="Times New Roman" w:hAnsi="Times" w:cs="Arial"/>
                <w:bCs/>
                <w:sz w:val="24"/>
                <w:szCs w:val="20"/>
                <w:lang w:eastAsia="pl-PL"/>
              </w:rPr>
              <w:t>ograniczać pole badane do obszaru istotnego klinicznie.</w:t>
            </w:r>
          </w:p>
          <w:p w14:paraId="62D9D7E2"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5. Stosowanie fluoroskopii jest dopuszczalne w przypadkach, w których ze względów diagnostycznych nie może być ona zastąpiona radiografią.</w:t>
            </w:r>
          </w:p>
          <w:p w14:paraId="5A3BE1A0"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6</w:t>
            </w:r>
            <w:r w:rsidRPr="00794226">
              <w:rPr>
                <w:rFonts w:ascii="Times" w:eastAsia="Times New Roman" w:hAnsi="Times" w:cs="Arial"/>
                <w:sz w:val="24"/>
                <w:szCs w:val="20"/>
                <w:lang w:eastAsia="pl-PL"/>
              </w:rPr>
              <w:t>. 1. Podczas wykonywania medycznych procedur radiologicznych z zakresu radiologii zabiegowej, jeżeli jest to uzasadnione klinicznie, należy:</w:t>
            </w:r>
          </w:p>
          <w:p w14:paraId="464B9FE0"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1) </w:t>
            </w:r>
            <w:r w:rsidRPr="00794226">
              <w:rPr>
                <w:rFonts w:ascii="Times" w:eastAsia="Times New Roman" w:hAnsi="Times" w:cs="Arial"/>
                <w:bCs/>
                <w:sz w:val="24"/>
                <w:szCs w:val="20"/>
                <w:lang w:eastAsia="pl-PL"/>
              </w:rPr>
              <w:tab/>
              <w:t>stosować możliwie najkrótszy czas emisji promieniowania jonizującego niezbędny dla prawidłowego wykonania procedury;</w:t>
            </w:r>
          </w:p>
          <w:p w14:paraId="5E412BAA"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nie stosować trybu pracy aparatury rentgenowskiej w reżimie wysokiej mocy dawki;</w:t>
            </w:r>
          </w:p>
          <w:p w14:paraId="05350A0E"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lastRenderedPageBreak/>
              <w:t>3)</w:t>
            </w:r>
            <w:r w:rsidRPr="00794226">
              <w:rPr>
                <w:rFonts w:ascii="Times" w:eastAsia="Times New Roman" w:hAnsi="Times" w:cs="Arial"/>
                <w:bCs/>
                <w:sz w:val="24"/>
                <w:szCs w:val="20"/>
                <w:lang w:eastAsia="pl-PL"/>
              </w:rPr>
              <w:tab/>
              <w:t>stosować możliwie największą odległość lampy od pacjenta;</w:t>
            </w:r>
          </w:p>
          <w:p w14:paraId="5ECF60C6"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4)</w:t>
            </w:r>
            <w:r w:rsidRPr="00794226">
              <w:rPr>
                <w:rFonts w:ascii="Times" w:eastAsia="Times New Roman" w:hAnsi="Times" w:cs="Arial"/>
                <w:bCs/>
                <w:sz w:val="24"/>
                <w:szCs w:val="20"/>
                <w:lang w:eastAsia="pl-PL"/>
              </w:rPr>
              <w:tab/>
              <w:t>stosować możliwie najbliższe położenie wzmacniacza obrazu względem pacjenta;</w:t>
            </w:r>
          </w:p>
          <w:p w14:paraId="54C073C8" w14:textId="09FDA0FA"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5) </w:t>
            </w:r>
            <w:r w:rsidRPr="00794226">
              <w:rPr>
                <w:rFonts w:ascii="Times" w:eastAsia="Times New Roman" w:hAnsi="Times" w:cs="Arial"/>
                <w:bCs/>
                <w:sz w:val="24"/>
                <w:szCs w:val="20"/>
                <w:lang w:eastAsia="pl-PL"/>
              </w:rPr>
              <w:tab/>
              <w:t>ograniczyć do minimum stosowanie powiększenia obrazu przez przełączenie pola widzenia wzmacniacza obrazu;</w:t>
            </w:r>
          </w:p>
          <w:p w14:paraId="7626900D"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6)</w:t>
            </w:r>
            <w:r w:rsidRPr="00794226">
              <w:rPr>
                <w:rFonts w:ascii="Times" w:eastAsia="Times New Roman" w:hAnsi="Times" w:cs="Arial"/>
                <w:bCs/>
                <w:sz w:val="24"/>
                <w:szCs w:val="20"/>
                <w:lang w:eastAsia="pl-PL"/>
              </w:rPr>
              <w:tab/>
              <w:t>zmieniać położenie miejsca wejścia wiązki pierwotnej promieniowania jonizującego;</w:t>
            </w:r>
          </w:p>
          <w:p w14:paraId="40713F1B"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7)</w:t>
            </w:r>
            <w:r w:rsidRPr="00794226">
              <w:rPr>
                <w:rFonts w:ascii="Times" w:eastAsia="Times New Roman" w:hAnsi="Times" w:cs="Arial"/>
                <w:bCs/>
                <w:sz w:val="24"/>
                <w:szCs w:val="20"/>
                <w:lang w:eastAsia="pl-PL"/>
              </w:rPr>
              <w:tab/>
              <w:t>ograniczać do minimum liczbę ekspozycji przeznaczonych do rejestracji obrazów;</w:t>
            </w:r>
          </w:p>
          <w:p w14:paraId="538EB65D"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8)</w:t>
            </w:r>
            <w:r w:rsidRPr="00794226">
              <w:rPr>
                <w:rFonts w:ascii="Times" w:eastAsia="Times New Roman" w:hAnsi="Times" w:cs="Arial"/>
                <w:bCs/>
                <w:sz w:val="24"/>
                <w:szCs w:val="20"/>
                <w:lang w:eastAsia="pl-PL"/>
              </w:rPr>
              <w:tab/>
              <w:t>stosować fluoroskopię pulsacyjną oraz funkcję zatrzymania ostatniego obrazu (LIH);</w:t>
            </w:r>
          </w:p>
          <w:p w14:paraId="24F6F989"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9)</w:t>
            </w:r>
            <w:r w:rsidRPr="00794226">
              <w:rPr>
                <w:rFonts w:ascii="Times" w:eastAsia="Times New Roman" w:hAnsi="Times" w:cs="Arial"/>
                <w:bCs/>
                <w:sz w:val="24"/>
                <w:szCs w:val="20"/>
                <w:lang w:eastAsia="pl-PL"/>
              </w:rPr>
              <w:tab/>
              <w:t>podawać środek kontrastowy ze strzykawki automatycznej.</w:t>
            </w:r>
          </w:p>
          <w:p w14:paraId="31CFB7E4"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2. Pacjent, który w wyniku wykonania medycznej procedury radiologicznej z zakresu radiologii zabiegowej otrzymał na skórę dawkę sumaryczną przekraczającą 3 </w:t>
            </w:r>
            <w:proofErr w:type="spellStart"/>
            <w:r w:rsidRPr="00794226">
              <w:rPr>
                <w:rFonts w:ascii="Times" w:eastAsia="Times New Roman" w:hAnsi="Times" w:cs="Arial"/>
                <w:bCs/>
                <w:sz w:val="24"/>
                <w:szCs w:val="20"/>
                <w:lang w:eastAsia="pl-PL"/>
              </w:rPr>
              <w:t>Gy</w:t>
            </w:r>
            <w:proofErr w:type="spellEnd"/>
            <w:r w:rsidRPr="00794226">
              <w:rPr>
                <w:rFonts w:ascii="Times" w:eastAsia="Times New Roman" w:hAnsi="Times" w:cs="Arial"/>
                <w:bCs/>
                <w:sz w:val="24"/>
                <w:szCs w:val="20"/>
                <w:lang w:eastAsia="pl-PL"/>
              </w:rPr>
              <w:t>, jest poddawany na koszt jednostki wykonującej zabieg badaniom kontrolnym co najmniej raz w tygodniu w okresie 21 dni po zabiegu.</w:t>
            </w:r>
          </w:p>
          <w:p w14:paraId="7113A22F" w14:textId="09DD5373" w:rsidR="00794226" w:rsidRPr="00794226" w:rsidRDefault="002B6C6F" w:rsidP="00794226">
            <w:pPr>
              <w:suppressAutoHyphens/>
              <w:autoSpaceDE w:val="0"/>
              <w:autoSpaceDN w:val="0"/>
              <w:adjustRightInd w:val="0"/>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3</w:t>
            </w:r>
            <w:r w:rsidR="00794226" w:rsidRPr="00794226">
              <w:rPr>
                <w:rFonts w:ascii="Times" w:eastAsia="Times New Roman" w:hAnsi="Times" w:cs="Arial"/>
                <w:bCs/>
                <w:sz w:val="24"/>
                <w:szCs w:val="20"/>
                <w:lang w:eastAsia="pl-PL"/>
              </w:rPr>
              <w:t xml:space="preserve">. W przypadku otrzymania przez pacjenta sumarycznej dawki na skórę przekraczającej 1 </w:t>
            </w:r>
            <w:proofErr w:type="spellStart"/>
            <w:r w:rsidR="00794226" w:rsidRPr="00794226">
              <w:rPr>
                <w:rFonts w:ascii="Times" w:eastAsia="Times New Roman" w:hAnsi="Times" w:cs="Arial"/>
                <w:bCs/>
                <w:sz w:val="24"/>
                <w:szCs w:val="20"/>
                <w:lang w:eastAsia="pl-PL"/>
              </w:rPr>
              <w:t>Gy</w:t>
            </w:r>
            <w:proofErr w:type="spellEnd"/>
            <w:r w:rsidR="00794226" w:rsidRPr="00794226">
              <w:rPr>
                <w:rFonts w:ascii="Times" w:eastAsia="Times New Roman" w:hAnsi="Times" w:cs="Arial"/>
                <w:bCs/>
                <w:sz w:val="24"/>
                <w:szCs w:val="20"/>
                <w:lang w:eastAsia="pl-PL"/>
              </w:rPr>
              <w:t xml:space="preserve"> w dokumentacji medycznej zapisuje się informację o wielkości dawki.</w:t>
            </w:r>
          </w:p>
          <w:p w14:paraId="010329AA" w14:textId="78DF48E3" w:rsidR="002B6C6F" w:rsidRDefault="002B6C6F" w:rsidP="002B6C6F">
            <w:pPr>
              <w:suppressAutoHyphens/>
              <w:autoSpaceDE w:val="0"/>
              <w:autoSpaceDN w:val="0"/>
              <w:adjustRightInd w:val="0"/>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4</w:t>
            </w:r>
            <w:r w:rsidR="00794226" w:rsidRPr="00794226">
              <w:rPr>
                <w:rFonts w:ascii="Times" w:eastAsia="Times New Roman" w:hAnsi="Times" w:cs="Arial"/>
                <w:bCs/>
                <w:sz w:val="24"/>
                <w:szCs w:val="20"/>
                <w:lang w:eastAsia="pl-PL"/>
              </w:rPr>
              <w:t xml:space="preserve">. Jeżeli pacjent w wyniku wykonania medycznej procedury radiologicznej z zakresu radiologii zabiegowej, wykonywanej według obowiązujących procedur, a mogącej wymagać powtórzenia, otrzymał na skórę dawkę sumaryczną przekraczającą 1 </w:t>
            </w:r>
            <w:proofErr w:type="spellStart"/>
            <w:r w:rsidR="00794226" w:rsidRPr="00794226">
              <w:rPr>
                <w:rFonts w:ascii="Times" w:eastAsia="Times New Roman" w:hAnsi="Times" w:cs="Arial"/>
                <w:bCs/>
                <w:sz w:val="24"/>
                <w:szCs w:val="20"/>
                <w:lang w:eastAsia="pl-PL"/>
              </w:rPr>
              <w:t>Gy</w:t>
            </w:r>
            <w:proofErr w:type="spellEnd"/>
            <w:r w:rsidR="00794226" w:rsidRPr="00794226">
              <w:rPr>
                <w:rFonts w:ascii="Times" w:eastAsia="Times New Roman" w:hAnsi="Times" w:cs="Arial"/>
                <w:bCs/>
                <w:sz w:val="24"/>
                <w:szCs w:val="20"/>
                <w:lang w:eastAsia="pl-PL"/>
              </w:rPr>
              <w:t xml:space="preserve">, dokumentacja wyniki badań </w:t>
            </w:r>
            <w:r w:rsidR="00794226" w:rsidRPr="00794226">
              <w:rPr>
                <w:rFonts w:ascii="Times" w:eastAsia="Times New Roman" w:hAnsi="Times" w:cs="Arial"/>
                <w:bCs/>
                <w:sz w:val="24"/>
                <w:szCs w:val="20"/>
                <w:lang w:eastAsia="pl-PL"/>
              </w:rPr>
              <w:lastRenderedPageBreak/>
              <w:t xml:space="preserve">oraz informacja o dawce są przekazywane lekarzowi prowadzącemu. </w:t>
            </w:r>
          </w:p>
          <w:p w14:paraId="05908111" w14:textId="033B3F27" w:rsidR="002B6C6F" w:rsidRPr="00794226" w:rsidRDefault="002B6C6F" w:rsidP="002B6C6F">
            <w:pPr>
              <w:suppressAutoHyphens/>
              <w:autoSpaceDE w:val="0"/>
              <w:autoSpaceDN w:val="0"/>
              <w:adjustRightInd w:val="0"/>
              <w:ind w:firstLine="510"/>
              <w:jc w:val="both"/>
              <w:rPr>
                <w:rFonts w:ascii="Times" w:eastAsia="Times New Roman" w:hAnsi="Times" w:cs="Arial"/>
                <w:bCs/>
                <w:sz w:val="24"/>
                <w:szCs w:val="20"/>
                <w:lang w:eastAsia="pl-PL"/>
              </w:rPr>
            </w:pPr>
            <w:r>
              <w:rPr>
                <w:rFonts w:ascii="Times" w:eastAsia="Times New Roman" w:hAnsi="Times" w:cs="Arial"/>
                <w:bCs/>
                <w:sz w:val="24"/>
                <w:szCs w:val="20"/>
                <w:lang w:eastAsia="pl-PL"/>
              </w:rPr>
              <w:t>5</w:t>
            </w:r>
            <w:r w:rsidRPr="00794226">
              <w:rPr>
                <w:rFonts w:ascii="Times" w:eastAsia="Times New Roman" w:hAnsi="Times" w:cs="Arial"/>
                <w:bCs/>
                <w:sz w:val="24"/>
                <w:szCs w:val="20"/>
                <w:lang w:eastAsia="pl-PL"/>
              </w:rPr>
              <w:t xml:space="preserve">. W stosunku do pacjenta, o którym mowa w ust. </w:t>
            </w:r>
            <w:r w:rsidR="00DE33E0">
              <w:rPr>
                <w:rFonts w:ascii="Times" w:eastAsia="Times New Roman" w:hAnsi="Times" w:cs="Arial"/>
                <w:bCs/>
                <w:sz w:val="24"/>
                <w:szCs w:val="20"/>
                <w:lang w:eastAsia="pl-PL"/>
              </w:rPr>
              <w:t>4</w:t>
            </w:r>
            <w:r w:rsidRPr="00794226">
              <w:rPr>
                <w:rFonts w:ascii="Times" w:eastAsia="Times New Roman" w:hAnsi="Times" w:cs="Arial"/>
                <w:bCs/>
                <w:sz w:val="24"/>
                <w:szCs w:val="20"/>
                <w:lang w:eastAsia="pl-PL"/>
              </w:rPr>
              <w:t>, w przypadku gdy jest to konieczne, podejmuje się leczenie specjalistyczne.</w:t>
            </w:r>
          </w:p>
          <w:p w14:paraId="0E425AEC"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7.</w:t>
            </w:r>
            <w:r w:rsidRPr="00794226">
              <w:rPr>
                <w:rFonts w:ascii="Times" w:eastAsia="Times New Roman" w:hAnsi="Times" w:cs="Arial"/>
                <w:sz w:val="24"/>
                <w:szCs w:val="20"/>
                <w:lang w:eastAsia="pl-PL"/>
              </w:rPr>
              <w:t xml:space="preserve"> Warunkami bezpiecznego leczenia z wykorzystaniem promieniowania jonizującego są:</w:t>
            </w:r>
          </w:p>
          <w:p w14:paraId="22A6CB87"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właściwa struktura organizacyjna i wyposażenie jednostki ochrony zdrowia;</w:t>
            </w:r>
          </w:p>
          <w:p w14:paraId="73DAD1EE"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właściwy dobór, liczba i kwalifikacje personelu;</w:t>
            </w:r>
          </w:p>
          <w:p w14:paraId="2CB49A23"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t>przestrzeganie wewnętrznych procedur obowiązujących w jednostce ochrony zdrowia, w tym procedur kontroli jakości.</w:t>
            </w:r>
          </w:p>
          <w:p w14:paraId="278A022A" w14:textId="77777777" w:rsidR="00794226" w:rsidRPr="00794226" w:rsidRDefault="00794226" w:rsidP="00794226">
            <w:pPr>
              <w:suppressAutoHyphens/>
              <w:autoSpaceDE w:val="0"/>
              <w:autoSpaceDN w:val="0"/>
              <w:adjustRightInd w:val="0"/>
              <w:jc w:val="both"/>
              <w:rPr>
                <w:rFonts w:ascii="Times" w:eastAsia="Times New Roman" w:hAnsi="Times" w:cs="Arial"/>
                <w:bCs/>
                <w:sz w:val="24"/>
                <w:szCs w:val="20"/>
                <w:lang w:eastAsia="pl-PL"/>
              </w:rPr>
            </w:pPr>
            <w:r w:rsidRPr="00794226">
              <w:rPr>
                <w:rFonts w:ascii="Times" w:eastAsia="Times New Roman" w:hAnsi="Times" w:cs="Arial"/>
                <w:b/>
                <w:bCs/>
                <w:sz w:val="24"/>
                <w:szCs w:val="20"/>
                <w:lang w:eastAsia="pl-PL"/>
              </w:rPr>
              <w:t xml:space="preserve"> </w:t>
            </w:r>
            <w:r w:rsidRPr="00794226">
              <w:rPr>
                <w:rFonts w:ascii="Times" w:eastAsia="Times New Roman" w:hAnsi="Times" w:cs="Arial"/>
                <w:b/>
                <w:bCs/>
                <w:sz w:val="24"/>
                <w:szCs w:val="20"/>
                <w:lang w:eastAsia="pl-PL"/>
              </w:rPr>
              <w:tab/>
              <w:t xml:space="preserve">      § 8</w:t>
            </w:r>
            <w:r w:rsidRPr="00794226">
              <w:rPr>
                <w:rFonts w:ascii="Times" w:eastAsia="Times New Roman" w:hAnsi="Times" w:cs="Arial"/>
                <w:bCs/>
                <w:sz w:val="24"/>
                <w:szCs w:val="20"/>
                <w:lang w:eastAsia="pl-PL"/>
              </w:rPr>
              <w:t>.</w:t>
            </w:r>
            <w:r w:rsidRPr="00794226">
              <w:rPr>
                <w:rFonts w:ascii="Times" w:eastAsia="Times New Roman" w:hAnsi="Times" w:cs="Arial"/>
                <w:bCs/>
                <w:sz w:val="24"/>
                <w:szCs w:val="20"/>
                <w:lang w:eastAsia="pl-PL"/>
              </w:rPr>
              <w:tab/>
              <w:t>W jednostce prowadzącej radioterapię megawoltową działa zakład lub pracownia fizyki medycznej.</w:t>
            </w:r>
          </w:p>
          <w:p w14:paraId="7481C9BD"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9</w:t>
            </w:r>
            <w:r w:rsidRPr="00794226">
              <w:rPr>
                <w:rFonts w:ascii="Times" w:eastAsia="Times New Roman" w:hAnsi="Times" w:cs="Arial"/>
                <w:sz w:val="24"/>
                <w:szCs w:val="20"/>
                <w:lang w:eastAsia="pl-PL"/>
              </w:rPr>
              <w:t>. 1. Przebieg pracy aparatu terapeutycznego oraz symulatora jest zapisywany w rejestrze eksploatacji prowadzonym oddzielnie dla każdego urządzenia.</w:t>
            </w:r>
          </w:p>
          <w:p w14:paraId="3225589D" w14:textId="472266E0"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 Rejestr eksploatacji zawiera informacje o:</w:t>
            </w:r>
          </w:p>
          <w:p w14:paraId="5DC549BD"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awariach;</w:t>
            </w:r>
          </w:p>
          <w:p w14:paraId="74AAB52B"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przeprowadzonych konserwacjach i naprawach;</w:t>
            </w:r>
          </w:p>
          <w:p w14:paraId="53F526D6"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t>innych zdarzeniach mogących mieć wpływ na pracę aparatu terapeutycznego i symulatora.</w:t>
            </w:r>
          </w:p>
          <w:p w14:paraId="7EDFAF16"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3. </w:t>
            </w:r>
            <w:bookmarkStart w:id="3" w:name="_Hlk102124252"/>
            <w:r w:rsidRPr="00794226">
              <w:rPr>
                <w:rFonts w:ascii="Times" w:eastAsia="Times New Roman" w:hAnsi="Times" w:cs="Arial"/>
                <w:bCs/>
                <w:sz w:val="24"/>
                <w:szCs w:val="20"/>
                <w:lang w:eastAsia="pl-PL"/>
              </w:rPr>
              <w:t xml:space="preserve">Wpis do rejestru eksploatacji, z podaniem daty, jest dokonywany w sposób czytelny przez osobę upoważnioną przez kierownika jednostki ochrony zdrowia. Dokonanie wpisu w rejestrze </w:t>
            </w:r>
            <w:r w:rsidRPr="00794226">
              <w:rPr>
                <w:rFonts w:ascii="Times" w:eastAsia="Times New Roman" w:hAnsi="Times" w:cs="Arial"/>
                <w:bCs/>
                <w:sz w:val="24"/>
                <w:szCs w:val="20"/>
                <w:lang w:eastAsia="pl-PL"/>
              </w:rPr>
              <w:lastRenderedPageBreak/>
              <w:t>eksploatacji jest potwierdzane podpisem osoby upoważnionej</w:t>
            </w:r>
            <w:bookmarkEnd w:id="3"/>
          </w:p>
          <w:p w14:paraId="664CECE8"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
                <w:bCs/>
                <w:sz w:val="24"/>
                <w:szCs w:val="20"/>
                <w:lang w:eastAsia="pl-PL"/>
              </w:rPr>
              <w:t>§ 10.</w:t>
            </w:r>
            <w:r w:rsidRPr="00794226">
              <w:rPr>
                <w:rFonts w:ascii="Times" w:eastAsia="Times New Roman" w:hAnsi="Times" w:cs="Arial"/>
                <w:bCs/>
                <w:sz w:val="24"/>
                <w:szCs w:val="20"/>
                <w:lang w:eastAsia="pl-PL"/>
              </w:rPr>
              <w:t xml:space="preserve"> Przeprowadzenie medycznej procedury radiologicznej z zakresu radioterapii musi być udokumentowane i zgodne z procedurą szczegółową obowiązującą w zakładzie radioterapii, określającą sposób kwalifikacji pacjenta do leczenia, planowania i prowadzenia radioterapii oraz badań kontrolnych.</w:t>
            </w:r>
          </w:p>
          <w:p w14:paraId="30295B52"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11</w:t>
            </w:r>
            <w:r w:rsidRPr="00794226">
              <w:rPr>
                <w:rFonts w:ascii="Times" w:eastAsia="Times New Roman" w:hAnsi="Times" w:cs="Arial"/>
                <w:sz w:val="24"/>
                <w:szCs w:val="20"/>
                <w:lang w:eastAsia="pl-PL"/>
              </w:rPr>
              <w:t xml:space="preserve">. Radioterapia </w:t>
            </w:r>
            <w:proofErr w:type="spellStart"/>
            <w:r w:rsidRPr="00794226">
              <w:rPr>
                <w:rFonts w:ascii="Times" w:eastAsia="Times New Roman" w:hAnsi="Times" w:cs="Arial"/>
                <w:sz w:val="24"/>
                <w:szCs w:val="20"/>
                <w:lang w:eastAsia="pl-PL"/>
              </w:rPr>
              <w:t>ortowoltowa</w:t>
            </w:r>
            <w:proofErr w:type="spellEnd"/>
            <w:r w:rsidRPr="00794226">
              <w:rPr>
                <w:rFonts w:ascii="Times" w:eastAsia="Times New Roman" w:hAnsi="Times" w:cs="Arial"/>
                <w:sz w:val="24"/>
                <w:szCs w:val="20"/>
                <w:lang w:eastAsia="pl-PL"/>
              </w:rPr>
              <w:t xml:space="preserve"> może być stosowana wyłącznie do leczenia paliatywnego oraz leczenia nowotworowych i nienowotworowych zmian powierzchniowych.</w:t>
            </w:r>
          </w:p>
          <w:p w14:paraId="3DA126DD"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12</w:t>
            </w:r>
            <w:r w:rsidRPr="00794226">
              <w:rPr>
                <w:rFonts w:ascii="Times" w:eastAsia="Times New Roman" w:hAnsi="Times" w:cs="Arial"/>
                <w:sz w:val="24"/>
                <w:szCs w:val="20"/>
                <w:lang w:eastAsia="pl-PL"/>
              </w:rPr>
              <w:t>. 1. Podjęcie radioterapii jest poprzedzone przygotowaniem planu leczenia zawierającego dane niezbędne do prawidłowej realizacji napromieniania.</w:t>
            </w:r>
          </w:p>
          <w:p w14:paraId="6A5CD076" w14:textId="12B7DDC8"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2. W przypadku teleradioterapii dane, o których mowa w ust. 1, obejmują sprawdzenie geometrii pól terapeutycznych. Procedurę sprawdzenia geometrii potwierdza się zapisem w postaci zdjęcia rentgenowskiego lub zapisu cyfrowego. Odstąpienie od sprawdzenia geometrii </w:t>
            </w:r>
            <w:r w:rsidR="00CE37A0" w:rsidRPr="00794226">
              <w:rPr>
                <w:rFonts w:ascii="Times" w:eastAsia="Times New Roman" w:hAnsi="Times" w:cs="Arial"/>
                <w:bCs/>
                <w:sz w:val="24"/>
                <w:szCs w:val="20"/>
                <w:lang w:eastAsia="pl-PL"/>
              </w:rPr>
              <w:t xml:space="preserve">mogą </w:t>
            </w:r>
            <w:r w:rsidRPr="00794226">
              <w:rPr>
                <w:rFonts w:ascii="Times" w:eastAsia="Times New Roman" w:hAnsi="Times" w:cs="Arial"/>
                <w:bCs/>
                <w:sz w:val="24"/>
                <w:szCs w:val="20"/>
                <w:lang w:eastAsia="pl-PL"/>
              </w:rPr>
              <w:t xml:space="preserve">uzasadniać </w:t>
            </w:r>
            <w:proofErr w:type="spellStart"/>
            <w:r w:rsidR="00CE37A0">
              <w:rPr>
                <w:rFonts w:ascii="Times" w:eastAsia="Times New Roman" w:hAnsi="Times" w:cs="Arial"/>
                <w:bCs/>
                <w:sz w:val="24"/>
                <w:szCs w:val="20"/>
                <w:lang w:eastAsia="pl-PL"/>
              </w:rPr>
              <w:t>wyłacznie</w:t>
            </w:r>
            <w:proofErr w:type="spellEnd"/>
            <w:r w:rsidRPr="00794226">
              <w:rPr>
                <w:rFonts w:ascii="Times" w:eastAsia="Times New Roman" w:hAnsi="Times" w:cs="Arial"/>
                <w:bCs/>
                <w:sz w:val="24"/>
                <w:szCs w:val="20"/>
                <w:lang w:eastAsia="pl-PL"/>
              </w:rPr>
              <w:t xml:space="preserve"> względy medyczne każdorazowo odnotowywane w dokumentacji medycznej pacjenta. Sprawdzenie geometrii nie jest wymagane w przypadku teleradioterapii wiązkami jonów.</w:t>
            </w:r>
          </w:p>
          <w:p w14:paraId="05B63974" w14:textId="77777777"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lastRenderedPageBreak/>
              <w:t>3. W odniesieniu do trójwymiarowego planowania leczenia wymaga się:</w:t>
            </w:r>
          </w:p>
          <w:p w14:paraId="3AC6D0E9"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serii zdjęć tomograficznych w odstępach nie większych niż 10 mm;</w:t>
            </w:r>
          </w:p>
          <w:p w14:paraId="78495634"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trójwymiarowego odtworzenia objętości tarczowej i narządów krytycznych;</w:t>
            </w:r>
          </w:p>
          <w:p w14:paraId="307D07BF"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t>udokumentowania planu leczenia w formie histogramu rozkładu dawki w objętości tarczowej i narządach krytycznych.</w:t>
            </w:r>
          </w:p>
          <w:p w14:paraId="479EF1CB" w14:textId="77777777"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4. W przypadku brachyterapii dane, o których mowa w ust. 1, obejmują w szczególności wyznaczenie:</w:t>
            </w:r>
          </w:p>
          <w:p w14:paraId="37AED68F"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kolejności prowadnic przeznaczonych do poruszania się źródeł promieniotwórczych i ich oznaczenie;</w:t>
            </w:r>
          </w:p>
          <w:p w14:paraId="4969EF4F"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przestrzennych współrzędnych źródeł promieniotwórczych.</w:t>
            </w:r>
          </w:p>
          <w:p w14:paraId="000E8EDB"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5. Odstąpienie od wykonania czynności, o których mowa w ust. 4 pkt 2,  jest uzasadnione w przypadku, gdy układ aplikatorów w sposób jednoznaczny określa współrzędne źródeł.</w:t>
            </w:r>
          </w:p>
          <w:p w14:paraId="498B2347"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6. Plan leczenia, o którym mowa w ust. 1, zatwierdza lekarz specjalista w dziedzinie radioterapii onkologicznej.</w:t>
            </w:r>
          </w:p>
          <w:p w14:paraId="79D52BB7"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13</w:t>
            </w:r>
            <w:r w:rsidRPr="00794226">
              <w:rPr>
                <w:rFonts w:ascii="Times" w:eastAsia="Times New Roman" w:hAnsi="Times" w:cs="Arial"/>
                <w:sz w:val="24"/>
                <w:szCs w:val="20"/>
                <w:lang w:eastAsia="pl-PL"/>
              </w:rPr>
              <w:t>. 1. Dla każdego pacjenta poddawanego medycznej procedurze radiologicznej z zakresu radioterapii prowadzona jest karta napromieniania, stanowiąca część wchodząca w skład dokumentacji medycznej.</w:t>
            </w:r>
          </w:p>
          <w:p w14:paraId="01FAF98E" w14:textId="77777777"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 Karta napromieniania zawiera:</w:t>
            </w:r>
          </w:p>
          <w:p w14:paraId="1444699F"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dane jednoznacznie identyfikujące pacjenta oraz rozpoznanie</w:t>
            </w:r>
          </w:p>
          <w:p w14:paraId="1F94B29C" w14:textId="364C3945"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lastRenderedPageBreak/>
              <w:t>2)</w:t>
            </w:r>
            <w:r w:rsidRPr="00794226">
              <w:rPr>
                <w:rFonts w:ascii="Times" w:eastAsia="Times New Roman" w:hAnsi="Times" w:cs="Arial"/>
                <w:bCs/>
                <w:sz w:val="24"/>
                <w:szCs w:val="20"/>
                <w:lang w:eastAsia="pl-PL"/>
              </w:rPr>
              <w:tab/>
            </w:r>
            <w:r w:rsidR="000D47ED">
              <w:rPr>
                <w:rFonts w:ascii="Times" w:eastAsia="Times New Roman" w:hAnsi="Times" w:cs="Arial"/>
                <w:bCs/>
                <w:sz w:val="24"/>
                <w:szCs w:val="20"/>
                <w:lang w:eastAsia="pl-PL"/>
              </w:rPr>
              <w:t xml:space="preserve">imię i </w:t>
            </w:r>
            <w:r w:rsidRPr="00794226">
              <w:rPr>
                <w:rFonts w:ascii="Times" w:eastAsia="Times New Roman" w:hAnsi="Times" w:cs="Arial"/>
                <w:bCs/>
                <w:sz w:val="24"/>
                <w:szCs w:val="20"/>
                <w:lang w:eastAsia="pl-PL"/>
              </w:rPr>
              <w:t xml:space="preserve">nazwisko lekarza prowadzącego, a w przypadku jego czasowej nieobecności – </w:t>
            </w:r>
            <w:r w:rsidR="000D47ED">
              <w:rPr>
                <w:rFonts w:ascii="Times" w:eastAsia="Times New Roman" w:hAnsi="Times" w:cs="Arial"/>
                <w:bCs/>
                <w:sz w:val="24"/>
                <w:szCs w:val="20"/>
                <w:lang w:eastAsia="pl-PL"/>
              </w:rPr>
              <w:t xml:space="preserve">imię i </w:t>
            </w:r>
            <w:r w:rsidRPr="00794226">
              <w:rPr>
                <w:rFonts w:ascii="Times" w:eastAsia="Times New Roman" w:hAnsi="Times" w:cs="Arial"/>
                <w:bCs/>
                <w:sz w:val="24"/>
                <w:szCs w:val="20"/>
                <w:lang w:eastAsia="pl-PL"/>
              </w:rPr>
              <w:t>nazwisko lekarza zastępującego, a także lekarza nadzorującego w przypadku, gdy lekarz prowadzący nie jest specjalistą w dziedzinie radioterapii onkologicznej;</w:t>
            </w:r>
          </w:p>
          <w:p w14:paraId="2694DDD8" w14:textId="77777777" w:rsidR="00794226" w:rsidRPr="00794226" w:rsidRDefault="00794226" w:rsidP="00794226">
            <w:pPr>
              <w:keepNext/>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t>czytelnie i jednoznacznie sformułowane, opatrzone podpisem lekarza, dyspozycje realizacji napromieniania z uwzględnieniem:</w:t>
            </w:r>
          </w:p>
          <w:p w14:paraId="380F72C6" w14:textId="77777777" w:rsidR="00794226" w:rsidRPr="00794226" w:rsidRDefault="00794226" w:rsidP="00794226">
            <w:pPr>
              <w:ind w:left="986" w:hanging="476"/>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a)</w:t>
            </w:r>
            <w:r w:rsidRPr="00794226">
              <w:rPr>
                <w:rFonts w:ascii="Times" w:eastAsia="Times New Roman" w:hAnsi="Times" w:cs="Arial"/>
                <w:bCs/>
                <w:sz w:val="24"/>
                <w:szCs w:val="20"/>
                <w:lang w:eastAsia="pl-PL"/>
              </w:rPr>
              <w:tab/>
              <w:t>fizycznych parametrów ekspozycji terapeutycznych pacjenta oraz informacji umożliwiających odtworzenie ułożenia pacjenta na stole terapeutycznym,</w:t>
            </w:r>
          </w:p>
          <w:p w14:paraId="43B2DE76" w14:textId="77777777" w:rsidR="00794226" w:rsidRPr="00794226" w:rsidRDefault="00794226" w:rsidP="00794226">
            <w:pPr>
              <w:ind w:left="986" w:hanging="476"/>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b)</w:t>
            </w:r>
            <w:r w:rsidRPr="00794226">
              <w:rPr>
                <w:rFonts w:ascii="Times" w:eastAsia="Times New Roman" w:hAnsi="Times" w:cs="Arial"/>
                <w:bCs/>
                <w:sz w:val="24"/>
                <w:szCs w:val="20"/>
                <w:lang w:eastAsia="pl-PL"/>
              </w:rPr>
              <w:tab/>
              <w:t>wartości dawki frakcyjnej w obszarze tarczowym dla każdego pola napromieniania lub wartości łącznej będącej sumą przyczynków od wszystkich pól,</w:t>
            </w:r>
          </w:p>
          <w:p w14:paraId="400D281D" w14:textId="77777777" w:rsidR="00794226" w:rsidRPr="00794226" w:rsidRDefault="00794226" w:rsidP="00794226">
            <w:pPr>
              <w:ind w:left="986" w:hanging="476"/>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c)</w:t>
            </w:r>
            <w:r w:rsidRPr="00794226">
              <w:rPr>
                <w:rFonts w:ascii="Times" w:eastAsia="Times New Roman" w:hAnsi="Times" w:cs="Arial"/>
                <w:bCs/>
                <w:sz w:val="24"/>
                <w:szCs w:val="20"/>
                <w:lang w:eastAsia="pl-PL"/>
              </w:rPr>
              <w:tab/>
              <w:t>przedziału czasowego między kolejnymi frakcjami,</w:t>
            </w:r>
          </w:p>
          <w:p w14:paraId="53C8B2CE" w14:textId="77777777" w:rsidR="00794226" w:rsidRPr="00794226" w:rsidRDefault="00794226" w:rsidP="00794226">
            <w:pPr>
              <w:ind w:left="986" w:hanging="476"/>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d)</w:t>
            </w:r>
            <w:r w:rsidRPr="00794226">
              <w:rPr>
                <w:rFonts w:ascii="Times" w:eastAsia="Times New Roman" w:hAnsi="Times" w:cs="Arial"/>
                <w:bCs/>
                <w:sz w:val="24"/>
                <w:szCs w:val="20"/>
                <w:lang w:eastAsia="pl-PL"/>
              </w:rPr>
              <w:tab/>
              <w:t>wartości dawki całkowitej,</w:t>
            </w:r>
          </w:p>
          <w:p w14:paraId="5580739C" w14:textId="77777777" w:rsidR="00794226" w:rsidRPr="00794226" w:rsidRDefault="00794226" w:rsidP="00794226">
            <w:pPr>
              <w:ind w:left="986" w:hanging="476"/>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e)</w:t>
            </w:r>
            <w:r w:rsidRPr="00794226">
              <w:rPr>
                <w:rFonts w:ascii="Times" w:eastAsia="Times New Roman" w:hAnsi="Times" w:cs="Arial"/>
                <w:bCs/>
                <w:sz w:val="24"/>
                <w:szCs w:val="20"/>
                <w:lang w:eastAsia="pl-PL"/>
              </w:rPr>
              <w:tab/>
              <w:t xml:space="preserve">wartości dawki dla każdego narządu </w:t>
            </w:r>
            <w:proofErr w:type="spellStart"/>
            <w:r w:rsidRPr="00794226">
              <w:rPr>
                <w:rFonts w:ascii="Times" w:eastAsia="Times New Roman" w:hAnsi="Times" w:cs="Arial"/>
                <w:bCs/>
                <w:sz w:val="24"/>
                <w:szCs w:val="20"/>
                <w:lang w:eastAsia="pl-PL"/>
              </w:rPr>
              <w:t>promieniowrażliwego</w:t>
            </w:r>
            <w:proofErr w:type="spellEnd"/>
            <w:r w:rsidRPr="00794226">
              <w:rPr>
                <w:rFonts w:ascii="Times" w:eastAsia="Times New Roman" w:hAnsi="Times" w:cs="Arial"/>
                <w:bCs/>
                <w:sz w:val="24"/>
                <w:szCs w:val="20"/>
                <w:lang w:eastAsia="pl-PL"/>
              </w:rPr>
              <w:t>, dla którego obliczono histogram dawki, na podstawie której zgodnie z procedurą terapeutyczną jest oceniane ryzyko późnych uszkodzeń popromiennych; dla narządów, dla których nie obliczono histogramu, jest określana dawka maksymalna,</w:t>
            </w:r>
          </w:p>
          <w:p w14:paraId="3BDFFB4B" w14:textId="77777777" w:rsidR="00794226" w:rsidRPr="00794226" w:rsidRDefault="00794226" w:rsidP="00794226">
            <w:pPr>
              <w:ind w:left="986" w:hanging="476"/>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lastRenderedPageBreak/>
              <w:t>f)</w:t>
            </w:r>
            <w:r w:rsidRPr="00794226">
              <w:rPr>
                <w:rFonts w:ascii="Times" w:eastAsia="Times New Roman" w:hAnsi="Times" w:cs="Arial"/>
                <w:bCs/>
                <w:sz w:val="24"/>
                <w:szCs w:val="20"/>
                <w:lang w:eastAsia="pl-PL"/>
              </w:rPr>
              <w:tab/>
              <w:t>użytych modyfikatorów (osłon, filtrów, kompensatorów) i przyporządkowania ich odpowiednim polom napromieniania wraz z opisem ich użycia.</w:t>
            </w:r>
          </w:p>
          <w:p w14:paraId="1AB83B00"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3. Po zrealizowanym napromienieniu każdego pola, technik elektroradiologii potwierdza podpisem w karcie napromieniania zgodność zaplanowanych fizycznych parametrów, w szczególności jednostek monitorowych (czasu napromieniania), z parametrami zrealizowanego napromienienia. </w:t>
            </w:r>
          </w:p>
          <w:p w14:paraId="28BC1ECE"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14</w:t>
            </w:r>
            <w:r w:rsidRPr="00794226">
              <w:rPr>
                <w:rFonts w:ascii="Times" w:eastAsia="Times New Roman" w:hAnsi="Times" w:cs="Arial"/>
                <w:sz w:val="24"/>
                <w:szCs w:val="20"/>
                <w:lang w:eastAsia="pl-PL"/>
              </w:rPr>
              <w:t>. 1. Dane w karcie napromieniania podlegają kontroli, a jej przeprowadzenie jest dokumentowane.</w:t>
            </w:r>
          </w:p>
          <w:p w14:paraId="53F69A54"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 Kontrola dawki oraz jednostek monitorowych (czasu napromieniania) jest dokonywana przed rozpoczęciem leczenia.</w:t>
            </w:r>
          </w:p>
          <w:p w14:paraId="368B6C05" w14:textId="77777777"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 Karta napromieniania jest kontrolowana nie rzadziej niż raz w tygodniu w okresie trwania leczenia w zakresie dawki otrzymanej przez pacjenta. Szczegółowej kontroli podlegają:</w:t>
            </w:r>
          </w:p>
          <w:p w14:paraId="1DBBDE0D"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dawki sumaryczne otrzymywane przez pacjenta;</w:t>
            </w:r>
          </w:p>
          <w:p w14:paraId="4B425138"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zgodność wpisów w karcie napromieniania z planem leczenia, w tym dotyczących regularności napromieniania.</w:t>
            </w:r>
          </w:p>
          <w:p w14:paraId="4A32A989" w14:textId="77777777"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4. W brachyterapii z zastosowaniem urządzeń ze zdalnie sterowanymi źródłami promieniotwórczymi kontrola karty napromieniania obejmuje:</w:t>
            </w:r>
          </w:p>
          <w:p w14:paraId="149EBE98"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ocenę prawidłowości obliczeń czasu postoju źródeł w zaplanowanych punktach;</w:t>
            </w:r>
          </w:p>
          <w:p w14:paraId="29028E2F"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lastRenderedPageBreak/>
              <w:t>2)</w:t>
            </w:r>
            <w:r w:rsidRPr="00794226">
              <w:rPr>
                <w:rFonts w:ascii="Times" w:eastAsia="Times New Roman" w:hAnsi="Times" w:cs="Arial"/>
                <w:bCs/>
                <w:sz w:val="24"/>
                <w:szCs w:val="20"/>
                <w:lang w:eastAsia="pl-PL"/>
              </w:rPr>
              <w:tab/>
              <w:t>ocenę spełnienia wymagań określonych w ust. 3.</w:t>
            </w:r>
          </w:p>
          <w:p w14:paraId="6215670E" w14:textId="77777777" w:rsidR="00794226" w:rsidRPr="00794226" w:rsidRDefault="00794226" w:rsidP="00794226">
            <w:pPr>
              <w:keepNext/>
              <w:suppressAutoHyphens/>
              <w:spacing w:before="120"/>
              <w:jc w:val="center"/>
              <w:rPr>
                <w:rFonts w:ascii="Times" w:eastAsia="Times New Roman" w:hAnsi="Times" w:cs="Arial"/>
                <w:bCs/>
                <w:kern w:val="24"/>
                <w:sz w:val="24"/>
                <w:szCs w:val="24"/>
                <w:lang w:eastAsia="pl-PL"/>
              </w:rPr>
            </w:pPr>
            <w:r w:rsidRPr="00794226">
              <w:rPr>
                <w:rFonts w:ascii="Times" w:eastAsia="Times New Roman" w:hAnsi="Times" w:cs="Arial"/>
                <w:bCs/>
                <w:kern w:val="24"/>
                <w:sz w:val="24"/>
                <w:szCs w:val="24"/>
                <w:lang w:eastAsia="pl-PL"/>
              </w:rPr>
              <w:t>5. Przeprowadzający kontrolę potwierdza jej dokonanie podpisem z podaniem daty.</w:t>
            </w:r>
          </w:p>
          <w:p w14:paraId="6A1F76F3"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15.</w:t>
            </w:r>
            <w:r w:rsidRPr="00794226">
              <w:rPr>
                <w:rFonts w:ascii="Times" w:eastAsia="Times New Roman" w:hAnsi="Times" w:cs="Arial"/>
                <w:sz w:val="24"/>
                <w:szCs w:val="20"/>
                <w:lang w:eastAsia="pl-PL"/>
              </w:rPr>
              <w:t xml:space="preserve"> Dawka w planie leczenia powinna być zweryfikowana przez niezależne obliczenia lub pomiar.</w:t>
            </w:r>
          </w:p>
          <w:p w14:paraId="54233393" w14:textId="40BF1AE6"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16</w:t>
            </w:r>
            <w:r w:rsidRPr="00794226">
              <w:rPr>
                <w:rFonts w:ascii="Times" w:eastAsia="Times New Roman" w:hAnsi="Times" w:cs="Arial"/>
                <w:sz w:val="24"/>
                <w:szCs w:val="20"/>
                <w:lang w:eastAsia="pl-PL"/>
              </w:rPr>
              <w:t>. 1. Bezpieczna realizacja teleradioterapii</w:t>
            </w:r>
            <w:r w:rsidR="00636DB7">
              <w:rPr>
                <w:rFonts w:ascii="Times" w:eastAsia="Times New Roman" w:hAnsi="Times" w:cs="Arial"/>
                <w:sz w:val="24"/>
                <w:szCs w:val="20"/>
                <w:lang w:eastAsia="pl-PL"/>
              </w:rPr>
              <w:t xml:space="preserve"> </w:t>
            </w:r>
            <w:r w:rsidRPr="00794226">
              <w:rPr>
                <w:rFonts w:ascii="Times" w:eastAsia="Times New Roman" w:hAnsi="Times" w:cs="Arial"/>
                <w:sz w:val="24"/>
                <w:szCs w:val="20"/>
                <w:lang w:eastAsia="pl-PL"/>
              </w:rPr>
              <w:t>wymaga:</w:t>
            </w:r>
          </w:p>
          <w:p w14:paraId="657E6C6F"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kontroli klinicznej pacjenta raz w tygodniu w okresie trwania leczenia;</w:t>
            </w:r>
          </w:p>
          <w:p w14:paraId="3E12DCF4"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uczestnictwa lekarza ze specjalnością w dziedzinie radioterapii onkologicznej w czasie pierwszego napromieniania pacjenta leczonego radykalnie i – w szczególnie uzasadnionych przypadkach – paliatywnie;</w:t>
            </w:r>
          </w:p>
          <w:p w14:paraId="74B3556E"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t>układania pacjenta leczonego z wykorzystaniem promieniowania megawoltowego w pozycji terapeutycznej przez dwóch techników elektroradiologii;</w:t>
            </w:r>
          </w:p>
          <w:p w14:paraId="1EE1402B"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4)</w:t>
            </w:r>
            <w:r w:rsidRPr="00794226">
              <w:rPr>
                <w:rFonts w:ascii="Times" w:eastAsia="Times New Roman" w:hAnsi="Times" w:cs="Arial"/>
                <w:bCs/>
                <w:sz w:val="24"/>
                <w:szCs w:val="20"/>
                <w:lang w:eastAsia="pl-PL"/>
              </w:rPr>
              <w:tab/>
              <w:t>obserwacji pacjenta w czasie napromieniania z możliwością porozumiewania się z nim;</w:t>
            </w:r>
          </w:p>
          <w:p w14:paraId="426777FB"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5)</w:t>
            </w:r>
            <w:r w:rsidRPr="00794226">
              <w:rPr>
                <w:rFonts w:ascii="Times" w:eastAsia="Times New Roman" w:hAnsi="Times" w:cs="Arial"/>
                <w:bCs/>
                <w:sz w:val="24"/>
                <w:szCs w:val="20"/>
                <w:lang w:eastAsia="pl-PL"/>
              </w:rPr>
              <w:tab/>
              <w:t>wykonania weryfikacji obrazowej ułożenia pacjenta na aparacie terapeutycznym co najmniej przed pierwszym seansem oraz, jeżeli to technicznie możliwe, wykonania zdjęć sprawdzających dla pól terapeutycznych podczas pierwszego lub drugiego seansu każdego etapu leczenia;</w:t>
            </w:r>
          </w:p>
          <w:p w14:paraId="1672A12B"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6)</w:t>
            </w:r>
            <w:r w:rsidRPr="00794226">
              <w:rPr>
                <w:rFonts w:ascii="Times" w:eastAsia="Times New Roman" w:hAnsi="Times" w:cs="Arial"/>
                <w:bCs/>
                <w:sz w:val="24"/>
                <w:szCs w:val="20"/>
                <w:lang w:eastAsia="pl-PL"/>
              </w:rPr>
              <w:tab/>
              <w:t>kontroli dawki metodą dozymetrii in vivo w uzasadnionych przypadkach.</w:t>
            </w:r>
          </w:p>
          <w:p w14:paraId="469D9EF3" w14:textId="77777777" w:rsidR="00794226" w:rsidRPr="00794226" w:rsidRDefault="00794226" w:rsidP="00794226">
            <w:pPr>
              <w:keepNext/>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lastRenderedPageBreak/>
              <w:t>2. Bezpieczne stosowanie promieniowania jonizującego w brachyterapii, poza wymaganiami określonymi w przepisach odrębnych, wymaga:</w:t>
            </w:r>
          </w:p>
          <w:p w14:paraId="27E7B030"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przygotowania pacjenta do leczenia, planowania i realizacji napromieniania przez lekarza specjalistę w dziedzinie radioterapii onkologicznej oraz jego uczestnictwa w rozpoczęciu napromieniania;</w:t>
            </w:r>
          </w:p>
          <w:p w14:paraId="7E5EE817"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obserwacji pacjenta w czasie napromieniania z możliwością porozumiewania się z nim;</w:t>
            </w:r>
          </w:p>
          <w:p w14:paraId="19FAC593"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3)</w:t>
            </w:r>
            <w:r w:rsidRPr="00794226">
              <w:rPr>
                <w:rFonts w:ascii="Times" w:eastAsia="Times New Roman" w:hAnsi="Times" w:cs="Arial"/>
                <w:bCs/>
                <w:sz w:val="24"/>
                <w:szCs w:val="20"/>
                <w:lang w:eastAsia="pl-PL"/>
              </w:rPr>
              <w:tab/>
              <w:t>umieszczania pacjenta z wprowadzonymi na stałe źródłami promieniotwórczymi w odizolowanym pomieszczeniu do czasu zmniejszenia mocy dawki do wartości uznanej za bezpieczną dla osób postronnych;</w:t>
            </w:r>
          </w:p>
          <w:p w14:paraId="447A5EC3"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4)</w:t>
            </w:r>
            <w:r w:rsidRPr="00794226">
              <w:rPr>
                <w:rFonts w:ascii="Times" w:eastAsia="Times New Roman" w:hAnsi="Times" w:cs="Arial"/>
                <w:bCs/>
                <w:sz w:val="24"/>
                <w:szCs w:val="20"/>
                <w:lang w:eastAsia="pl-PL"/>
              </w:rPr>
              <w:tab/>
              <w:t>w przypadku bezpośrednich aplikacji źródeł promieniotwórczych – stosowania osłon osobistych i narzędzi pozwalających zmniejszyć do minimum narażenie personelu na promieniowanie jonizujące, pod warunkiem, że nie utrudni to implantacji;</w:t>
            </w:r>
          </w:p>
          <w:p w14:paraId="259227D2"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5)</w:t>
            </w:r>
            <w:r w:rsidRPr="00794226">
              <w:rPr>
                <w:rFonts w:ascii="Times" w:eastAsia="Times New Roman" w:hAnsi="Times" w:cs="Arial"/>
                <w:bCs/>
                <w:sz w:val="24"/>
                <w:szCs w:val="20"/>
                <w:lang w:eastAsia="pl-PL"/>
              </w:rPr>
              <w:tab/>
              <w:t>w zakładach brachyterapii stosujących ręczne aplikacje źródeł promieniotwórczych zapewnienia możliwości monitorowania wyjścia pracownika z obszaru kontrolowanego, w szczególności przez bramkę dozymetryczną z sygnałem dźwiękowym;</w:t>
            </w:r>
          </w:p>
          <w:p w14:paraId="730E79FA"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6)</w:t>
            </w:r>
            <w:r w:rsidRPr="00794226">
              <w:rPr>
                <w:rFonts w:ascii="Times" w:eastAsia="Times New Roman" w:hAnsi="Times" w:cs="Arial"/>
                <w:bCs/>
                <w:sz w:val="24"/>
                <w:szCs w:val="20"/>
                <w:lang w:eastAsia="pl-PL"/>
              </w:rPr>
              <w:tab/>
              <w:t xml:space="preserve">wykonywania zdjęć sprawdzających położenie zaaplikowanych źródeł promieniotwórczych bezpośrednio w </w:t>
            </w:r>
            <w:r w:rsidRPr="00794226">
              <w:rPr>
                <w:rFonts w:ascii="Times" w:eastAsia="Times New Roman" w:hAnsi="Times" w:cs="Arial"/>
                <w:bCs/>
                <w:sz w:val="24"/>
                <w:szCs w:val="20"/>
                <w:lang w:eastAsia="pl-PL"/>
              </w:rPr>
              <w:lastRenderedPageBreak/>
              <w:t>pomieszczeniu, w którym dokonuje się aplikacji;</w:t>
            </w:r>
          </w:p>
          <w:p w14:paraId="0D6A7218"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7)</w:t>
            </w:r>
            <w:r w:rsidRPr="00794226">
              <w:rPr>
                <w:rFonts w:ascii="Times" w:eastAsia="Times New Roman" w:hAnsi="Times" w:cs="Arial"/>
                <w:bCs/>
                <w:sz w:val="24"/>
                <w:szCs w:val="20"/>
                <w:lang w:eastAsia="pl-PL"/>
              </w:rPr>
              <w:tab/>
              <w:t>zabezpieczenia źródeł promieniotwórczych na czas aplikacji przed przypadkowym przemieszczeniem;</w:t>
            </w:r>
          </w:p>
          <w:p w14:paraId="47A7C960"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8)</w:t>
            </w:r>
            <w:r w:rsidRPr="00794226">
              <w:rPr>
                <w:rFonts w:ascii="Times" w:eastAsia="Times New Roman" w:hAnsi="Times" w:cs="Arial"/>
                <w:bCs/>
                <w:sz w:val="24"/>
                <w:szCs w:val="20"/>
                <w:lang w:eastAsia="pl-PL"/>
              </w:rPr>
              <w:tab/>
              <w:t>wyboru optymalnych aplikatorów dla danej sytuacji klinicznej, a w przypadku gdy istnieją wskazania, przygotowania indywidualnych aplikatorów;</w:t>
            </w:r>
          </w:p>
          <w:p w14:paraId="15206F9A" w14:textId="3986C66A" w:rsidR="00DC6762"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9)</w:t>
            </w:r>
            <w:r w:rsidRPr="00794226">
              <w:rPr>
                <w:rFonts w:ascii="Times" w:eastAsia="Times New Roman" w:hAnsi="Times" w:cs="Arial"/>
                <w:bCs/>
                <w:sz w:val="24"/>
                <w:szCs w:val="20"/>
                <w:lang w:eastAsia="pl-PL"/>
              </w:rPr>
              <w:tab/>
            </w:r>
            <w:r w:rsidR="00DC6762" w:rsidRPr="00DC6762">
              <w:rPr>
                <w:rFonts w:ascii="Times" w:eastAsia="Times New Roman" w:hAnsi="Times" w:cs="Arial"/>
                <w:bCs/>
                <w:sz w:val="24"/>
                <w:szCs w:val="20"/>
                <w:lang w:eastAsia="pl-PL"/>
              </w:rPr>
              <w:t xml:space="preserve">okresowego sprawdzania położenia źródeł promieniotwórczych </w:t>
            </w:r>
            <w:r w:rsidR="00DC6762">
              <w:rPr>
                <w:rFonts w:ascii="Times" w:eastAsia="Times New Roman" w:hAnsi="Times" w:cs="Arial"/>
                <w:bCs/>
                <w:sz w:val="24"/>
                <w:szCs w:val="20"/>
                <w:lang w:eastAsia="pl-PL"/>
              </w:rPr>
              <w:sym w:font="Symbol" w:char="F02D"/>
            </w:r>
            <w:r w:rsidR="00DC6762" w:rsidRPr="00DC6762">
              <w:rPr>
                <w:rFonts w:ascii="Times" w:eastAsia="Times New Roman" w:hAnsi="Times" w:cs="Arial"/>
                <w:bCs/>
                <w:sz w:val="24"/>
                <w:szCs w:val="20"/>
                <w:lang w:eastAsia="pl-PL"/>
              </w:rPr>
              <w:t xml:space="preserve"> w przypadku długotrwałych aplikacji;</w:t>
            </w:r>
          </w:p>
          <w:p w14:paraId="19BD6825"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10)</w:t>
            </w:r>
            <w:r w:rsidRPr="00794226">
              <w:rPr>
                <w:rFonts w:ascii="Times" w:eastAsia="Times New Roman" w:hAnsi="Times" w:cs="Arial"/>
                <w:bCs/>
                <w:sz w:val="24"/>
                <w:szCs w:val="20"/>
                <w:lang w:eastAsia="pl-PL"/>
              </w:rPr>
              <w:tab/>
              <w:t>porównania po skończonym leczeniu liczby źródeł promieniotwórczych użytych do aplikacji z liczbą źródeł wyjętych oraz dodatkowej kontroli pacjenta za pomocą odpowiedniego do tego celu detektora promieniowania jonizującego.</w:t>
            </w:r>
          </w:p>
          <w:p w14:paraId="12510E7D"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17</w:t>
            </w:r>
            <w:r w:rsidRPr="00794226">
              <w:rPr>
                <w:rFonts w:ascii="Times" w:eastAsia="Times New Roman" w:hAnsi="Times" w:cs="Arial"/>
                <w:sz w:val="24"/>
                <w:szCs w:val="20"/>
                <w:lang w:eastAsia="pl-PL"/>
              </w:rPr>
              <w:t>. 1. W przypadku śmierci osoby, która poddana została procedurom z zakresu radioterapii, jeżeli nie jest możliwe usunięcie źródła promieniowania jonizującego, należy:</w:t>
            </w:r>
          </w:p>
          <w:p w14:paraId="4AA589FB"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1)</w:t>
            </w:r>
            <w:r w:rsidRPr="00794226">
              <w:rPr>
                <w:rFonts w:ascii="Times" w:eastAsia="Times New Roman" w:hAnsi="Times" w:cs="Arial"/>
                <w:bCs/>
                <w:sz w:val="24"/>
                <w:szCs w:val="20"/>
                <w:lang w:eastAsia="pl-PL"/>
              </w:rPr>
              <w:tab/>
              <w:t>oznaczyć zwłoki w widoczny i jednoznaczny sposób;</w:t>
            </w:r>
          </w:p>
          <w:p w14:paraId="4BAB4158" w14:textId="77777777" w:rsidR="00794226" w:rsidRPr="00794226" w:rsidRDefault="00794226" w:rsidP="00794226">
            <w:pPr>
              <w:ind w:left="510" w:hanging="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w:t>
            </w:r>
            <w:r w:rsidRPr="00794226">
              <w:rPr>
                <w:rFonts w:ascii="Times" w:eastAsia="Times New Roman" w:hAnsi="Times" w:cs="Arial"/>
                <w:bCs/>
                <w:sz w:val="24"/>
                <w:szCs w:val="20"/>
                <w:lang w:eastAsia="pl-PL"/>
              </w:rPr>
              <w:tab/>
              <w:t>w miarę możliwości usunąć ze zwłok te narządy, które charakteryzują się szczególnie dużą aktywnością.</w:t>
            </w:r>
          </w:p>
          <w:p w14:paraId="03F69AAC"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2. Z wyjątkiem uzasadnionych przypadków, sekcja zwłok może być przeprowadzona dopiero, gdy całkowita aktywność izotopów znajdujących się w zwłokach obniży się do wartości poniżej 1 </w:t>
            </w:r>
            <w:proofErr w:type="spellStart"/>
            <w:r w:rsidRPr="00794226">
              <w:rPr>
                <w:rFonts w:ascii="Times" w:eastAsia="Times New Roman" w:hAnsi="Times" w:cs="Arial"/>
                <w:bCs/>
                <w:sz w:val="24"/>
                <w:szCs w:val="20"/>
                <w:lang w:eastAsia="pl-PL"/>
              </w:rPr>
              <w:t>GBq</w:t>
            </w:r>
            <w:proofErr w:type="spellEnd"/>
            <w:r w:rsidRPr="00794226">
              <w:rPr>
                <w:rFonts w:ascii="Times" w:eastAsia="Times New Roman" w:hAnsi="Times" w:cs="Arial"/>
                <w:bCs/>
                <w:sz w:val="24"/>
                <w:szCs w:val="20"/>
                <w:lang w:eastAsia="pl-PL"/>
              </w:rPr>
              <w:t>.</w:t>
            </w:r>
          </w:p>
          <w:p w14:paraId="269879D3"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lastRenderedPageBreak/>
              <w:t>3. Spalenie zwłok może nastąpić dopiero po zmniejszeniu znajdującej się w zwłokach aktywności poniżej wartości wynikającej z podzielenia granicznej wartości aktywności dla danego izotopu, wynikającej z przepisów wydanych na podstawie art. 6 pkt 1 ustawy, przez liczbę 5000.</w:t>
            </w:r>
          </w:p>
          <w:p w14:paraId="4286561D"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18</w:t>
            </w:r>
            <w:r w:rsidRPr="00794226">
              <w:rPr>
                <w:rFonts w:ascii="Times" w:eastAsia="Times New Roman" w:hAnsi="Times" w:cs="Arial"/>
                <w:sz w:val="24"/>
                <w:szCs w:val="20"/>
                <w:lang w:eastAsia="pl-PL"/>
              </w:rPr>
              <w:t>. 1. Aparat terapeutyczny jest okresowo wyłączany z eksploatacji w celu konserwacji, kontroli fizycznych parametrów technicznych i dozymetrycznych zgodnie z przyjętym wewnętrznym harmonogramem jego pracy.</w:t>
            </w:r>
          </w:p>
          <w:p w14:paraId="36A274CC" w14:textId="77777777" w:rsidR="00794226" w:rsidRPr="00794226" w:rsidRDefault="00794226" w:rsidP="00794226">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2. Harmonogram, o którym mowa w ust. 1, ustala kierownik zakładu (pracowni) fizyki medycznej w porozumieniu z kierownikiem zakładu radioterapii.</w:t>
            </w:r>
          </w:p>
          <w:p w14:paraId="11677CEB" w14:textId="77777777" w:rsidR="00794226" w:rsidRPr="00794226" w:rsidRDefault="00794226" w:rsidP="00794226">
            <w:pPr>
              <w:suppressAutoHyphens/>
              <w:autoSpaceDE w:val="0"/>
              <w:autoSpaceDN w:val="0"/>
              <w:adjustRightInd w:val="0"/>
              <w:spacing w:before="120"/>
              <w:ind w:firstLine="510"/>
              <w:jc w:val="both"/>
              <w:rPr>
                <w:rFonts w:ascii="Times" w:eastAsia="Times New Roman" w:hAnsi="Times" w:cs="Arial"/>
                <w:sz w:val="24"/>
                <w:szCs w:val="20"/>
                <w:lang w:eastAsia="pl-PL"/>
              </w:rPr>
            </w:pPr>
            <w:r w:rsidRPr="00794226">
              <w:rPr>
                <w:rFonts w:ascii="Times" w:eastAsia="Times New Roman" w:hAnsi="Times" w:cs="Arial"/>
                <w:b/>
                <w:sz w:val="24"/>
                <w:szCs w:val="20"/>
                <w:lang w:eastAsia="pl-PL"/>
              </w:rPr>
              <w:t>§ 19.</w:t>
            </w:r>
            <w:r w:rsidRPr="00794226">
              <w:rPr>
                <w:rFonts w:ascii="Times" w:eastAsia="Times New Roman" w:hAnsi="Times" w:cs="Arial"/>
                <w:sz w:val="24"/>
                <w:szCs w:val="20"/>
                <w:lang w:eastAsia="pl-PL"/>
              </w:rPr>
              <w:t xml:space="preserve"> 1. </w:t>
            </w:r>
            <w:bookmarkStart w:id="4" w:name="_Hlk93407986"/>
            <w:r w:rsidRPr="00794226">
              <w:rPr>
                <w:rFonts w:ascii="Times" w:eastAsia="Times New Roman" w:hAnsi="Times" w:cs="Arial"/>
                <w:sz w:val="24"/>
                <w:szCs w:val="20"/>
                <w:lang w:eastAsia="pl-PL"/>
              </w:rPr>
              <w:t xml:space="preserve">Maksymalne wartości ograniczników dawek (limitów użytkowych dawek) dla osób uczestniczących w eksperymentach medycznych, badaniach klinicznych produktów leczniczych lub badaniach klinicznych wyrobów medycznych, związanych z ekspozycją medyczną, oraz dla opiekunów </w:t>
            </w:r>
            <w:bookmarkEnd w:id="4"/>
            <w:r w:rsidRPr="00794226">
              <w:rPr>
                <w:rFonts w:ascii="Times" w:eastAsia="Times New Roman" w:hAnsi="Times" w:cs="Arial"/>
                <w:sz w:val="24"/>
                <w:szCs w:val="20"/>
                <w:lang w:eastAsia="pl-PL"/>
              </w:rPr>
              <w:t xml:space="preserve">określa załącznik nr 2 do rozporządzenia. </w:t>
            </w:r>
          </w:p>
          <w:p w14:paraId="07B1CFC6" w14:textId="1F66A2E1" w:rsidR="00982883" w:rsidRPr="00D142A5" w:rsidRDefault="00794226" w:rsidP="00D142A5">
            <w:pPr>
              <w:suppressAutoHyphens/>
              <w:autoSpaceDE w:val="0"/>
              <w:autoSpaceDN w:val="0"/>
              <w:adjustRightInd w:val="0"/>
              <w:ind w:firstLine="510"/>
              <w:jc w:val="both"/>
              <w:rPr>
                <w:rFonts w:ascii="Times" w:eastAsia="Times New Roman" w:hAnsi="Times" w:cs="Arial"/>
                <w:bCs/>
                <w:sz w:val="24"/>
                <w:szCs w:val="20"/>
                <w:lang w:eastAsia="pl-PL"/>
              </w:rPr>
            </w:pPr>
            <w:r w:rsidRPr="00794226">
              <w:rPr>
                <w:rFonts w:ascii="Times" w:eastAsia="Times New Roman" w:hAnsi="Times" w:cs="Arial"/>
                <w:bCs/>
                <w:sz w:val="24"/>
                <w:szCs w:val="20"/>
                <w:lang w:eastAsia="pl-PL"/>
              </w:rPr>
              <w:t xml:space="preserve">2. </w:t>
            </w:r>
            <w:bookmarkStart w:id="5" w:name="_Hlk93413453"/>
            <w:r w:rsidRPr="00794226">
              <w:rPr>
                <w:rFonts w:ascii="Times" w:eastAsia="Times New Roman" w:hAnsi="Times" w:cs="Arial"/>
                <w:bCs/>
                <w:sz w:val="24"/>
                <w:szCs w:val="20"/>
                <w:lang w:eastAsia="pl-PL"/>
              </w:rPr>
              <w:t xml:space="preserve">Wymagane zależności między oczekiwaną korzyścią eksperymentów medycznych, badań klinicznych produktów leczniczych lub badań klinicznych wyrobów medycznych, związanych z ekspozycją medyczną, a wielkością ryzyka i dawką skuteczną (efektywną) </w:t>
            </w:r>
            <w:bookmarkEnd w:id="5"/>
            <w:r w:rsidRPr="00794226">
              <w:rPr>
                <w:rFonts w:ascii="Times" w:eastAsia="Times New Roman" w:hAnsi="Times" w:cs="Arial"/>
                <w:bCs/>
                <w:sz w:val="24"/>
                <w:szCs w:val="20"/>
                <w:lang w:eastAsia="pl-PL"/>
              </w:rPr>
              <w:t xml:space="preserve">określa załącznik nr 3 do rozporządzenia. </w:t>
            </w:r>
          </w:p>
        </w:tc>
      </w:tr>
    </w:tbl>
    <w:p w14:paraId="33DD6D43" w14:textId="77777777" w:rsidR="00A40550" w:rsidRPr="00D142A5" w:rsidRDefault="000C2059" w:rsidP="00D142A5">
      <w:pPr>
        <w:rPr>
          <w:sz w:val="20"/>
          <w:szCs w:val="20"/>
        </w:rPr>
      </w:pPr>
    </w:p>
    <w:sectPr w:rsidR="00A40550" w:rsidRPr="00D142A5" w:rsidSect="00183AD9">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7089"/>
    <w:multiLevelType w:val="hybridMultilevel"/>
    <w:tmpl w:val="F6F6D4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C623DBC"/>
    <w:multiLevelType w:val="hybridMultilevel"/>
    <w:tmpl w:val="3584692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0EA4F6F"/>
    <w:multiLevelType w:val="hybridMultilevel"/>
    <w:tmpl w:val="2CBCAA3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31485336"/>
    <w:multiLevelType w:val="hybridMultilevel"/>
    <w:tmpl w:val="E564BDC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366450BC"/>
    <w:multiLevelType w:val="hybridMultilevel"/>
    <w:tmpl w:val="1064172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6EF2833"/>
    <w:multiLevelType w:val="hybridMultilevel"/>
    <w:tmpl w:val="B85C307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6CC4EB4"/>
    <w:multiLevelType w:val="hybridMultilevel"/>
    <w:tmpl w:val="1E2E2D5E"/>
    <w:lvl w:ilvl="0" w:tplc="04150017">
      <w:start w:val="1"/>
      <w:numFmt w:val="lowerLetter"/>
      <w:lvlText w:val="%1)"/>
      <w:lvlJc w:val="left"/>
      <w:pPr>
        <w:ind w:left="892" w:hanging="360"/>
      </w:pPr>
    </w:lvl>
    <w:lvl w:ilvl="1" w:tplc="04150019" w:tentative="1">
      <w:start w:val="1"/>
      <w:numFmt w:val="lowerLetter"/>
      <w:lvlText w:val="%2."/>
      <w:lvlJc w:val="left"/>
      <w:pPr>
        <w:ind w:left="1612" w:hanging="360"/>
      </w:pPr>
    </w:lvl>
    <w:lvl w:ilvl="2" w:tplc="0415001B" w:tentative="1">
      <w:start w:val="1"/>
      <w:numFmt w:val="lowerRoman"/>
      <w:lvlText w:val="%3."/>
      <w:lvlJc w:val="right"/>
      <w:pPr>
        <w:ind w:left="2332" w:hanging="180"/>
      </w:pPr>
    </w:lvl>
    <w:lvl w:ilvl="3" w:tplc="0415000F" w:tentative="1">
      <w:start w:val="1"/>
      <w:numFmt w:val="decimal"/>
      <w:lvlText w:val="%4."/>
      <w:lvlJc w:val="left"/>
      <w:pPr>
        <w:ind w:left="3052" w:hanging="360"/>
      </w:pPr>
    </w:lvl>
    <w:lvl w:ilvl="4" w:tplc="04150019" w:tentative="1">
      <w:start w:val="1"/>
      <w:numFmt w:val="lowerLetter"/>
      <w:lvlText w:val="%5."/>
      <w:lvlJc w:val="left"/>
      <w:pPr>
        <w:ind w:left="3772" w:hanging="360"/>
      </w:pPr>
    </w:lvl>
    <w:lvl w:ilvl="5" w:tplc="0415001B" w:tentative="1">
      <w:start w:val="1"/>
      <w:numFmt w:val="lowerRoman"/>
      <w:lvlText w:val="%6."/>
      <w:lvlJc w:val="right"/>
      <w:pPr>
        <w:ind w:left="4492" w:hanging="180"/>
      </w:pPr>
    </w:lvl>
    <w:lvl w:ilvl="6" w:tplc="0415000F" w:tentative="1">
      <w:start w:val="1"/>
      <w:numFmt w:val="decimal"/>
      <w:lvlText w:val="%7."/>
      <w:lvlJc w:val="left"/>
      <w:pPr>
        <w:ind w:left="5212" w:hanging="360"/>
      </w:pPr>
    </w:lvl>
    <w:lvl w:ilvl="7" w:tplc="04150019" w:tentative="1">
      <w:start w:val="1"/>
      <w:numFmt w:val="lowerLetter"/>
      <w:lvlText w:val="%8."/>
      <w:lvlJc w:val="left"/>
      <w:pPr>
        <w:ind w:left="5932" w:hanging="360"/>
      </w:pPr>
    </w:lvl>
    <w:lvl w:ilvl="8" w:tplc="0415001B" w:tentative="1">
      <w:start w:val="1"/>
      <w:numFmt w:val="lowerRoman"/>
      <w:lvlText w:val="%9."/>
      <w:lvlJc w:val="right"/>
      <w:pPr>
        <w:ind w:left="6652" w:hanging="180"/>
      </w:pPr>
    </w:lvl>
  </w:abstractNum>
  <w:abstractNum w:abstractNumId="7" w15:restartNumberingAfterBreak="0">
    <w:nsid w:val="47C350C0"/>
    <w:multiLevelType w:val="hybridMultilevel"/>
    <w:tmpl w:val="3D4E57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FCF6E87"/>
    <w:multiLevelType w:val="hybridMultilevel"/>
    <w:tmpl w:val="F4AABB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661539022">
    <w:abstractNumId w:val="4"/>
  </w:num>
  <w:num w:numId="2" w16cid:durableId="1979456097">
    <w:abstractNumId w:val="3"/>
  </w:num>
  <w:num w:numId="3" w16cid:durableId="1275673451">
    <w:abstractNumId w:val="0"/>
  </w:num>
  <w:num w:numId="4" w16cid:durableId="373164425">
    <w:abstractNumId w:val="2"/>
  </w:num>
  <w:num w:numId="5" w16cid:durableId="1114980672">
    <w:abstractNumId w:val="8"/>
  </w:num>
  <w:num w:numId="6" w16cid:durableId="422190551">
    <w:abstractNumId w:val="6"/>
  </w:num>
  <w:num w:numId="7" w16cid:durableId="540745695">
    <w:abstractNumId w:val="5"/>
  </w:num>
  <w:num w:numId="8" w16cid:durableId="609581917">
    <w:abstractNumId w:val="1"/>
  </w:num>
  <w:num w:numId="9" w16cid:durableId="187075390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512"/>
    <w:rsid w:val="000579C0"/>
    <w:rsid w:val="00085ED1"/>
    <w:rsid w:val="00093BAB"/>
    <w:rsid w:val="000A71A7"/>
    <w:rsid w:val="000C2059"/>
    <w:rsid w:val="000D47ED"/>
    <w:rsid w:val="00104DB6"/>
    <w:rsid w:val="001131EB"/>
    <w:rsid w:val="0013000E"/>
    <w:rsid w:val="00171F0E"/>
    <w:rsid w:val="00183AD9"/>
    <w:rsid w:val="002620F5"/>
    <w:rsid w:val="002B5C10"/>
    <w:rsid w:val="002B6C6F"/>
    <w:rsid w:val="0032665C"/>
    <w:rsid w:val="0033549D"/>
    <w:rsid w:val="003E69C4"/>
    <w:rsid w:val="004432AC"/>
    <w:rsid w:val="00565C9F"/>
    <w:rsid w:val="005818DA"/>
    <w:rsid w:val="00595F50"/>
    <w:rsid w:val="00616FAA"/>
    <w:rsid w:val="00636DB7"/>
    <w:rsid w:val="006474D6"/>
    <w:rsid w:val="006A7287"/>
    <w:rsid w:val="00794226"/>
    <w:rsid w:val="007A5C55"/>
    <w:rsid w:val="007D0A0C"/>
    <w:rsid w:val="00866C25"/>
    <w:rsid w:val="0089295F"/>
    <w:rsid w:val="00896FED"/>
    <w:rsid w:val="008A103C"/>
    <w:rsid w:val="008B0444"/>
    <w:rsid w:val="008B2EB5"/>
    <w:rsid w:val="00903E2A"/>
    <w:rsid w:val="00966FE8"/>
    <w:rsid w:val="009777AB"/>
    <w:rsid w:val="00982883"/>
    <w:rsid w:val="009A74ED"/>
    <w:rsid w:val="009F618F"/>
    <w:rsid w:val="00A01A1F"/>
    <w:rsid w:val="00A62C5E"/>
    <w:rsid w:val="00A93512"/>
    <w:rsid w:val="00BF630F"/>
    <w:rsid w:val="00C152BF"/>
    <w:rsid w:val="00C2773D"/>
    <w:rsid w:val="00CE37A0"/>
    <w:rsid w:val="00CE5873"/>
    <w:rsid w:val="00D142A5"/>
    <w:rsid w:val="00DB0374"/>
    <w:rsid w:val="00DB68CA"/>
    <w:rsid w:val="00DC41B3"/>
    <w:rsid w:val="00DC5517"/>
    <w:rsid w:val="00DC6762"/>
    <w:rsid w:val="00DE33E0"/>
    <w:rsid w:val="00E636D6"/>
    <w:rsid w:val="00E723BF"/>
    <w:rsid w:val="00E838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2D9E5"/>
  <w15:chartTrackingRefBased/>
  <w15:docId w15:val="{5FC2DE19-74D7-4224-8BEC-E077D78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A935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rtustawynprozporzdzenia">
    <w:name w:val="ART(§) – art. ustawy (§ np. rozporządzenia)"/>
    <w:uiPriority w:val="11"/>
    <w:qFormat/>
    <w:rsid w:val="00DB0374"/>
    <w:pPr>
      <w:suppressAutoHyphens/>
      <w:autoSpaceDE w:val="0"/>
      <w:autoSpaceDN w:val="0"/>
      <w:adjustRightInd w:val="0"/>
      <w:spacing w:before="120" w:after="0" w:line="360" w:lineRule="auto"/>
      <w:ind w:firstLine="510"/>
      <w:jc w:val="both"/>
    </w:pPr>
    <w:rPr>
      <w:rFonts w:ascii="Times" w:eastAsiaTheme="minorEastAsia" w:hAnsi="Times" w:cs="Arial"/>
      <w:sz w:val="24"/>
      <w:szCs w:val="20"/>
      <w:lang w:eastAsia="pl-PL"/>
    </w:rPr>
  </w:style>
  <w:style w:type="paragraph" w:customStyle="1" w:styleId="USTustnpkodeksu">
    <w:name w:val="UST(§) – ust. (§ np. kodeksu)"/>
    <w:basedOn w:val="ARTartustawynprozporzdzenia"/>
    <w:uiPriority w:val="12"/>
    <w:qFormat/>
    <w:rsid w:val="00DB0374"/>
    <w:pPr>
      <w:spacing w:before="0"/>
    </w:pPr>
    <w:rPr>
      <w:bCs/>
    </w:rPr>
  </w:style>
  <w:style w:type="paragraph" w:customStyle="1" w:styleId="PKTpunkt">
    <w:name w:val="PKT – punkt"/>
    <w:uiPriority w:val="13"/>
    <w:qFormat/>
    <w:rsid w:val="00DB0374"/>
    <w:pPr>
      <w:spacing w:after="0" w:line="360" w:lineRule="auto"/>
      <w:ind w:left="510" w:hanging="510"/>
      <w:jc w:val="both"/>
    </w:pPr>
    <w:rPr>
      <w:rFonts w:ascii="Times" w:eastAsiaTheme="minorEastAsia" w:hAnsi="Times" w:cs="Arial"/>
      <w:bCs/>
      <w:sz w:val="24"/>
      <w:szCs w:val="20"/>
      <w:lang w:eastAsia="pl-PL"/>
    </w:rPr>
  </w:style>
  <w:style w:type="paragraph" w:customStyle="1" w:styleId="LITlitera">
    <w:name w:val="LIT – litera"/>
    <w:basedOn w:val="PKTpunkt"/>
    <w:uiPriority w:val="14"/>
    <w:qFormat/>
    <w:rsid w:val="00DB0374"/>
    <w:pPr>
      <w:ind w:left="986" w:hanging="476"/>
    </w:pPr>
  </w:style>
  <w:style w:type="paragraph" w:customStyle="1" w:styleId="ROZDZODDZOZNoznaczenierozdziauluboddziau">
    <w:name w:val="ROZDZ(ODDZ)_OZN – oznaczenie rozdziału lub oddziału"/>
    <w:next w:val="ARTartustawynprozporzdzenia"/>
    <w:uiPriority w:val="10"/>
    <w:qFormat/>
    <w:rsid w:val="00DB0374"/>
    <w:pPr>
      <w:keepNext/>
      <w:suppressAutoHyphens/>
      <w:spacing w:before="120" w:after="0" w:line="360" w:lineRule="auto"/>
      <w:jc w:val="center"/>
    </w:pPr>
    <w:rPr>
      <w:rFonts w:ascii="Times" w:eastAsiaTheme="minorEastAsia" w:hAnsi="Times" w:cs="Arial"/>
      <w:bCs/>
      <w:kern w:val="24"/>
      <w:sz w:val="24"/>
      <w:szCs w:val="24"/>
      <w:lang w:eastAsia="pl-PL"/>
    </w:rPr>
  </w:style>
  <w:style w:type="character" w:customStyle="1" w:styleId="Ppogrubienie">
    <w:name w:val="_P_ – pogrubienie"/>
    <w:basedOn w:val="Domylnaczcionkaakapitu"/>
    <w:uiPriority w:val="1"/>
    <w:qFormat/>
    <w:rsid w:val="00DB0374"/>
    <w:rPr>
      <w:b/>
      <w:bCs w:val="0"/>
    </w:rPr>
  </w:style>
  <w:style w:type="character" w:styleId="Odwoaniedokomentarza">
    <w:name w:val="annotation reference"/>
    <w:basedOn w:val="Domylnaczcionkaakapitu"/>
    <w:uiPriority w:val="99"/>
    <w:semiHidden/>
    <w:unhideWhenUsed/>
    <w:rsid w:val="00DC41B3"/>
    <w:rPr>
      <w:sz w:val="16"/>
      <w:szCs w:val="16"/>
    </w:rPr>
  </w:style>
  <w:style w:type="paragraph" w:styleId="Tekstkomentarza">
    <w:name w:val="annotation text"/>
    <w:basedOn w:val="Normalny"/>
    <w:link w:val="TekstkomentarzaZnak"/>
    <w:uiPriority w:val="99"/>
    <w:semiHidden/>
    <w:unhideWhenUsed/>
    <w:rsid w:val="00DC41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41B3"/>
    <w:rPr>
      <w:sz w:val="20"/>
      <w:szCs w:val="20"/>
    </w:rPr>
  </w:style>
  <w:style w:type="paragraph" w:styleId="Tematkomentarza">
    <w:name w:val="annotation subject"/>
    <w:basedOn w:val="Tekstkomentarza"/>
    <w:next w:val="Tekstkomentarza"/>
    <w:link w:val="TematkomentarzaZnak"/>
    <w:uiPriority w:val="99"/>
    <w:semiHidden/>
    <w:unhideWhenUsed/>
    <w:rsid w:val="00DC41B3"/>
    <w:rPr>
      <w:b/>
      <w:bCs/>
    </w:rPr>
  </w:style>
  <w:style w:type="character" w:customStyle="1" w:styleId="TematkomentarzaZnak">
    <w:name w:val="Temat komentarza Znak"/>
    <w:basedOn w:val="TekstkomentarzaZnak"/>
    <w:link w:val="Tematkomentarza"/>
    <w:uiPriority w:val="99"/>
    <w:semiHidden/>
    <w:rsid w:val="00DC41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8474250">
      <w:bodyDiv w:val="1"/>
      <w:marLeft w:val="0"/>
      <w:marRight w:val="0"/>
      <w:marTop w:val="0"/>
      <w:marBottom w:val="0"/>
      <w:divBdr>
        <w:top w:val="none" w:sz="0" w:space="0" w:color="auto"/>
        <w:left w:val="none" w:sz="0" w:space="0" w:color="auto"/>
        <w:bottom w:val="none" w:sz="0" w:space="0" w:color="auto"/>
        <w:right w:val="none" w:sz="0" w:space="0" w:color="auto"/>
      </w:divBdr>
      <w:divsChild>
        <w:div w:id="1203248001">
          <w:marLeft w:val="0"/>
          <w:marRight w:val="0"/>
          <w:marTop w:val="0"/>
          <w:marBottom w:val="0"/>
          <w:divBdr>
            <w:top w:val="none" w:sz="0" w:space="0" w:color="auto"/>
            <w:left w:val="none" w:sz="0" w:space="0" w:color="auto"/>
            <w:bottom w:val="none" w:sz="0" w:space="0" w:color="auto"/>
            <w:right w:val="none" w:sz="0" w:space="0" w:color="auto"/>
          </w:divBdr>
          <w:divsChild>
            <w:div w:id="1220945611">
              <w:marLeft w:val="0"/>
              <w:marRight w:val="0"/>
              <w:marTop w:val="0"/>
              <w:marBottom w:val="0"/>
              <w:divBdr>
                <w:top w:val="none" w:sz="0" w:space="0" w:color="auto"/>
                <w:left w:val="none" w:sz="0" w:space="0" w:color="auto"/>
                <w:bottom w:val="none" w:sz="0" w:space="0" w:color="auto"/>
                <w:right w:val="none" w:sz="0" w:space="0" w:color="auto"/>
              </w:divBdr>
            </w:div>
            <w:div w:id="1644039242">
              <w:marLeft w:val="0"/>
              <w:marRight w:val="0"/>
              <w:marTop w:val="0"/>
              <w:marBottom w:val="0"/>
              <w:divBdr>
                <w:top w:val="none" w:sz="0" w:space="0" w:color="auto"/>
                <w:left w:val="none" w:sz="0" w:space="0" w:color="auto"/>
                <w:bottom w:val="none" w:sz="0" w:space="0" w:color="auto"/>
                <w:right w:val="none" w:sz="0" w:space="0" w:color="auto"/>
              </w:divBdr>
              <w:divsChild>
                <w:div w:id="1437670478">
                  <w:marLeft w:val="0"/>
                  <w:marRight w:val="0"/>
                  <w:marTop w:val="0"/>
                  <w:marBottom w:val="0"/>
                  <w:divBdr>
                    <w:top w:val="none" w:sz="0" w:space="0" w:color="auto"/>
                    <w:left w:val="none" w:sz="0" w:space="0" w:color="auto"/>
                    <w:bottom w:val="none" w:sz="0" w:space="0" w:color="auto"/>
                    <w:right w:val="none" w:sz="0" w:space="0" w:color="auto"/>
                  </w:divBdr>
                </w:div>
              </w:divsChild>
            </w:div>
            <w:div w:id="1462920287">
              <w:marLeft w:val="0"/>
              <w:marRight w:val="0"/>
              <w:marTop w:val="0"/>
              <w:marBottom w:val="0"/>
              <w:divBdr>
                <w:top w:val="none" w:sz="0" w:space="0" w:color="auto"/>
                <w:left w:val="none" w:sz="0" w:space="0" w:color="auto"/>
                <w:bottom w:val="none" w:sz="0" w:space="0" w:color="auto"/>
                <w:right w:val="none" w:sz="0" w:space="0" w:color="auto"/>
              </w:divBdr>
              <w:divsChild>
                <w:div w:id="1912154297">
                  <w:marLeft w:val="0"/>
                  <w:marRight w:val="0"/>
                  <w:marTop w:val="0"/>
                  <w:marBottom w:val="0"/>
                  <w:divBdr>
                    <w:top w:val="none" w:sz="0" w:space="0" w:color="auto"/>
                    <w:left w:val="none" w:sz="0" w:space="0" w:color="auto"/>
                    <w:bottom w:val="none" w:sz="0" w:space="0" w:color="auto"/>
                    <w:right w:val="none" w:sz="0" w:space="0" w:color="auto"/>
                  </w:divBdr>
                </w:div>
              </w:divsChild>
            </w:div>
            <w:div w:id="988241753">
              <w:marLeft w:val="0"/>
              <w:marRight w:val="0"/>
              <w:marTop w:val="0"/>
              <w:marBottom w:val="0"/>
              <w:divBdr>
                <w:top w:val="none" w:sz="0" w:space="0" w:color="auto"/>
                <w:left w:val="none" w:sz="0" w:space="0" w:color="auto"/>
                <w:bottom w:val="none" w:sz="0" w:space="0" w:color="auto"/>
                <w:right w:val="none" w:sz="0" w:space="0" w:color="auto"/>
              </w:divBdr>
              <w:divsChild>
                <w:div w:id="625431628">
                  <w:marLeft w:val="0"/>
                  <w:marRight w:val="0"/>
                  <w:marTop w:val="0"/>
                  <w:marBottom w:val="0"/>
                  <w:divBdr>
                    <w:top w:val="none" w:sz="0" w:space="0" w:color="auto"/>
                    <w:left w:val="none" w:sz="0" w:space="0" w:color="auto"/>
                    <w:bottom w:val="none" w:sz="0" w:space="0" w:color="auto"/>
                    <w:right w:val="none" w:sz="0" w:space="0" w:color="auto"/>
                  </w:divBdr>
                </w:div>
                <w:div w:id="792485450">
                  <w:marLeft w:val="0"/>
                  <w:marRight w:val="0"/>
                  <w:marTop w:val="0"/>
                  <w:marBottom w:val="0"/>
                  <w:divBdr>
                    <w:top w:val="none" w:sz="0" w:space="0" w:color="auto"/>
                    <w:left w:val="none" w:sz="0" w:space="0" w:color="auto"/>
                    <w:bottom w:val="none" w:sz="0" w:space="0" w:color="auto"/>
                    <w:right w:val="none" w:sz="0" w:space="0" w:color="auto"/>
                  </w:divBdr>
                  <w:divsChild>
                    <w:div w:id="269362827">
                      <w:marLeft w:val="0"/>
                      <w:marRight w:val="0"/>
                      <w:marTop w:val="0"/>
                      <w:marBottom w:val="0"/>
                      <w:divBdr>
                        <w:top w:val="none" w:sz="0" w:space="0" w:color="auto"/>
                        <w:left w:val="none" w:sz="0" w:space="0" w:color="auto"/>
                        <w:bottom w:val="none" w:sz="0" w:space="0" w:color="auto"/>
                        <w:right w:val="none" w:sz="0" w:space="0" w:color="auto"/>
                      </w:divBdr>
                    </w:div>
                  </w:divsChild>
                </w:div>
                <w:div w:id="592053061">
                  <w:marLeft w:val="0"/>
                  <w:marRight w:val="0"/>
                  <w:marTop w:val="0"/>
                  <w:marBottom w:val="0"/>
                  <w:divBdr>
                    <w:top w:val="none" w:sz="0" w:space="0" w:color="auto"/>
                    <w:left w:val="none" w:sz="0" w:space="0" w:color="auto"/>
                    <w:bottom w:val="none" w:sz="0" w:space="0" w:color="auto"/>
                    <w:right w:val="none" w:sz="0" w:space="0" w:color="auto"/>
                  </w:divBdr>
                  <w:divsChild>
                    <w:div w:id="1565525570">
                      <w:marLeft w:val="0"/>
                      <w:marRight w:val="0"/>
                      <w:marTop w:val="0"/>
                      <w:marBottom w:val="0"/>
                      <w:divBdr>
                        <w:top w:val="none" w:sz="0" w:space="0" w:color="auto"/>
                        <w:left w:val="none" w:sz="0" w:space="0" w:color="auto"/>
                        <w:bottom w:val="none" w:sz="0" w:space="0" w:color="auto"/>
                        <w:right w:val="none" w:sz="0" w:space="0" w:color="auto"/>
                      </w:divBdr>
                    </w:div>
                  </w:divsChild>
                </w:div>
                <w:div w:id="1056779968">
                  <w:marLeft w:val="0"/>
                  <w:marRight w:val="0"/>
                  <w:marTop w:val="0"/>
                  <w:marBottom w:val="0"/>
                  <w:divBdr>
                    <w:top w:val="none" w:sz="0" w:space="0" w:color="auto"/>
                    <w:left w:val="none" w:sz="0" w:space="0" w:color="auto"/>
                    <w:bottom w:val="none" w:sz="0" w:space="0" w:color="auto"/>
                    <w:right w:val="none" w:sz="0" w:space="0" w:color="auto"/>
                  </w:divBdr>
                  <w:divsChild>
                    <w:div w:id="2032876783">
                      <w:marLeft w:val="0"/>
                      <w:marRight w:val="0"/>
                      <w:marTop w:val="0"/>
                      <w:marBottom w:val="0"/>
                      <w:divBdr>
                        <w:top w:val="none" w:sz="0" w:space="0" w:color="auto"/>
                        <w:left w:val="none" w:sz="0" w:space="0" w:color="auto"/>
                        <w:bottom w:val="none" w:sz="0" w:space="0" w:color="auto"/>
                        <w:right w:val="none" w:sz="0" w:space="0" w:color="auto"/>
                      </w:divBdr>
                    </w:div>
                  </w:divsChild>
                </w:div>
                <w:div w:id="670333321">
                  <w:marLeft w:val="0"/>
                  <w:marRight w:val="0"/>
                  <w:marTop w:val="0"/>
                  <w:marBottom w:val="0"/>
                  <w:divBdr>
                    <w:top w:val="none" w:sz="0" w:space="0" w:color="auto"/>
                    <w:left w:val="none" w:sz="0" w:space="0" w:color="auto"/>
                    <w:bottom w:val="none" w:sz="0" w:space="0" w:color="auto"/>
                    <w:right w:val="none" w:sz="0" w:space="0" w:color="auto"/>
                  </w:divBdr>
                  <w:divsChild>
                    <w:div w:id="52101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30029">
              <w:marLeft w:val="0"/>
              <w:marRight w:val="0"/>
              <w:marTop w:val="0"/>
              <w:marBottom w:val="0"/>
              <w:divBdr>
                <w:top w:val="none" w:sz="0" w:space="0" w:color="auto"/>
                <w:left w:val="none" w:sz="0" w:space="0" w:color="auto"/>
                <w:bottom w:val="none" w:sz="0" w:space="0" w:color="auto"/>
                <w:right w:val="none" w:sz="0" w:space="0" w:color="auto"/>
              </w:divBdr>
              <w:divsChild>
                <w:div w:id="1973360561">
                  <w:marLeft w:val="0"/>
                  <w:marRight w:val="0"/>
                  <w:marTop w:val="0"/>
                  <w:marBottom w:val="0"/>
                  <w:divBdr>
                    <w:top w:val="none" w:sz="0" w:space="0" w:color="auto"/>
                    <w:left w:val="none" w:sz="0" w:space="0" w:color="auto"/>
                    <w:bottom w:val="none" w:sz="0" w:space="0" w:color="auto"/>
                    <w:right w:val="none" w:sz="0" w:space="0" w:color="auto"/>
                  </w:divBdr>
                </w:div>
              </w:divsChild>
            </w:div>
            <w:div w:id="81071753">
              <w:marLeft w:val="0"/>
              <w:marRight w:val="0"/>
              <w:marTop w:val="0"/>
              <w:marBottom w:val="0"/>
              <w:divBdr>
                <w:top w:val="none" w:sz="0" w:space="0" w:color="auto"/>
                <w:left w:val="none" w:sz="0" w:space="0" w:color="auto"/>
                <w:bottom w:val="none" w:sz="0" w:space="0" w:color="auto"/>
                <w:right w:val="none" w:sz="0" w:space="0" w:color="auto"/>
              </w:divBdr>
              <w:divsChild>
                <w:div w:id="1106661064">
                  <w:marLeft w:val="0"/>
                  <w:marRight w:val="0"/>
                  <w:marTop w:val="0"/>
                  <w:marBottom w:val="0"/>
                  <w:divBdr>
                    <w:top w:val="none" w:sz="0" w:space="0" w:color="auto"/>
                    <w:left w:val="none" w:sz="0" w:space="0" w:color="auto"/>
                    <w:bottom w:val="none" w:sz="0" w:space="0" w:color="auto"/>
                    <w:right w:val="none" w:sz="0" w:space="0" w:color="auto"/>
                  </w:divBdr>
                </w:div>
                <w:div w:id="938945387">
                  <w:marLeft w:val="0"/>
                  <w:marRight w:val="0"/>
                  <w:marTop w:val="0"/>
                  <w:marBottom w:val="0"/>
                  <w:divBdr>
                    <w:top w:val="none" w:sz="0" w:space="0" w:color="auto"/>
                    <w:left w:val="none" w:sz="0" w:space="0" w:color="auto"/>
                    <w:bottom w:val="none" w:sz="0" w:space="0" w:color="auto"/>
                    <w:right w:val="none" w:sz="0" w:space="0" w:color="auto"/>
                  </w:divBdr>
                  <w:divsChild>
                    <w:div w:id="1772966702">
                      <w:marLeft w:val="0"/>
                      <w:marRight w:val="0"/>
                      <w:marTop w:val="0"/>
                      <w:marBottom w:val="0"/>
                      <w:divBdr>
                        <w:top w:val="none" w:sz="0" w:space="0" w:color="auto"/>
                        <w:left w:val="none" w:sz="0" w:space="0" w:color="auto"/>
                        <w:bottom w:val="none" w:sz="0" w:space="0" w:color="auto"/>
                        <w:right w:val="none" w:sz="0" w:space="0" w:color="auto"/>
                      </w:divBdr>
                    </w:div>
                  </w:divsChild>
                </w:div>
                <w:div w:id="1414398926">
                  <w:marLeft w:val="0"/>
                  <w:marRight w:val="0"/>
                  <w:marTop w:val="0"/>
                  <w:marBottom w:val="0"/>
                  <w:divBdr>
                    <w:top w:val="none" w:sz="0" w:space="0" w:color="auto"/>
                    <w:left w:val="none" w:sz="0" w:space="0" w:color="auto"/>
                    <w:bottom w:val="none" w:sz="0" w:space="0" w:color="auto"/>
                    <w:right w:val="none" w:sz="0" w:space="0" w:color="auto"/>
                  </w:divBdr>
                  <w:divsChild>
                    <w:div w:id="11459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601010">
              <w:marLeft w:val="0"/>
              <w:marRight w:val="0"/>
              <w:marTop w:val="0"/>
              <w:marBottom w:val="0"/>
              <w:divBdr>
                <w:top w:val="none" w:sz="0" w:space="0" w:color="auto"/>
                <w:left w:val="none" w:sz="0" w:space="0" w:color="auto"/>
                <w:bottom w:val="none" w:sz="0" w:space="0" w:color="auto"/>
                <w:right w:val="none" w:sz="0" w:space="0" w:color="auto"/>
              </w:divBdr>
              <w:divsChild>
                <w:div w:id="47379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65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AF3201-8556-457C-BDCB-B410FC29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3454</Words>
  <Characters>20729</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Skweres Wojciech</dc:creator>
  <cp:keywords/>
  <dc:description/>
  <cp:lastModifiedBy>Skweres Wojciech</cp:lastModifiedBy>
  <cp:revision>2</cp:revision>
  <dcterms:created xsi:type="dcterms:W3CDTF">2022-06-15T09:08:00Z</dcterms:created>
  <dcterms:modified xsi:type="dcterms:W3CDTF">2022-06-15T09:08:00Z</dcterms:modified>
</cp:coreProperties>
</file>