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87" w:rsidRPr="00FE6FE3" w:rsidRDefault="00241A87" w:rsidP="006B44B4">
      <w:pPr>
        <w:pStyle w:val="OZNPROJEKTUwskazaniedatylubwersjiprojektu"/>
        <w:keepNext/>
      </w:pPr>
      <w:bookmarkStart w:id="0" w:name="_GoBack"/>
      <w:bookmarkEnd w:id="0"/>
      <w:r w:rsidRPr="00FE6FE3">
        <w:t>Projekt z </w:t>
      </w:r>
      <w:r>
        <w:t xml:space="preserve"> dnia</w:t>
      </w:r>
      <w:r w:rsidR="00C43DF1">
        <w:t xml:space="preserve"> </w:t>
      </w:r>
      <w:r w:rsidR="0090476B">
        <w:t>20</w:t>
      </w:r>
      <w:r w:rsidR="007B282A">
        <w:t>.0</w:t>
      </w:r>
      <w:r w:rsidR="005E37CC">
        <w:t>6</w:t>
      </w:r>
      <w:r>
        <w:t>.</w:t>
      </w:r>
      <w:r w:rsidRPr="00FE6FE3">
        <w:t>2022 r.</w:t>
      </w:r>
    </w:p>
    <w:p w:rsidR="00241A87" w:rsidRDefault="00241A87" w:rsidP="00241A87">
      <w:pPr>
        <w:pStyle w:val="OZNRODZAKTUtznustawalubrozporzdzenieiorganwydajcy"/>
      </w:pPr>
      <w:r w:rsidRPr="00655700">
        <w:t>Rozporządzenie</w:t>
      </w:r>
    </w:p>
    <w:p w:rsidR="00241A87" w:rsidRDefault="00241A87" w:rsidP="00241A87">
      <w:pPr>
        <w:pStyle w:val="OZNRODZAKTUtznustawalubrozporzdzenieiorganwydajcy"/>
      </w:pPr>
      <w:r w:rsidRPr="00655700">
        <w:t xml:space="preserve">Ministra Rozwoju </w:t>
      </w:r>
      <w:r>
        <w:t>i Technologii</w:t>
      </w:r>
      <w:r w:rsidRPr="00AC074F">
        <w:rPr>
          <w:rStyle w:val="IGPindeksgrnyipogrubienie"/>
        </w:rPr>
        <w:footnoteReference w:id="1"/>
      </w:r>
      <w:r w:rsidRPr="00AC074F">
        <w:rPr>
          <w:rStyle w:val="IGPindeksgrnyipogrubienie"/>
        </w:rPr>
        <w:t>)</w:t>
      </w:r>
      <w:r w:rsidR="002D164F">
        <w:rPr>
          <w:rStyle w:val="IGPindeksgrnyipogrubienie"/>
        </w:rPr>
        <w:t xml:space="preserve"> </w:t>
      </w:r>
    </w:p>
    <w:p w:rsidR="00241A87" w:rsidRPr="00655700" w:rsidRDefault="00241A87" w:rsidP="00241A87">
      <w:pPr>
        <w:pStyle w:val="TYTUAKTUprzedmiotregulacjiustawylubrozporzdzenia"/>
      </w:pPr>
      <w:r w:rsidRPr="00655700">
        <w:t>w sprawie uwidaczniania cen towarów i usług</w:t>
      </w:r>
      <w:r w:rsidRPr="00AC074F">
        <w:rPr>
          <w:rStyle w:val="IGPindeksgrnyipogrubienie"/>
        </w:rPr>
        <w:footnoteReference w:id="2"/>
      </w:r>
      <w:r w:rsidRPr="00AC074F">
        <w:rPr>
          <w:rStyle w:val="IGPindeksgrnyipogrubienie"/>
        </w:rPr>
        <w:t>)</w:t>
      </w:r>
    </w:p>
    <w:p w:rsidR="00241A87" w:rsidRPr="00FE6FE3" w:rsidRDefault="00241A87" w:rsidP="006B44B4">
      <w:pPr>
        <w:pStyle w:val="DATAAKTUdatauchwalenialubwydaniaaktu"/>
      </w:pPr>
      <w:r w:rsidRPr="00FE6FE3">
        <w:t>z dnia ………. 2022 r.</w:t>
      </w:r>
    </w:p>
    <w:p w:rsidR="00241A87" w:rsidRPr="00FE6FE3" w:rsidRDefault="00241A87" w:rsidP="009468FE">
      <w:pPr>
        <w:pStyle w:val="NIEARTTEKSTtekstnieartykuowanynppodstprawnarozplubpreambua"/>
      </w:pPr>
      <w:r w:rsidRPr="00655700">
        <w:t xml:space="preserve">Na podstawie art. 4 ust. </w:t>
      </w:r>
      <w:r>
        <w:t>6</w:t>
      </w:r>
      <w:r w:rsidRPr="00655700">
        <w:t xml:space="preserve"> ustawy z dnia 9 maja 2014 r. o informowaniu o cenach towarów i usług (Dz.</w:t>
      </w:r>
      <w:r>
        <w:t xml:space="preserve"> </w:t>
      </w:r>
      <w:r w:rsidRPr="00655700">
        <w:t>U.</w:t>
      </w:r>
      <w:r>
        <w:t xml:space="preserve"> </w:t>
      </w:r>
      <w:r w:rsidR="009E68B5">
        <w:t xml:space="preserve">z </w:t>
      </w:r>
      <w:r w:rsidR="004715D5">
        <w:t>2019 r. poz. 178 oraz z 2022 r. poz. …)</w:t>
      </w:r>
      <w:r w:rsidRPr="00FE6FE3">
        <w:t xml:space="preserve"> zarządza się, co następuje:</w:t>
      </w:r>
    </w:p>
    <w:p w:rsidR="00241A87" w:rsidRPr="00FE6FE3" w:rsidRDefault="00241A87" w:rsidP="006B44B4">
      <w:pPr>
        <w:pStyle w:val="ARTartustawynprozporzdzenia"/>
        <w:keepNext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1.</w:t>
      </w:r>
      <w:r>
        <w:t xml:space="preserve"> </w:t>
      </w:r>
      <w:r w:rsidRPr="00FE6FE3">
        <w:t>Rozporządzenie określa:</w:t>
      </w:r>
    </w:p>
    <w:p w:rsidR="00241A87" w:rsidRDefault="00241A87" w:rsidP="00241A87">
      <w:pPr>
        <w:pStyle w:val="PKTpunkt"/>
      </w:pPr>
      <w:r>
        <w:t>1)</w:t>
      </w:r>
      <w:r>
        <w:tab/>
        <w:t>sposób uwidaczniania cen towarów i usług, w tym cen jednostkowych towarów lub usług oraz informacji o obniżonej cenie;</w:t>
      </w:r>
    </w:p>
    <w:p w:rsidR="00241A87" w:rsidRPr="00655700" w:rsidRDefault="00241A87" w:rsidP="00241A87">
      <w:pPr>
        <w:pStyle w:val="PKTpunkt"/>
      </w:pPr>
      <w:r>
        <w:t>2)</w:t>
      </w:r>
      <w:r>
        <w:tab/>
        <w:t>wykaz towarów, w przypadku których nie jest wymagane uwidocznienie ceny jednostkowej towarów lub usług</w:t>
      </w:r>
      <w:r w:rsidRPr="00655700">
        <w:t>.</w:t>
      </w:r>
    </w:p>
    <w:p w:rsidR="00241A87" w:rsidRPr="00655700" w:rsidRDefault="00241A87" w:rsidP="006B44B4">
      <w:pPr>
        <w:pStyle w:val="ARTartustawynprozporzdzenia"/>
        <w:keepNext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2.</w:t>
      </w:r>
      <w:r w:rsidRPr="00FE6FE3">
        <w:t xml:space="preserve"> </w:t>
      </w:r>
      <w:r w:rsidRPr="00655700">
        <w:t>Ilekroć w rozporządzeniu jest mowa o:</w:t>
      </w:r>
    </w:p>
    <w:p w:rsidR="00241A87" w:rsidRPr="00FE6FE3" w:rsidRDefault="00241A87" w:rsidP="00241A87">
      <w:pPr>
        <w:pStyle w:val="PKTpunkt"/>
      </w:pPr>
      <w:r w:rsidRPr="00FE6FE3">
        <w:t>1)</w:t>
      </w:r>
      <w:r>
        <w:tab/>
      </w:r>
      <w:r w:rsidRPr="00FE6FE3">
        <w:t>towarze pakowanym – należy przez to rozumieć produkt w opakowaniu jednostkowym, którego ilość jest odmierzana poza miejscem sprzedaży detalicznej;</w:t>
      </w:r>
    </w:p>
    <w:p w:rsidR="00241A87" w:rsidRPr="00BC74FA" w:rsidRDefault="00241A87" w:rsidP="00241A87">
      <w:pPr>
        <w:pStyle w:val="PKTpunkt"/>
      </w:pPr>
      <w:r w:rsidRPr="00FE6FE3">
        <w:t>2)</w:t>
      </w:r>
      <w:r>
        <w:tab/>
      </w:r>
      <w:r w:rsidRPr="00FE6FE3">
        <w:t>towarze sprzedawanym luzem – należy przez to rozumieć towar, który nie jest pakowany, lecz jest odmierzany w miejscu sprzedaży detalicznej;</w:t>
      </w:r>
    </w:p>
    <w:p w:rsidR="00241A87" w:rsidRPr="00FE6FE3" w:rsidRDefault="00241A87" w:rsidP="00241A87">
      <w:pPr>
        <w:pStyle w:val="PKTpunkt"/>
      </w:pPr>
      <w:r w:rsidRPr="00BC74FA">
        <w:t>3)</w:t>
      </w:r>
      <w:r>
        <w:tab/>
      </w:r>
      <w:r w:rsidRPr="00FE6FE3">
        <w:t>towarze sprzedawanym na sztuki – należy przez to rozumieć towar, który jest odliczany przy sprzedaży w pojedynczych egzemplarzach oraz nie jest odmierzany według masy, objętości, długości lub powierzchni;</w:t>
      </w:r>
    </w:p>
    <w:p w:rsidR="00241A87" w:rsidRPr="00FE6FE3" w:rsidRDefault="00241A87" w:rsidP="00241A87">
      <w:pPr>
        <w:pStyle w:val="PKTpunkt"/>
      </w:pPr>
      <w:r w:rsidRPr="00FE6FE3">
        <w:t>4)</w:t>
      </w:r>
      <w:r>
        <w:tab/>
      </w:r>
      <w:r w:rsidRPr="00FE6FE3">
        <w:t>wywieszce – należy przez to rozumieć etykietę, metkę, tabliczkę lub plakat; wywieszka może mieć formę wyświetlacza elektronicznego;</w:t>
      </w:r>
    </w:p>
    <w:p w:rsidR="00241A87" w:rsidRPr="00655700" w:rsidRDefault="00241A87" w:rsidP="00241A87">
      <w:pPr>
        <w:pStyle w:val="PKTpunkt"/>
      </w:pPr>
      <w:r w:rsidRPr="00FE6FE3">
        <w:t>5)</w:t>
      </w:r>
      <w:r>
        <w:tab/>
      </w:r>
      <w:r w:rsidRPr="00FE6FE3">
        <w:t>środku płynnym – należy przez to rozumieć środek płynny</w:t>
      </w:r>
      <w:r>
        <w:t>, o którym mowa</w:t>
      </w:r>
      <w:r w:rsidRPr="00FE6FE3">
        <w:t xml:space="preserve"> w pkt 5 załącznika</w:t>
      </w:r>
      <w:r w:rsidRPr="00655700">
        <w:t xml:space="preserve"> IX do rozporządzenia Parlamentu Europejskiego i Rady (UE) nr 1169/2011 z dnia 25 października 2011 r. w sprawie przekazywania konsumentom informacji na temat żywności, zmiany rozporządzeń Parlamentu Europejskiego i Rady (WE) nr </w:t>
      </w:r>
      <w:r w:rsidRPr="00655700">
        <w:lastRenderedPageBreak/>
        <w:t>1924/2006 i (WE) nr 1925/2006 oraz uchylenia dyrektywy Komisji 87/250/EWG, dyrektywy Rady 90/496/EWG, dyrektywy Komisji 1999/10/WE, dyrektywy 2000/13/WE Parlamentu Europejskiego i Rady,</w:t>
      </w:r>
      <w:r>
        <w:t xml:space="preserve"> </w:t>
      </w:r>
      <w:r w:rsidRPr="00655700">
        <w:t>dyrektyw Komisji 2002/67/WE i 2008/5/WE oraz rozporządzenia Komisji (WE) nr 608/2004 (Dz.</w:t>
      </w:r>
      <w:r>
        <w:t xml:space="preserve"> </w:t>
      </w:r>
      <w:r w:rsidRPr="00655700">
        <w:t>Urz. UE L 304 z 22.11.2011, str. 18</w:t>
      </w:r>
      <w:r w:rsidRPr="0050143E">
        <w:t>, z późn. zm.</w:t>
      </w:r>
      <w:r w:rsidR="0043560C">
        <w:rPr>
          <w:rStyle w:val="Odwoanieprzypisudolnego"/>
        </w:rPr>
        <w:footnoteReference w:id="3"/>
      </w:r>
      <w:r w:rsidR="00B73A62" w:rsidRPr="00B73A62">
        <w:rPr>
          <w:vertAlign w:val="superscript"/>
        </w:rPr>
        <w:t>)</w:t>
      </w:r>
      <w:r w:rsidRPr="0050143E">
        <w:t>);</w:t>
      </w:r>
    </w:p>
    <w:p w:rsidR="00241A87" w:rsidRPr="00655700" w:rsidRDefault="00B73A62" w:rsidP="00241A87">
      <w:pPr>
        <w:pStyle w:val="PKTpunkt"/>
      </w:pPr>
      <w:r>
        <w:t>6)</w:t>
      </w:r>
      <w:r w:rsidR="00241A87">
        <w:tab/>
      </w:r>
      <w:r w:rsidR="00241A87" w:rsidRPr="00655700">
        <w:t xml:space="preserve">masie netto po odsączeniu </w:t>
      </w:r>
      <w:r w:rsidR="00241A87" w:rsidRPr="00FE6FE3">
        <w:t>–</w:t>
      </w:r>
      <w:r w:rsidR="00241A87" w:rsidRPr="00655700">
        <w:t xml:space="preserve"> należy przez to rozumieć masę środka spożywczego w stanie stałym umieszczonego w środku płynnym.</w:t>
      </w:r>
    </w:p>
    <w:p w:rsidR="00241A87" w:rsidRPr="00FE6FE3" w:rsidRDefault="00241A87" w:rsidP="00241A87">
      <w:pPr>
        <w:pStyle w:val="ARTartustawynprozporzdzenia"/>
      </w:pPr>
      <w:bookmarkStart w:id="1" w:name="_Hlk97634815"/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3.</w:t>
      </w:r>
      <w:r w:rsidRPr="00FE6FE3">
        <w:t xml:space="preserve"> 1. Cenę</w:t>
      </w:r>
      <w:r>
        <w:t xml:space="preserve">, cenę jednostkową </w:t>
      </w:r>
      <w:r w:rsidRPr="00FE6FE3">
        <w:t>lub informację o obniżonej cenie uwidacznia się w miejscu ogólnodostępnym i dobrze widocznym dla konsumentów, na danym towarze, bezpośrednio przy towarze lub w bliskości towaru, którego dotyczy.</w:t>
      </w:r>
    </w:p>
    <w:p w:rsidR="00241A87" w:rsidRPr="00655700" w:rsidRDefault="00241A87" w:rsidP="006B44B4">
      <w:pPr>
        <w:pStyle w:val="USTustnpkodeksu"/>
        <w:keepNext/>
      </w:pPr>
      <w:r w:rsidRPr="00E8028E">
        <w:t>2.</w:t>
      </w:r>
      <w:r w:rsidRPr="00655700">
        <w:t xml:space="preserve"> Cenę</w:t>
      </w:r>
      <w:r>
        <w:t>,</w:t>
      </w:r>
      <w:r w:rsidRPr="00655700">
        <w:t xml:space="preserve"> cenę </w:t>
      </w:r>
      <w:r w:rsidRPr="0050143E">
        <w:t xml:space="preserve">jednostkową lub </w:t>
      </w:r>
      <w:r>
        <w:t>informację o obniżonej cenie</w:t>
      </w:r>
      <w:bookmarkEnd w:id="1"/>
      <w:r w:rsidRPr="00655700">
        <w:t xml:space="preserve"> uwidacznia się w szczególności:</w:t>
      </w:r>
    </w:p>
    <w:p w:rsidR="00241A87" w:rsidRPr="00655700" w:rsidRDefault="00241A87" w:rsidP="00241A87">
      <w:pPr>
        <w:pStyle w:val="PKTpunkt"/>
      </w:pPr>
      <w:r w:rsidRPr="00655700">
        <w:t>1)</w:t>
      </w:r>
      <w:r>
        <w:tab/>
      </w:r>
      <w:r w:rsidRPr="00655700">
        <w:t>na wywieszce;</w:t>
      </w:r>
    </w:p>
    <w:p w:rsidR="00241A87" w:rsidRPr="00655700" w:rsidRDefault="00241A87" w:rsidP="00241A87">
      <w:pPr>
        <w:pStyle w:val="PKTpunkt"/>
      </w:pPr>
      <w:r w:rsidRPr="00655700">
        <w:t>2)</w:t>
      </w:r>
      <w:r>
        <w:tab/>
      </w:r>
      <w:r w:rsidRPr="00655700">
        <w:t>w cenniku;</w:t>
      </w:r>
    </w:p>
    <w:p w:rsidR="00241A87" w:rsidRPr="00655700" w:rsidRDefault="00241A87" w:rsidP="00241A87">
      <w:pPr>
        <w:pStyle w:val="PKTpunkt"/>
      </w:pPr>
      <w:r w:rsidRPr="00655700">
        <w:t>3)</w:t>
      </w:r>
      <w:r>
        <w:tab/>
      </w:r>
      <w:r w:rsidRPr="00655700">
        <w:t>w katalogu;</w:t>
      </w:r>
    </w:p>
    <w:p w:rsidR="00241A87" w:rsidRPr="00655700" w:rsidRDefault="00241A87" w:rsidP="00241A87">
      <w:pPr>
        <w:pStyle w:val="PKTpunkt"/>
      </w:pPr>
      <w:r w:rsidRPr="00655700">
        <w:t>4)</w:t>
      </w:r>
      <w:r>
        <w:tab/>
      </w:r>
      <w:r w:rsidRPr="00655700">
        <w:t>na obwolucie;</w:t>
      </w:r>
    </w:p>
    <w:p w:rsidR="00241A87" w:rsidRPr="00655700" w:rsidRDefault="00241A87" w:rsidP="00241A87">
      <w:pPr>
        <w:pStyle w:val="PKTpunkt"/>
      </w:pPr>
      <w:r w:rsidRPr="00655700">
        <w:t>5)</w:t>
      </w:r>
      <w:r>
        <w:tab/>
      </w:r>
      <w:r w:rsidRPr="00655700">
        <w:t>w postaci nadruku lub napisu na towarze lub opakowaniu.</w:t>
      </w:r>
    </w:p>
    <w:p w:rsidR="00241A87" w:rsidRPr="00FE6FE3" w:rsidRDefault="00241A87" w:rsidP="006B44B4">
      <w:pPr>
        <w:pStyle w:val="ARTartustawynprozporzdzenia"/>
        <w:keepNext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4.</w:t>
      </w:r>
      <w:r w:rsidRPr="00FE6FE3">
        <w:t xml:space="preserve"> 1. Cena jednostkowa dotyczy odpowiednio ceny za:</w:t>
      </w:r>
    </w:p>
    <w:p w:rsidR="00241A87" w:rsidRPr="00FE6FE3" w:rsidRDefault="00241A87" w:rsidP="00241A87">
      <w:pPr>
        <w:pStyle w:val="PKTpunkt"/>
      </w:pPr>
      <w:r w:rsidRPr="00FE6FE3">
        <w:t>1)</w:t>
      </w:r>
      <w:r>
        <w:tab/>
      </w:r>
      <w:r w:rsidRPr="00FE6FE3">
        <w:t>litr lub metr sześcienny – dla towaru przeznaczonego do sprzedaży według objętości;</w:t>
      </w:r>
    </w:p>
    <w:p w:rsidR="00241A87" w:rsidRPr="00FE6FE3" w:rsidRDefault="00241A87" w:rsidP="00241A87">
      <w:pPr>
        <w:pStyle w:val="PKTpunkt"/>
      </w:pPr>
      <w:r w:rsidRPr="00FE6FE3">
        <w:t>2)</w:t>
      </w:r>
      <w:r>
        <w:tab/>
      </w:r>
      <w:r w:rsidRPr="00FE6FE3">
        <w:t>kilogram lub tonę – dla towaru przeznaczonego do sprzedaży według masy;</w:t>
      </w:r>
    </w:p>
    <w:p w:rsidR="00241A87" w:rsidRPr="00FE6FE3" w:rsidRDefault="00241A87" w:rsidP="00241A87">
      <w:pPr>
        <w:pStyle w:val="PKTpunkt"/>
      </w:pPr>
      <w:r w:rsidRPr="00FE6FE3">
        <w:t>3)</w:t>
      </w:r>
      <w:r>
        <w:tab/>
      </w:r>
      <w:r w:rsidRPr="00FE6FE3">
        <w:t>metr – dla towaru przeznaczonego do sprzedaży według długości;</w:t>
      </w:r>
    </w:p>
    <w:p w:rsidR="00241A87" w:rsidRPr="00BC74FA" w:rsidRDefault="00241A87" w:rsidP="00241A87">
      <w:pPr>
        <w:pStyle w:val="PKTpunkt"/>
      </w:pPr>
      <w:r w:rsidRPr="00BC74FA">
        <w:t>4)</w:t>
      </w:r>
      <w:r>
        <w:tab/>
      </w:r>
      <w:r w:rsidRPr="00FE6FE3">
        <w:t>metr kwadratowy –</w:t>
      </w:r>
      <w:r w:rsidRPr="00BC74FA">
        <w:t xml:space="preserve"> dla towaru przeznaczonego do sprzedaży według powierzchni;</w:t>
      </w:r>
    </w:p>
    <w:p w:rsidR="00241A87" w:rsidRPr="00BC74FA" w:rsidRDefault="00241A87" w:rsidP="00241A87">
      <w:pPr>
        <w:pStyle w:val="PKTpunkt"/>
      </w:pPr>
      <w:r w:rsidRPr="00BC74FA">
        <w:t>5)</w:t>
      </w:r>
      <w:r>
        <w:tab/>
      </w:r>
      <w:r w:rsidRPr="00FE6FE3">
        <w:t xml:space="preserve">sztukę </w:t>
      </w:r>
      <w:r w:rsidRPr="00BC74FA">
        <w:t>– dla towarów przeznaczonych do sprzedaży na sztuki.</w:t>
      </w:r>
    </w:p>
    <w:p w:rsidR="00241A87" w:rsidRPr="0050143E" w:rsidRDefault="00241A87" w:rsidP="009468FE">
      <w:pPr>
        <w:pStyle w:val="USTustnpkodeksu"/>
      </w:pPr>
      <w:r w:rsidRPr="0050143E"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:rsidR="00241A87" w:rsidRPr="00FE6FE3" w:rsidRDefault="00241A87" w:rsidP="009468FE">
      <w:pPr>
        <w:pStyle w:val="USTustnpkodeksu"/>
      </w:pPr>
      <w:r w:rsidRPr="00655700">
        <w:lastRenderedPageBreak/>
        <w:t>3. W przypadku towaru pakowanego oznaczonego liczbą sztuk dopuszcza się stosowanie przeliczenia na cenę jednostkową za sztukę lub za dziesiętną wielokrotność liczby sztuk.</w:t>
      </w:r>
    </w:p>
    <w:p w:rsidR="00241A87" w:rsidRDefault="00241A87" w:rsidP="00241A87">
      <w:pPr>
        <w:pStyle w:val="ARTartustawynprozporzdzenia"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5.</w:t>
      </w:r>
      <w:r w:rsidRPr="00E8028E">
        <w:t xml:space="preserve"> W przypadku towaru sprzedawanego luzem uwidacznia się cenę jednostkową.</w:t>
      </w:r>
    </w:p>
    <w:p w:rsidR="00241A87" w:rsidRPr="00FE6FE3" w:rsidRDefault="00241A87" w:rsidP="00241A87">
      <w:pPr>
        <w:pStyle w:val="ARTartustawynprozporzdzenia"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6.</w:t>
      </w:r>
      <w:r w:rsidRPr="00FE6FE3">
        <w:t xml:space="preserve"> </w:t>
      </w:r>
      <w:r w:rsidRPr="00655700">
        <w:t>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 W przypadku gdy pakowany środek spożywczy był glazurowany, cena jednostkowa jest podawana w odniesieniu do masy netto z wyłączeniem glazury.</w:t>
      </w:r>
    </w:p>
    <w:p w:rsidR="00241A87" w:rsidRPr="00FE6FE3" w:rsidRDefault="00241A87" w:rsidP="006B44B4">
      <w:pPr>
        <w:pStyle w:val="ARTartustawynprozporzdzenia"/>
        <w:keepNext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7.</w:t>
      </w:r>
      <w:r w:rsidRPr="00FE6FE3">
        <w:t xml:space="preserve"> Wymogu uwidaczniania cen jednostkowych nie stosuje się do:</w:t>
      </w:r>
    </w:p>
    <w:p w:rsidR="00241A87" w:rsidRPr="00FE6FE3" w:rsidRDefault="00241A87" w:rsidP="00241A87">
      <w:pPr>
        <w:pStyle w:val="PKTpunkt"/>
      </w:pPr>
      <w:r w:rsidRPr="00FE6FE3">
        <w:t>1)</w:t>
      </w:r>
      <w:r>
        <w:tab/>
      </w:r>
      <w:r w:rsidRPr="00FE6FE3">
        <w:t>towarów, których cena jednostkowa jest identyczna z ceną sprzedaży;</w:t>
      </w:r>
    </w:p>
    <w:p w:rsidR="00241A87" w:rsidRPr="00FE6FE3" w:rsidRDefault="00241A87" w:rsidP="00241A87">
      <w:pPr>
        <w:pStyle w:val="PKTpunkt"/>
      </w:pPr>
      <w:r w:rsidRPr="00FE6FE3">
        <w:t>2)</w:t>
      </w:r>
      <w:r>
        <w:tab/>
      </w:r>
      <w:r w:rsidRPr="00FE6FE3">
        <w:t>towarów sprzedawanych ze względu na ich przeznaczenie w zestawach (kompletach);</w:t>
      </w:r>
    </w:p>
    <w:p w:rsidR="00241A87" w:rsidRPr="00BC74FA" w:rsidRDefault="00241A87" w:rsidP="00241A87">
      <w:pPr>
        <w:pStyle w:val="PKTpunkt"/>
      </w:pPr>
      <w:r w:rsidRPr="00FE6FE3">
        <w:t>3)</w:t>
      </w:r>
      <w:r>
        <w:tab/>
      </w:r>
      <w:r w:rsidRPr="00FE6FE3">
        <w:t xml:space="preserve">towarów nieżywnościowych sprzedawanych ze względu na ich przeznaczenie lub </w:t>
      </w:r>
      <w:r w:rsidRPr="00BC74FA">
        <w:t>właściwości wyłącznie w parach;</w:t>
      </w:r>
    </w:p>
    <w:p w:rsidR="00241A87" w:rsidRPr="00BC74FA" w:rsidRDefault="00241A87" w:rsidP="00241A87">
      <w:pPr>
        <w:pStyle w:val="PKTpunkt"/>
      </w:pPr>
      <w:r w:rsidRPr="00BC74FA">
        <w:t>4)</w:t>
      </w:r>
      <w:r>
        <w:tab/>
      </w:r>
      <w:r w:rsidRPr="00FE6FE3">
        <w:t xml:space="preserve">produktów leczniczych w rozumieniu art. 2 pkt 32 ustawy z dnia 6 września 2001 r. </w:t>
      </w:r>
      <w:r w:rsidR="00DA589B" w:rsidRPr="00DA589B">
        <w:t>–</w:t>
      </w:r>
      <w:r w:rsidRPr="00FE6FE3">
        <w:t xml:space="preserve"> Prawo farmaceutyczne (</w:t>
      </w:r>
      <w:r w:rsidRPr="00BC74FA">
        <w:t>Dz.</w:t>
      </w:r>
      <w:r w:rsidR="00DA589B">
        <w:t xml:space="preserve"> </w:t>
      </w:r>
      <w:r w:rsidRPr="00BC74FA">
        <w:t>U. z 2021 r. poz. 1977</w:t>
      </w:r>
      <w:r>
        <w:t xml:space="preserve"> i 2120</w:t>
      </w:r>
      <w:r w:rsidR="00DA589B">
        <w:t xml:space="preserve"> oraz z 2022 r. poz. 830</w:t>
      </w:r>
      <w:r w:rsidR="00EA7016">
        <w:t>, 974 i 1095</w:t>
      </w:r>
      <w:r w:rsidRPr="00BC74FA">
        <w:t>).</w:t>
      </w:r>
    </w:p>
    <w:p w:rsidR="00241A87" w:rsidRPr="00FE6FE3" w:rsidRDefault="00241A87" w:rsidP="00241A87">
      <w:pPr>
        <w:pStyle w:val="ARTartustawynprozporzdzenia"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8.</w:t>
      </w:r>
      <w:r w:rsidRPr="00AC074F">
        <w:rPr>
          <w:rStyle w:val="Ppogrubienie"/>
        </w:rPr>
        <w:t xml:space="preserve"> </w:t>
      </w:r>
      <w:r w:rsidRPr="00FE6FE3">
        <w:t>1. W cenniku uwidacznia się ceny towarów przeznaczonych do sprzedaży detalicznej umieszczonych w miejscu niedostępnym lub niewidocznym dla konsumentów.</w:t>
      </w:r>
    </w:p>
    <w:p w:rsidR="00241A87" w:rsidRPr="00FE6FE3" w:rsidRDefault="00241A87" w:rsidP="009468FE">
      <w:pPr>
        <w:pStyle w:val="USTustnpkodeksu"/>
      </w:pPr>
      <w:r w:rsidRPr="00655700">
        <w:t xml:space="preserve">2. Cenniki wywiesza się, wykłada lub udostępnia </w:t>
      </w:r>
      <w:r w:rsidRPr="001B3364">
        <w:t xml:space="preserve">w inny sposób </w:t>
      </w:r>
      <w:r w:rsidRPr="00655700">
        <w:t>w miejscu sprzedaży towarów.</w:t>
      </w:r>
    </w:p>
    <w:p w:rsidR="00241A87" w:rsidRPr="00FE6FE3" w:rsidRDefault="00241A87" w:rsidP="00241A87">
      <w:pPr>
        <w:pStyle w:val="ARTartustawynprozporzdzenia"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9.</w:t>
      </w:r>
      <w:r w:rsidRPr="00FE6FE3">
        <w:t xml:space="preserve"> 1. Przedsiębiorca prowadzący działalność usługową w zakresie gastronomii lub hotelarstwa uwidacznia ceny oferowanych potraw, wyrobów, noclegów, wyżywienia i innych oferowanych usług w cenniku.</w:t>
      </w:r>
    </w:p>
    <w:p w:rsidR="00241A87" w:rsidRPr="00FE6FE3" w:rsidRDefault="00241A87" w:rsidP="009468FE">
      <w:pPr>
        <w:pStyle w:val="USTustnpkodeksu"/>
      </w:pPr>
      <w:r w:rsidRPr="00655700">
        <w:t>2. Cennik, o którym mowa w ust. 1, zawiera także aktualne informacje umożliwiające konsumentom identyfikację ceny z potrawą lub wyrobem, w szczególności pełną nazwę potrawy lub wyrobu, pod którą jest on sprzedawany, oraz określenie ilości potrawy lub wyrobu, do których się odnosi.</w:t>
      </w:r>
    </w:p>
    <w:p w:rsidR="00241A87" w:rsidRPr="00FE6FE3" w:rsidRDefault="00241A87" w:rsidP="009468FE">
      <w:pPr>
        <w:pStyle w:val="USTustnpkodeksu"/>
      </w:pPr>
      <w:r w:rsidRPr="00655700">
        <w:t>3. Przedsiębiorca, o którym mowa w ust. 1:</w:t>
      </w:r>
    </w:p>
    <w:p w:rsidR="00241A87" w:rsidRPr="00FE6FE3" w:rsidRDefault="00241A87" w:rsidP="00241A87">
      <w:pPr>
        <w:pStyle w:val="PKTpunkt"/>
      </w:pPr>
      <w:r w:rsidRPr="00FE6FE3">
        <w:t>1)</w:t>
      </w:r>
      <w:r>
        <w:tab/>
      </w:r>
      <w:r w:rsidRPr="00FE6FE3">
        <w:t>zapewnia konsumentom wystarczającą liczbę cenników oferowanych potraw, wyrobów i napojów oraz udostępnia je przed przyjęciem zamówienia;</w:t>
      </w:r>
    </w:p>
    <w:p w:rsidR="00241A87" w:rsidRPr="00BC74FA" w:rsidRDefault="00241A87" w:rsidP="00241A87">
      <w:pPr>
        <w:pStyle w:val="PKTpunkt"/>
      </w:pPr>
      <w:r w:rsidRPr="00BC74FA">
        <w:lastRenderedPageBreak/>
        <w:t>2)</w:t>
      </w:r>
      <w:r w:rsidR="009E68B5">
        <w:tab/>
      </w:r>
      <w:r w:rsidRPr="00BC74FA">
        <w:t>wywiesza cenniki w miejscu ogólnodostępnym wewnątrz lub na zewnątrz lokalu gastronomicznego;</w:t>
      </w:r>
    </w:p>
    <w:p w:rsidR="00241A87" w:rsidRPr="00BC74FA" w:rsidRDefault="00241A87" w:rsidP="00241A87">
      <w:pPr>
        <w:pStyle w:val="PKTpunkt"/>
      </w:pPr>
      <w:r w:rsidRPr="00BC74FA">
        <w:t>3)</w:t>
      </w:r>
      <w:r>
        <w:tab/>
      </w:r>
      <w:r w:rsidRPr="00FE6FE3">
        <w:t>wykłada lub wywiesza w każdym pokoju hotelowym katalog zawierający ceny noclegu, wyżywienia lub innych oferowanych usług;</w:t>
      </w:r>
    </w:p>
    <w:p w:rsidR="00241A87" w:rsidRPr="00BC74FA" w:rsidRDefault="00241A87" w:rsidP="00241A87">
      <w:pPr>
        <w:pStyle w:val="PKTpunkt"/>
      </w:pPr>
      <w:r w:rsidRPr="00BC74FA">
        <w:t>4)</w:t>
      </w:r>
      <w:r>
        <w:tab/>
      </w:r>
      <w:r w:rsidRPr="00FE6FE3">
        <w:t xml:space="preserve">wykłada lub wywiesza w miejscu przeznaczonym do odbywania rozmów telefonicznych cennik, zawierający cenę za jeden impuls telefoniczny i inne </w:t>
      </w:r>
      <w:r w:rsidRPr="00BC74FA">
        <w:t>opłaty za usługi dodatkowe, związane z łączeniem rozmowy.</w:t>
      </w:r>
    </w:p>
    <w:p w:rsidR="00241A87" w:rsidRDefault="00241A87" w:rsidP="009468FE">
      <w:pPr>
        <w:pStyle w:val="ARTartustawynprozporzdzenia"/>
      </w:pPr>
      <w:r w:rsidRPr="00AC074F">
        <w:rPr>
          <w:rStyle w:val="Ppogrubienie"/>
        </w:rPr>
        <w:t>§ 10.</w:t>
      </w:r>
      <w:r w:rsidRPr="00655700">
        <w:t xml:space="preserve"> 1. Ceny za usługi podaje się wraz z dokładnym określeniem rodzaju i zakresu usługi. Jeżeli jest to zgodne z praktyką obrotu, ze względu na rodzaj świadczonej usługi, zamiast cen za usługę można podawać cenę jednostkową.</w:t>
      </w:r>
    </w:p>
    <w:p w:rsidR="00241A87" w:rsidRDefault="00241A87" w:rsidP="00241A87">
      <w:pPr>
        <w:pStyle w:val="USTustnpkodeksu"/>
      </w:pPr>
      <w:r w:rsidRPr="00655700">
        <w:t>2. Przy uwidacznianiu cen za usługi mogą być podawane stawki godzinowe, stawki procentowe, ceny za kilometr i inne stawki przeliczeniowe, które powinny zawierać wszystkie elementy składowe ceny.</w:t>
      </w:r>
    </w:p>
    <w:p w:rsidR="00241A87" w:rsidRDefault="00241A87" w:rsidP="00241A87">
      <w:pPr>
        <w:pStyle w:val="USTustnpkodeksu"/>
      </w:pPr>
      <w:r w:rsidRPr="00655700">
        <w:t>3. Ceny za przejazd od lub do odbiorcy usługi zestawia się i wycenia, niezależnie od wyceny usługi.</w:t>
      </w:r>
    </w:p>
    <w:p w:rsidR="00241A87" w:rsidRPr="00964B2F" w:rsidRDefault="00241A87" w:rsidP="00241A87">
      <w:pPr>
        <w:pStyle w:val="USTustnpkodeksu"/>
      </w:pPr>
      <w:r w:rsidRPr="00964B2F">
        <w:t>4. W przypadku gdy cena za wykonanie usługi nie obejmuje wartości materiałów i towarów niezbędnych do jej realizacji, jednoznacznie informuje się o tym konsumenta.</w:t>
      </w:r>
    </w:p>
    <w:p w:rsidR="00241A87" w:rsidRPr="00964B2F" w:rsidRDefault="00241A87" w:rsidP="00241A87">
      <w:pPr>
        <w:pStyle w:val="USTustnpkodeksu"/>
      </w:pPr>
      <w:r w:rsidRPr="00964B2F">
        <w:t>5. Przepisy ust. 1</w:t>
      </w:r>
      <w:r w:rsidR="00DA589B" w:rsidRPr="00DA589B">
        <w:t>–</w:t>
      </w:r>
      <w:r w:rsidRPr="00964B2F">
        <w:t>4 stosuje się również do ofert i kosztorysów.</w:t>
      </w:r>
    </w:p>
    <w:p w:rsidR="00241A87" w:rsidRPr="00964B2F" w:rsidRDefault="00241A87" w:rsidP="00241A87">
      <w:pPr>
        <w:pStyle w:val="ARTartustawynprozporzdzenia"/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11.</w:t>
      </w:r>
      <w:r w:rsidRPr="00964B2F">
        <w:t xml:space="preserve"> 1. W miejscu świadczenia usług udostępnia się cennik w miejscu ogólnodostępnym i dobrze widocznym dla konsumentów.</w:t>
      </w:r>
    </w:p>
    <w:p w:rsidR="00241A87" w:rsidRPr="00964B2F" w:rsidRDefault="00241A87" w:rsidP="00241A87">
      <w:pPr>
        <w:pStyle w:val="USTustnpkodeksu"/>
      </w:pPr>
      <w:r w:rsidRPr="00964B2F">
        <w:t>2. W przypadku świadczenia usług wyłącznie u konsumenta cennik przedstawia się konsumentowi w formie pisemnej lub elektronicznej przed wykonaniem usługi.</w:t>
      </w:r>
    </w:p>
    <w:p w:rsidR="00241A87" w:rsidRPr="00964B2F" w:rsidRDefault="00241A87" w:rsidP="009468FE">
      <w:pPr>
        <w:pStyle w:val="ARTartustawynprozporzdzenia"/>
      </w:pPr>
      <w:bookmarkStart w:id="2" w:name="_Hlk96337844"/>
      <w:r w:rsidRPr="00AC074F">
        <w:rPr>
          <w:rStyle w:val="Ppogrubienie"/>
        </w:rPr>
        <w:t>§ 12.</w:t>
      </w:r>
      <w:r w:rsidRPr="00964B2F">
        <w:t xml:space="preserve"> </w:t>
      </w:r>
      <w:bookmarkEnd w:id="2"/>
      <w:r w:rsidRPr="00964B2F">
        <w:t>1. Na stacjach benzynowych ceny paliw uwidacznia się w taki sposób, aby były one czytelne dla kierowców pojazdów zbliżających się do stacji, poruszających się po drogach publicznych.</w:t>
      </w:r>
    </w:p>
    <w:p w:rsidR="005416D4" w:rsidRDefault="00241A87" w:rsidP="005416D4">
      <w:pPr>
        <w:pStyle w:val="USTustnpkodeksu"/>
      </w:pPr>
      <w:r w:rsidRPr="00964B2F">
        <w:t>2. Przepis ust. 1 stosuje się odpowiednio do przedsiębiorcy wynajmującego lub ochraniającego garaże, zadaszone wiaty oraz miejsca parkingowe albo przyjmującego na przechowanie pojazdy samochodowe.</w:t>
      </w:r>
    </w:p>
    <w:p w:rsidR="00241A87" w:rsidRPr="000B5363" w:rsidRDefault="00241A87" w:rsidP="005416D4">
      <w:pPr>
        <w:pStyle w:val="USTustnpkodeksu"/>
        <w:rPr>
          <w:rStyle w:val="IGindeksgrny"/>
        </w:rPr>
      </w:pPr>
      <w:r w:rsidRPr="006B44B4">
        <w:rPr>
          <w:rStyle w:val="Ppogrubienie"/>
        </w:rPr>
        <w:t>§</w:t>
      </w:r>
      <w:r w:rsidR="006B44B4">
        <w:rPr>
          <w:rStyle w:val="Ppogrubienie"/>
        </w:rPr>
        <w:t> </w:t>
      </w:r>
      <w:r w:rsidRPr="006B44B4">
        <w:rPr>
          <w:rStyle w:val="Ppogrubienie"/>
        </w:rPr>
        <w:t>1</w:t>
      </w:r>
      <w:r w:rsidR="005416D4">
        <w:rPr>
          <w:rStyle w:val="Ppogrubienie"/>
        </w:rPr>
        <w:t>3</w:t>
      </w:r>
      <w:r w:rsidRPr="006B44B4">
        <w:rPr>
          <w:rStyle w:val="Ppogrubienie"/>
        </w:rPr>
        <w:t>.</w:t>
      </w:r>
      <w:r w:rsidRPr="00964B2F">
        <w:t xml:space="preserve"> Rozporządzenie wchodzi w życie z dniem ……….. 2022 r.</w:t>
      </w:r>
      <w:r w:rsidR="000B5363">
        <w:rPr>
          <w:rStyle w:val="Odwoanieprzypisudolnego"/>
        </w:rPr>
        <w:footnoteReference w:id="4"/>
      </w:r>
      <w:r w:rsidR="000B5363">
        <w:rPr>
          <w:vertAlign w:val="superscript"/>
        </w:rPr>
        <w:t>)</w:t>
      </w:r>
    </w:p>
    <w:p w:rsidR="00D10687" w:rsidRDefault="00D10687" w:rsidP="006B44B4">
      <w:pPr>
        <w:pStyle w:val="NAZORGWYDnazwaorganuwydajcegoprojektowanyakt"/>
      </w:pPr>
    </w:p>
    <w:p w:rsidR="00241A87" w:rsidRDefault="00241A87" w:rsidP="006B44B4">
      <w:pPr>
        <w:pStyle w:val="NAZORGWYDnazwaorganuwydajcegoprojektowanyakt"/>
      </w:pPr>
      <w:r>
        <w:t>MINIster rozwoju i technologii</w:t>
      </w:r>
    </w:p>
    <w:p w:rsidR="00261A16" w:rsidRDefault="00F03F69" w:rsidP="00B1566A">
      <w:pPr>
        <w:pStyle w:val="NAZORGWYDnazwaorganuwydajcegoprojektowanyakt"/>
      </w:pPr>
      <w:r>
        <w:t>Waldemar Buda</w:t>
      </w:r>
    </w:p>
    <w:p w:rsidR="004C2037" w:rsidRDefault="004C2037" w:rsidP="00B1566A">
      <w:pPr>
        <w:pStyle w:val="NAZORGWYDnazwaorganuwydajcegoprojektowanyakt"/>
      </w:pPr>
    </w:p>
    <w:p w:rsid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 w:rsidRPr="004C2037">
        <w:rPr>
          <w:b w:val="0"/>
          <w:caps w:val="0"/>
          <w:sz w:val="20"/>
          <w:szCs w:val="20"/>
        </w:rPr>
        <w:t xml:space="preserve">Za zgodność pod względem prawnym, </w:t>
      </w:r>
    </w:p>
    <w:p w:rsidR="004C2037" w:rsidRP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sz w:val="20"/>
          <w:szCs w:val="20"/>
        </w:rPr>
      </w:pPr>
      <w:r w:rsidRPr="004C2037">
        <w:rPr>
          <w:b w:val="0"/>
          <w:caps w:val="0"/>
          <w:sz w:val="20"/>
          <w:szCs w:val="20"/>
        </w:rPr>
        <w:t>legislacyjnym i redakcyjnym</w:t>
      </w:r>
    </w:p>
    <w:p w:rsidR="004C2037" w:rsidRP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Aneta M</w:t>
      </w:r>
      <w:r w:rsidRPr="004C2037">
        <w:rPr>
          <w:b w:val="0"/>
          <w:caps w:val="0"/>
          <w:sz w:val="20"/>
          <w:szCs w:val="20"/>
        </w:rPr>
        <w:t>ijal</w:t>
      </w:r>
    </w:p>
    <w:p w:rsid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Zastępca Dyrektora Departamentu Prawnego </w:t>
      </w:r>
    </w:p>
    <w:p w:rsidR="004C2037" w:rsidRP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w Ministerstwie Rozwoju i T</w:t>
      </w:r>
      <w:r w:rsidRPr="004C2037">
        <w:rPr>
          <w:b w:val="0"/>
          <w:caps w:val="0"/>
          <w:sz w:val="20"/>
          <w:szCs w:val="20"/>
        </w:rPr>
        <w:t>echnologii</w:t>
      </w:r>
    </w:p>
    <w:p w:rsidR="004C2037" w:rsidRPr="004C2037" w:rsidRDefault="004C2037" w:rsidP="004C2037">
      <w:pPr>
        <w:pStyle w:val="NAZORGWYDnazwaorganuwydajcegoprojektowanyakt"/>
        <w:spacing w:after="0" w:line="240" w:lineRule="auto"/>
        <w:ind w:left="0"/>
        <w:jc w:val="left"/>
        <w:rPr>
          <w:b w:val="0"/>
          <w:sz w:val="20"/>
          <w:szCs w:val="20"/>
        </w:rPr>
      </w:pPr>
      <w:r w:rsidRPr="004C2037">
        <w:rPr>
          <w:b w:val="0"/>
          <w:caps w:val="0"/>
          <w:sz w:val="20"/>
          <w:szCs w:val="20"/>
        </w:rPr>
        <w:t>/-podpisano elektronicznie/</w:t>
      </w:r>
    </w:p>
    <w:sectPr w:rsidR="004C2037" w:rsidRPr="004C2037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BC" w:rsidRDefault="004704BC">
      <w:r>
        <w:separator/>
      </w:r>
    </w:p>
  </w:endnote>
  <w:endnote w:type="continuationSeparator" w:id="0">
    <w:p w:rsidR="004704BC" w:rsidRDefault="0047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BC" w:rsidRDefault="004704BC">
      <w:r>
        <w:separator/>
      </w:r>
    </w:p>
  </w:footnote>
  <w:footnote w:type="continuationSeparator" w:id="0">
    <w:p w:rsidR="004704BC" w:rsidRDefault="004704BC">
      <w:r>
        <w:continuationSeparator/>
      </w:r>
    </w:p>
  </w:footnote>
  <w:footnote w:id="1">
    <w:p w:rsidR="00241A87" w:rsidRPr="000F1477" w:rsidRDefault="00241A87" w:rsidP="00241A87">
      <w:pPr>
        <w:pStyle w:val="ODNONIKtreodnonika"/>
      </w:pPr>
      <w:r>
        <w:rPr>
          <w:rStyle w:val="Odwoanieprzypisudolnego"/>
        </w:rPr>
        <w:footnoteRef/>
      </w:r>
      <w:r w:rsidRPr="00AC074F">
        <w:rPr>
          <w:rStyle w:val="IGindeksgrny"/>
        </w:rPr>
        <w:t>)</w:t>
      </w:r>
      <w:r>
        <w:rPr>
          <w:rStyle w:val="IGindeksgrny"/>
        </w:rPr>
        <w:tab/>
      </w:r>
      <w:r w:rsidRPr="00A24CE2">
        <w:t>Minister Rozwoju</w:t>
      </w:r>
      <w:r>
        <w:t xml:space="preserve"> </w:t>
      </w:r>
      <w:r w:rsidRPr="00A24CE2">
        <w:t xml:space="preserve">i Technologii kieruje działem administracji rządowej </w:t>
      </w:r>
      <w:r w:rsidRPr="00FE6FE3">
        <w:t>–</w:t>
      </w:r>
      <w:r w:rsidRPr="00A24CE2">
        <w:t xml:space="preserve"> gospodarka, na podstawie § 1 ust. 2 pkt 2 rozporządzenia Prezesa Rady Ministrów z dnia </w:t>
      </w:r>
      <w:r w:rsidR="009E68B5">
        <w:t xml:space="preserve">15 kwietnika </w:t>
      </w:r>
      <w:r w:rsidRPr="00A24CE2">
        <w:t>202</w:t>
      </w:r>
      <w:r w:rsidR="009E68B5">
        <w:t>2</w:t>
      </w:r>
      <w:r w:rsidRPr="00A24CE2">
        <w:t xml:space="preserve"> r. w sprawie szczegółowego zakresu działania Ministra Rozwoju i Technologii </w:t>
      </w:r>
      <w:r w:rsidRPr="000F1477">
        <w:t>(</w:t>
      </w:r>
      <w:r w:rsidRPr="000F1477">
        <w:rPr>
          <w:bCs/>
        </w:rPr>
        <w:t>Dz.</w:t>
      </w:r>
      <w:r w:rsidR="005238F3">
        <w:rPr>
          <w:bCs/>
        </w:rPr>
        <w:t xml:space="preserve"> </w:t>
      </w:r>
      <w:r w:rsidRPr="000F1477">
        <w:rPr>
          <w:bCs/>
        </w:rPr>
        <w:t xml:space="preserve">U. poz. </w:t>
      </w:r>
      <w:r w:rsidR="009E68B5">
        <w:t>838</w:t>
      </w:r>
      <w:r w:rsidRPr="000F1477">
        <w:rPr>
          <w:bCs/>
        </w:rPr>
        <w:t>).</w:t>
      </w:r>
    </w:p>
  </w:footnote>
  <w:footnote w:id="2">
    <w:p w:rsidR="00241A87" w:rsidRPr="000F1477" w:rsidRDefault="00241A87" w:rsidP="00241A87">
      <w:pPr>
        <w:pStyle w:val="ODNONIKtreodnonika"/>
      </w:pPr>
      <w:r>
        <w:rPr>
          <w:rStyle w:val="Odwoanieprzypisudolnego"/>
        </w:rPr>
        <w:footnoteRef/>
      </w:r>
      <w:r w:rsidRPr="00AC074F">
        <w:rPr>
          <w:rStyle w:val="IGindeksgrny"/>
        </w:rPr>
        <w:t>)</w:t>
      </w:r>
      <w:r>
        <w:rPr>
          <w:rStyle w:val="IGindeksgrny"/>
        </w:rPr>
        <w:tab/>
      </w:r>
      <w:r w:rsidRPr="009F3772">
        <w:t xml:space="preserve">Niniejsze rozporządzenie dokonuje wdrożenia dyrektywy </w:t>
      </w:r>
      <w:r w:rsidRPr="00310FCA">
        <w:t xml:space="preserve">Parlamentu Europejskiego i Rady 2019/2161 z dnia </w:t>
      </w:r>
      <w:r>
        <w:t>27 listopada 2019 r. zmieniającej</w:t>
      </w:r>
      <w:r w:rsidRPr="00310FCA">
        <w:t xml:space="preserve"> dyrektywę Rady 93/13/EWG i dyrektywę Parlamentu Europejskiego i Rady 98/6/WE, 2005/29/WE oraz 2011/83/UE w odniesieniu do lepszego egzekwowania i unowocześnienia unijnych przepisów dotyczących ochrony konsumenta (Dz. Urz. UE L 328 z 18.12.2019, str. 7).</w:t>
      </w:r>
    </w:p>
  </w:footnote>
  <w:footnote w:id="3">
    <w:p w:rsidR="0043560C" w:rsidRPr="005D5EAA" w:rsidRDefault="0043560C" w:rsidP="005D5EAA">
      <w:pPr>
        <w:pStyle w:val="ODNONIKtreodnonika"/>
      </w:pPr>
      <w:r>
        <w:rPr>
          <w:rStyle w:val="Odwoanieprzypisudolnego"/>
        </w:rPr>
        <w:footnoteRef/>
      </w:r>
      <w:r w:rsidR="005238F3" w:rsidRPr="005238F3">
        <w:rPr>
          <w:vertAlign w:val="superscript"/>
        </w:rPr>
        <w:t>)</w:t>
      </w:r>
      <w:r>
        <w:t xml:space="preserve"> </w:t>
      </w:r>
      <w:r w:rsidR="006D1C8C" w:rsidRPr="005D5EAA">
        <w:t xml:space="preserve">Zmiany wymienionego rozporządzenia zostały ogłoszone w </w:t>
      </w:r>
      <w:r w:rsidR="006F6810" w:rsidRPr="005D5EAA">
        <w:t>Dz. Urz. UE L 306 z 16.11.2013, str. 7, Dz. Urz. UE L 27 z 30.01.2014, str. 7</w:t>
      </w:r>
      <w:r w:rsidR="000E4A74" w:rsidRPr="005D5EAA">
        <w:t xml:space="preserve">, </w:t>
      </w:r>
      <w:r w:rsidR="006D1C8C" w:rsidRPr="005D5EAA">
        <w:t>Dz.</w:t>
      </w:r>
      <w:r w:rsidR="00576939" w:rsidRPr="005D5EAA">
        <w:t xml:space="preserve"> </w:t>
      </w:r>
      <w:r w:rsidR="006D1C8C" w:rsidRPr="005D5EAA">
        <w:t>U</w:t>
      </w:r>
      <w:r w:rsidR="00EA7016">
        <w:t>rz</w:t>
      </w:r>
      <w:r w:rsidR="006D1C8C" w:rsidRPr="005D5EAA">
        <w:t xml:space="preserve">. </w:t>
      </w:r>
      <w:r w:rsidR="00EA7016">
        <w:t xml:space="preserve">UE </w:t>
      </w:r>
      <w:r w:rsidR="006D1C8C" w:rsidRPr="005D5EAA">
        <w:t xml:space="preserve">L 331 z 18.11.2014, str. 40, </w:t>
      </w:r>
      <w:r w:rsidR="000E4A74" w:rsidRPr="005D5EAA">
        <w:t xml:space="preserve">Dz. Urz. UE L 327 z 11.12.2015, str. 1, </w:t>
      </w:r>
      <w:r w:rsidR="00B35E03" w:rsidRPr="005D5EAA">
        <w:t>Dz.</w:t>
      </w:r>
      <w:r w:rsidR="00576939" w:rsidRPr="005D5EAA">
        <w:t xml:space="preserve"> </w:t>
      </w:r>
      <w:r w:rsidR="00B35E03" w:rsidRPr="005D5EAA">
        <w:t>U</w:t>
      </w:r>
      <w:r w:rsidR="00EA7016">
        <w:t>rz</w:t>
      </w:r>
      <w:r w:rsidR="00B35E03" w:rsidRPr="005D5EAA">
        <w:t xml:space="preserve">. </w:t>
      </w:r>
      <w:r w:rsidR="00EA7016">
        <w:t xml:space="preserve">UE </w:t>
      </w:r>
      <w:r w:rsidR="00B35E03" w:rsidRPr="005D5EAA">
        <w:t>L 266 z 30.</w:t>
      </w:r>
      <w:r w:rsidR="00576939" w:rsidRPr="005D5EAA">
        <w:t>0</w:t>
      </w:r>
      <w:r w:rsidR="00B35E03" w:rsidRPr="005D5EAA">
        <w:t>9.2016, str. 7, Dz.</w:t>
      </w:r>
      <w:r w:rsidR="00EA7016">
        <w:t xml:space="preserve"> </w:t>
      </w:r>
      <w:r w:rsidR="00B35E03" w:rsidRPr="005D5EAA">
        <w:t>U</w:t>
      </w:r>
      <w:r w:rsidR="00EA7016">
        <w:t>rz</w:t>
      </w:r>
      <w:r w:rsidR="00B35E03" w:rsidRPr="005D5EAA">
        <w:t xml:space="preserve">. </w:t>
      </w:r>
      <w:r w:rsidR="00EA7016">
        <w:t xml:space="preserve">UE </w:t>
      </w:r>
      <w:r w:rsidR="00B35E03" w:rsidRPr="005D5EAA">
        <w:t>L 39 z 11.</w:t>
      </w:r>
      <w:r w:rsidR="00576939" w:rsidRPr="005D5EAA">
        <w:t>0</w:t>
      </w:r>
      <w:r w:rsidR="00B35E03" w:rsidRPr="005D5EAA">
        <w:t>2.2019, str. 28, Dz.</w:t>
      </w:r>
      <w:r w:rsidR="00576939" w:rsidRPr="005D5EAA">
        <w:t xml:space="preserve"> </w:t>
      </w:r>
      <w:r w:rsidR="00B35E03" w:rsidRPr="005D5EAA">
        <w:t xml:space="preserve">U. </w:t>
      </w:r>
      <w:r w:rsidR="00EA7016">
        <w:t xml:space="preserve">UE </w:t>
      </w:r>
      <w:r w:rsidR="00B35E03" w:rsidRPr="005D5EAA">
        <w:t xml:space="preserve">L 355 z </w:t>
      </w:r>
      <w:r w:rsidR="00576939" w:rsidRPr="005D5EAA">
        <w:t>0</w:t>
      </w:r>
      <w:r w:rsidR="00B35E03" w:rsidRPr="005D5EAA">
        <w:t>7.10.2021, str. 143.</w:t>
      </w:r>
    </w:p>
  </w:footnote>
  <w:footnote w:id="4">
    <w:p w:rsidR="000B5363" w:rsidRDefault="000B5363" w:rsidP="005D5EAA">
      <w:pPr>
        <w:pStyle w:val="ODNONIKtreodnonika"/>
      </w:pPr>
      <w:r>
        <w:rPr>
          <w:rStyle w:val="Odwoanieprzypisudolnego"/>
        </w:rPr>
        <w:footnoteRef/>
      </w:r>
      <w:r w:rsidRPr="00317B25">
        <w:rPr>
          <w:vertAlign w:val="superscript"/>
        </w:rPr>
        <w:t>)</w:t>
      </w:r>
      <w:r>
        <w:t xml:space="preserve"> </w:t>
      </w:r>
      <w:r w:rsidR="009835CE">
        <w:t xml:space="preserve">  </w:t>
      </w:r>
      <w:r>
        <w:t xml:space="preserve">Niniejsze rozporządzenie było poprzedzone rozporządzeniem Ministra Rozwoju z dnia </w:t>
      </w:r>
      <w:r w:rsidR="00317B25">
        <w:t>9</w:t>
      </w:r>
      <w:r>
        <w:t xml:space="preserve"> </w:t>
      </w:r>
      <w:r w:rsidR="00317B25">
        <w:t>grudnia 2015</w:t>
      </w:r>
      <w:r>
        <w:t xml:space="preserve"> r. w </w:t>
      </w:r>
      <w:r w:rsidR="00317B25" w:rsidRPr="00317B25">
        <w:t>sprawie uwidaczniania cen towarów i usług</w:t>
      </w:r>
      <w:r w:rsidR="00317B25">
        <w:t xml:space="preserve"> </w:t>
      </w:r>
      <w:r>
        <w:t>(Dz. U. poz. 21</w:t>
      </w:r>
      <w:r w:rsidR="00317B25">
        <w:t>21)</w:t>
      </w:r>
      <w:r>
        <w:t>, które traci moc z dniem wejścia w życie</w:t>
      </w:r>
      <w:r w:rsidR="00317B25">
        <w:t xml:space="preserve"> </w:t>
      </w:r>
      <w:r>
        <w:t xml:space="preserve">niniejszego rozporządzenia w związku z wejściem w życie ustawy z dnia </w:t>
      </w:r>
      <w:r w:rsidR="005D5EAA">
        <w:t>….</w:t>
      </w:r>
      <w:r>
        <w:t xml:space="preserve"> </w:t>
      </w:r>
      <w:r w:rsidR="005D5EAA">
        <w:t>…..</w:t>
      </w:r>
      <w:r>
        <w:t xml:space="preserve"> 20</w:t>
      </w:r>
      <w:r w:rsidR="005D5EAA">
        <w:t>22 r. o</w:t>
      </w:r>
      <w:r w:rsidR="005D5EAA" w:rsidRPr="005D5EAA">
        <w:t xml:space="preserve"> zmianie ustawy o prawach konsumenta oraz niektórych innych ustaw</w:t>
      </w:r>
      <w:r w:rsidR="005D5EAA">
        <w:t xml:space="preserve"> </w:t>
      </w:r>
      <w:r>
        <w:t>(Dz. U. poz</w:t>
      </w:r>
      <w:r w:rsidR="00223263">
        <w:t>.</w:t>
      </w:r>
      <w:r w:rsidR="005D5EAA">
        <w:t>…….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0C58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363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A74"/>
    <w:rsid w:val="000E6241"/>
    <w:rsid w:val="000F2BE3"/>
    <w:rsid w:val="000F3D0D"/>
    <w:rsid w:val="000F3D75"/>
    <w:rsid w:val="000F475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3AE"/>
    <w:rsid w:val="00147A47"/>
    <w:rsid w:val="00147AA1"/>
    <w:rsid w:val="001520CF"/>
    <w:rsid w:val="0015667C"/>
    <w:rsid w:val="00157110"/>
    <w:rsid w:val="0015742A"/>
    <w:rsid w:val="00157DA1"/>
    <w:rsid w:val="00163147"/>
    <w:rsid w:val="00164B70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364"/>
    <w:rsid w:val="001B342E"/>
    <w:rsid w:val="001C1832"/>
    <w:rsid w:val="001C188C"/>
    <w:rsid w:val="001D1783"/>
    <w:rsid w:val="001D53CD"/>
    <w:rsid w:val="001D55A3"/>
    <w:rsid w:val="001D5AF5"/>
    <w:rsid w:val="001D6389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263"/>
    <w:rsid w:val="00223FDF"/>
    <w:rsid w:val="002279C0"/>
    <w:rsid w:val="0023727E"/>
    <w:rsid w:val="00241A87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5C0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64F"/>
    <w:rsid w:val="002D4D30"/>
    <w:rsid w:val="002D5000"/>
    <w:rsid w:val="002D598D"/>
    <w:rsid w:val="002D7188"/>
    <w:rsid w:val="002D753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B25"/>
    <w:rsid w:val="00321080"/>
    <w:rsid w:val="00322D45"/>
    <w:rsid w:val="0032569A"/>
    <w:rsid w:val="00325A1F"/>
    <w:rsid w:val="003268F9"/>
    <w:rsid w:val="0033073A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5DDB"/>
    <w:rsid w:val="003674B0"/>
    <w:rsid w:val="0037727C"/>
    <w:rsid w:val="00377C45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2DE"/>
    <w:rsid w:val="003E0D1A"/>
    <w:rsid w:val="003E1F24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3D5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4FF"/>
    <w:rsid w:val="0043560C"/>
    <w:rsid w:val="00435D26"/>
    <w:rsid w:val="00440C99"/>
    <w:rsid w:val="0044175C"/>
    <w:rsid w:val="00445549"/>
    <w:rsid w:val="00445F4D"/>
    <w:rsid w:val="004504C0"/>
    <w:rsid w:val="004550FB"/>
    <w:rsid w:val="0046111A"/>
    <w:rsid w:val="00462946"/>
    <w:rsid w:val="00463F43"/>
    <w:rsid w:val="00464B94"/>
    <w:rsid w:val="004651DA"/>
    <w:rsid w:val="0046525D"/>
    <w:rsid w:val="004653A8"/>
    <w:rsid w:val="00465A0B"/>
    <w:rsid w:val="004704BC"/>
    <w:rsid w:val="0047077C"/>
    <w:rsid w:val="00470B05"/>
    <w:rsid w:val="004715D5"/>
    <w:rsid w:val="0047207C"/>
    <w:rsid w:val="00472CD6"/>
    <w:rsid w:val="00473FEC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4BB"/>
    <w:rsid w:val="004B5037"/>
    <w:rsid w:val="004B5B2F"/>
    <w:rsid w:val="004B626A"/>
    <w:rsid w:val="004B660E"/>
    <w:rsid w:val="004C05BD"/>
    <w:rsid w:val="004C2037"/>
    <w:rsid w:val="004C3B06"/>
    <w:rsid w:val="004C3F97"/>
    <w:rsid w:val="004C539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43E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8F3"/>
    <w:rsid w:val="00526DFC"/>
    <w:rsid w:val="00526F43"/>
    <w:rsid w:val="00527651"/>
    <w:rsid w:val="00531CF3"/>
    <w:rsid w:val="005363AB"/>
    <w:rsid w:val="005416D4"/>
    <w:rsid w:val="00544EF4"/>
    <w:rsid w:val="00545E53"/>
    <w:rsid w:val="005479D9"/>
    <w:rsid w:val="00552473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903"/>
    <w:rsid w:val="00572512"/>
    <w:rsid w:val="00573EE6"/>
    <w:rsid w:val="0057547F"/>
    <w:rsid w:val="005754EE"/>
    <w:rsid w:val="0057617E"/>
    <w:rsid w:val="00576497"/>
    <w:rsid w:val="005769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EAA"/>
    <w:rsid w:val="005E19F7"/>
    <w:rsid w:val="005E37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3B1"/>
    <w:rsid w:val="00603A1A"/>
    <w:rsid w:val="006046D5"/>
    <w:rsid w:val="00607A93"/>
    <w:rsid w:val="00610C08"/>
    <w:rsid w:val="00611F74"/>
    <w:rsid w:val="00615772"/>
    <w:rsid w:val="00621256"/>
    <w:rsid w:val="0062183D"/>
    <w:rsid w:val="00621FCC"/>
    <w:rsid w:val="00622E4B"/>
    <w:rsid w:val="006333DA"/>
    <w:rsid w:val="00635134"/>
    <w:rsid w:val="006356E2"/>
    <w:rsid w:val="00635F5D"/>
    <w:rsid w:val="00642A65"/>
    <w:rsid w:val="00645DCE"/>
    <w:rsid w:val="006465AC"/>
    <w:rsid w:val="006465BF"/>
    <w:rsid w:val="0065068C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D68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4B4"/>
    <w:rsid w:val="006B508D"/>
    <w:rsid w:val="006C419E"/>
    <w:rsid w:val="006C4A31"/>
    <w:rsid w:val="006C5AC2"/>
    <w:rsid w:val="006C6AFB"/>
    <w:rsid w:val="006D1C8C"/>
    <w:rsid w:val="006D2735"/>
    <w:rsid w:val="006D45B2"/>
    <w:rsid w:val="006E0FCC"/>
    <w:rsid w:val="006E1E96"/>
    <w:rsid w:val="006E5C97"/>
    <w:rsid w:val="006E5E21"/>
    <w:rsid w:val="006F2648"/>
    <w:rsid w:val="006F2F10"/>
    <w:rsid w:val="006F482B"/>
    <w:rsid w:val="006F6311"/>
    <w:rsid w:val="006F681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748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A2B"/>
    <w:rsid w:val="007A1F2F"/>
    <w:rsid w:val="007A2A5C"/>
    <w:rsid w:val="007A5150"/>
    <w:rsid w:val="007A5373"/>
    <w:rsid w:val="007A789F"/>
    <w:rsid w:val="007B282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088"/>
    <w:rsid w:val="008E78A3"/>
    <w:rsid w:val="008F0654"/>
    <w:rsid w:val="008F06CB"/>
    <w:rsid w:val="008F2E83"/>
    <w:rsid w:val="008F612A"/>
    <w:rsid w:val="0090293D"/>
    <w:rsid w:val="009034DE"/>
    <w:rsid w:val="0090476B"/>
    <w:rsid w:val="00905396"/>
    <w:rsid w:val="0090605D"/>
    <w:rsid w:val="00906419"/>
    <w:rsid w:val="009102E1"/>
    <w:rsid w:val="00912889"/>
    <w:rsid w:val="00913A42"/>
    <w:rsid w:val="00914167"/>
    <w:rsid w:val="009143DB"/>
    <w:rsid w:val="00915065"/>
    <w:rsid w:val="00917CE5"/>
    <w:rsid w:val="009217C0"/>
    <w:rsid w:val="00924D8E"/>
    <w:rsid w:val="00925241"/>
    <w:rsid w:val="00925CEC"/>
    <w:rsid w:val="00926A3F"/>
    <w:rsid w:val="0092794E"/>
    <w:rsid w:val="00930D30"/>
    <w:rsid w:val="009332A2"/>
    <w:rsid w:val="00934EA1"/>
    <w:rsid w:val="00937598"/>
    <w:rsid w:val="0093790B"/>
    <w:rsid w:val="00943751"/>
    <w:rsid w:val="009468FE"/>
    <w:rsid w:val="00946DD0"/>
    <w:rsid w:val="009509E6"/>
    <w:rsid w:val="00952018"/>
    <w:rsid w:val="00952800"/>
    <w:rsid w:val="0095300D"/>
    <w:rsid w:val="00953292"/>
    <w:rsid w:val="00956812"/>
    <w:rsid w:val="0095719A"/>
    <w:rsid w:val="009623E9"/>
    <w:rsid w:val="00963EEB"/>
    <w:rsid w:val="009648BC"/>
    <w:rsid w:val="00964C2F"/>
    <w:rsid w:val="00965F88"/>
    <w:rsid w:val="009835CE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8B5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326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18E"/>
    <w:rsid w:val="00AD2BF2"/>
    <w:rsid w:val="00AD4E90"/>
    <w:rsid w:val="00AD5422"/>
    <w:rsid w:val="00AE0C58"/>
    <w:rsid w:val="00AE4179"/>
    <w:rsid w:val="00AE4425"/>
    <w:rsid w:val="00AE4FBE"/>
    <w:rsid w:val="00AE64CB"/>
    <w:rsid w:val="00AE650F"/>
    <w:rsid w:val="00AE6555"/>
    <w:rsid w:val="00AE7D16"/>
    <w:rsid w:val="00AF0EB7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66A"/>
    <w:rsid w:val="00B15926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E03"/>
    <w:rsid w:val="00B371CC"/>
    <w:rsid w:val="00B41CD9"/>
    <w:rsid w:val="00B427E6"/>
    <w:rsid w:val="00B428A6"/>
    <w:rsid w:val="00B43E1F"/>
    <w:rsid w:val="00B44645"/>
    <w:rsid w:val="00B45FBC"/>
    <w:rsid w:val="00B51A7D"/>
    <w:rsid w:val="00B535C2"/>
    <w:rsid w:val="00B550D9"/>
    <w:rsid w:val="00B55544"/>
    <w:rsid w:val="00B642FC"/>
    <w:rsid w:val="00B64D26"/>
    <w:rsid w:val="00B64FBB"/>
    <w:rsid w:val="00B66ADC"/>
    <w:rsid w:val="00B70E22"/>
    <w:rsid w:val="00B7383E"/>
    <w:rsid w:val="00B73A6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20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214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921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3DF1"/>
    <w:rsid w:val="00C44426"/>
    <w:rsid w:val="00C445F3"/>
    <w:rsid w:val="00C451F4"/>
    <w:rsid w:val="00C45EB1"/>
    <w:rsid w:val="00C54A3A"/>
    <w:rsid w:val="00C55566"/>
    <w:rsid w:val="00C56448"/>
    <w:rsid w:val="00C57DD2"/>
    <w:rsid w:val="00C65DF7"/>
    <w:rsid w:val="00C667BE"/>
    <w:rsid w:val="00C6766B"/>
    <w:rsid w:val="00C7187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8E5"/>
    <w:rsid w:val="00CA179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6E7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687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C84"/>
    <w:rsid w:val="00D55290"/>
    <w:rsid w:val="00D57791"/>
    <w:rsid w:val="00D6046A"/>
    <w:rsid w:val="00D62870"/>
    <w:rsid w:val="00D64E9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BD3"/>
    <w:rsid w:val="00D92011"/>
    <w:rsid w:val="00D93106"/>
    <w:rsid w:val="00D933E9"/>
    <w:rsid w:val="00D9505D"/>
    <w:rsid w:val="00D953D0"/>
    <w:rsid w:val="00D959F5"/>
    <w:rsid w:val="00D96884"/>
    <w:rsid w:val="00DA3FDD"/>
    <w:rsid w:val="00DA589B"/>
    <w:rsid w:val="00DA5FDE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025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DFA"/>
    <w:rsid w:val="00E87441"/>
    <w:rsid w:val="00E91FAE"/>
    <w:rsid w:val="00E96E3F"/>
    <w:rsid w:val="00EA270C"/>
    <w:rsid w:val="00EA4974"/>
    <w:rsid w:val="00EA532E"/>
    <w:rsid w:val="00EA7016"/>
    <w:rsid w:val="00EB06D9"/>
    <w:rsid w:val="00EB192B"/>
    <w:rsid w:val="00EB19ED"/>
    <w:rsid w:val="00EB1CAB"/>
    <w:rsid w:val="00EC0F5A"/>
    <w:rsid w:val="00EC4265"/>
    <w:rsid w:val="00EC4CEB"/>
    <w:rsid w:val="00EC659E"/>
    <w:rsid w:val="00ED1CF2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C63"/>
    <w:rsid w:val="00F00B73"/>
    <w:rsid w:val="00F0346A"/>
    <w:rsid w:val="00F03F69"/>
    <w:rsid w:val="00F06C49"/>
    <w:rsid w:val="00F115CA"/>
    <w:rsid w:val="00F124D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A4A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44D"/>
    <w:rsid w:val="00FC3BDE"/>
    <w:rsid w:val="00FD1DBE"/>
    <w:rsid w:val="00FD23B2"/>
    <w:rsid w:val="00FD25A7"/>
    <w:rsid w:val="00FD27B6"/>
    <w:rsid w:val="00FD3689"/>
    <w:rsid w:val="00FD42A3"/>
    <w:rsid w:val="00FD7468"/>
    <w:rsid w:val="00FD7CE0"/>
    <w:rsid w:val="00FE0B3B"/>
    <w:rsid w:val="00FE1600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65DF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65DF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089C1-A884-484D-A045-05D1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Mikolaj Szymanski</dc:creator>
  <cp:lastModifiedBy>Szaruch Anna</cp:lastModifiedBy>
  <cp:revision>2</cp:revision>
  <cp:lastPrinted>2022-05-30T11:07:00Z</cp:lastPrinted>
  <dcterms:created xsi:type="dcterms:W3CDTF">2022-06-23T08:28:00Z</dcterms:created>
  <dcterms:modified xsi:type="dcterms:W3CDTF">2022-06-23T08:28:00Z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