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049DC" w:rsidP="004049DC">
      <w:pPr>
        <w:pStyle w:val="OZNPROJEKTUwskazaniedatylubwersjiprojektu"/>
      </w:pPr>
      <w:r>
        <w:t xml:space="preserve">Projekt z dnia </w:t>
      </w:r>
      <w:r w:rsidR="002C02BC">
        <w:t>30</w:t>
      </w:r>
      <w:bookmarkStart w:id="0" w:name="_GoBack"/>
      <w:bookmarkEnd w:id="0"/>
      <w:r>
        <w:t xml:space="preserve"> czerwca 2022 r.</w:t>
      </w:r>
    </w:p>
    <w:p w:rsidR="004049DC" w:rsidRPr="004049DC" w:rsidP="004049DC">
      <w:pPr>
        <w:pStyle w:val="OZNRODZAKTUtznustawalubrozporzdzenieiorganwydajcy"/>
      </w:pPr>
    </w:p>
    <w:p w:rsidR="00CA6A53" w:rsidRPr="008E447F" w:rsidP="00CA6A53">
      <w:pPr>
        <w:pStyle w:val="OZNRODZAKTUtznustawalubrozporzdzenieiorganwydajcy"/>
      </w:pPr>
      <w:r w:rsidRPr="008E447F">
        <w:t>ROZPORZĄDZENIE</w:t>
      </w:r>
    </w:p>
    <w:p w:rsidR="00CA6A53" w:rsidRPr="007C5A3E" w:rsidP="00CA6A53">
      <w:pPr>
        <w:pStyle w:val="OZNRODZAKTUtznustawalubrozporzdzenieiorganwydajcy"/>
        <w:rPr>
          <w:rStyle w:val="IGindeksgrny"/>
        </w:rPr>
      </w:pPr>
      <w:r>
        <w:t>MINISTRA EDUKACJI i nauki</w:t>
      </w:r>
      <w:r>
        <w:rPr>
          <w:rStyle w:val="FootnoteReference"/>
        </w:rPr>
        <w:footnoteReference w:id="2"/>
      </w:r>
      <w:r>
        <w:rPr>
          <w:rStyle w:val="IGindeksgrny"/>
        </w:rPr>
        <w:t>)</w:t>
      </w:r>
    </w:p>
    <w:p w:rsidR="00CA6A53" w:rsidRPr="008E447F" w:rsidP="00CA6A53">
      <w:pPr>
        <w:pStyle w:val="DATAAKTUdatauchwalenialubwydaniaaktu"/>
      </w:pPr>
      <w:r w:rsidRPr="008E447F">
        <w:t xml:space="preserve">z dnia ……………………………….. </w:t>
      </w:r>
      <w:r>
        <w:t>2022 </w:t>
      </w:r>
      <w:r w:rsidRPr="008E447F">
        <w:t>r.</w:t>
      </w:r>
    </w:p>
    <w:p w:rsidR="00CA6A53" w:rsidRPr="008E447F" w:rsidP="00CA6A53">
      <w:pPr>
        <w:pStyle w:val="TYTUAKTUprzedmiotregulacjiustawylubrozporzdzenia"/>
      </w:pPr>
      <w:r>
        <w:t xml:space="preserve">zmieniające rozporządzenie </w:t>
      </w:r>
      <w:r w:rsidRPr="008E447F">
        <w:t>w sprawie sposobu podziału części oświatowej subwencji ogólnej dla jednostek samorządu terytorialnego w</w:t>
      </w:r>
      <w:r>
        <w:t> </w:t>
      </w:r>
      <w:r w:rsidRPr="008E447F">
        <w:t xml:space="preserve">roku </w:t>
      </w:r>
      <w:r>
        <w:t>2022</w:t>
      </w:r>
    </w:p>
    <w:p w:rsidR="00CA6A53" w:rsidRPr="008E447F" w:rsidP="00CA6A53">
      <w:pPr>
        <w:pStyle w:val="NIEARTTEKSTtekstnieartykuowanynppodstprawnarozplubpreambua"/>
      </w:pPr>
      <w:r w:rsidRPr="008E447F">
        <w:t>Na 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 xml:space="preserve">dochodach jednostek samorządu terytorialnego </w:t>
      </w:r>
      <w:r w:rsidRPr="002807E6">
        <w:t>(</w:t>
      </w:r>
      <w:r>
        <w:t>Dz. U.</w:t>
      </w:r>
      <w:r w:rsidRPr="002807E6">
        <w:t xml:space="preserve"> z </w:t>
      </w:r>
      <w:r>
        <w:t>2021 </w:t>
      </w:r>
      <w:r w:rsidRPr="00B921BE">
        <w:t>r.</w:t>
      </w:r>
      <w:r>
        <w:t xml:space="preserve"> poz. 1672, 1901 i 1927 oraz z 2022 r. poz. 646</w:t>
      </w:r>
      <w:r w:rsidR="0047172A">
        <w:t>,</w:t>
      </w:r>
      <w:r>
        <w:t xml:space="preserve"> 655</w:t>
      </w:r>
      <w:r w:rsidR="0047172A">
        <w:t>, 1116 i …</w:t>
      </w:r>
      <w:r>
        <w:t>)</w:t>
      </w:r>
      <w:r w:rsidRPr="008E447F">
        <w:t xml:space="preserve"> zarządza się, co następuje:</w:t>
      </w:r>
    </w:p>
    <w:p w:rsidR="00CA6A53" w:rsidP="00CA6A53">
      <w:pPr>
        <w:pStyle w:val="ARTartustawynprozporzdzenia"/>
      </w:pPr>
      <w:r w:rsidRPr="00D332CB">
        <w:rPr>
          <w:rStyle w:val="Ppogrubienie"/>
        </w:rPr>
        <w:t>§ 1.</w:t>
      </w:r>
      <w:r w:rsidRPr="007B386B">
        <w:rPr>
          <w:rStyle w:val="Ppogrubienie"/>
        </w:rPr>
        <w:t xml:space="preserve"> </w:t>
      </w:r>
      <w:r w:rsidRPr="009A4F81">
        <w:t>W rozporządz</w:t>
      </w:r>
      <w:r>
        <w:t>eniu Ministra Edukacji i Nauki z dnia 21</w:t>
      </w:r>
      <w:r w:rsidRPr="009A4F81">
        <w:t xml:space="preserve"> grudnia 20</w:t>
      </w:r>
      <w:r>
        <w:t>21</w:t>
      </w:r>
      <w:r w:rsidRPr="009A4F81">
        <w:t xml:space="preserve"> r.</w:t>
      </w:r>
      <w:r>
        <w:t xml:space="preserve"> </w:t>
      </w:r>
      <w:r w:rsidRPr="009A4F81">
        <w:t>w sprawie sposobu podziału części oświatowej subwencji ogólnej dla jednostek samo</w:t>
      </w:r>
      <w:r>
        <w:t>rządu terytorialnego w roku 2022 (Dz. U. poz. 2453 oraz z 2022 r. poz. 352</w:t>
      </w:r>
      <w:r w:rsidR="004049DC">
        <w:t>, 1056</w:t>
      </w:r>
      <w:r w:rsidR="00C07A6A">
        <w:t xml:space="preserve"> i …</w:t>
      </w:r>
      <w:r w:rsidRPr="009A4F81">
        <w:t xml:space="preserve">) w załączniku </w:t>
      </w:r>
      <w:r>
        <w:t xml:space="preserve">do rozporządzenia </w:t>
      </w:r>
      <w:r w:rsidRPr="009A4F81">
        <w:t>po ust. 7</w:t>
      </w:r>
      <w:r w:rsidR="004049DC">
        <w:t>b dodaje się ust. 7c</w:t>
      </w:r>
      <w:r w:rsidRPr="009A4F81">
        <w:t xml:space="preserve"> </w:t>
      </w:r>
      <w:r w:rsidR="000208FB">
        <w:t xml:space="preserve">i 7d </w:t>
      </w:r>
      <w:r w:rsidRPr="009A4F81">
        <w:t>w brzmieniu:</w:t>
      </w:r>
    </w:p>
    <w:p w:rsidR="00097B1A" w:rsidRPr="009B39FD" w:rsidP="00A10DFC">
      <w:pPr>
        <w:pStyle w:val="ZUSTzmustartykuempunktem"/>
      </w:pPr>
      <w:r>
        <w:t xml:space="preserve"> „7c</w:t>
      </w:r>
      <w:r w:rsidRPr="001B3E99" w:rsidR="00475BB1">
        <w:t xml:space="preserve">. </w:t>
      </w:r>
      <w:r w:rsidRPr="0029499E" w:rsidR="0029499E">
        <w:t xml:space="preserve">Środki zwiększające część oświatową subwencji ogólnej, o których mowa w art. </w:t>
      </w:r>
      <w:r w:rsidR="001A53DF">
        <w:t>23</w:t>
      </w:r>
      <w:r w:rsidRPr="0029499E" w:rsidR="0029499E">
        <w:t xml:space="preserve"> ustawy z dnia </w:t>
      </w:r>
      <w:r w:rsidR="00C07A6A">
        <w:t>… ……</w:t>
      </w:r>
      <w:r w:rsidRPr="0029499E" w:rsidR="0029499E">
        <w:t xml:space="preserve"> 2022 r. o zmianie ustawy – Karta Nauczyciela</w:t>
      </w:r>
      <w:r w:rsidR="00C07A6A">
        <w:t xml:space="preserve"> oraz niektórych innych ustaw</w:t>
      </w:r>
      <w:r w:rsidRPr="0029499E" w:rsidR="0029499E">
        <w:t xml:space="preserve"> (Dz. U. poz. </w:t>
      </w:r>
      <w:r w:rsidR="00C07A6A">
        <w:t>…</w:t>
      </w:r>
      <w:r w:rsidRPr="0029499E" w:rsidR="0029499E">
        <w:t>), po odliczeniu rezerwy, o której mowa w art. 28 ust. 2 ustawy z dnia 13 listopada 2003 r. o dochodach jednostek samorządu terytorialnego, zwane dalej „</w:t>
      </w:r>
      <w:r>
        <w:t xml:space="preserve">trzecią </w:t>
      </w:r>
      <w:r w:rsidRPr="0029499E" w:rsidR="0029499E">
        <w:t>ogólną kwotą korygującą”, są dzielone między jedno</w:t>
      </w:r>
      <w:r w:rsidR="00065073">
        <w:t>stki samorządu terytorialnego. Trzecia k</w:t>
      </w:r>
      <w:r w:rsidRPr="0029499E" w:rsidR="0029499E">
        <w:t>wota korygująca dla poszczególnych jednostek samorządu terytorialnego jest ustalana według wzoru:</w:t>
      </w:r>
    </w:p>
    <w:p w:rsidR="00CA6A53" w:rsidP="000A3EEF">
      <w:pPr>
        <w:widowControl/>
        <w:autoSpaceDE/>
        <w:autoSpaceDN/>
        <w:adjustRightInd/>
        <w:spacing w:after="160" w:line="259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b/>
                </w:rPr>
                <m:t>KK</m:t>
              </m:r>
            </m:e>
            <m:sub>
              <m:r>
                <m:rPr>
                  <m:nor/>
                </m:rPr>
                <w:rPr>
                  <w:b/>
                </w:rPr>
                <m:t>3i</m:t>
              </m:r>
            </m:sub>
          </m:sSub>
          <m:r>
            <m:rPr>
              <m:nor/>
            </m:rPr>
            <w:rPr>
              <w:b/>
            </w:rPr>
            <m:t xml:space="preserve"> = </m:t>
          </m:r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b/>
                </w:rPr>
                <m:t>U</m:t>
              </m:r>
            </m:e>
            <m:sub>
              <m:r>
                <m:rPr>
                  <m:nor/>
                </m:rPr>
                <w:rPr>
                  <w:b/>
                </w:rPr>
                <m:t>pd3,i</m:t>
              </m:r>
            </m:sub>
          </m:sSub>
          <m:r>
            <m:rPr>
              <m:nor/>
            </m:rPr>
            <w:rPr>
              <w:b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  <w:b/>
            </w:rPr>
            <m:t>⋅</m:t>
          </m:r>
          <m:r>
            <m:rPr>
              <m:nor/>
            </m:rPr>
            <w:rPr>
              <w:b/>
            </w:rPr>
            <m:t xml:space="preserve"> 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</w:rPr>
                    <m:t>KK</m:t>
                  </m:r>
                </m:e>
                <m:sub>
                  <m:r>
                    <m:rPr>
                      <m:nor/>
                    </m:rPr>
                    <w:rPr>
                      <w:b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b/>
                    </w:rPr>
                    <m:t>pd3</m:t>
                  </m:r>
                </m:sub>
              </m:sSub>
            </m:den>
          </m:f>
        </m:oMath>
      </m:oMathPara>
    </w:p>
    <w:p w:rsidR="00CA6A53" w:rsidRPr="009B39FD" w:rsidP="00730A1E">
      <w:pPr>
        <w:pStyle w:val="ZPKTzmpktartykuempunktem"/>
      </w:pPr>
      <w:r>
        <w:t>g</w:t>
      </w:r>
      <w:r w:rsidRPr="009B39FD">
        <w:t>dzie znaczenie poszczególnych symboli jest następujące:</w:t>
      </w:r>
    </w:p>
    <w:p w:rsidR="00CA6A53" w:rsidP="00730A1E">
      <w:pPr>
        <w:pStyle w:val="ZPKTzmpktartykuempunktem"/>
      </w:pPr>
      <w:r>
        <w:t>1)</w:t>
      </w:r>
      <w:r>
        <w:tab/>
      </w:r>
      <w:r w:rsidRPr="00730A1E">
        <w:rPr>
          <w:rStyle w:val="Ppogrubienie"/>
        </w:rPr>
        <w:t>KK</w:t>
      </w:r>
      <w:r w:rsidR="00065073">
        <w:rPr>
          <w:rStyle w:val="IDPindeksdolnyipogrubienie"/>
        </w:rPr>
        <w:t>3i</w:t>
      </w:r>
      <w:r w:rsidRPr="00730A1E">
        <w:rPr>
          <w:rStyle w:val="Ppogrubienie"/>
        </w:rPr>
        <w:t xml:space="preserve"> </w:t>
      </w:r>
      <w:r w:rsidRPr="00760F54">
        <w:t>–</w:t>
      </w:r>
      <w:r w:rsidRPr="00760F54">
        <w:tab/>
      </w:r>
      <w:r w:rsidR="00065073">
        <w:t xml:space="preserve"> trzecia </w:t>
      </w:r>
      <w:r w:rsidRPr="00760F54">
        <w:t xml:space="preserve">kwota korygująca dla i-tej jednostki samorządu terytorialnego </w:t>
      </w:r>
      <w:r w:rsidR="00713E63">
        <w:t xml:space="preserve">zaokrąglona </w:t>
      </w:r>
      <w:r w:rsidRPr="00713E63" w:rsidR="00713E63">
        <w:t>do pełnych złotych w taki sposób, że końcówki kwot wynoszące mniej niż 50 groszy pomija się, a końcówki kwot wynoszące 50 i więcej groszy podwyższa do pełnych złotych</w:t>
      </w:r>
      <w:r>
        <w:t>,</w:t>
      </w:r>
    </w:p>
    <w:p w:rsidR="00CA6A53" w:rsidP="00730A1E">
      <w:pPr>
        <w:pStyle w:val="ZPKTzmpktartykuempunktem"/>
      </w:pPr>
      <w:r>
        <w:t>2)</w:t>
      </w:r>
      <w:r>
        <w:tab/>
      </w:r>
      <w:r w:rsidRPr="00730A1E" w:rsidR="00065073">
        <w:rPr>
          <w:rStyle w:val="Ppogrubienie"/>
        </w:rPr>
        <w:t>KK</w:t>
      </w:r>
      <w:r w:rsidR="00065073">
        <w:rPr>
          <w:rStyle w:val="IDPindeksdolnyipogrubienie"/>
        </w:rPr>
        <w:t>3</w:t>
      </w:r>
      <w:r>
        <w:t xml:space="preserve"> –</w:t>
      </w:r>
      <w:r>
        <w:tab/>
      </w:r>
      <w:r w:rsidR="00065073">
        <w:t xml:space="preserve">trzecia </w:t>
      </w:r>
      <w:r>
        <w:t>ogólna kwota korygująca,</w:t>
      </w:r>
    </w:p>
    <w:p w:rsidR="000A3EEF" w:rsidP="00A10DFC">
      <w:pPr>
        <w:pStyle w:val="ZPKTzmpktartykuempunktem"/>
      </w:pPr>
      <w:r>
        <w:t>3)</w:t>
      </w:r>
      <w:r>
        <w:tab/>
      </w:r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pd</w:t>
      </w:r>
      <w:r w:rsidR="00065073">
        <w:rPr>
          <w:rStyle w:val="IDPindeksdolnyipogrubienie"/>
        </w:rPr>
        <w:t>3</w:t>
      </w:r>
      <w:r w:rsidRPr="00730A1E">
        <w:rPr>
          <w:rStyle w:val="IDPindeksdolnyipogrubienie"/>
        </w:rPr>
        <w:t>,i</w:t>
      </w:r>
      <w:r w:rsidRPr="00B31F52">
        <w:rPr>
          <w:rStyle w:val="IDindeksdolny"/>
        </w:rPr>
        <w:t xml:space="preserve"> </w:t>
      </w:r>
      <w:r>
        <w:t>–</w:t>
      </w:r>
      <w:r w:rsidR="00065073">
        <w:t xml:space="preserve"> trzecia</w:t>
      </w:r>
      <w:r>
        <w:tab/>
        <w:t xml:space="preserve">dodatkowa </w:t>
      </w:r>
      <w:r w:rsidRPr="009B39FD">
        <w:rPr>
          <w:rStyle w:val="IDindeksdolny"/>
          <w:vertAlign w:val="baseline"/>
        </w:rPr>
        <w:t xml:space="preserve">przeliczeniowa liczba </w:t>
      </w:r>
      <w:r w:rsidRPr="00B23424">
        <w:rPr>
          <w:rStyle w:val="IDindeksdolny"/>
          <w:vertAlign w:val="baseline"/>
        </w:rPr>
        <w:t>ucznió</w:t>
      </w:r>
      <w:r>
        <w:rPr>
          <w:rStyle w:val="IDindeksdolny"/>
          <w:vertAlign w:val="baseline"/>
        </w:rPr>
        <w:t>w ogółem</w:t>
      </w:r>
      <w:r w:rsidRPr="009B39FD">
        <w:rPr>
          <w:rStyle w:val="IGPKindeksgrnyipogrubieniekursywa"/>
          <w:b w:val="0"/>
          <w:i w:val="0"/>
          <w:vertAlign w:val="baseline"/>
        </w:rPr>
        <w:t xml:space="preserve"> w i-tej</w:t>
      </w:r>
      <w:r w:rsidRPr="009B39FD">
        <w:rPr>
          <w:rStyle w:val="IGPKindeksgrnyipogrubieniekursywa"/>
        </w:rPr>
        <w:t xml:space="preserve"> </w:t>
      </w:r>
      <w:r w:rsidRPr="00792DE2">
        <w:t>jednostce samorządu terytorialnego</w:t>
      </w:r>
      <w:r>
        <w:t>, ustalona na podstawie danych systemu informacji oświatowej dla bazowego roku szkolnego według stanu na dzień 30 września 2021 r. i na dzień 10 października 2021 r.</w:t>
      </w:r>
      <w:r w:rsidRPr="00792DE2">
        <w:t>, obliczana według wzoru</w:t>
      </w:r>
      <w:r>
        <w:t>:</w:t>
      </w:r>
    </w:p>
    <w:p w:rsidR="00CA6A53" w:rsidP="00FC379B">
      <m:oMathPara>
        <m:oMath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U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pd</m:t>
              </m:r>
              <m:r>
                <m:rPr>
                  <m:nor/>
                </m:rPr>
                <w:rPr>
                  <w:b/>
                </w:rPr>
                <m:t>3</m:t>
              </m:r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 xml:space="preserve">,i </m:t>
              </m:r>
            </m:sub>
          </m:sSub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 xml:space="preserve">= </m:t>
          </m:r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W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a</m:t>
              </m:r>
              <m:r>
                <m:rPr>
                  <m:nor/>
                </m:rPr>
                <w:rPr>
                  <w:b/>
                </w:rPr>
                <m:t>2</m:t>
              </m:r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 xml:space="preserve">,i </m:t>
              </m:r>
            </m:sub>
          </m:sSub>
          <m:r>
            <m:rPr>
              <m:nor/>
            </m:rPr>
            <w:rPr>
              <w:rFonts w:ascii="Cambria Math" w:hAnsi="Cambria Math" w:eastAsiaTheme="minorHAnsi" w:cs="Cambria Math"/>
              <w:b/>
              <w:szCs w:val="24"/>
              <w:lang w:eastAsia="en-US"/>
            </w:rPr>
            <m:t>⋅</m:t>
          </m:r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 xml:space="preserve"> (</m:t>
          </m:r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U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 xml:space="preserve">r,i </m:t>
              </m:r>
            </m:sub>
          </m:sSub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 xml:space="preserve">+ </m:t>
          </m:r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U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u,i</m:t>
              </m:r>
            </m:sub>
          </m:sSub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 xml:space="preserve"> +</m:t>
          </m:r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 xml:space="preserve"> U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z,i</m:t>
              </m:r>
            </m:sub>
          </m:sSub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>)</m:t>
          </m:r>
        </m:oMath>
      </m:oMathPara>
    </w:p>
    <w:p w:rsidR="00CA6A53" w:rsidP="002C02BC">
      <w:pPr>
        <w:pStyle w:val="ZLITwPKTzmlitwpktartykuempunktem"/>
      </w:pPr>
      <w:r w:rsidRPr="00792DE2">
        <w:t xml:space="preserve">gdzie: </w:t>
      </w:r>
    </w:p>
    <w:p w:rsidR="001E21D0" w:rsidRPr="001E21D0" w:rsidP="002C02BC">
      <w:pPr>
        <w:pStyle w:val="ZLITwPKTzmlitwpktartykuempunktem"/>
      </w:pPr>
      <w:r w:rsidRPr="001E21D0">
        <w:rPr>
          <w:rStyle w:val="Ppogrubienie"/>
        </w:rPr>
        <w:t>W</w:t>
      </w:r>
      <w:r w:rsidRPr="001E21D0">
        <w:rPr>
          <w:rStyle w:val="IDPindeksdolnyipogrubienie"/>
        </w:rPr>
        <w:t>a2,i</w:t>
      </w:r>
      <w:r w:rsidRPr="001E21D0">
        <w:rPr>
          <w:rStyle w:val="IDindeksdolny"/>
        </w:rPr>
        <w:t xml:space="preserve"> </w:t>
      </w:r>
      <w:r w:rsidRPr="001E21D0">
        <w:t>–</w:t>
      </w:r>
      <w:r w:rsidRPr="001E21D0">
        <w:tab/>
        <w:t>płacowy wskaźnik struktury zatrudnienia nauczycieli</w:t>
      </w:r>
      <w:r w:rsidR="00624608">
        <w:t xml:space="preserve"> stażystów i kontraktowych</w:t>
      </w:r>
      <w:r w:rsidRPr="001E21D0">
        <w:t xml:space="preserve"> w szkołach i placówkach, dla których organem prowadzącym jest i-ta jednostka samorządu terytorialnego, z uwzględnieniem zwiększonych wydatków z tytułu zatrudnienia nauczycieli na terenach wiejskich lub w miastach do 5000 mieszkańców, obliczany:</w:t>
      </w:r>
    </w:p>
    <w:p w:rsidR="001E21D0" w:rsidP="002C02BC">
      <w:pPr>
        <w:pStyle w:val="ZTIRwPKTzmtirwpktartykuempunktem"/>
      </w:pPr>
      <w:r w:rsidRPr="00F966C5">
        <w:t>a)</w:t>
      </w:r>
      <w:r w:rsidR="00D90C9C">
        <w:tab/>
      </w:r>
      <w:r w:rsidRPr="00F966C5">
        <w:t>według wzoru</w:t>
      </w:r>
      <w:r w:rsidRPr="001E21D0">
        <w:t>:</w:t>
      </w:r>
    </w:p>
    <w:p w:rsidR="001E21D0" w:rsidRPr="00A10DFC" w:rsidP="002C02BC">
      <w:pPr>
        <w:pStyle w:val="ZTIRzmtirartykuempunktem"/>
        <w:rPr>
          <w:rFonts w:cs="Times New Roman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a2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ks2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eastAsia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 w:cs="Cambria Math"/>
                      <w:lang w:eastAsia="en-US"/>
                    </w:rPr>
                    <m:t>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kk2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Cambria Math"/>
                      <w:lang w:eastAsia="en-US"/>
                    </w:rPr>
                    <m:t>⋅</m:t>
                  </m:r>
                  <m:r>
                    <m:rPr>
                      <m:nor/>
                    </m:rPr>
                    <w:rPr>
                      <w:lang w:eastAsia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ks2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eastAsia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 w:cs="Cambria Math"/>
                      <w:lang w:eastAsia="en-US"/>
                    </w:rPr>
                    <m:t>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kk2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Cambria Math"/>
                      <w:lang w:eastAsia="en-US"/>
                    </w:rPr>
                    <m:t>⋅</m:t>
                  </m:r>
                  <m:r>
                    <m:rPr>
                      <m:nor/>
                    </m:rPr>
                    <w:rPr>
                      <w:lang w:eastAsia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  <w:lang w:eastAsia="en-US"/>
            </w:rPr>
            <m:t>⋅</m:t>
          </m:r>
          <m:r>
            <m:rPr>
              <m:nor/>
            </m:rPr>
            <w:rPr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Cambria Math"/>
                  <w:lang w:eastAsia="en-US"/>
                </w:rPr>
                <m:t>⋅</m:t>
              </m:r>
              <m:r>
                <m:rPr>
                  <m:nor/>
                </m:rPr>
                <w:rPr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w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</m:oMath>
      </m:oMathPara>
    </w:p>
    <w:p w:rsidR="001E21D0" w:rsidRPr="001E21D0" w:rsidP="002C02BC">
      <w:pPr>
        <w:pStyle w:val="ZLITCZWSPTIRwPKTzmczciwsptirwpktliter"/>
      </w:pPr>
      <w:r w:rsidRPr="00637CF9">
        <w:t xml:space="preserve">gdy ogólna </w:t>
      </w:r>
      <w:r w:rsidRPr="002C02BC">
        <w:t>liczba</w:t>
      </w:r>
      <w:r w:rsidRPr="00637CF9">
        <w:t xml:space="preserve"> etatów nauczycieli </w:t>
      </w:r>
      <w:r w:rsidR="00624608">
        <w:t>stażystów i kontraktowych</w:t>
      </w:r>
      <w:r w:rsidRPr="001E21D0">
        <w:t xml:space="preserve"> w i-tej jednostce samorządu terytorialnego jest większa od zera oraz gdy łączna liczba uczniów lub słuchaczy szkół, dzieci, które ukończyły 6 lat lub więcej w roku bazowym, w przedszkolach, oddziałach przedszkolnych w szkołach podstawowych i innych formach wychowania przedszkolnego, dzieci i młodzieży z niepełnosprawnością intelektualną w stopniu głębokim objętych zajęciami rewalidacyjno-wychowawczymi (na podstawie orzeczeń o potrzebie zajęć rewalidacyjno-wychowawczych) oraz wychowanków placówek, o których mowa w § 1 ust. 2 pkt 1 i 2 rozporządzenia, prowadzonych przez jednostkę samorządu terytorialnego, w i-tej jednostce samorządu terytorialnego jest większa od zera, albo</w:t>
      </w:r>
    </w:p>
    <w:p w:rsidR="00E61289" w:rsidP="002C02BC">
      <w:pPr>
        <w:pStyle w:val="ZTIRwPKTzmtirwpktartykuempunktem"/>
      </w:pPr>
      <w:r w:rsidRPr="001E21D0">
        <w:t>b)</w:t>
      </w:r>
      <w:r w:rsidR="00D90C9C">
        <w:tab/>
      </w:r>
      <w:r w:rsidRPr="001E21D0">
        <w:rPr>
          <w:rStyle w:val="Ppogrubienie"/>
        </w:rPr>
        <w:t>W</w:t>
      </w:r>
      <w:r w:rsidRPr="001E21D0">
        <w:rPr>
          <w:rStyle w:val="IDPindeksdolnyipogrubienie"/>
        </w:rPr>
        <w:t>a2,i</w:t>
      </w:r>
      <w:r w:rsidRPr="001E21D0">
        <w:rPr>
          <w:rStyle w:val="IDindeksdolny"/>
        </w:rPr>
        <w:t xml:space="preserve"> </w:t>
      </w:r>
      <w:r w:rsidRPr="001E21D0">
        <w:t>= 1, gdy</w:t>
      </w:r>
      <w:r w:rsidRPr="001E21D0">
        <w:tab/>
        <w:t>łączna liczba uczniów lub słuchaczy</w:t>
      </w:r>
      <w:r w:rsidRPr="001E21D0">
        <w:rPr>
          <w:rStyle w:val="CommentReference"/>
        </w:rPr>
        <w:t xml:space="preserve"> </w:t>
      </w:r>
      <w:r w:rsidRPr="001E21D0">
        <w:t xml:space="preserve">szkół, dzieci, które ukończyły 6 lat lub więcej w roku bazowym, w przedszkolach, oddziałach przedszkolnych w szkołach podstawowych i innych formach wychowania przedszkolnego, dzieci i młodzieży z niepełnosprawnością intelektualną w stopniu głębokim objętych zajęciami rewalidacyjno-wychowawczymi (na podstawie orzeczeń o potrzebie zajęć rewalidacyjno-wychowawczych) oraz wychowanków placówek, o których mowa w § 1 ust. 2 pkt 1 i 2 </w:t>
      </w:r>
      <w:r w:rsidRPr="001E21D0">
        <w:t>rozporządzenia, prowadzonych przez jednostkę samorządu terytorialnego, w i-tej jednostce samorządu terytorialnego jest równa zero</w:t>
      </w:r>
      <w:r w:rsidR="004011DC">
        <w:t xml:space="preserve"> oraz gdy </w:t>
      </w:r>
      <w:r w:rsidRPr="001E21D0" w:rsidR="004011DC">
        <w:t xml:space="preserve">ogólna liczba etatów nauczycieli </w:t>
      </w:r>
      <w:r w:rsidR="004011DC">
        <w:t>stażystów i kontraktowych</w:t>
      </w:r>
      <w:r w:rsidRPr="001E21D0" w:rsidR="004011DC">
        <w:t xml:space="preserve"> w i-tej jednostce samorządu terytorialnego jest </w:t>
      </w:r>
      <w:r w:rsidR="004011DC">
        <w:t xml:space="preserve">większa </w:t>
      </w:r>
      <w:r w:rsidR="0050097E">
        <w:t>od</w:t>
      </w:r>
      <w:r w:rsidRPr="001E21D0" w:rsidR="004011DC">
        <w:t xml:space="preserve"> zer</w:t>
      </w:r>
      <w:r w:rsidR="0050097E">
        <w:t>a</w:t>
      </w:r>
      <w:r w:rsidRPr="001E21D0">
        <w:t xml:space="preserve">, </w:t>
      </w:r>
      <w:r w:rsidR="00580D49">
        <w:t>albo</w:t>
      </w:r>
    </w:p>
    <w:p w:rsidR="00E61289" w:rsidRPr="001E21D0" w:rsidP="002C02BC">
      <w:pPr>
        <w:pStyle w:val="ZTIRwPKTzmtirwpktartykuempunktem"/>
      </w:pPr>
      <w:r w:rsidRPr="00D633D0">
        <w:rPr>
          <w:rStyle w:val="Ppogrubienie"/>
          <w:b w:val="0"/>
        </w:rPr>
        <w:t>c)</w:t>
      </w:r>
      <w:r w:rsidR="008F1C84">
        <w:rPr>
          <w:rStyle w:val="Ppogrubienie"/>
        </w:rPr>
        <w:tab/>
      </w:r>
      <w:r w:rsidRPr="001E21D0">
        <w:rPr>
          <w:rStyle w:val="Ppogrubienie"/>
        </w:rPr>
        <w:t>W</w:t>
      </w:r>
      <w:r w:rsidRPr="001E21D0">
        <w:rPr>
          <w:rStyle w:val="IDPindeksdolnyipogrubienie"/>
        </w:rPr>
        <w:t>a2,i</w:t>
      </w:r>
      <w:r w:rsidRPr="001E21D0">
        <w:rPr>
          <w:rStyle w:val="IDindeksdolny"/>
        </w:rPr>
        <w:t xml:space="preserve"> </w:t>
      </w:r>
      <w:r>
        <w:t>= 0</w:t>
      </w:r>
      <w:r w:rsidRPr="001E21D0">
        <w:t>, gdy</w:t>
      </w:r>
      <w:r w:rsidR="00DB7C9B">
        <w:t xml:space="preserve"> </w:t>
      </w:r>
      <w:r w:rsidRPr="001E21D0">
        <w:tab/>
        <w:t xml:space="preserve">ogólna liczba etatów nauczycieli </w:t>
      </w:r>
      <w:r w:rsidR="004011DC">
        <w:t>stażystów i kontraktowych</w:t>
      </w:r>
      <w:r w:rsidRPr="001E21D0">
        <w:t xml:space="preserve"> w i-tej jednostce samorządu terytorialnego jest równa zero</w:t>
      </w:r>
      <w:r>
        <w:t>,</w:t>
      </w:r>
    </w:p>
    <w:p w:rsidR="001E21D0" w:rsidRPr="001E21D0" w:rsidP="002C02BC">
      <w:pPr>
        <w:pStyle w:val="ZLITwPKTzmlitwpktartykuempunktem"/>
      </w:pPr>
      <w:r w:rsidRPr="00637CF9">
        <w:t>gdzie:</w:t>
      </w:r>
    </w:p>
    <w:p w:rsidR="001E21D0" w:rsidRPr="001E21D0" w:rsidP="002C02BC">
      <w:pPr>
        <w:pStyle w:val="ZLITwPKTzmlitwpktartykuempunktem"/>
      </w:pPr>
      <w:r>
        <w:rPr>
          <w:rStyle w:val="Ppogrubienie"/>
        </w:rPr>
        <w:t>P</w:t>
      </w:r>
      <w:r>
        <w:rPr>
          <w:rStyle w:val="IDPindeksdolnyipogrubienie"/>
        </w:rPr>
        <w:t>ks2</w:t>
      </w:r>
      <w:r w:rsidRPr="001E21D0">
        <w:t xml:space="preserve"> – </w:t>
      </w:r>
      <w:r>
        <w:t xml:space="preserve">wynosi </w:t>
      </w:r>
      <w:r w:rsidRPr="0004019C">
        <w:t>738,69</w:t>
      </w:r>
      <w:r>
        <w:t xml:space="preserve"> zł</w:t>
      </w:r>
      <w:r w:rsidRPr="001E21D0">
        <w:t>,</w:t>
      </w:r>
    </w:p>
    <w:p w:rsidR="001E21D0" w:rsidRPr="001E21D0" w:rsidP="002C02BC">
      <w:pPr>
        <w:pStyle w:val="ZLITwPKTzmlitwpktartykuempunktem"/>
      </w:pPr>
      <w:r>
        <w:rPr>
          <w:rStyle w:val="Ppogrubienie"/>
        </w:rPr>
        <w:t>P</w:t>
      </w:r>
      <w:r>
        <w:rPr>
          <w:rStyle w:val="IDPindeksdolnyipogrubienie"/>
        </w:rPr>
        <w:t>kk2</w:t>
      </w:r>
      <w:r w:rsidRPr="001E21D0">
        <w:t xml:space="preserve"> – </w:t>
      </w:r>
      <w:r>
        <w:t xml:space="preserve">wynosi </w:t>
      </w:r>
      <w:r w:rsidRPr="0004019C">
        <w:t>332,41</w:t>
      </w:r>
      <w:r>
        <w:t xml:space="preserve"> zł,</w:t>
      </w:r>
    </w:p>
    <w:p w:rsidR="001E21D0" w:rsidRPr="001E21D0" w:rsidP="002C02BC">
      <w:pPr>
        <w:pStyle w:val="ZLITwPKTzmlitwpktartykuempunktem"/>
      </w:pPr>
      <w:r w:rsidRPr="001E21D0">
        <w:rPr>
          <w:rStyle w:val="Ppogrubienie"/>
        </w:rPr>
        <w:t>W</w:t>
      </w:r>
      <w:r>
        <w:rPr>
          <w:rStyle w:val="IDPindeksdolnyipogrubienie"/>
        </w:rPr>
        <w:t>s</w:t>
      </w:r>
      <w:r w:rsidRPr="001E21D0">
        <w:rPr>
          <w:rStyle w:val="IDPindeksdolnyipogrubienie"/>
        </w:rPr>
        <w:t>2,i</w:t>
      </w:r>
      <w:r w:rsidRPr="001E21D0">
        <w:rPr>
          <w:rStyle w:val="IDindeksdolny"/>
        </w:rPr>
        <w:t xml:space="preserve"> </w:t>
      </w:r>
      <w:r w:rsidRPr="001E21D0">
        <w:t>– wskaźnik określający udział liczby etatów nauczycieli stażystów w ogólnej liczbie etatów nauczycieli</w:t>
      </w:r>
      <w:r>
        <w:t xml:space="preserve"> stażystów i kontraktowych</w:t>
      </w:r>
      <w:r w:rsidRPr="001E21D0">
        <w:t xml:space="preserve"> w i-tej jednostce samorządu terytorialnego,</w:t>
      </w:r>
    </w:p>
    <w:p w:rsidR="001E21D0" w:rsidRPr="001E21D0" w:rsidP="002C02BC">
      <w:pPr>
        <w:pStyle w:val="ZLITwPKTzmlitwpktartykuempunktem"/>
      </w:pPr>
      <w:r w:rsidRPr="001E21D0">
        <w:rPr>
          <w:rStyle w:val="Ppogrubienie"/>
        </w:rPr>
        <w:t>W</w:t>
      </w:r>
      <w:r>
        <w:rPr>
          <w:rStyle w:val="IDPindeksdolnyipogrubienie"/>
        </w:rPr>
        <w:t>k</w:t>
      </w:r>
      <w:r w:rsidRPr="001E21D0">
        <w:rPr>
          <w:rStyle w:val="IDPindeksdolnyipogrubienie"/>
        </w:rPr>
        <w:t>2,i</w:t>
      </w:r>
      <w:r w:rsidRPr="001E21D0">
        <w:t xml:space="preserve"> – wskaźnik określający udział liczby etatów nauczycieli kontraktowych w ogólnej liczbie etatów </w:t>
      </w:r>
      <w:r>
        <w:t xml:space="preserve">nauczycieli stażystów i kontraktowych </w:t>
      </w:r>
      <w:r w:rsidRPr="001E21D0">
        <w:t xml:space="preserve">w i-tej jednostce samorządu terytorialnego, </w:t>
      </w:r>
    </w:p>
    <w:p w:rsidR="001E21D0" w:rsidRPr="001E21D0" w:rsidP="002C02BC">
      <w:pPr>
        <w:pStyle w:val="ZLITwPKTzmlitwpktartykuempunktem"/>
      </w:pPr>
      <w:r w:rsidRPr="001E21D0">
        <w:rPr>
          <w:rStyle w:val="Ppogrubienie"/>
        </w:rPr>
        <w:t>W</w:t>
      </w:r>
      <w:r>
        <w:rPr>
          <w:rStyle w:val="IDPindeksdolnyipogrubienie"/>
        </w:rPr>
        <w:t>s</w:t>
      </w:r>
      <w:r w:rsidRPr="001E21D0">
        <w:rPr>
          <w:rStyle w:val="IDPindeksdolnyipogrubienie"/>
        </w:rPr>
        <w:t>2,</w:t>
      </w:r>
      <w:r>
        <w:rPr>
          <w:rStyle w:val="IDPindeksdolnyipogrubienie"/>
        </w:rPr>
        <w:t>k</w:t>
      </w:r>
      <w:r w:rsidRPr="001E21D0">
        <w:rPr>
          <w:rStyle w:val="IDindeksdolny"/>
        </w:rPr>
        <w:t xml:space="preserve"> </w:t>
      </w:r>
      <w:r w:rsidRPr="001E21D0">
        <w:t xml:space="preserve">– wskaźnik określający udział liczby etatów nauczycieli stażystów w ogólnej liczbie etatów nauczycieli </w:t>
      </w:r>
      <w:r>
        <w:t>stażystów i kontraktowych</w:t>
      </w:r>
      <w:r w:rsidRPr="001E21D0">
        <w:t xml:space="preserve"> w kraju,</w:t>
      </w:r>
    </w:p>
    <w:p w:rsidR="001E21D0" w:rsidRPr="001E21D0" w:rsidP="002C02BC">
      <w:pPr>
        <w:pStyle w:val="ZLITwPKTzmlitwpktartykuempunktem"/>
      </w:pPr>
      <w:r w:rsidRPr="001E21D0">
        <w:rPr>
          <w:rStyle w:val="Ppogrubienie"/>
        </w:rPr>
        <w:t>W</w:t>
      </w:r>
      <w:r>
        <w:rPr>
          <w:rStyle w:val="IDPindeksdolnyipogrubienie"/>
        </w:rPr>
        <w:t>k</w:t>
      </w:r>
      <w:r w:rsidRPr="001E21D0">
        <w:rPr>
          <w:rStyle w:val="IDPindeksdolnyipogrubienie"/>
        </w:rPr>
        <w:t>2,</w:t>
      </w:r>
      <w:r>
        <w:rPr>
          <w:rStyle w:val="IDPindeksdolnyipogrubienie"/>
        </w:rPr>
        <w:t>k</w:t>
      </w:r>
      <w:r w:rsidRPr="001E21D0">
        <w:t xml:space="preserve"> – wskaźnik określający udział liczby etatów nauczycieli kontraktowych w ogólnej liczbie etatów nauczycieli </w:t>
      </w:r>
      <w:r>
        <w:t xml:space="preserve">stażystów i kontraktowych </w:t>
      </w:r>
      <w:r w:rsidRPr="001E21D0">
        <w:t xml:space="preserve">w kraju, </w:t>
      </w:r>
    </w:p>
    <w:p w:rsidR="001E21D0" w:rsidRPr="001E21D0" w:rsidP="002C02BC">
      <w:pPr>
        <w:pStyle w:val="ZLITwPKTzmlitwpktartykuempunktem"/>
      </w:pPr>
      <w:r>
        <w:rPr>
          <w:rStyle w:val="Ppogrubienie"/>
        </w:rPr>
        <w:t>R</w:t>
      </w:r>
      <w:r w:rsidRPr="001E21D0">
        <w:t xml:space="preserve"> –</w:t>
      </w:r>
      <w:r w:rsidRPr="001E21D0">
        <w:tab/>
        <w:t>waga</w:t>
      </w:r>
      <w:r w:rsidR="001F1BCC">
        <w:t>, o której mowa w ust. 2 pkt 6</w:t>
      </w:r>
      <w:r w:rsidRPr="001E21D0">
        <w:t>, wynosząca jednolicie dla wszystkich jednostek samorządu terytorialnego 0,107,</w:t>
      </w:r>
    </w:p>
    <w:p w:rsidR="001E21D0" w:rsidRPr="001E21D0" w:rsidP="002C02BC">
      <w:pPr>
        <w:pStyle w:val="ZLITwPKTzmlitwpktartykuempunktem"/>
      </w:pPr>
      <w:r>
        <w:rPr>
          <w:rStyle w:val="Ppogrubienie"/>
        </w:rPr>
        <w:t>L</w:t>
      </w:r>
      <w:r>
        <w:rPr>
          <w:rStyle w:val="IDPindeksdolnyipogrubienie"/>
        </w:rPr>
        <w:t>w</w:t>
      </w:r>
      <w:r w:rsidRPr="001E21D0">
        <w:rPr>
          <w:rStyle w:val="IDPindeksdolnyipogrubienie"/>
        </w:rPr>
        <w:t>,</w:t>
      </w:r>
      <w:r>
        <w:rPr>
          <w:rStyle w:val="IDPindeksdolnyipogrubienie"/>
        </w:rPr>
        <w:t>i</w:t>
      </w:r>
      <w:r w:rsidRPr="001E21D0">
        <w:t xml:space="preserve"> </w:t>
      </w:r>
      <w:r w:rsidRPr="001E21D0">
        <w:t>–</w:t>
      </w:r>
      <w:r w:rsidRPr="001E21D0">
        <w:tab/>
        <w:t xml:space="preserve">łączna liczba uczniów lub słuchaczy szkół, dzieci, które ukończyły 6 lat lub więcej w roku bazowym, </w:t>
      </w:r>
      <w:r w:rsidR="005D7A3F">
        <w:t>o której mowa w ust. 2 pkt 6,</w:t>
      </w:r>
    </w:p>
    <w:p w:rsidR="001E21D0" w:rsidP="002C02BC">
      <w:pPr>
        <w:pStyle w:val="ZLITwPKTzmlitwpktartykuempunktem"/>
      </w:pPr>
      <w:r>
        <w:rPr>
          <w:rStyle w:val="Ppogrubienie"/>
        </w:rPr>
        <w:t>L</w:t>
      </w:r>
      <w:r>
        <w:rPr>
          <w:rStyle w:val="IDPindeksdolnyipogrubienie"/>
        </w:rPr>
        <w:t>i</w:t>
      </w:r>
      <w:r w:rsidRPr="001E21D0">
        <w:t xml:space="preserve"> –</w:t>
      </w:r>
      <w:r w:rsidRPr="001E21D0">
        <w:tab/>
        <w:t xml:space="preserve">łączna liczba uczniów lub słuchaczy szkół, dzieci, które ukończyły 6 lat lub więcej w roku bazowym, </w:t>
      </w:r>
      <w:r w:rsidRPr="00D633D0" w:rsidR="00D633D0">
        <w:t>o której mowa w ust. 2 pkt 6,</w:t>
      </w:r>
    </w:p>
    <w:p w:rsidR="00CA6A53" w:rsidRPr="00B618C1" w:rsidP="00B618C1">
      <w:pPr>
        <w:pStyle w:val="ZLITwPKTzmlitwpktartykuempunktem"/>
        <w:rPr>
          <w:rStyle w:val="IDindeksdolny"/>
          <w:vertAlign w:val="baseline"/>
        </w:rPr>
      </w:pPr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 xml:space="preserve">r,i </w:t>
      </w:r>
      <w:r w:rsidRPr="00B23424">
        <w:rPr>
          <w:rStyle w:val="IDindeksdolny"/>
          <w:vertAlign w:val="baseline"/>
        </w:rPr>
        <w:t>–</w:t>
      </w:r>
      <w:r>
        <w:rPr>
          <w:rStyle w:val="IDindeksdolny"/>
        </w:rPr>
        <w:t xml:space="preserve"> </w:t>
      </w:r>
      <w:r w:rsidRPr="00D633D0">
        <w:rPr>
          <w:rStyle w:val="IDindeksdolny"/>
          <w:vertAlign w:val="baseline"/>
        </w:rPr>
        <w:t xml:space="preserve">statystyczna </w:t>
      </w:r>
      <w:r w:rsidRPr="00D633D0">
        <w:t>liczba uczniów lub słuchaczy w i-tej jednostce samorządu terytorialnego, obliczona w sposób określony w ust. 2 pkt 3,</w:t>
      </w:r>
    </w:p>
    <w:p w:rsidR="00CA6A53" w:rsidRPr="00B618C1" w:rsidP="00B618C1">
      <w:pPr>
        <w:pStyle w:val="ZLITwPKTzmlitwpktartykuempunktem"/>
        <w:rPr>
          <w:rStyle w:val="IDindeksdolny"/>
          <w:vertAlign w:val="baseline"/>
        </w:rPr>
      </w:pPr>
      <w:r w:rsidRPr="00D633D0">
        <w:rPr>
          <w:rStyle w:val="Ppogrubienie"/>
        </w:rPr>
        <w:t>U</w:t>
      </w:r>
      <w:r w:rsidRPr="00D633D0">
        <w:rPr>
          <w:rStyle w:val="IDPindeksdolnyipogrubienie"/>
        </w:rPr>
        <w:t xml:space="preserve">u,i </w:t>
      </w:r>
      <w:r w:rsidRPr="00D633D0">
        <w:rPr>
          <w:rStyle w:val="IDindeksdolny"/>
          <w:vertAlign w:val="baseline"/>
        </w:rPr>
        <w:t>– uzupełniająca liczba uczniów lub słuchaczy w i-tej jednostce samorządu terytorialnego, obliczona w sposób określony w ust. 2 pkt 4</w:t>
      </w:r>
      <w:r w:rsidRPr="00D633D0">
        <w:rPr>
          <w:rStyle w:val="IGPKindeksgrnyipogrubieniekursywa"/>
          <w:b w:val="0"/>
          <w:i w:val="0"/>
          <w:vertAlign w:val="baseline"/>
        </w:rPr>
        <w:t>,</w:t>
      </w:r>
    </w:p>
    <w:p w:rsidR="00CA6A53" w:rsidP="00B618C1">
      <w:pPr>
        <w:pStyle w:val="ZLITwPKTzmlitwpktartykuempunktem"/>
      </w:pPr>
      <w:r w:rsidRPr="00D633D0">
        <w:rPr>
          <w:rStyle w:val="Ppogrubienie"/>
        </w:rPr>
        <w:t>U</w:t>
      </w:r>
      <w:r w:rsidRPr="00D633D0">
        <w:rPr>
          <w:rStyle w:val="IDPindeksdolnyipogrubienie"/>
        </w:rPr>
        <w:t xml:space="preserve">z,i </w:t>
      </w:r>
      <w:r w:rsidRPr="00D633D0" w:rsidR="000C1EBD">
        <w:rPr>
          <w:rStyle w:val="IDindeksdolny"/>
          <w:vertAlign w:val="baseline"/>
        </w:rPr>
        <w:t>–</w:t>
      </w:r>
      <w:r w:rsidRPr="00B618C1" w:rsidR="000C1EBD">
        <w:rPr>
          <w:rStyle w:val="IDindeksdolny"/>
          <w:vertAlign w:val="baseline"/>
        </w:rPr>
        <w:t xml:space="preserve"> </w:t>
      </w:r>
      <w:r w:rsidRPr="00D633D0">
        <w:rPr>
          <w:rStyle w:val="IDindeksdolny"/>
          <w:vertAlign w:val="baseline"/>
        </w:rPr>
        <w:t>przeliczeniowa liczba uczniów, słuchaczy</w:t>
      </w:r>
      <w:r w:rsidRPr="00D633D0" w:rsidR="007806BE">
        <w:t>,</w:t>
      </w:r>
      <w:r w:rsidRPr="00D633D0">
        <w:rPr>
          <w:rStyle w:val="IDindeksdolny"/>
          <w:vertAlign w:val="baseline"/>
        </w:rPr>
        <w:t xml:space="preserve"> </w:t>
      </w:r>
      <w:r w:rsidRPr="00D633D0">
        <w:t>wychowanków oraz dzieci i młodzieży uprawnionych lub korzystających w bazowym roku szkolnym w zakresie zadań pozaszkolnych</w:t>
      </w:r>
      <w:r w:rsidRPr="00B618C1">
        <w:t xml:space="preserve"> w i-tej jednostce samorządu terytorialnego, </w:t>
      </w:r>
      <w:r w:rsidRPr="00B618C1">
        <w:t>obliczona w sposób określony w ust. 2 pkt 5 z wyłączeniem przeliczeniowej liczby nauczycieli</w:t>
      </w:r>
      <w:r>
        <w:t xml:space="preserve"> stażystów,</w:t>
      </w:r>
    </w:p>
    <w:p w:rsidR="00097B1A" w:rsidRPr="005851D4">
      <w:pPr>
        <w:pStyle w:val="ZPKTzmpktartykuempunktem"/>
      </w:pPr>
      <w:r w:rsidRPr="009B39FD">
        <w:rPr>
          <w:rStyle w:val="IDindeksdolny"/>
          <w:vertAlign w:val="baseline"/>
        </w:rPr>
        <w:t>4)</w:t>
      </w:r>
      <w:r>
        <w:rPr>
          <w:rStyle w:val="IDindeksdolny"/>
        </w:rPr>
        <w:tab/>
      </w:r>
      <w:r w:rsidRPr="00730A1E">
        <w:rPr>
          <w:rStyle w:val="Ppogrubienie"/>
        </w:rPr>
        <w:t>U</w:t>
      </w:r>
      <w:r w:rsidRPr="00730A1E">
        <w:rPr>
          <w:rStyle w:val="IDPindeksdolnyipogrubienie"/>
        </w:rPr>
        <w:t>pd</w:t>
      </w:r>
      <w:r w:rsidR="00C07A6A">
        <w:rPr>
          <w:rStyle w:val="IDPindeksdolnyipogrubienie"/>
        </w:rPr>
        <w:t>3</w:t>
      </w:r>
      <w:r w:rsidRPr="009B39FD">
        <w:rPr>
          <w:rStyle w:val="IDindeksdolny"/>
          <w:vertAlign w:val="baseline"/>
        </w:rPr>
        <w:t xml:space="preserve"> </w:t>
      </w:r>
      <w:r w:rsidRPr="009B39FD">
        <w:t>–</w:t>
      </w:r>
      <w:r w:rsidRPr="009B39FD">
        <w:rPr>
          <w:rStyle w:val="IDindeksdolny"/>
          <w:vertAlign w:val="baseline"/>
        </w:rPr>
        <w:t xml:space="preserve"> suma</w:t>
      </w:r>
      <w:r w:rsidR="00C07A6A">
        <w:t xml:space="preserve"> </w:t>
      </w:r>
      <w:r w:rsidRPr="00D633D0" w:rsidR="00C07A6A">
        <w:t>trzeciej</w:t>
      </w:r>
      <w:r w:rsidR="00C07A6A">
        <w:t xml:space="preserve"> d</w:t>
      </w:r>
      <w:r w:rsidR="001D64F4">
        <w:t>odatkowej p</w:t>
      </w:r>
      <w:r>
        <w:t>rzeliczeniowej</w:t>
      </w:r>
      <w:r>
        <w:rPr>
          <w:rStyle w:val="IDindeksdolny"/>
        </w:rPr>
        <w:t xml:space="preserve"> </w:t>
      </w:r>
      <w:r w:rsidRPr="009B39FD">
        <w:rPr>
          <w:rStyle w:val="IDindeksdolny"/>
          <w:vertAlign w:val="baseline"/>
        </w:rPr>
        <w:t>liczby ucznió</w:t>
      </w:r>
      <w:r>
        <w:rPr>
          <w:rStyle w:val="IDindeksdolny"/>
          <w:vertAlign w:val="baseline"/>
        </w:rPr>
        <w:t>w ogółem</w:t>
      </w:r>
      <w:r w:rsidRPr="009B39FD">
        <w:rPr>
          <w:rStyle w:val="IDindeksdolny"/>
          <w:vertAlign w:val="baseline"/>
        </w:rPr>
        <w:t xml:space="preserve"> </w:t>
      </w:r>
      <w:r w:rsidRPr="00F216A4">
        <w:rPr>
          <w:rStyle w:val="Ppogrubienie"/>
        </w:rPr>
        <w:t>U</w:t>
      </w:r>
      <w:r w:rsidRPr="00F216A4">
        <w:rPr>
          <w:rStyle w:val="IDPindeksdolnyipogrubienie"/>
        </w:rPr>
        <w:t>pd</w:t>
      </w:r>
      <w:r w:rsidR="00C07A6A">
        <w:rPr>
          <w:rStyle w:val="IDPindeksdolnyipogrubienie"/>
        </w:rPr>
        <w:t>3</w:t>
      </w:r>
      <w:r w:rsidRPr="00F216A4">
        <w:rPr>
          <w:rStyle w:val="IDPindeksdolnyipogrubienie"/>
        </w:rPr>
        <w:t xml:space="preserve">,i </w:t>
      </w:r>
      <w:r w:rsidRPr="009B39FD">
        <w:rPr>
          <w:rStyle w:val="IDindeksdolny"/>
          <w:vertAlign w:val="baseline"/>
        </w:rPr>
        <w:t>dla wszystkich jednostek samorządu terytorialnego,</w:t>
      </w:r>
      <w:r w:rsidRPr="009B39FD">
        <w:t xml:space="preserve"> obliczana według wzoru:</w:t>
      </w:r>
      <w:r>
        <w:t xml:space="preserve"> </w:t>
      </w:r>
    </w:p>
    <w:p w:rsidR="00C0526A" w:rsidP="000C1EBD">
      <w:pPr>
        <w:pStyle w:val="ZPKTzmpktartykuempunktem"/>
      </w:pPr>
    </w:p>
    <w:p w:rsidR="00730F53" w:rsidRPr="00FC379B" w:rsidP="00FC379B">
      <w:pPr>
        <w:widowControl/>
        <w:autoSpaceDE/>
        <w:autoSpaceDN/>
        <w:adjustRightInd/>
        <w:spacing w:after="160" w:line="259" w:lineRule="auto"/>
        <w:jc w:val="left"/>
      </w:pPr>
      <m:oMathPara>
        <m:oMath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U</m:t>
              </m:r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>pd</m:t>
              </m:r>
              <m:r>
                <m:rPr>
                  <m:nor/>
                </m:rPr>
                <w:rPr>
                  <w:b/>
                </w:rPr>
                <m:t>3</m:t>
              </m:r>
            </m:sub>
          </m:sSub>
          <m:r>
            <m:rPr>
              <m:nor/>
            </m:rPr>
            <w:rPr>
              <w:rFonts w:eastAsiaTheme="minorHAnsi" w:cs="Times New Roman"/>
              <w:b/>
              <w:szCs w:val="24"/>
              <w:lang w:eastAsia="en-US"/>
            </w:rPr>
            <m:t xml:space="preserve">= </m:t>
          </m:r>
          <m:sSub>
            <m:sSubPr>
              <m:ctrlPr>
                <w:rPr>
                  <w:rFonts w:ascii="Cambria Math" w:hAnsi="Cambria Math" w:eastAsiaTheme="minorHAnsi" w:cs="Times New Roman"/>
                  <w:b/>
                  <w:szCs w:val="24"/>
                  <w:lang w:eastAsia="en-US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eastAsiaTheme="minorHAnsi" w:cs="Times New Roman"/>
                      <w:b/>
                      <w:szCs w:val="24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 w:eastAsiaTheme="minorHAnsi" w:cs="Times New Roman"/>
                      <w:szCs w:val="24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eastAsiaTheme="minorHAnsi" w:cs="Times New Roman"/>
                      <w:szCs w:val="24"/>
                      <w:lang w:eastAsia="en-US"/>
                    </w:rPr>
                    <m:t>Ls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eastAsiaTheme="minorHAnsi" w:cs="Times New Roman"/>
                          <w:b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eastAsiaTheme="minorHAnsi" w:cs="Times New Roman"/>
                          <w:b/>
                          <w:szCs w:val="24"/>
                          <w:lang w:eastAsia="en-US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eastAsiaTheme="minorHAnsi" w:cs="Times New Roman"/>
                          <w:szCs w:val="24"/>
                          <w:lang w:eastAsia="en-US"/>
                        </w:rPr>
                        <m:t>pd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eastAsiaTheme="minorHAnsi" w:cs="Times New Roman"/>
                          <w:szCs w:val="24"/>
                          <w:lang w:eastAsia="en-US"/>
                        </w:rPr>
                        <m:t>,i</m:t>
                      </m:r>
                    </m:sub>
                  </m:sSub>
                </m:e>
              </m:nary>
            </m:e>
            <m:sub>
              <m:r>
                <m:rPr>
                  <m:nor/>
                </m:rPr>
                <w:rPr>
                  <w:rFonts w:eastAsiaTheme="minorHAnsi" w:cs="Times New Roman"/>
                  <w:b/>
                  <w:szCs w:val="24"/>
                  <w:lang w:eastAsia="en-US"/>
                </w:rPr>
                <m:t xml:space="preserve"> </m:t>
              </m:r>
            </m:sub>
          </m:sSub>
        </m:oMath>
      </m:oMathPara>
    </w:p>
    <w:p w:rsidR="00A8203C" w:rsidP="00FC379B">
      <w:pPr>
        <w:pStyle w:val="ZCZWSPLITwPKTzmczciwsplitwpktartykuempunktem"/>
      </w:pPr>
      <w:r>
        <w:rPr>
          <w:rStyle w:val="Ppogrubienie"/>
        </w:rPr>
        <w:tab/>
      </w:r>
      <w:r w:rsidR="00475BB1">
        <w:t xml:space="preserve">gdzie </w:t>
      </w:r>
      <w:r w:rsidRPr="00AA4C19" w:rsidR="00475BB1">
        <w:rPr>
          <w:rStyle w:val="Ppogrubienie"/>
        </w:rPr>
        <w:t>U</w:t>
      </w:r>
      <w:r w:rsidRPr="00AA4C19" w:rsidR="00475BB1">
        <w:rPr>
          <w:rStyle w:val="IDPindeksdolnyipogrubienie"/>
        </w:rPr>
        <w:t>pd</w:t>
      </w:r>
      <w:r w:rsidR="00C07A6A">
        <w:rPr>
          <w:rStyle w:val="IDPindeksdolnyipogrubienie"/>
        </w:rPr>
        <w:t>3</w:t>
      </w:r>
      <w:r w:rsidRPr="00AA4C19" w:rsidR="00475BB1">
        <w:rPr>
          <w:rStyle w:val="IDPindeksdolnyipogrubienie"/>
        </w:rPr>
        <w:t>,i</w:t>
      </w:r>
      <w:r w:rsidR="00751799">
        <w:t xml:space="preserve"> j</w:t>
      </w:r>
      <w:r w:rsidR="00475BB1">
        <w:t xml:space="preserve">est obliczane w </w:t>
      </w:r>
      <w:r w:rsidRPr="00730F53" w:rsidR="00475BB1">
        <w:t>sposób</w:t>
      </w:r>
      <w:r w:rsidR="00475BB1">
        <w:t xml:space="preserve"> określony w pkt 3</w:t>
      </w:r>
    </w:p>
    <w:p w:rsidR="006E0484" w:rsidP="00A72D40">
      <w:pPr>
        <w:pStyle w:val="ZCZWSPPKTzmczciwsppktartykuempunktem"/>
      </w:pPr>
      <w:r>
        <w:t>–</w:t>
      </w:r>
      <w:r w:rsidR="00A72D40">
        <w:tab/>
      </w:r>
      <w:r w:rsidRPr="00A8203C" w:rsidR="00475BB1">
        <w:t xml:space="preserve">oraz indeks </w:t>
      </w:r>
      <w:r w:rsidRPr="00152C7C" w:rsidR="00475BB1">
        <w:rPr>
          <w:rStyle w:val="Ppogrubienie"/>
        </w:rPr>
        <w:t>i</w:t>
      </w:r>
      <w:r w:rsidRPr="00A8203C" w:rsidR="00475BB1">
        <w:t xml:space="preserve"> wynosi: od 1 do Ls.</w:t>
      </w:r>
    </w:p>
    <w:p w:rsidR="00CA6A53" w:rsidP="00B618C1">
      <w:pPr>
        <w:pStyle w:val="ZUSTzmustartykuempunktem"/>
      </w:pPr>
      <w:r>
        <w:t xml:space="preserve">7d. Liczbę </w:t>
      </w:r>
      <w:r w:rsidRPr="00EF7822" w:rsidR="00EF7822">
        <w:t>etatów nauczycieli stażystów i kontraktowych w i-tej jednostce samorządu terytorialnego</w:t>
      </w:r>
      <w:r w:rsidR="00EF7822">
        <w:t>, o któr</w:t>
      </w:r>
      <w:r w:rsidR="005611E5">
        <w:t>ej mowa w ust. 7c,</w:t>
      </w:r>
      <w:r w:rsidRPr="00EF7822" w:rsidR="00EF7822">
        <w:t xml:space="preserve"> </w:t>
      </w:r>
      <w:r w:rsidRPr="006E0484">
        <w:t>ustal</w:t>
      </w:r>
      <w:r>
        <w:t>a się</w:t>
      </w:r>
      <w:r w:rsidRPr="006E0484">
        <w:t xml:space="preserve"> na podstawie danych systemu informacji oświatowej dla bazowego roku szkolnego według stanu na dzień 30 września 2021 r. i na dzień 10 października 2021 r.</w:t>
      </w:r>
      <w:r w:rsidRPr="00F70DD8" w:rsidR="00475BB1">
        <w:t>”</w:t>
      </w:r>
      <w:r w:rsidR="00475BB1">
        <w:t>.</w:t>
      </w:r>
    </w:p>
    <w:p w:rsidR="00CA6A53" w:rsidRPr="007B386B" w:rsidP="00CA6A53">
      <w:pPr>
        <w:pStyle w:val="ARTartustawynprozporzdzenia"/>
      </w:pPr>
      <w:r w:rsidRPr="00660AEB">
        <w:rPr>
          <w:rStyle w:val="Ppogrubienie"/>
        </w:rPr>
        <w:t>§ </w:t>
      </w:r>
      <w:r>
        <w:rPr>
          <w:rStyle w:val="Ppogrubienie"/>
        </w:rPr>
        <w:t>2</w:t>
      </w:r>
      <w:r w:rsidRPr="00660AEB">
        <w:rPr>
          <w:rStyle w:val="Ppogrubienie"/>
        </w:rPr>
        <w:t>.</w:t>
      </w:r>
      <w:r w:rsidRPr="007B386B">
        <w:t xml:space="preserve"> Rozporządzenie wchodzi w życie </w:t>
      </w:r>
      <w:r>
        <w:t>z dniem następującym po dniu ogłoszenia.</w:t>
      </w:r>
      <w:r w:rsidRPr="00FE2EA4">
        <w:t> </w:t>
      </w:r>
    </w:p>
    <w:p w:rsidR="00CA6A53" w:rsidRPr="008E447F" w:rsidP="00CA6A53">
      <w:pPr>
        <w:pStyle w:val="ARTartustawynprozporzdzenia"/>
      </w:pPr>
    </w:p>
    <w:p w:rsidR="00CA6A53" w:rsidRPr="009B39FD" w:rsidP="00CA6A53">
      <w:pPr>
        <w:pStyle w:val="NAZORGWYDnazwaorganuwydajcegoprojektowanyakt"/>
        <w:rPr>
          <w:rStyle w:val="Ppogrubienie"/>
        </w:rPr>
      </w:pPr>
      <w:r>
        <w:t>MINISTER EDUKACJI i nauki</w:t>
      </w:r>
    </w:p>
    <w:p w:rsidR="00CA6A53" w:rsidRPr="00737F6A" w:rsidP="00751799">
      <w:pPr>
        <w:pStyle w:val="ARTartustawynprozporzdzenia"/>
      </w:pPr>
      <w:r w:rsidRPr="00FE2EA4">
        <w:t> </w:t>
      </w:r>
      <w:r w:rsidRPr="00624608" w:rsidR="00624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4608" w:rsidP="00624608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624608" w:rsidP="00624608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624608" w:rsidP="00624608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24608" w:rsidP="00624608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624608" w:rsidP="00624608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624608" w:rsidP="00624608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CA6A53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4C9F">
      <w:r>
        <w:separator/>
      </w:r>
    </w:p>
  </w:footnote>
  <w:footnote w:type="continuationSeparator" w:id="1">
    <w:p w:rsidR="00AA4C9F">
      <w:r>
        <w:continuationSeparator/>
      </w:r>
    </w:p>
  </w:footnote>
  <w:footnote w:id="2">
    <w:p w:rsidR="00CA6A53" w:rsidP="00CA6A53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  <w:t>Minister Edukacji i Nauki</w:t>
      </w:r>
      <w:r w:rsidRPr="009A4F81">
        <w:t xml:space="preserve"> kieruje działem administracji rządowej – oświata</w:t>
      </w:r>
      <w:r>
        <w:t xml:space="preserve"> i wychowanie, na podstawie § 1 </w:t>
      </w:r>
      <w:r w:rsidRPr="009A4F81">
        <w:t xml:space="preserve">ust. 2 </w:t>
      </w:r>
      <w:r>
        <w:t xml:space="preserve">pkt 1 </w:t>
      </w:r>
      <w:r w:rsidRPr="009A4F81">
        <w:t xml:space="preserve">rozporządzenia Prezesa Rady Ministrów z dnia </w:t>
      </w:r>
      <w:r>
        <w:t>20 października 2020</w:t>
      </w:r>
      <w:r w:rsidRPr="009A4F81">
        <w:t xml:space="preserve"> r. w sprawie szczegółowego zakresu dział</w:t>
      </w:r>
      <w:r>
        <w:t>ania Ministra Edukacji i Nauki</w:t>
      </w:r>
      <w:r w:rsidRPr="009A4F81">
        <w:t xml:space="preserve"> (Dz. U. </w:t>
      </w:r>
      <w:r>
        <w:t>z 2022 r. poz. 18</w:t>
      </w:r>
      <w:r w:rsidRPr="009A4F81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A53" w:rsidRPr="00B371CC" w:rsidP="00CA6A53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C02B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42A82-0ACF-4765-9668-9BD43BD5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2022-06-24T06:14:00Z</dcterms:created>
  <dcterms:modified xsi:type="dcterms:W3CDTF">2022-06-30T07:25:00Z</dcterms:modified>
</cp:coreProperties>
</file>