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8286" w14:textId="11FB44A4" w:rsidR="00244D51" w:rsidRPr="00244D51" w:rsidRDefault="00244D51" w:rsidP="00244D51">
      <w:pPr>
        <w:spacing w:after="0" w:line="276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Hlk54611323"/>
      <w:bookmarkStart w:id="1" w:name="_GoBack"/>
      <w:bookmarkEnd w:id="1"/>
      <w:r w:rsidRPr="00244D51">
        <w:rPr>
          <w:rFonts w:ascii="Times New Roman" w:eastAsia="Times New Roman" w:hAnsi="Times New Roman" w:cs="Arial"/>
          <w:sz w:val="24"/>
          <w:szCs w:val="20"/>
          <w:lang w:eastAsia="pl-PL"/>
        </w:rPr>
        <w:t>202</w:t>
      </w:r>
      <w:r w:rsidR="00272D8B">
        <w:rPr>
          <w:rFonts w:ascii="Times New Roman" w:eastAsia="Times New Roman" w:hAnsi="Times New Roman" w:cs="Arial"/>
          <w:sz w:val="24"/>
          <w:szCs w:val="20"/>
          <w:lang w:eastAsia="pl-PL"/>
        </w:rPr>
        <w:t>2</w:t>
      </w:r>
      <w:r w:rsidRPr="00244D51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207320">
        <w:rPr>
          <w:rFonts w:ascii="Times New Roman" w:eastAsia="Times New Roman" w:hAnsi="Times New Roman" w:cs="Arial"/>
          <w:sz w:val="24"/>
          <w:szCs w:val="20"/>
          <w:lang w:eastAsia="pl-PL"/>
        </w:rPr>
        <w:t>06</w:t>
      </w:r>
      <w:r w:rsidR="00272D8B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207320">
        <w:rPr>
          <w:rFonts w:ascii="Times New Roman" w:eastAsia="Times New Roman" w:hAnsi="Times New Roman" w:cs="Arial"/>
          <w:sz w:val="24"/>
          <w:szCs w:val="20"/>
          <w:lang w:eastAsia="pl-PL"/>
        </w:rPr>
        <w:t>02</w:t>
      </w:r>
    </w:p>
    <w:p w14:paraId="0ECD9965" w14:textId="5BEC93C3" w:rsidR="00B72FBD" w:rsidRDefault="00B72FBD" w:rsidP="00244D51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  <w:r w:rsidRPr="000B499B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UZASADNIENIE</w:t>
      </w:r>
    </w:p>
    <w:p w14:paraId="6C7737A1" w14:textId="77777777" w:rsidR="00B72FBD" w:rsidRPr="000B499B" w:rsidRDefault="00B72FBD" w:rsidP="00244D51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</w:p>
    <w:p w14:paraId="5D0447E1" w14:textId="582FA7BF" w:rsidR="006951A9" w:rsidRDefault="00B72FBD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C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Klimatu i Środowiska 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rodzajów przepływów pieniężnych i szczegółowego sposobu kalkulacji ceny skorygowanej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wykonanie upoważnienia zawartego w art. 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F800E3">
        <w:rPr>
          <w:rFonts w:ascii="Times New Roman" w:eastAsia="Times New Roman" w:hAnsi="Times New Roman" w:cs="Times New Roman"/>
          <w:sz w:val="24"/>
          <w:szCs w:val="24"/>
          <w:lang w:eastAsia="pl-PL"/>
        </w:rPr>
        <w:t>17 grudnia 2020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promowaniu wytwarzania energii elektrycznej w morskich farmach wiatrowych </w:t>
      </w:r>
      <w:r w:rsidDel="007C1DEA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24737E" w:rsidDel="007C1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Del="007C1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F800E3" w:rsidDel="007C1DEA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9728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00E3" w:rsidDel="007C1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7280E">
        <w:rPr>
          <w:rFonts w:ascii="Times New Roman" w:eastAsia="Times New Roman" w:hAnsi="Times New Roman" w:cs="Times New Roman"/>
          <w:sz w:val="24"/>
          <w:szCs w:val="24"/>
          <w:lang w:eastAsia="pl-PL"/>
        </w:rPr>
        <w:t>1050</w:t>
      </w:r>
      <w:r w:rsidDel="007C1DEA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14:paraId="2D496E45" w14:textId="7332B240" w:rsidR="00272D8B" w:rsidRDefault="00CC538E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rozporządzenia jest </w:t>
      </w:r>
      <w:r w:rsidR="0088470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rodzajów przepływów pieniężnych oraz szczegółowego sposobu kalkulacji ceny skorygowanej, niezbędn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wytwórców 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wskazanej w decyzji, o której mowa w art. 18 ust. 1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wynikającej z oferty, o której mowa w art. 31 ust. 1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ceny skorygowanej, o której mowa w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10 ust. 4 albo w art. 10 ust. 6</w:t>
      </w:r>
      <w:r w:rsid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5651E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748D7A" w14:textId="2D57B1FE" w:rsidR="00272D8B" w:rsidRDefault="0055651E" w:rsidP="00BC02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w art. 58-61 </w:t>
      </w:r>
      <w:r w:rsidR="00A52E5C" w:rsidRPr="00A5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wprowadziła 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6F762B" w:rsidRPr="006F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zespołem urządzeń, tj. 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zbycia </w:t>
      </w:r>
      <w:r w:rsidR="006F762B"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urządzeń służących do wyprowadzenia mocy 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6F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właściciela. Art. 11 ust. 1 ustawy wskazuje, że w</w:t>
      </w:r>
      <w:r w:rsidR="00C25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zbycia przez wytwórcę zespołu urządzeń służących do wyprowadzenia mocy zgodnie z art. 58-61 ustawy, wytwórca jest zobowiązany wystąpić do Prezesa Urzędu Regulacji Energetyki, dalej: Prezes URE, z</w:t>
      </w:r>
      <w:r w:rsidR="00A52E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aktualizację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55651E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ww. ceny skorygowanej.</w:t>
      </w:r>
      <w:r w:rsidR="0086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705" w:rsidRPr="008647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którym mowa w art. 11 ust. 1 ustawy, oprócz analizy finansowej inwestycji w zakresie morskiej farmy wiatrowej, powinien zawierać również kalkulację ceny skorygowanej będącej podstawą do pokrycia ujemnego salda. Prezes URE, w</w:t>
      </w:r>
      <w:r w:rsidR="001230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4705" w:rsidRPr="0086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30 dni od dnia otrzymania 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864705" w:rsidRPr="008647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wniosku, ustala cenę skorygowaną będącą podstawą do pokrycia ujemnego salda, uwzględniając przepływy pieniężne</w:t>
      </w:r>
      <w:r w:rsidR="00BC022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określa projekt rozporządzenia.</w:t>
      </w:r>
    </w:p>
    <w:p w14:paraId="77D4DE96" w14:textId="208B9D4F" w:rsidR="00541521" w:rsidRDefault="00541521" w:rsidP="00BC02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Skorygowanie ceny po dokonaniu rozporządzenia zespołem urządzeń jest konieczne w</w:t>
      </w:r>
      <w:r w:rsidR="00E7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D4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</w:t>
      </w:r>
      <w:r w:rsidR="00D64C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nie dochodziło do </w:t>
      </w:r>
      <w:proofErr w:type="spellStart"/>
      <w:r w:rsidR="003B1158">
        <w:rPr>
          <w:rFonts w:ascii="Times New Roman" w:eastAsia="Times New Roman" w:hAnsi="Times New Roman" w:cs="Times New Roman"/>
          <w:sz w:val="24"/>
          <w:szCs w:val="24"/>
          <w:lang w:eastAsia="pl-PL"/>
        </w:rPr>
        <w:t>nadwsparcia</w:t>
      </w:r>
      <w:proofErr w:type="spellEnd"/>
      <w:r w:rsidR="003B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wytwórcy w wyniku </w:t>
      </w:r>
      <w:r w:rsidR="001154B4" w:rsidRPr="0011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przeszacowania aktywów i zobowiązań finansowych wycenianych </w:t>
      </w:r>
      <w:r w:rsidR="003B115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zbyciem zespołu urządzeń</w:t>
      </w:r>
      <w:r w:rsidR="00D4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Proponowane przepisy </w:t>
      </w:r>
      <w:r w:rsidR="00B3608F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precyzują</w:t>
      </w:r>
      <w:r w:rsidR="00D4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kalkulacji ceny skorygowanej, c</w:t>
      </w:r>
      <w:r w:rsidR="006E5A01">
        <w:rPr>
          <w:rFonts w:ascii="Times New Roman" w:eastAsia="Times New Roman" w:hAnsi="Times New Roman" w:cs="Times New Roman"/>
          <w:sz w:val="24"/>
          <w:szCs w:val="24"/>
          <w:lang w:eastAsia="pl-PL"/>
        </w:rPr>
        <w:t>zego efektem będzie</w:t>
      </w:r>
      <w:r w:rsidR="00D4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</w:t>
      </w:r>
      <w:r w:rsidR="00D6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6E5A0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przez wytwórców z uwzględnieniem czynników wskazanych w</w:t>
      </w:r>
      <w:r w:rsidR="00E7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5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rozporządzenia. W przypadku braku określenia 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rodzajów </w:t>
      </w:r>
      <w:r w:rsidR="006E5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przepływów pieniężnych oraz sposobu kalkulacji ceny skorygowanej </w:t>
      </w:r>
      <w:r w:rsidR="009B18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istniał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1895">
        <w:rPr>
          <w:rFonts w:ascii="Times New Roman" w:eastAsia="Times New Roman" w:hAnsi="Times New Roman" w:cs="Times New Roman"/>
          <w:sz w:val="24"/>
          <w:szCs w:val="24"/>
          <w:lang w:eastAsia="pl-PL"/>
        </w:rPr>
        <w:t>by wytyczne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precyzujące sposób </w:t>
      </w:r>
      <w:r w:rsidR="009B189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obliczenia ceny skorygowanej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ogłoby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9B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wywołać negatywny skutek 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</w:t>
      </w:r>
      <w:r w:rsidR="009B1895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nabywcy zespołu urządzeń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polegający na oczekiwaniu od niego zapłaty za ten zespół nieadekwatnej ceny</w:t>
      </w:r>
      <w:r w:rsidR="00B36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również </w:t>
      </w:r>
      <w:r w:rsidR="00B3608F">
        <w:rPr>
          <w:rFonts w:ascii="Times New Roman" w:eastAsia="Times New Roman" w:hAnsi="Times New Roman" w:cs="Times New Roman"/>
          <w:sz w:val="24"/>
          <w:szCs w:val="24"/>
          <w:lang w:eastAsia="pl-PL"/>
        </w:rPr>
        <w:t>dla istniejącego, określonego ustawą</w:t>
      </w:r>
      <w:r w:rsidR="009B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wsparcia, </w:t>
      </w:r>
      <w:r w:rsidR="00D11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ryzyka zaistnienia </w:t>
      </w:r>
      <w:proofErr w:type="spellStart"/>
      <w:r w:rsidR="00D116C5">
        <w:rPr>
          <w:rFonts w:ascii="Times New Roman" w:eastAsia="Times New Roman" w:hAnsi="Times New Roman" w:cs="Times New Roman"/>
          <w:sz w:val="24"/>
          <w:szCs w:val="24"/>
          <w:lang w:eastAsia="pl-PL"/>
        </w:rPr>
        <w:t>nadwsparcia</w:t>
      </w:r>
      <w:proofErr w:type="spellEnd"/>
      <w:r w:rsidR="00D116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D556A" w14:textId="62192FF7" w:rsidR="00541521" w:rsidRDefault="00541521" w:rsidP="00BC02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zawarte w projektowanym rozporządzeniu regulują </w:t>
      </w:r>
      <w:r w:rsidR="00D0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dotyczące korekty ceny </w:t>
      </w:r>
      <w:r w:rsidRPr="00541521">
        <w:rPr>
          <w:rFonts w:ascii="Times New Roman" w:eastAsia="Times New Roman" w:hAnsi="Times New Roman" w:cs="Times New Roman"/>
          <w:sz w:val="24"/>
          <w:szCs w:val="24"/>
          <w:lang w:eastAsia="pl-PL"/>
        </w:rPr>
        <w:t>skorygowanej, o której mowa w art. 11 ust.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B905B" w14:textId="5D28DE30" w:rsidR="00BC022D" w:rsidRDefault="00CC4806" w:rsidP="002613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rozporządzenia </w:t>
      </w:r>
      <w:r w:rsidR="003A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 w:rsidR="00BC022D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C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 rodzajów przepływów pieniężnych</w:t>
      </w:r>
      <w:r w:rsidR="0054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uwzględnianych przy obliczeniu ceny skorygowanej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="00BC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ujednolicenie sposobu ustalania ceny skorygowanej </w:t>
      </w:r>
      <w:r w:rsidR="00713518" w:rsidRPr="0054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wytwórców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</w:t>
      </w:r>
      <w:r w:rsidR="00BC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złożonych </w:t>
      </w:r>
      <w:r w:rsidR="0071351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Prezesa URE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22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tuje to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traktowani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="00713518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jednakowy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§2 </w:t>
      </w:r>
      <w:r w:rsidR="003C55F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zaproponowano uwzględnienie przepływów pieniężnych związanych z budową, utrzymaniem, konserwacją i serwisem</w:t>
      </w:r>
      <w:r w:rsidR="009F54E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likwidacją</w:t>
      </w:r>
      <w:r w:rsidR="003C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urządzeń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</w:t>
      </w:r>
      <w:r w:rsidR="003A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szczegółowości ww. przepisów wyliczających rodzaje 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przepływów pieniężnych 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wystarczający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określenia 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ceny skorygowanej na odpowiednim poziomie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bowiem</w:t>
      </w:r>
      <w:r w:rsidR="003A25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jednej strony wskazuje 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wytwórcom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należy uwzględnić, a z drugiej strony daje możliwość 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dopasowania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obliczan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skorygowan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F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przyjętego modelu finansowego danej inwestycji morskiej farmy wiatrowej. </w:t>
      </w:r>
      <w:r w:rsidR="0016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przepisu 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6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tych przepływów pieniężnych, które są niezbędn</w:t>
      </w:r>
      <w:r w:rsidR="005B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przy obliczaniu 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</w:t>
      </w:r>
      <w:r w:rsidR="005B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skorygowanej i nie mogą zostać pominięte. Dla 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przepływów pieniężnych związanych z </w:t>
      </w:r>
      <w:r w:rsidR="005B307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B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urządzeń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uwzględnienie przepływów pieniężnych związanych z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kablową linią eksportową oraz stacją elektroenergetyczną zlokalizowaną na lądzie, czyli urządzeniami, wchodzącymi w skład zespołu urządzeń. W</w:t>
      </w:r>
      <w:r w:rsidR="00E7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, eksploatacj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, konserwacj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serwis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urządzeń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wyszczególniono 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podatki, opłaty, ubezpieczenia, koszty certyfikacji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C5082" w:rsidRP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wykorzystania statków</w:t>
      </w:r>
      <w:r w:rsidR="00964AD1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7F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 w:rsidR="000C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istotną część te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fazy realizacji inwestycji i nie mogą zostać pominięte. 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dotyczącym likwidacji zespołu urządzeń, p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odobnie jak w zakresie 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</w:t>
      </w:r>
      <w:r w:rsidR="005F3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13E4" w:rsidRP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="002613E4" w:rsidRP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13E4" w:rsidRP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613E4" w:rsidRP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613E4" w:rsidRP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kablową linią eksportową oraz stacją elektroenergetyczną zlokalizowaną na lądzie</w:t>
      </w:r>
      <w:r w:rsidR="0026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DB5F339" w14:textId="5430052E" w:rsidR="00B968FA" w:rsidRDefault="00CC4806" w:rsidP="00A042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5507F0">
        <w:rPr>
          <w:rFonts w:ascii="Times New Roman" w:eastAsia="Times New Roman" w:hAnsi="Times New Roman" w:cs="Times New Roman"/>
          <w:sz w:val="24"/>
          <w:szCs w:val="24"/>
          <w:lang w:eastAsia="pl-PL"/>
        </w:rPr>
        <w:t>- 5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rozporządzenia określono s</w:t>
      </w:r>
      <w:r w:rsidRPr="00CC4806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sposób kalkulacji ceny skorygowanej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neutralność transakcji zbycia zespołu urządzeń służących do wyprowadzenia mocy oraz uniknięcie zjawiska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nadwsparcia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wytwórców. 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definiują 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niezbędne zmienne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kalkulacji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pozwoli osiągnąć cel projektowanego rozporządzenia.</w:t>
      </w:r>
    </w:p>
    <w:p w14:paraId="730F65C5" w14:textId="60146A69" w:rsidR="005178AE" w:rsidRDefault="00A042A8" w:rsidP="00A042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 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cenę skorygowaną kalkuluje się pomniejszając cenę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747" w:rsidRPr="003D174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wskazaną w</w:t>
      </w:r>
      <w:r w:rsidR="00E7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1747" w:rsidRPr="003D174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decyzji, o której mowa w art. 18 ust. 1 ustawy albo wynikającą z oferty, o której mowa w art. 31 ust. 1 ustawy, albo cenę skorygowaną, o której mowa w art. 10 ust. 4 albo w art. 10 ust. 6 ustawy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przychód z tytułu rozporządzenia zespołem urządzeń, koszty 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utrzymania, eksploatacji, konserwacji i serwisu</w:t>
      </w:r>
      <w:r w:rsidR="003D17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dotychczasowy właściciel zespołu urządzeń, wskutek rozporządzenia zespołem urządzeń, nie ponosi tych kosztów lub ponosi je w zmniejszonym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przepływy pieniężne, o których mowa w § 2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9779D3" w14:textId="7755154B" w:rsidR="00CC4806" w:rsidRDefault="005178AE" w:rsidP="00BC02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C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54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C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usystematyzowania proponowanych przepisów</w:t>
      </w:r>
      <w:r w:rsidR="00A954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wskazano parametry makroekonomiczne, które należy uwzględnić przy kalkulacji ceny skorygowanej. 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Mianowicie, w 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kalkulacji ceny skorygowanej należy uwzględnić wartości, które </w:t>
      </w:r>
      <w:r w:rsidR="00A042A8" w:rsidRP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42A8" w:rsidRP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ustalaniu ceny, o której mowa w art. 18 ust. 1 ustawy, albo wynikające z analizy finansowej, o której mowa w art. 36 ustawy – w przypadku oferty, o której mowa w art. 31 ust. 1 ustawy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4A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</w:t>
      </w:r>
      <w:r w:rsidR="00E64A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</w:t>
      </w:r>
      <w:r w:rsidR="0064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dostosowano do określonego w ustawie dwufazowego systemu wsparcia. Zaproponowane brzmienie ma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celu </w:t>
      </w:r>
      <w:r w:rsidR="00640042">
        <w:rPr>
          <w:rFonts w:ascii="Times New Roman" w:eastAsia="Times New Roman" w:hAnsi="Times New Roman" w:cs="Times New Roman"/>
          <w:sz w:val="24"/>
          <w:szCs w:val="24"/>
          <w:lang w:eastAsia="pl-PL"/>
        </w:rPr>
        <w:t>zmitygowanie błędów</w:t>
      </w:r>
      <w:r w:rsidR="00E6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obliczaniu ceny skorygowanej </w:t>
      </w:r>
      <w:r w:rsidR="0064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np. z przyjęcia do obliczeń parametrów makroekonomicznych 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42A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kalkulacji ceny skorygowanej.</w:t>
      </w:r>
      <w:r w:rsidR="00ED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CE0667" w14:textId="37C4A4E9" w:rsidR="005178AE" w:rsidRPr="00BC022D" w:rsidRDefault="005178AE" w:rsidP="005178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C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2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przyjęcia poziomu stopy zwrotu przy kalkulowaniu ceny skorygowanej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także dostosowano do dwufazowego systemu wsparcia.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D2A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inwestycji realizowanych w pierwszej fazie </w:t>
      </w:r>
      <w:r w:rsidR="00B96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wsparcia, należy przyjąć </w:t>
      </w:r>
      <w:r w:rsidR="00ED2A01" w:rsidRPr="00ED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stopy zwrotu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obliczenia ceny wskazanej w decyzji, o której mowa w art. 18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Dla projektów realizowanych w drugiej fazie systemu wsparcia, należy przyjąć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analizy finansowej, o</w:t>
      </w:r>
      <w:r w:rsidR="00ED2A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art. 36 ustawy – w</w:t>
      </w:r>
      <w:r w:rsidR="00E7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78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oferty, o której mowa w art. 31 ust. 1 ustawy.</w:t>
      </w:r>
      <w:r w:rsidR="00A9544D" w:rsidRPr="00A9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F870B1" w14:textId="178174CC" w:rsidR="00272D8B" w:rsidRDefault="0071487D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stanowić ułatwienie dla wytwórców poprzez ujednolicenie zakresu składanych</w:t>
      </w:r>
      <w:r w:rsidR="00ED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wniosków, ale przede wszystkim </w:t>
      </w:r>
      <w:r w:rsidR="00042FD3" w:rsidRP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042FD3" w:rsidRP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FD3" w:rsidRP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URE</w:t>
      </w:r>
      <w:r w:rsidR="00631E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2FD3" w:rsidRP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042FD3" w:rsidRPr="00042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wytycznych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ustalenia ceny skorygowanej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Efektem będzie </w:t>
      </w:r>
      <w:r w:rsidR="0054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wpływ 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</w:t>
      </w:r>
      <w:r w:rsidR="004C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czas 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rozpatrywania wniosków, o których mowa w art. 11 ust.</w:t>
      </w:r>
      <w:r w:rsidR="00B94C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0EEC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ustawy.</w:t>
      </w:r>
      <w:r w:rsidR="0054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468D99" w14:textId="0B9DA568" w:rsidR="00591C91" w:rsidRPr="00005D8B" w:rsidRDefault="00591C91" w:rsidP="00A93F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C9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się, aby projektowane rozporządzenie weszło w życie po upływie 14 dni od dnia ogłoszenia.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fakt, 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rozporządzenie 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po </w:t>
      </w:r>
      <w:r w:rsidR="00CC538E">
        <w:rPr>
          <w:rFonts w:ascii="Times New Roman" w:eastAsia="Times New Roman" w:hAnsi="Times New Roman" w:cs="Times New Roman"/>
          <w:sz w:val="24"/>
          <w:szCs w:val="24"/>
          <w:lang w:eastAsia="pl-PL"/>
        </w:rPr>
        <w:t>zbyciu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urządzeń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nie wcześniej niż po 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wybudowaniu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morskich farm wiatrowych, tj. od ok.</w:t>
      </w:r>
      <w:r w:rsidR="00B94C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93F6A" w:rsidRP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F6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05D8B">
        <w:rPr>
          <w:rFonts w:ascii="Times New Roman" w:eastAsia="Times New Roman" w:hAnsi="Times New Roman" w:cs="Times New Roman"/>
          <w:sz w:val="24"/>
          <w:szCs w:val="24"/>
          <w:lang w:eastAsia="pl-PL"/>
        </w:rPr>
        <w:t>taki czas trwania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vacatio legis</w:t>
      </w:r>
      <w:r w:rsidR="00005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05D8B" w:rsidRPr="00005D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jest wystarczający</w:t>
      </w:r>
      <w:r w:rsidRPr="00005D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CD6AF4D" w14:textId="07AE90A7" w:rsidR="00830357" w:rsidRPr="00830357" w:rsidRDefault="00830357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przepisy zostały przeanalizowane pod kątem wpływu na mikro, małe i</w:t>
      </w:r>
      <w:r w:rsidR="009557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przedsiębiorstwa. Regulacje zawarte w projekcie rozporządzenia nie będą miały wpływu na ich funkcjonowanie.</w:t>
      </w:r>
    </w:p>
    <w:p w14:paraId="330FF6AA" w14:textId="77777777" w:rsidR="00830357" w:rsidRPr="00830357" w:rsidRDefault="00830357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nie podlega notyfikacji, zgodnie z przepisami rozporządzenia Rady Ministrów z dnia 23 grudnia 2002 r. w sprawie sposobu funkcjonowania krajowego systemu notyfikacji norm i aktów prawnych (Dz. U. poz. 2039 oraz z 2004 r. poz. 597).</w:t>
      </w:r>
    </w:p>
    <w:p w14:paraId="06769B7F" w14:textId="67945833" w:rsidR="00830357" w:rsidRPr="00830357" w:rsidRDefault="00830357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nie wymaga notyfikacji programu pomocowego, zgodnie z</w:t>
      </w:r>
      <w:r w:rsidR="009557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ustawy z dnia 30 kwietnia 2004 r. o postępowaniu w sprawach dotyczących pomocy publicznej (Dz. U. z 20</w:t>
      </w:r>
      <w:r w:rsidR="00FB669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B6693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39420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26ED41" w14:textId="01748EFE" w:rsidR="00830357" w:rsidRPr="00830357" w:rsidRDefault="00830357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nie podlega przedstawieniu właściwym organom i instytucjom Unii Europejskiej, w tym Europejskiemu Bankowi Centralnemu, zgodnie z § 27 ust. 4 uchwały nr 190 Rady Ministrów z dnia 29 października 2013 r. – Regulamin pracy Rady Ministrów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(M.</w:t>
      </w:r>
      <w:r w:rsidR="009557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z 2016 r. poz. 1006, z </w:t>
      </w:r>
      <w:proofErr w:type="spellStart"/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168CFC5" w14:textId="6B9CF1DC" w:rsidR="00830357" w:rsidRPr="00830357" w:rsidRDefault="00830357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z chwilą przekazania do uzgodnień międzyresortowych </w:t>
      </w:r>
      <w:r w:rsidR="008F47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DE0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 w Biuletynie Informacji Publicznej Rządowego Centrum Legislacji, zgodnie z</w:t>
      </w:r>
      <w:r w:rsidR="000006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52 ww. uchwały oraz zgodnie z przepisami ustawy z dnia 7 lipca 2005 r. o działalności lobbingowej w procesie stanowienia prawa (Dz. U. z 2017 r. poz. 248).</w:t>
      </w:r>
    </w:p>
    <w:p w14:paraId="09FA2D17" w14:textId="5CF7ADD4" w:rsidR="00830357" w:rsidRDefault="00830357" w:rsidP="00244D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jest zgodny z prawem Unii Europejskiej.</w:t>
      </w:r>
    </w:p>
    <w:bookmarkEnd w:id="0"/>
    <w:p w14:paraId="4EB93663" w14:textId="05D6F7A8" w:rsidR="00830357" w:rsidRDefault="00830357" w:rsidP="00244D51">
      <w:pPr>
        <w:spacing w:after="0" w:line="276" w:lineRule="auto"/>
        <w:jc w:val="both"/>
      </w:pPr>
    </w:p>
    <w:p w14:paraId="22E7AC25" w14:textId="089399A5" w:rsidR="00272D8B" w:rsidRPr="00272D8B" w:rsidRDefault="00272D8B" w:rsidP="00244D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Zgodność z KPO</w:t>
      </w:r>
    </w:p>
    <w:p w14:paraId="2179F9CD" w14:textId="5F71036A" w:rsidR="00272D8B" w:rsidRDefault="00272D8B" w:rsidP="00244D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CE076" w14:textId="64686923" w:rsidR="00272D8B" w:rsidRDefault="00A43D03" w:rsidP="00A43D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Ministra Klimatu i Środowiska w sprawie rodzajów przepływów pieniężnych i szczegółowego sposobu kalkulacji ceny skorygowanej stanowi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kamienia milowego B30G</w:t>
      </w:r>
      <w:r w:rsidR="00FE4EB3" w:rsidRPr="00FE4EB3">
        <w:t xml:space="preserve"> </w:t>
      </w:r>
      <w:r w:rsidR="00FE4EB3">
        <w:t>„</w:t>
      </w:r>
      <w:r w:rsidR="00FE4EB3"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w życie przepisu wykonawczego wynikającego z ustawy z dnia 17 grudnia 2020 r. o promowaniu wytwarzania energii elektrycznej w morskich farmach wiatrowych</w:t>
      </w:r>
      <w:r w:rsid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który stanowi element reformy „</w:t>
      </w:r>
      <w:r w:rsidR="00FE4EB3"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B2.2. Poprawa warunków dla rozwoju odnawialnych źródeł energii</w:t>
      </w:r>
      <w:r w:rsid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” Krajowego Planu Odbudowy i Zwiększania Odporności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(KPO)</w:t>
      </w:r>
      <w:r w:rsid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474C05" w14:textId="392A833E" w:rsidR="00FE4EB3" w:rsidRDefault="00FE4EB3" w:rsidP="00A43D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 milowy B30G stanowi, że r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 przepływów pieniężnych uwzględnianych przy obliczaniu ceny skorygowanej oraz szczegółowy sposób obliczania ceny skorygowanej. W procesie tym będą brane pod uwagę takie czynniki jak pomoc inwestycyjna, termin udzielenia pomocy inwestycyjnej oraz zasady udzielania pomocy publicznej w zakresie ochrony środowiska i energetyki.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Wskazano, że o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czekiwanym efektem ma być ułatwienie powyższej procedury dla inwestorów morskich farm wiatrowych.</w:t>
      </w:r>
    </w:p>
    <w:p w14:paraId="2EF9C148" w14:textId="5A8507F3" w:rsidR="00FE4EB3" w:rsidRPr="00272D8B" w:rsidRDefault="00FE4EB3" w:rsidP="00A43D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należy wskazać, że całość proponowanej regulacji realizuje ww. kamień milowy. Projektowane przepisy określają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przepływów pieniężnych uwzględnianych przy obliczaniu ceny skorygowanej oraz szczegółowy sposób obliczania ceny skorygowanej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Regulacja uwzględnia moment procesu inwestycyjnego oraz udzieloną pomoc inwestycyjną (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Rozporządzenie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spójn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ustawą, która uwzględnia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udzielania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pomocy publicznej w zakresie ochrony środowiska i energetyki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przepisy ułatwi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wytwórcom złożenie wniosków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11 ust. 1 ustawy. Regulacja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usprawni </w:t>
      </w:r>
      <w:r w:rsidR="00207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URE poprzez ustalenie wytycznych w zakresie ustalenia ceny skorygowanej. Efektem będzie </w:t>
      </w:r>
      <w:r w:rsidR="00207320"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</w:t>
      </w:r>
      <w:r w:rsidR="002073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07320"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</w:t>
      </w:r>
      <w:r w:rsidR="002073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7320"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proces i czas rozpatrywania 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>ww. </w:t>
      </w:r>
      <w:r w:rsidRPr="00FE4EB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8E7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E4EB3" w:rsidRPr="0027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D8"/>
    <w:multiLevelType w:val="hybridMultilevel"/>
    <w:tmpl w:val="FA02D8E6"/>
    <w:lvl w:ilvl="0" w:tplc="1FF2C7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127436"/>
    <w:multiLevelType w:val="hybridMultilevel"/>
    <w:tmpl w:val="05A848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D"/>
    <w:rsid w:val="0000061C"/>
    <w:rsid w:val="00005D8B"/>
    <w:rsid w:val="000271B1"/>
    <w:rsid w:val="00042FD3"/>
    <w:rsid w:val="0005272D"/>
    <w:rsid w:val="00067993"/>
    <w:rsid w:val="0007733E"/>
    <w:rsid w:val="000C5082"/>
    <w:rsid w:val="000F42C4"/>
    <w:rsid w:val="001154B4"/>
    <w:rsid w:val="001230C0"/>
    <w:rsid w:val="00164B15"/>
    <w:rsid w:val="00167F5A"/>
    <w:rsid w:val="00192F30"/>
    <w:rsid w:val="00193F6E"/>
    <w:rsid w:val="001A169E"/>
    <w:rsid w:val="001E4236"/>
    <w:rsid w:val="001E6F69"/>
    <w:rsid w:val="001F33B4"/>
    <w:rsid w:val="00207320"/>
    <w:rsid w:val="00213BB2"/>
    <w:rsid w:val="00236876"/>
    <w:rsid w:val="00244D51"/>
    <w:rsid w:val="0024737E"/>
    <w:rsid w:val="002613E4"/>
    <w:rsid w:val="00267016"/>
    <w:rsid w:val="00272D8B"/>
    <w:rsid w:val="002D5FA1"/>
    <w:rsid w:val="002F3E19"/>
    <w:rsid w:val="00333420"/>
    <w:rsid w:val="00337455"/>
    <w:rsid w:val="00350D2A"/>
    <w:rsid w:val="00357F3A"/>
    <w:rsid w:val="003939C3"/>
    <w:rsid w:val="00394208"/>
    <w:rsid w:val="003A257D"/>
    <w:rsid w:val="003B1158"/>
    <w:rsid w:val="003C2E32"/>
    <w:rsid w:val="003C55FB"/>
    <w:rsid w:val="003D1747"/>
    <w:rsid w:val="00400CE7"/>
    <w:rsid w:val="00461AF5"/>
    <w:rsid w:val="004B0DF0"/>
    <w:rsid w:val="004C0FAC"/>
    <w:rsid w:val="005178AE"/>
    <w:rsid w:val="00541521"/>
    <w:rsid w:val="005507F0"/>
    <w:rsid w:val="00555A0A"/>
    <w:rsid w:val="0055651E"/>
    <w:rsid w:val="00590147"/>
    <w:rsid w:val="00591C91"/>
    <w:rsid w:val="005B307D"/>
    <w:rsid w:val="005C5275"/>
    <w:rsid w:val="005E775B"/>
    <w:rsid w:val="005F34DA"/>
    <w:rsid w:val="005F58B4"/>
    <w:rsid w:val="00631EC7"/>
    <w:rsid w:val="00640042"/>
    <w:rsid w:val="0067210A"/>
    <w:rsid w:val="006951A9"/>
    <w:rsid w:val="006A33CE"/>
    <w:rsid w:val="006E5A01"/>
    <w:rsid w:val="006F762B"/>
    <w:rsid w:val="00701499"/>
    <w:rsid w:val="00713518"/>
    <w:rsid w:val="0071487D"/>
    <w:rsid w:val="007235F7"/>
    <w:rsid w:val="00753BD6"/>
    <w:rsid w:val="00781C18"/>
    <w:rsid w:val="0078323F"/>
    <w:rsid w:val="007833A1"/>
    <w:rsid w:val="007C1DEA"/>
    <w:rsid w:val="007F2D4C"/>
    <w:rsid w:val="00802688"/>
    <w:rsid w:val="00830357"/>
    <w:rsid w:val="00833ED8"/>
    <w:rsid w:val="00860ED9"/>
    <w:rsid w:val="00864705"/>
    <w:rsid w:val="008724DF"/>
    <w:rsid w:val="00884705"/>
    <w:rsid w:val="00892FC7"/>
    <w:rsid w:val="008C16FA"/>
    <w:rsid w:val="008E7C9B"/>
    <w:rsid w:val="008F4771"/>
    <w:rsid w:val="009119B0"/>
    <w:rsid w:val="00925DAD"/>
    <w:rsid w:val="009329CD"/>
    <w:rsid w:val="00936E72"/>
    <w:rsid w:val="009557D2"/>
    <w:rsid w:val="00964AD1"/>
    <w:rsid w:val="0097280E"/>
    <w:rsid w:val="009B1895"/>
    <w:rsid w:val="009F47EB"/>
    <w:rsid w:val="009F54E3"/>
    <w:rsid w:val="00A042A8"/>
    <w:rsid w:val="00A060D3"/>
    <w:rsid w:val="00A43D03"/>
    <w:rsid w:val="00A52E5C"/>
    <w:rsid w:val="00A9252C"/>
    <w:rsid w:val="00A93F6A"/>
    <w:rsid w:val="00A9544D"/>
    <w:rsid w:val="00A95995"/>
    <w:rsid w:val="00AF636D"/>
    <w:rsid w:val="00B30BFB"/>
    <w:rsid w:val="00B3608F"/>
    <w:rsid w:val="00B44CAB"/>
    <w:rsid w:val="00B67098"/>
    <w:rsid w:val="00B72FBD"/>
    <w:rsid w:val="00B74327"/>
    <w:rsid w:val="00B92333"/>
    <w:rsid w:val="00B94CE9"/>
    <w:rsid w:val="00B968FA"/>
    <w:rsid w:val="00BB6063"/>
    <w:rsid w:val="00BC022D"/>
    <w:rsid w:val="00BF6BDF"/>
    <w:rsid w:val="00C16C67"/>
    <w:rsid w:val="00C25D6A"/>
    <w:rsid w:val="00C93C28"/>
    <w:rsid w:val="00CB483C"/>
    <w:rsid w:val="00CC0EF1"/>
    <w:rsid w:val="00CC4806"/>
    <w:rsid w:val="00CC538E"/>
    <w:rsid w:val="00CC6B28"/>
    <w:rsid w:val="00CE0F05"/>
    <w:rsid w:val="00D0281C"/>
    <w:rsid w:val="00D116C5"/>
    <w:rsid w:val="00D344F2"/>
    <w:rsid w:val="00D4000D"/>
    <w:rsid w:val="00D43701"/>
    <w:rsid w:val="00D64C47"/>
    <w:rsid w:val="00DD2431"/>
    <w:rsid w:val="00DD6DFC"/>
    <w:rsid w:val="00DE0815"/>
    <w:rsid w:val="00DF3488"/>
    <w:rsid w:val="00E0594B"/>
    <w:rsid w:val="00E26433"/>
    <w:rsid w:val="00E64AEE"/>
    <w:rsid w:val="00E718CF"/>
    <w:rsid w:val="00E73159"/>
    <w:rsid w:val="00EB0EEC"/>
    <w:rsid w:val="00EB261B"/>
    <w:rsid w:val="00EC75DB"/>
    <w:rsid w:val="00ED2A01"/>
    <w:rsid w:val="00EE6A8F"/>
    <w:rsid w:val="00EE7350"/>
    <w:rsid w:val="00EF6CBE"/>
    <w:rsid w:val="00F47F2F"/>
    <w:rsid w:val="00F800E3"/>
    <w:rsid w:val="00F90C4D"/>
    <w:rsid w:val="00FA68E6"/>
    <w:rsid w:val="00FB6693"/>
    <w:rsid w:val="00FE4EB3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02D5"/>
  <w15:docId w15:val="{D1D33D3C-C920-4756-A165-452926D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F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F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2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5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P</dc:creator>
  <cp:lastModifiedBy>MOŁDAWSKA Agnieszka</cp:lastModifiedBy>
  <cp:revision>2</cp:revision>
  <dcterms:created xsi:type="dcterms:W3CDTF">2022-06-15T14:33:00Z</dcterms:created>
  <dcterms:modified xsi:type="dcterms:W3CDTF">2022-06-15T14:33:00Z</dcterms:modified>
</cp:coreProperties>
</file>