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2894" w14:textId="77777777" w:rsidR="00AD5AC1" w:rsidRPr="00C50B77" w:rsidRDefault="00AD5AC1" w:rsidP="00AD5AC1">
      <w:pPr>
        <w:pStyle w:val="Default"/>
        <w:jc w:val="center"/>
        <w:rPr>
          <w:color w:val="auto"/>
        </w:rPr>
      </w:pPr>
      <w:r w:rsidRPr="00C50B77">
        <w:rPr>
          <w:b/>
          <w:bCs/>
          <w:color w:val="auto"/>
        </w:rPr>
        <w:t>Uzasadnienie</w:t>
      </w:r>
    </w:p>
    <w:p w14:paraId="75BD784D" w14:textId="33957241" w:rsidR="00745073" w:rsidRDefault="00745073" w:rsidP="0001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CE416" w14:textId="77777777" w:rsidR="004B406F" w:rsidRPr="00C50B77" w:rsidRDefault="004B406F" w:rsidP="0001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A18A6" w14:textId="2C77972F" w:rsidR="00745073" w:rsidRPr="00E800CA" w:rsidRDefault="00745073" w:rsidP="00422C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A">
        <w:rPr>
          <w:rFonts w:ascii="Times New Roman" w:hAnsi="Times New Roman" w:cs="Times New Roman"/>
          <w:sz w:val="24"/>
          <w:szCs w:val="24"/>
        </w:rPr>
        <w:t xml:space="preserve">Projektowane rozporządzenie jest wykonaniem przez ministra właściwego do spraw środowiska upoważnienia ustawowego zawartego w art. </w:t>
      </w:r>
      <w:r w:rsidR="00C50B77" w:rsidRPr="00E800CA">
        <w:rPr>
          <w:rFonts w:ascii="Times New Roman" w:hAnsi="Times New Roman" w:cs="Times New Roman"/>
          <w:sz w:val="24"/>
          <w:szCs w:val="24"/>
        </w:rPr>
        <w:t>52</w:t>
      </w:r>
      <w:r w:rsidR="00A71AA6" w:rsidRPr="00E800CA">
        <w:rPr>
          <w:rFonts w:ascii="Times New Roman" w:hAnsi="Times New Roman" w:cs="Times New Roman"/>
          <w:sz w:val="24"/>
          <w:szCs w:val="24"/>
        </w:rPr>
        <w:t xml:space="preserve">b ust. </w:t>
      </w:r>
      <w:r w:rsidR="00DD6DF1">
        <w:rPr>
          <w:rFonts w:ascii="Times New Roman" w:hAnsi="Times New Roman" w:cs="Times New Roman"/>
          <w:sz w:val="24"/>
          <w:szCs w:val="24"/>
        </w:rPr>
        <w:t>3</w:t>
      </w:r>
      <w:r w:rsidR="000007C1" w:rsidRPr="00E800CA">
        <w:rPr>
          <w:rFonts w:ascii="Times New Roman" w:hAnsi="Times New Roman" w:cs="Times New Roman"/>
          <w:sz w:val="24"/>
          <w:szCs w:val="24"/>
        </w:rPr>
        <w:t xml:space="preserve"> </w:t>
      </w:r>
      <w:r w:rsidR="00A71AA6" w:rsidRPr="00E800CA">
        <w:rPr>
          <w:rFonts w:ascii="Times New Roman" w:hAnsi="Times New Roman" w:cs="Times New Roman"/>
          <w:sz w:val="24"/>
          <w:szCs w:val="24"/>
        </w:rPr>
        <w:t>ustawy</w:t>
      </w:r>
      <w:r w:rsidR="00A44124">
        <w:rPr>
          <w:rFonts w:ascii="Times New Roman" w:hAnsi="Times New Roman" w:cs="Times New Roman"/>
          <w:sz w:val="24"/>
          <w:szCs w:val="24"/>
        </w:rPr>
        <w:t xml:space="preserve"> </w:t>
      </w:r>
      <w:r w:rsidR="00C50B77" w:rsidRPr="00E800CA">
        <w:rPr>
          <w:rFonts w:ascii="Times New Roman" w:hAnsi="Times New Roman" w:cs="Times New Roman"/>
          <w:sz w:val="24"/>
          <w:szCs w:val="24"/>
        </w:rPr>
        <w:t>z dnia 16 kwietnia 2004 r. o ochronie przyrody</w:t>
      </w:r>
      <w:r w:rsidRPr="00E800CA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C50B77" w:rsidRPr="00E800CA">
        <w:rPr>
          <w:rFonts w:ascii="Times New Roman" w:hAnsi="Times New Roman" w:cs="Times New Roman"/>
          <w:sz w:val="24"/>
          <w:szCs w:val="24"/>
        </w:rPr>
        <w:t>2</w:t>
      </w:r>
      <w:r w:rsidR="00EA4F2C">
        <w:rPr>
          <w:rFonts w:ascii="Times New Roman" w:hAnsi="Times New Roman" w:cs="Times New Roman"/>
          <w:sz w:val="24"/>
          <w:szCs w:val="24"/>
        </w:rPr>
        <w:t>2</w:t>
      </w:r>
      <w:r w:rsidRPr="00E800CA">
        <w:rPr>
          <w:rFonts w:ascii="Times New Roman" w:hAnsi="Times New Roman" w:cs="Times New Roman"/>
          <w:sz w:val="24"/>
          <w:szCs w:val="24"/>
        </w:rPr>
        <w:t xml:space="preserve"> r. poz.</w:t>
      </w:r>
      <w:r w:rsidR="00011251" w:rsidRPr="00E800CA">
        <w:rPr>
          <w:rFonts w:ascii="Times New Roman" w:hAnsi="Times New Roman" w:cs="Times New Roman"/>
          <w:sz w:val="24"/>
          <w:szCs w:val="24"/>
        </w:rPr>
        <w:t xml:space="preserve"> </w:t>
      </w:r>
      <w:r w:rsidR="00EA4F2C">
        <w:rPr>
          <w:rFonts w:ascii="Times New Roman" w:hAnsi="Times New Roman" w:cs="Times New Roman"/>
          <w:sz w:val="24"/>
          <w:szCs w:val="24"/>
        </w:rPr>
        <w:t>916</w:t>
      </w:r>
      <w:r w:rsidR="00C50B77" w:rsidRPr="00E800CA">
        <w:rPr>
          <w:rFonts w:ascii="Times New Roman" w:hAnsi="Times New Roman" w:cs="Times New Roman"/>
          <w:sz w:val="24"/>
          <w:szCs w:val="24"/>
        </w:rPr>
        <w:t>)</w:t>
      </w:r>
      <w:r w:rsidRPr="00E800CA">
        <w:rPr>
          <w:rFonts w:ascii="Times New Roman" w:hAnsi="Times New Roman" w:cs="Times New Roman"/>
          <w:sz w:val="24"/>
          <w:szCs w:val="24"/>
        </w:rPr>
        <w:t>.</w:t>
      </w:r>
    </w:p>
    <w:p w14:paraId="5A209270" w14:textId="54AB01E0" w:rsidR="00745073" w:rsidRDefault="00745073" w:rsidP="00422C4F">
      <w:pPr>
        <w:pStyle w:val="Default"/>
        <w:spacing w:line="360" w:lineRule="auto"/>
        <w:ind w:firstLine="708"/>
        <w:jc w:val="both"/>
        <w:rPr>
          <w:color w:val="auto"/>
        </w:rPr>
      </w:pPr>
      <w:r w:rsidRPr="00E800CA">
        <w:rPr>
          <w:color w:val="auto"/>
        </w:rPr>
        <w:t>Ustawodawca zobowiązał ministra właściwego do spraw środowiska do określenia</w:t>
      </w:r>
      <w:r w:rsidR="00A44124">
        <w:rPr>
          <w:color w:val="auto"/>
        </w:rPr>
        <w:t>, w</w:t>
      </w:r>
      <w:r w:rsidR="00F73A99">
        <w:rPr>
          <w:color w:val="auto"/>
        </w:rPr>
        <w:t> </w:t>
      </w:r>
      <w:r w:rsidR="00A44124">
        <w:rPr>
          <w:color w:val="auto"/>
        </w:rPr>
        <w:t xml:space="preserve">drodze rozporządzenia, </w:t>
      </w:r>
      <w:r w:rsidRPr="00E800CA">
        <w:rPr>
          <w:color w:val="auto"/>
        </w:rPr>
        <w:t>wymaga</w:t>
      </w:r>
      <w:r w:rsidR="00A148F5" w:rsidRPr="00E800CA">
        <w:rPr>
          <w:color w:val="auto"/>
        </w:rPr>
        <w:t>ń</w:t>
      </w:r>
      <w:r w:rsidRPr="00E800CA">
        <w:rPr>
          <w:color w:val="auto"/>
        </w:rPr>
        <w:t xml:space="preserve"> dobrej prakty</w:t>
      </w:r>
      <w:r w:rsidR="00C50B77" w:rsidRPr="00E800CA">
        <w:rPr>
          <w:color w:val="auto"/>
        </w:rPr>
        <w:t>ki w zakresie gospodarki leśnej</w:t>
      </w:r>
      <w:r w:rsidR="00A44124">
        <w:rPr>
          <w:color w:val="auto"/>
        </w:rPr>
        <w:t>, z</w:t>
      </w:r>
      <w:r w:rsidR="00F73A99">
        <w:rPr>
          <w:color w:val="auto"/>
        </w:rPr>
        <w:t> </w:t>
      </w:r>
      <w:r w:rsidR="00A44124">
        <w:rPr>
          <w:color w:val="auto"/>
        </w:rPr>
        <w:t>uwzględnieniem:</w:t>
      </w:r>
    </w:p>
    <w:p w14:paraId="7241EB1D" w14:textId="77777777" w:rsidR="00D54607" w:rsidRPr="00E800CA" w:rsidRDefault="00D54607" w:rsidP="00D54607">
      <w:pPr>
        <w:pStyle w:val="ARTartustawynprozporzdzenia"/>
        <w:numPr>
          <w:ilvl w:val="0"/>
          <w:numId w:val="2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E800CA">
        <w:rPr>
          <w:rFonts w:ascii="Times New Roman" w:hAnsi="Times New Roman" w:cs="Times New Roman"/>
          <w:szCs w:val="24"/>
        </w:rPr>
        <w:t>potrzeb</w:t>
      </w:r>
      <w:r>
        <w:rPr>
          <w:rFonts w:ascii="Times New Roman" w:hAnsi="Times New Roman" w:cs="Times New Roman"/>
          <w:szCs w:val="24"/>
        </w:rPr>
        <w:t>y</w:t>
      </w:r>
      <w:r w:rsidRPr="00E800CA">
        <w:rPr>
          <w:rFonts w:ascii="Times New Roman" w:hAnsi="Times New Roman" w:cs="Times New Roman"/>
          <w:szCs w:val="24"/>
        </w:rPr>
        <w:t xml:space="preserve"> zapewnienia ochrony gatunków, w szczególności gatunków będących przedmiotem zainteresowania Wspólnoty i gatunków ptaków</w:t>
      </w:r>
      <w:r>
        <w:rPr>
          <w:rFonts w:ascii="Times New Roman" w:hAnsi="Times New Roman" w:cs="Times New Roman"/>
          <w:szCs w:val="24"/>
        </w:rPr>
        <w:t xml:space="preserve"> objętych ochroną</w:t>
      </w:r>
      <w:r w:rsidRPr="00E800CA">
        <w:rPr>
          <w:rFonts w:ascii="Times New Roman" w:hAnsi="Times New Roman" w:cs="Times New Roman"/>
          <w:szCs w:val="24"/>
        </w:rPr>
        <w:t xml:space="preserve">, </w:t>
      </w:r>
    </w:p>
    <w:p w14:paraId="65E5BB25" w14:textId="77777777" w:rsidR="00D54607" w:rsidRDefault="00D54607" w:rsidP="00D54607">
      <w:pPr>
        <w:pStyle w:val="ARTartustawynprozporzdzenia"/>
        <w:numPr>
          <w:ilvl w:val="0"/>
          <w:numId w:val="2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A44124">
        <w:rPr>
          <w:rFonts w:ascii="Times New Roman" w:hAnsi="Times New Roman" w:cs="Times New Roman"/>
          <w:szCs w:val="24"/>
        </w:rPr>
        <w:t>celów i zasad gospodarki leśnej określonych w ustawie</w:t>
      </w:r>
      <w:r>
        <w:rPr>
          <w:rFonts w:ascii="Times New Roman" w:hAnsi="Times New Roman" w:cs="Times New Roman"/>
          <w:szCs w:val="24"/>
        </w:rPr>
        <w:t xml:space="preserve"> </w:t>
      </w:r>
      <w:r w:rsidRPr="00A44124">
        <w:rPr>
          <w:rFonts w:ascii="Times New Roman" w:hAnsi="Times New Roman" w:cs="Times New Roman"/>
          <w:szCs w:val="24"/>
        </w:rPr>
        <w:t xml:space="preserve">z dnia 28 września 1991 r. o lasach </w:t>
      </w:r>
      <w:r w:rsidRPr="00EA4F2C">
        <w:rPr>
          <w:rFonts w:ascii="Times New Roman" w:hAnsi="Times New Roman" w:cs="Times New Roman"/>
          <w:szCs w:val="24"/>
        </w:rPr>
        <w:t>(Dz. U. z 2022  r. poz. 672),</w:t>
      </w:r>
    </w:p>
    <w:p w14:paraId="1F5A257A" w14:textId="127F2474" w:rsidR="00D54607" w:rsidRPr="00EA4F2C" w:rsidRDefault="00D54607" w:rsidP="00D54607">
      <w:pPr>
        <w:pStyle w:val="ARTartustawynprozporzdzenia"/>
        <w:numPr>
          <w:ilvl w:val="0"/>
          <w:numId w:val="2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wymogów gospodarczych, społecznych i kulturowych.</w:t>
      </w:r>
    </w:p>
    <w:p w14:paraId="7C4B00C2" w14:textId="3FF7DEE2" w:rsidR="00C934D9" w:rsidRPr="00E800CA" w:rsidRDefault="00C50B77" w:rsidP="00603F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0CA">
        <w:rPr>
          <w:rFonts w:ascii="Times New Roman" w:hAnsi="Times New Roman" w:cs="Times New Roman"/>
          <w:sz w:val="24"/>
          <w:szCs w:val="24"/>
        </w:rPr>
        <w:t xml:space="preserve">Zgodnie z ustawą </w:t>
      </w:r>
      <w:r w:rsidR="00A44124">
        <w:rPr>
          <w:rFonts w:ascii="Times New Roman" w:hAnsi="Times New Roman" w:cs="Times New Roman"/>
          <w:sz w:val="24"/>
          <w:szCs w:val="24"/>
        </w:rPr>
        <w:t xml:space="preserve">z dnia 28 września 1991 r. </w:t>
      </w:r>
      <w:r w:rsidRPr="00E800CA">
        <w:rPr>
          <w:rFonts w:ascii="Times New Roman" w:hAnsi="Times New Roman" w:cs="Times New Roman"/>
          <w:sz w:val="24"/>
          <w:szCs w:val="24"/>
        </w:rPr>
        <w:t>o lasach</w:t>
      </w:r>
      <w:r w:rsidR="00216655" w:rsidRPr="00E800CA">
        <w:rPr>
          <w:rFonts w:ascii="Times New Roman" w:hAnsi="Times New Roman" w:cs="Times New Roman"/>
          <w:sz w:val="24"/>
          <w:szCs w:val="24"/>
        </w:rPr>
        <w:t>,</w:t>
      </w:r>
      <w:r w:rsidRPr="00E800CA">
        <w:rPr>
          <w:rFonts w:ascii="Times New Roman" w:hAnsi="Times New Roman" w:cs="Times New Roman"/>
          <w:sz w:val="24"/>
          <w:szCs w:val="24"/>
        </w:rPr>
        <w:t xml:space="preserve"> gospodarka leśna prowadzona jest według zasad: powszechnej ochrony lasów, trwałości utrzymania lasów, ciągłości i</w:t>
      </w:r>
      <w:r w:rsidR="00F73A99">
        <w:rPr>
          <w:rFonts w:ascii="Times New Roman" w:hAnsi="Times New Roman" w:cs="Times New Roman"/>
          <w:sz w:val="24"/>
          <w:szCs w:val="24"/>
        </w:rPr>
        <w:t> </w:t>
      </w:r>
      <w:r w:rsidRPr="00E800CA">
        <w:rPr>
          <w:rFonts w:ascii="Times New Roman" w:hAnsi="Times New Roman" w:cs="Times New Roman"/>
          <w:sz w:val="24"/>
          <w:szCs w:val="24"/>
        </w:rPr>
        <w:t>zrównoważonego wykorzystania wszystkich funkcji lasów oraz powiększania zasobów leśnych</w:t>
      </w:r>
      <w:r w:rsidR="000007C1" w:rsidRPr="00E800CA">
        <w:rPr>
          <w:rFonts w:ascii="Times New Roman" w:hAnsi="Times New Roman" w:cs="Times New Roman"/>
          <w:sz w:val="24"/>
          <w:szCs w:val="24"/>
        </w:rPr>
        <w:t xml:space="preserve"> w powiązaniu z innymi elementami środowiska i z gospodarką narodową</w:t>
      </w:r>
      <w:r w:rsidRPr="00E800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2AF3D" w14:textId="7559B3AD" w:rsidR="00C50B77" w:rsidRPr="00E800CA" w:rsidRDefault="00C50B77" w:rsidP="00603F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0CA">
        <w:rPr>
          <w:rFonts w:ascii="Times New Roman" w:hAnsi="Times New Roman" w:cs="Times New Roman"/>
          <w:sz w:val="24"/>
          <w:szCs w:val="24"/>
        </w:rPr>
        <w:t>Trwale zrównoważona, wielofunkcyjna gospodarka leśna ukierunkowana jest na</w:t>
      </w:r>
      <w:r w:rsidR="00C934D9" w:rsidRPr="00E800CA">
        <w:rPr>
          <w:rFonts w:ascii="Times New Roman" w:hAnsi="Times New Roman" w:cs="Times New Roman"/>
          <w:sz w:val="24"/>
          <w:szCs w:val="24"/>
        </w:rPr>
        <w:t xml:space="preserve"> zachowanie lasów i korzystnego </w:t>
      </w:r>
      <w:r w:rsidRPr="00E800CA">
        <w:rPr>
          <w:rFonts w:ascii="Times New Roman" w:hAnsi="Times New Roman" w:cs="Times New Roman"/>
          <w:sz w:val="24"/>
          <w:szCs w:val="24"/>
        </w:rPr>
        <w:t xml:space="preserve">ich wpływu na klimat, powietrze, wodę, glebę, zasoby </w:t>
      </w:r>
      <w:r w:rsidR="00C934D9" w:rsidRPr="00E800CA">
        <w:rPr>
          <w:rFonts w:ascii="Times New Roman" w:hAnsi="Times New Roman" w:cs="Times New Roman"/>
          <w:sz w:val="24"/>
          <w:szCs w:val="24"/>
        </w:rPr>
        <w:t xml:space="preserve">przyrodnicze oraz warunki życia </w:t>
      </w:r>
      <w:r w:rsidRPr="00E800CA">
        <w:rPr>
          <w:rFonts w:ascii="Times New Roman" w:hAnsi="Times New Roman" w:cs="Times New Roman"/>
          <w:sz w:val="24"/>
          <w:szCs w:val="24"/>
        </w:rPr>
        <w:t>i zdrowia człowieka</w:t>
      </w:r>
      <w:r w:rsidR="0053460B" w:rsidRPr="00E800CA">
        <w:rPr>
          <w:rFonts w:ascii="Times New Roman" w:hAnsi="Times New Roman" w:cs="Times New Roman"/>
          <w:sz w:val="24"/>
          <w:szCs w:val="24"/>
        </w:rPr>
        <w:t xml:space="preserve"> oraz na równowagę przyrodniczą</w:t>
      </w:r>
      <w:r w:rsidRPr="00E800CA">
        <w:rPr>
          <w:rFonts w:ascii="Times New Roman" w:hAnsi="Times New Roman" w:cs="Times New Roman"/>
          <w:sz w:val="24"/>
          <w:szCs w:val="24"/>
        </w:rPr>
        <w:t xml:space="preserve">. Sposób prowadzenia gospodarki leśnej zmierza do </w:t>
      </w:r>
      <w:r w:rsidR="0053460B" w:rsidRPr="00E800CA">
        <w:rPr>
          <w:rFonts w:ascii="Times New Roman" w:hAnsi="Times New Roman" w:cs="Times New Roman"/>
          <w:sz w:val="24"/>
          <w:szCs w:val="24"/>
        </w:rPr>
        <w:t xml:space="preserve">utrzymania </w:t>
      </w:r>
      <w:r w:rsidRPr="00E800CA">
        <w:rPr>
          <w:rFonts w:ascii="Times New Roman" w:hAnsi="Times New Roman" w:cs="Times New Roman"/>
          <w:sz w:val="24"/>
          <w:szCs w:val="24"/>
        </w:rPr>
        <w:t>bogactwa biologicznego lasów, ich wysokiej produkcyjności oraz potencjału regeneracyjnego, żywotności i zdolności do</w:t>
      </w:r>
      <w:r w:rsidR="00F73A99">
        <w:rPr>
          <w:rFonts w:ascii="Times New Roman" w:hAnsi="Times New Roman" w:cs="Times New Roman"/>
          <w:sz w:val="24"/>
          <w:szCs w:val="24"/>
        </w:rPr>
        <w:t xml:space="preserve"> </w:t>
      </w:r>
      <w:r w:rsidRPr="00E800CA">
        <w:rPr>
          <w:rFonts w:ascii="Times New Roman" w:hAnsi="Times New Roman" w:cs="Times New Roman"/>
          <w:sz w:val="24"/>
          <w:szCs w:val="24"/>
        </w:rPr>
        <w:t>wypełniania, teraz i w przyszłości, wszystkich ważnych ochronnych, gospodarczych i</w:t>
      </w:r>
      <w:r w:rsidR="00F73A99">
        <w:rPr>
          <w:rFonts w:ascii="Times New Roman" w:hAnsi="Times New Roman" w:cs="Times New Roman"/>
          <w:sz w:val="24"/>
          <w:szCs w:val="24"/>
        </w:rPr>
        <w:t> </w:t>
      </w:r>
      <w:r w:rsidRPr="00E800CA">
        <w:rPr>
          <w:rFonts w:ascii="Times New Roman" w:hAnsi="Times New Roman" w:cs="Times New Roman"/>
          <w:sz w:val="24"/>
          <w:szCs w:val="24"/>
        </w:rPr>
        <w:t>społecznych funkcji</w:t>
      </w:r>
      <w:r w:rsidR="00043DAA">
        <w:rPr>
          <w:rFonts w:ascii="Times New Roman" w:hAnsi="Times New Roman" w:cs="Times New Roman"/>
          <w:sz w:val="24"/>
          <w:szCs w:val="24"/>
        </w:rPr>
        <w:t xml:space="preserve"> </w:t>
      </w:r>
      <w:r w:rsidRPr="00E800CA">
        <w:rPr>
          <w:rFonts w:ascii="Times New Roman" w:hAnsi="Times New Roman" w:cs="Times New Roman"/>
          <w:sz w:val="24"/>
          <w:szCs w:val="24"/>
        </w:rPr>
        <w:t>n</w:t>
      </w:r>
      <w:r w:rsidR="00A71AA6" w:rsidRPr="00E800CA">
        <w:rPr>
          <w:rFonts w:ascii="Times New Roman" w:hAnsi="Times New Roman" w:cs="Times New Roman"/>
          <w:sz w:val="24"/>
          <w:szCs w:val="24"/>
        </w:rPr>
        <w:t>a poziomie lokalnym,</w:t>
      </w:r>
      <w:r w:rsidR="0053460B" w:rsidRPr="00E800CA">
        <w:rPr>
          <w:rFonts w:ascii="Times New Roman" w:hAnsi="Times New Roman" w:cs="Times New Roman"/>
          <w:sz w:val="24"/>
          <w:szCs w:val="24"/>
        </w:rPr>
        <w:t xml:space="preserve"> regionalnym i </w:t>
      </w:r>
      <w:r w:rsidR="00A71AA6" w:rsidRPr="00E800CA">
        <w:rPr>
          <w:rFonts w:ascii="Times New Roman" w:hAnsi="Times New Roman" w:cs="Times New Roman"/>
          <w:sz w:val="24"/>
          <w:szCs w:val="24"/>
        </w:rPr>
        <w:t xml:space="preserve"> </w:t>
      </w:r>
      <w:r w:rsidR="00A7394C">
        <w:rPr>
          <w:rFonts w:ascii="Times New Roman" w:hAnsi="Times New Roman" w:cs="Times New Roman"/>
          <w:sz w:val="24"/>
          <w:szCs w:val="24"/>
        </w:rPr>
        <w:t>krajowym</w:t>
      </w:r>
      <w:r w:rsidRPr="00E800CA">
        <w:rPr>
          <w:rFonts w:ascii="Times New Roman" w:hAnsi="Times New Roman" w:cs="Times New Roman"/>
          <w:sz w:val="24"/>
          <w:szCs w:val="24"/>
        </w:rPr>
        <w:t>.</w:t>
      </w:r>
    </w:p>
    <w:p w14:paraId="7E68A31F" w14:textId="1050841B" w:rsidR="00C50B77" w:rsidRPr="00E800CA" w:rsidRDefault="0065417B" w:rsidP="00603F6D">
      <w:pPr>
        <w:pStyle w:val="Default"/>
        <w:spacing w:line="360" w:lineRule="auto"/>
        <w:ind w:firstLine="426"/>
        <w:jc w:val="both"/>
      </w:pPr>
      <w:r>
        <w:t>Mając na uwadze, że rozporządzenie jest wydawane w związku z uchwaleniem przez Sejm RP ustawy z dnia 17 listopada 2021 r. o zmianie ustawy o lasach i ustawy o ochronie przyrody</w:t>
      </w:r>
      <w:r w:rsidR="00D54607">
        <w:t xml:space="preserve"> (Dz. U. z 2022 r. poz. 84)</w:t>
      </w:r>
      <w:r>
        <w:t xml:space="preserve">, która to zmiana wynika z konieczności usunięcia naruszenia </w:t>
      </w:r>
      <w:r w:rsidRPr="0065417B">
        <w:t xml:space="preserve">2018/2208 </w:t>
      </w:r>
      <w:r w:rsidR="00462CAA">
        <w:t>–</w:t>
      </w:r>
      <w:r w:rsidRPr="0065417B">
        <w:t xml:space="preserve"> NATURE</w:t>
      </w:r>
      <w:r w:rsidR="00462CAA">
        <w:t>, dotyczącego</w:t>
      </w:r>
      <w:r w:rsidRPr="0065417B">
        <w:t xml:space="preserve"> </w:t>
      </w:r>
      <w:r w:rsidR="00462CAA">
        <w:t>uchybienia przepisom</w:t>
      </w:r>
      <w:r w:rsidRPr="0065417B">
        <w:t xml:space="preserve"> </w:t>
      </w:r>
      <w:r w:rsidR="00462CAA" w:rsidRPr="00462CAA">
        <w:t xml:space="preserve">art. 6 ust. 1, art. 6 ust. 2, art. 12 ust. 1 lit. a) – d), art. 13 ust. 1 lit. a) oraz art. 16 ust. 1 </w:t>
      </w:r>
      <w:r w:rsidRPr="0065417B">
        <w:t xml:space="preserve">dyrektywy Rady 92/43/EWG </w:t>
      </w:r>
      <w:r w:rsidR="00462CAA" w:rsidRPr="00462CAA">
        <w:t xml:space="preserve">z dnia 21 maja 1992 r. </w:t>
      </w:r>
      <w:r w:rsidRPr="0065417B">
        <w:t>w sprawie ochrony siedlisk przyrodniczych oraz dzikiej fauny i flory</w:t>
      </w:r>
      <w:r w:rsidR="00462CAA">
        <w:t xml:space="preserve"> (Dz. Urz. </w:t>
      </w:r>
      <w:r w:rsidR="00D54607" w:rsidRPr="00D54607">
        <w:t>UE. L Nr 206, str. 7, z późn.zm.</w:t>
      </w:r>
      <w:r w:rsidR="00D54607">
        <w:t>)</w:t>
      </w:r>
      <w:r w:rsidR="00184DC9">
        <w:t>,</w:t>
      </w:r>
      <w:r w:rsidR="00462CAA">
        <w:t xml:space="preserve"> dalej jako „dyrektywa siedliskowa”,</w:t>
      </w:r>
      <w:r w:rsidRPr="0065417B">
        <w:t xml:space="preserve"> oraz </w:t>
      </w:r>
      <w:r w:rsidR="00462CAA">
        <w:t xml:space="preserve">przepisom </w:t>
      </w:r>
      <w:r w:rsidR="00462CAA" w:rsidRPr="00462CAA">
        <w:t xml:space="preserve">art. 4 ust. 1, art. 5 lit. a), b) i d) oraz art. 9 ust. 1) </w:t>
      </w:r>
      <w:r w:rsidRPr="0065417B">
        <w:t xml:space="preserve">dyrektywy </w:t>
      </w:r>
      <w:r w:rsidR="00462CAA" w:rsidRPr="00462CAA">
        <w:t xml:space="preserve">Parlamentu Europejskiego i Rady 2009/147/WE z dnia 30 listopada 2009 r. w sprawie ochrony dzikiego ptactwa </w:t>
      </w:r>
      <w:r w:rsidR="00462CAA">
        <w:t xml:space="preserve">(Dz. Urz. </w:t>
      </w:r>
      <w:r w:rsidR="00D54607" w:rsidRPr="00D54607">
        <w:t xml:space="preserve">UE. L 2010 Nr 20, </w:t>
      </w:r>
      <w:r w:rsidR="00D54607" w:rsidRPr="00D54607">
        <w:lastRenderedPageBreak/>
        <w:t>str. 7</w:t>
      </w:r>
      <w:r w:rsidR="00462CAA">
        <w:t xml:space="preserve">), </w:t>
      </w:r>
      <w:r w:rsidRPr="0065417B">
        <w:t xml:space="preserve"> </w:t>
      </w:r>
      <w:r w:rsidR="00E62976">
        <w:t xml:space="preserve">rozporządzenie określa </w:t>
      </w:r>
      <w:r w:rsidR="00E62976" w:rsidRPr="00E800CA">
        <w:t xml:space="preserve">sposób postępowania właściciela lasu </w:t>
      </w:r>
      <w:r w:rsidR="00A7394C">
        <w:t xml:space="preserve">na etapie planowania i realizacji działań </w:t>
      </w:r>
      <w:r w:rsidR="00E62976" w:rsidRPr="00E800CA">
        <w:t>z zakresu gospodarki leśnej</w:t>
      </w:r>
      <w:r w:rsidR="00A7394C">
        <w:t>.</w:t>
      </w:r>
      <w:r w:rsidRPr="0065417B">
        <w:t xml:space="preserve"> </w:t>
      </w:r>
    </w:p>
    <w:p w14:paraId="0F46DAAB" w14:textId="2571B106" w:rsidR="00C50B77" w:rsidRPr="00E800CA" w:rsidRDefault="00C934D9" w:rsidP="00603F6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Dzięki przyjętemu rozwiązaniu, </w:t>
      </w:r>
      <w:r w:rsidR="00A701A5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ramach przeglądu </w:t>
      </w:r>
      <w:r w:rsidR="00A701A5" w:rsidRPr="00E800CA">
        <w:rPr>
          <w:rFonts w:ascii="Times New Roman" w:hAnsi="Times New Roman"/>
          <w:sz w:val="24"/>
          <w:szCs w:val="24"/>
        </w:rPr>
        <w:t xml:space="preserve">dostępnych danych na temat występowania gatunków </w:t>
      </w:r>
      <w:r w:rsidR="0016104A" w:rsidRPr="0016104A">
        <w:rPr>
          <w:rFonts w:ascii="Times New Roman" w:hAnsi="Times New Roman"/>
          <w:sz w:val="24"/>
          <w:szCs w:val="24"/>
        </w:rPr>
        <w:t xml:space="preserve">wymienionych w załączniku IV dyrektywy </w:t>
      </w:r>
      <w:r w:rsidR="0016104A">
        <w:rPr>
          <w:rFonts w:ascii="Times New Roman" w:hAnsi="Times New Roman"/>
          <w:sz w:val="24"/>
          <w:szCs w:val="24"/>
        </w:rPr>
        <w:t xml:space="preserve">siedliskowej </w:t>
      </w:r>
      <w:r w:rsidR="0016104A" w:rsidRPr="0016104A">
        <w:rPr>
          <w:rFonts w:ascii="Times New Roman" w:hAnsi="Times New Roman"/>
          <w:sz w:val="24"/>
          <w:szCs w:val="24"/>
        </w:rPr>
        <w:t>oraz gatunków ptaków</w:t>
      </w:r>
      <w:r w:rsidR="00A701A5" w:rsidRPr="00E800CA">
        <w:rPr>
          <w:rFonts w:ascii="Times New Roman" w:hAnsi="Times New Roman"/>
          <w:sz w:val="24"/>
          <w:szCs w:val="24"/>
        </w:rPr>
        <w:t xml:space="preserve"> </w:t>
      </w:r>
      <w:r w:rsidR="00E13FA5">
        <w:rPr>
          <w:rFonts w:ascii="Times New Roman" w:hAnsi="Times New Roman"/>
          <w:sz w:val="24"/>
          <w:szCs w:val="24"/>
        </w:rPr>
        <w:t xml:space="preserve">objętych ochroną </w:t>
      </w:r>
      <w:r w:rsidR="00A701A5" w:rsidRPr="00E800CA">
        <w:rPr>
          <w:rFonts w:ascii="Times New Roman" w:hAnsi="Times New Roman"/>
          <w:sz w:val="24"/>
          <w:szCs w:val="24"/>
        </w:rPr>
        <w:t xml:space="preserve">na obszarze, na którym są planowane działania z zakresu gospodarki leśnej oraz weryfikacji terenowej przed rozpoczęciem prac, 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już na etapie przygotowawczym</w:t>
      </w:r>
      <w:r w:rsidR="001610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01A5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właściciele 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>lasu</w:t>
      </w:r>
      <w:r w:rsidR="00A7394C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>będą zobowiązani do uzyskani</w:t>
      </w:r>
      <w:r w:rsid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wiedzy </w:t>
      </w:r>
      <w:r w:rsidR="005534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na temat obecności </w:t>
      </w:r>
      <w:r w:rsidR="001610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tych </w:t>
      </w:r>
      <w:r w:rsidR="005534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gatunków.</w:t>
      </w:r>
      <w:r w:rsidR="002477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Właściciel będzie mógł odstąpić od ww. przeglądu, jeżeli </w:t>
      </w:r>
      <w:r w:rsidR="00E13FA5" w:rsidRP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>dysponuje danymi zebranymi w trakcie przeprowadzenia strategicznej oceny odziaływania na środowisko</w:t>
      </w:r>
      <w:r w:rsid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E13FA5" w:rsidRP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tym prognozą oddziaływania na środowisko we fragmencie lasu planowanym do objęcia działaniami z zakresu gospodarki leśnej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5534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Właściciele lasu znakują </w:t>
      </w:r>
      <w:r w:rsidR="00553421" w:rsidRPr="00E800CA">
        <w:rPr>
          <w:rFonts w:ascii="Times New Roman" w:hAnsi="Times New Roman"/>
          <w:sz w:val="24"/>
          <w:szCs w:val="24"/>
        </w:rPr>
        <w:t>drzewa dziuplaste oraz drzewa z</w:t>
      </w:r>
      <w:r w:rsidR="00F73A99">
        <w:rPr>
          <w:rFonts w:ascii="Times New Roman" w:hAnsi="Times New Roman"/>
          <w:sz w:val="24"/>
          <w:szCs w:val="24"/>
        </w:rPr>
        <w:t> </w:t>
      </w:r>
      <w:r w:rsidR="00553421" w:rsidRPr="00E800CA">
        <w:rPr>
          <w:rFonts w:ascii="Times New Roman" w:hAnsi="Times New Roman"/>
          <w:sz w:val="24"/>
          <w:szCs w:val="24"/>
        </w:rPr>
        <w:t xml:space="preserve">gniazdami ptaków, inne stanowiska lęgowe </w:t>
      </w:r>
      <w:r w:rsidR="0016104A">
        <w:rPr>
          <w:rFonts w:ascii="Times New Roman" w:hAnsi="Times New Roman"/>
          <w:sz w:val="24"/>
          <w:szCs w:val="24"/>
        </w:rPr>
        <w:t xml:space="preserve">ptaków </w:t>
      </w:r>
      <w:r w:rsidR="00256885">
        <w:rPr>
          <w:rFonts w:ascii="Times New Roman" w:hAnsi="Times New Roman"/>
          <w:sz w:val="24"/>
          <w:szCs w:val="24"/>
        </w:rPr>
        <w:t xml:space="preserve">(gniazda jednoroczne) </w:t>
      </w:r>
      <w:r w:rsidR="00553421" w:rsidRPr="00E800CA">
        <w:rPr>
          <w:rFonts w:ascii="Times New Roman" w:hAnsi="Times New Roman"/>
          <w:sz w:val="24"/>
          <w:szCs w:val="24"/>
        </w:rPr>
        <w:t xml:space="preserve">oraz inne </w:t>
      </w:r>
      <w:r w:rsidR="0016104A">
        <w:rPr>
          <w:rFonts w:ascii="Times New Roman" w:hAnsi="Times New Roman"/>
          <w:sz w:val="24"/>
          <w:szCs w:val="24"/>
        </w:rPr>
        <w:t>stanowiska występowania gatunków wymienionych w załączniku IV dyrektywy siedliskowej</w:t>
      </w:r>
      <w:r w:rsidR="00553421" w:rsidRPr="00E800CA">
        <w:rPr>
          <w:rFonts w:ascii="Times New Roman" w:hAnsi="Times New Roman"/>
          <w:sz w:val="24"/>
          <w:szCs w:val="24"/>
        </w:rPr>
        <w:t>.</w:t>
      </w:r>
      <w:r w:rsidR="0024773E">
        <w:rPr>
          <w:rFonts w:ascii="Times New Roman" w:hAnsi="Times New Roman"/>
          <w:sz w:val="24"/>
          <w:szCs w:val="24"/>
        </w:rPr>
        <w:t xml:space="preserve"> </w:t>
      </w:r>
      <w:r w:rsidR="005534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Dzięki temu rozwiązaniu właściciele lasu będą mogli przeciwdziałać p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otencjaln</w:t>
      </w:r>
      <w:r w:rsidR="005534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ym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kolizj</w:t>
      </w:r>
      <w:r w:rsidR="005534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om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pomiędzy działaniami z zakresu gospodarki leśnej a ochroną elementów środowiska. </w:t>
      </w:r>
    </w:p>
    <w:p w14:paraId="2C3F9615" w14:textId="29B3E820" w:rsidR="00C934D9" w:rsidRDefault="0016104A" w:rsidP="00422C4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Celem zapewnienia aktualnej i rzetelnej wiedzy właściciela lasu o </w:t>
      </w:r>
      <w:r w:rsidR="00603F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występowaniu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gatunk</w:t>
      </w:r>
      <w:r w:rsidR="00603F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wymienionych w załączniku IV dyrektywy siedliskowej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oraz gatunk</w:t>
      </w:r>
      <w:r w:rsidR="00603F6D">
        <w:rPr>
          <w:rFonts w:ascii="Times New Roman" w:hAnsi="Times New Roman" w:cs="Times New Roman"/>
          <w:color w:val="000000"/>
          <w:spacing w:val="-2"/>
          <w:sz w:val="24"/>
          <w:szCs w:val="24"/>
        </w:rPr>
        <w:t>ów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ptaków </w:t>
      </w:r>
      <w:r w:rsid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>objętych ochroną rozporządzenie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określa termin przeprowadzenia wizji terenowej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>, nie wcześniej niż dwa tygodnie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przed rozpoczęciem działań z zakresu gospodarki leśnej oraz określa wymóg w zakresie posiadanej wiedzy o gatunkach chronionych. </w:t>
      </w:r>
      <w:r w:rsidR="00BE4396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przypadku, kiedy właściciel lasu nie posiada wystarczającej wiedzy w tym zakresie, może on  skorzystać z wiedzy </w:t>
      </w:r>
      <w:r w:rsidR="003A1D15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pracownika starostwa</w:t>
      </w:r>
      <w:r w:rsidR="00BE4396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, który</w:t>
      </w:r>
      <w:r w:rsidR="003A1D15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imieniu starosty </w:t>
      </w:r>
      <w:r w:rsidR="00582873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sprawuje nadzór w lasach niestanowiących własności Skarbu Państwa</w:t>
      </w:r>
      <w:r w:rsidR="00603F6D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582873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lub osób trzecich</w:t>
      </w:r>
      <w:r w:rsidR="003A1D15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posiadających niezbędną wiedzę</w:t>
      </w:r>
      <w:r w:rsidR="00582873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Ponadto zgodnie z art. 35 ust. 2 ustawy </w:t>
      </w:r>
      <w:r w:rsidR="00110023" w:rsidRPr="001100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 dnia 28 września 1991 r. </w:t>
      </w:r>
      <w:r w:rsidR="00582873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o lasach, nadleśniczy udziela właścicielowi lasu</w:t>
      </w:r>
      <w:r w:rsidR="003A1D15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82873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niestanowiącego własności Skarbu Państwa pomocy, na jego wniosek, doradztwo m.i</w:t>
      </w:r>
      <w:r w:rsidR="00E51BC1">
        <w:rPr>
          <w:rFonts w:ascii="Times New Roman" w:hAnsi="Times New Roman" w:cs="Times New Roman"/>
          <w:color w:val="000000"/>
          <w:spacing w:val="-2"/>
          <w:sz w:val="24"/>
          <w:szCs w:val="24"/>
        </w:rPr>
        <w:t>n. w zakresie gospodarki leśnej.</w:t>
      </w:r>
    </w:p>
    <w:p w14:paraId="6B1BAC07" w14:textId="67C28870" w:rsidR="00036F4F" w:rsidRDefault="00E35863" w:rsidP="00422C4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Celem zapewnienia ochrony gatunków wymienionych w załączniku IV dyrektywy siedliskowej oraz gatunków ptaków </w:t>
      </w:r>
      <w:r w:rsid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objętych ochroną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podczas prowadzenia działań z zakresu gospodarki leśnej r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ozporządzenie stanowi</w:t>
      </w:r>
      <w:r w:rsidR="00603F6D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że działania z zakresu gospodarki leśnej nie mogą spowodować: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celowego chwytania i zabijania dziko występujących okazów gatunków, o których mowa w załączniku </w:t>
      </w:r>
      <w:proofErr w:type="spellStart"/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IVa</w:t>
      </w:r>
      <w:proofErr w:type="spellEnd"/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dyrektywy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siedliskowej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oraz celowego niszczenia lub wybi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erania jaj okazów tych gatunków;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celowego zrywania, zbierania, ścinania, wyrywania lub niszczenia dziko występujących okazów gatunków, o których mowa w załączniku </w:t>
      </w:r>
      <w:proofErr w:type="spellStart"/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IVb</w:t>
      </w:r>
      <w:proofErr w:type="spellEnd"/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dyrektywy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siedliskowej;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umyślnego zabija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nia gatunków ptaków</w:t>
      </w:r>
      <w:r w:rsid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objętych ochroną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. Ponadto działania z zakresu gospodarki leśnej należy prowadzić tak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, aby: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uniknąć umyślnego płoszenia lub 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celowego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niepokojenia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zwierząt gatunków, o których mowa w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załączniku </w:t>
      </w:r>
      <w:proofErr w:type="spellStart"/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IVa</w:t>
      </w:r>
      <w:proofErr w:type="spellEnd"/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dyrektywy siedliskowej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, jak również gatunków ptaków</w:t>
      </w:r>
      <w:r w:rsid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objętych ochroną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, jeżeli mogłoby to wpłynąć na zachowanie właściwego st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anu </w:t>
      </w:r>
      <w:r w:rsidR="00256885">
        <w:rPr>
          <w:rFonts w:ascii="Times New Roman" w:hAnsi="Times New Roman" w:cs="Times New Roman"/>
          <w:color w:val="000000"/>
          <w:spacing w:val="-2"/>
          <w:sz w:val="24"/>
          <w:szCs w:val="24"/>
        </w:rPr>
        <w:t>ochrony gatunku tych ptaków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uniknąć umyślnego niszczenia lub uszkadzania gniazd i jaj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gatunków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ptaków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objętych ochroną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lub usuwania ich gniazd;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wypełniać obowiązki, o których mowa w art. 9 ust. 1, art. 13 ust. 1 i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art. 14 ust. 4 ustawy </w:t>
      </w:r>
      <w:r w:rsidR="00110023" w:rsidRPr="001100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 dnia 28 września 1991 r.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o lasach.</w:t>
      </w:r>
    </w:p>
    <w:p w14:paraId="680066F2" w14:textId="45270D8B" w:rsidR="00C50B77" w:rsidRDefault="00C50B77" w:rsidP="00422C4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Rozporządzenie na etapie realizacji działań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 zakresu gospodarki leśnej </w:t>
      </w:r>
      <w:r w:rsid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określa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szereg dobrych praktyk, których stosowanie przyczyni się do ochrony gatunków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 których mowa w art. 48 i </w:t>
      </w:r>
      <w:r w:rsidR="001100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art.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49 ustawy z </w:t>
      </w:r>
      <w:r w:rsidR="001100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dnia 16 kwietnia 2004 r.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o ochronie przyrody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w szczególności wymienionych w załączniku IV dyrektywy </w:t>
      </w:r>
      <w:r w:rsid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siedliskowej </w:t>
      </w:r>
      <w:r w:rsidR="00EC4655" w:rsidRPr="00EC4655">
        <w:rPr>
          <w:rFonts w:ascii="Times New Roman" w:hAnsi="Times New Roman" w:cs="Times New Roman"/>
          <w:color w:val="000000"/>
          <w:spacing w:val="-2"/>
          <w:sz w:val="24"/>
          <w:szCs w:val="24"/>
        </w:rPr>
        <w:t>oraz gatunków ptaków</w:t>
      </w:r>
      <w:r w:rsidR="00E13F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objętych ochroną</w:t>
      </w:r>
      <w:r w:rsidR="003D42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dzięki </w:t>
      </w:r>
      <w:r w:rsidR="000311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czemu 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będzie możliwe zapo</w:t>
      </w:r>
      <w:r w:rsidR="00A71AA6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bieżenie potencjalnym kolizjom,</w:t>
      </w:r>
      <w:r w:rsidR="000311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co w sposób jednoznaczny przyczyni się do poprawy stanu ochr</w:t>
      </w:r>
      <w:r w:rsidR="00A71AA6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ony lub przyczyni się</w:t>
      </w:r>
      <w:r w:rsidR="00603F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do utrzymania stanu ochrony</w:t>
      </w:r>
      <w:r w:rsidR="005534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poszczególnych gatunków 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na oczekiwanym pozi</w:t>
      </w:r>
      <w:r w:rsidR="00A71AA6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omie</w:t>
      </w:r>
      <w:r w:rsidR="00DF420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402DBFF8" w14:textId="5E57EC2B" w:rsidR="005D7F3C" w:rsidRPr="005D7F3C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Dobrą praktyką jest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utrzymywanie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w lesie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zasobów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martw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>ego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dr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>ewna w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różnych stopniach rozkładu. Drewno martwych drzew pełni ważna rolę w ekosystemie leśnym, w tym są środowiskiem życia wielu gatunków, miejscem ich żerowania, odpoczynku i schronieniem. Należy wskazać, że istotniejsze od samej ilości martwych drzew jest zachowanie ciągłości </w:t>
      </w:r>
      <w:r w:rsidR="00A739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zasobów martwego drewna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różnych stadiach rozkładu. Dlatego tak ważne jest utrzymania właściwego balansu pomiędzy żywymi a martwymi drzewami. Ilość martwej materii w lesie jest zmienną zależną od wielu czynników, dlatego podejście do tego elementu powinno być bardzo elastyczne.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Martwe drzewa pozostawia się w celu zapewnienia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ciągłoś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ci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występowania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martwego drewna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różnych gatunków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różnych stopniu rozkładu, jednak ilość pozostawionego drewna do naturalnego rozkładu nie może powodować zagrożenia stabilności, żywotności i</w:t>
      </w:r>
      <w:r w:rsidR="00F73A99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ciągłości lasu. W związku z powyższym ilość pozostawionej materii nie może stwarzać lub zwiększać zagrożenia pożarowego, ryzyka masowego wystąpienia szkodliwych czynników biotycznych, zagrożenia dla bezpieczeństwa ludzi i mienia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przypadku wystąpienia zagrożenia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dla bezpieczeństwa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należy pozostawić obalone martwe drzewa.</w:t>
      </w:r>
    </w:p>
    <w:p w14:paraId="66C95372" w14:textId="6EE2F104" w:rsidR="005D7F3C" w:rsidRPr="005D7F3C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Lasy zgodnie z ideą wielofunkcyjności, dostarczają społeczeństwu wielu usług ekosystemowych.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Jedną z takich funkcji jest magazynowanie i filtrowanie wód powierzchniowych i podziemnych.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związku powyższym ingerencja w koryta cieków naturalnych jak i ich najbliższe otoczenie powinna być racjonalnie uzasadniona.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 związku z</w:t>
      </w:r>
      <w:r w:rsidR="00F73A99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powyższym rozporządzenie określa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dobr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praktyk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zakresie gospodarki leśnej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tj.: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nie wykorzyst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ywanie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koryt cieków naturalnych do zrywki drewna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pozostawienie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</w:t>
      </w:r>
      <w:r w:rsidR="00D546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pasie o  szerokości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10 metrów od linii brzegu naturalnych cieków i zbiorników wodnych,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zwalonych pni drzew, podszytu, dużych kamieni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rezygnację z rębni zupełnych</w:t>
      </w:r>
      <w:r w:rsidR="001175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gniazdowych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</w:t>
      </w:r>
      <w:r w:rsidR="00D546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pasie o </w:t>
      </w:r>
      <w:r w:rsidR="00D5460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szerokości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25 m od </w:t>
      </w:r>
      <w:r w:rsidR="00D546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linii brzegu naturalnych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cieków i zbiorników oraz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zalecenie dotyczące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pozostawiani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lub tworzeni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a wokół tych miejsc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stref buforowych. Powyższe w sposób istotny wzmocni funkcję przyrodniczą </w:t>
      </w:r>
      <w:proofErr w:type="spellStart"/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oddziaływując</w:t>
      </w:r>
      <w:proofErr w:type="spellEnd"/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</w:t>
      </w:r>
      <w:r w:rsidR="00F73A99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sposób pozytywny na różnorodność biologiczną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2D9DC130" w14:textId="54EDF6D3" w:rsidR="005D7F3C" w:rsidRPr="005D7F3C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Ze względów historycznych, w polskich lasach znajduje się szereg miejsc pamięci narodowej i kultu religijnego, które są ważne dla lokalnej społeczności. Miejsca te oraz ich charakterystyka powinna być uwzględniania ramach prac gospodarczych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poprzez rezygnację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z cięć zupełnych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ten sposób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obszary te wzmocnią  również swoją funkcję przyrodniczą.</w:t>
      </w:r>
    </w:p>
    <w:p w14:paraId="2EA94804" w14:textId="09A26115" w:rsidR="005D7F3C" w:rsidRPr="005D7F3C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Etap zrywki drewna jest etapem, który może wpływać na środowisko. Dlatego ważnym elementem jest rozplanowanie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szlaków operacyjnych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taki sposób, aby poziom oddziaływania był jak najmniejszy. W związku z powyższym 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rozporządzenie określa dobrą praktykę polegającą na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wykorzystani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możliwie jak największym stopniu istniejąc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>ych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szlak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>ów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operacyjn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>ych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lub miejsc pozbawion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>ych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warstw drzew i krzewów, co zmniejsz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uszkodzenia. Ponadto, oddalenie projektowanych szlaków operacyjnych od naturalnych cieków wodnych i zbiorników przyczyni się do dalszego obniżenia oddziaływania na fragmenty lasu wzdłuż cieków i wokół zbiorników. </w:t>
      </w:r>
    </w:p>
    <w:p w14:paraId="3F446A47" w14:textId="43B088D8" w:rsidR="005D7F3C" w:rsidRPr="005D7F3C" w:rsidRDefault="007F6F3B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Przepisy rozporządzenia zalecają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zapewnienie udziału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drzewostanach gatunków drzew </w:t>
      </w:r>
      <w:proofErr w:type="spellStart"/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wczesnosukcesyjnych</w:t>
      </w:r>
      <w:proofErr w:type="spellEnd"/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formie domieszek, w udziale dostosowanym do wymagań siedliska, z</w:t>
      </w:r>
      <w:r w:rsidR="00F73A99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uwzględnieniem siedlisk przyrodniczych.</w:t>
      </w:r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Obecność w lesie takich drzew jak brzoza, osika i</w:t>
      </w:r>
      <w:r w:rsidR="00F73A99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wierzby jest elementem struktury lasu, który będzie pozytywnie wpływał na różnorodność biologiczną lasu.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D21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atunki te </w:t>
      </w:r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stwarza</w:t>
      </w:r>
      <w:r w:rsidR="00CD2189">
        <w:rPr>
          <w:rFonts w:ascii="Times New Roman" w:hAnsi="Times New Roman" w:cs="Times New Roman"/>
          <w:color w:val="000000"/>
          <w:spacing w:val="-2"/>
          <w:sz w:val="24"/>
          <w:szCs w:val="24"/>
        </w:rPr>
        <w:t>ją korzystne</w:t>
      </w:r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warunki do występowania gatunków zwierząt związanych </w:t>
      </w:r>
      <w:r w:rsidR="008E23BF">
        <w:rPr>
          <w:rFonts w:ascii="Times New Roman" w:hAnsi="Times New Roman" w:cs="Times New Roman"/>
          <w:color w:val="000000"/>
          <w:spacing w:val="-2"/>
          <w:sz w:val="24"/>
          <w:szCs w:val="24"/>
        </w:rPr>
        <w:t>z martwym drewnem i dziuplami</w:t>
      </w:r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Drzewa </w:t>
      </w:r>
      <w:proofErr w:type="spellStart"/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wczesnosukce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syjne</w:t>
      </w:r>
      <w:proofErr w:type="spellEnd"/>
      <w:r w:rsidR="005D7F3C"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są również chętnie wykorzystywane przez ptaki jako miejsca </w:t>
      </w:r>
      <w:r w:rsidR="008E23BF">
        <w:rPr>
          <w:rFonts w:ascii="Times New Roman" w:hAnsi="Times New Roman" w:cs="Times New Roman"/>
          <w:color w:val="000000"/>
          <w:spacing w:val="-2"/>
          <w:sz w:val="24"/>
          <w:szCs w:val="24"/>
        </w:rPr>
        <w:t>dogodne do założenia gniazd.</w:t>
      </w:r>
    </w:p>
    <w:p w14:paraId="3EADF943" w14:textId="22320FE0" w:rsidR="005D7F3C" w:rsidRPr="005D7F3C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Ważnym elementem zarządzania obszarami leśnymi jest również troska o nieleśne enklawy,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na których stwierdzono stanowiska gatunków chronionych związanych z terenami otwartymi.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</w:t>
      </w:r>
      <w:r w:rsidR="00F73A99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tym przypadku należy troszczyć się o utrzymanie otwartego charakteru tych powierzchni, aby gatunki na nich występujące mogły mieć zapewnione miejsce bytowania w przyszłości.</w:t>
      </w:r>
    </w:p>
    <w:p w14:paraId="33406684" w14:textId="28C1A9EC" w:rsidR="005D7F3C" w:rsidRPr="005D7F3C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Jednym z ważniejszych działań z zakresu gospodarki leśnej jest hodowla lasu, której podstawowym zadaniem jest m.in. zachowanie i wzbogacanie istniejących lasów (odnawianie) oraz tworzenie nowych (zalesianie), z respektowaniem warunków przyrodniczych i procesów naturalnych. Hodowla lasu obejmuje zbiór i przechowywanie nasion drzew, produkcję sadzonek na szkółkach, zakładanie oraz pielęgnację i ochronę upraw leśnych oraz drzewostanów. Hodowla lasu korzysta z dorobku nauk przyrodniczych, m.in. klimatologii, gleboznawstwa, botaniki czy fizjologii roślin. 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>W zależności od przyjętych celów hodowlanych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dobierany jest sposób</w:t>
      </w:r>
      <w:r w:rsidR="00C01A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użytkowania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(rębnia)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odnawiania lasu. 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Przepisy rozporządzenia 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określają, gdzie odnowienie 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naturalne należy stosować w pierwszej kolejności, co należy uwzględniać wykonując odnowienia i zalesienia </w:t>
      </w:r>
      <w:r w:rsidR="001175FD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lata </w:t>
      </w:r>
      <w:r w:rsidR="001175FD">
        <w:rPr>
          <w:rFonts w:ascii="Times New Roman" w:hAnsi="Times New Roman" w:cs="Times New Roman"/>
          <w:color w:val="000000"/>
          <w:spacing w:val="-2"/>
          <w:sz w:val="24"/>
          <w:szCs w:val="24"/>
        </w:rPr>
        <w:t>dobrego urodzaju nasion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warunki siedliskowe, stan środowiska przyrodniczego i regionalne uwarunkowania przyrodnicze), zalecają stosowanie w uzasadnionych przypadkach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rębni złożonych z wydłużonym okresem  odnowienia oraz pozostawienie biog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up drzew 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lub większych fragmentów drzewostanów przeznaczonych do użytkowania rębnego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w ramach realizacji rębni zupełnych.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 przypadku wystąpienia zagrożenia ze strony organizmów szkodliwych przewiduje się możliwość odstąpienia od tego wymagania.</w:t>
      </w:r>
    </w:p>
    <w:p w14:paraId="31792888" w14:textId="0D3B1EE3" w:rsidR="005D7F3C" w:rsidRPr="005D7F3C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Uznając potencjał siedlisk bagiennych, 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rozporządzenie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zaleca właścicielom minimalizację działań związanych z pozyskaniem surowca drzewnego na siedliskach bagiennych lub rezygnację z tych działań, przy czym powyższe zalecenie należy realizować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z  poszanowaniem praw właściciela do dysponowania nieruchomością wynikających z uwarunkowań gospodarczych, społecznych i kulturowych.</w:t>
      </w:r>
    </w:p>
    <w:p w14:paraId="1014AD98" w14:textId="3070D918" w:rsidR="005D7F3C" w:rsidRPr="005D7F3C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Tak ukierunkowana hodowli lasu zapewnia utrzymanie siedlisk dla wielu gatunków chronionych zwierząt i roślin, zwiększy ilość mikrosiedlisk ważnych dla gatunków chronionych oraz wzmocni odporność lasów na potencjalne skutki zmian klimatu. </w:t>
      </w:r>
    </w:p>
    <w:p w14:paraId="374BA57C" w14:textId="212F3A8D" w:rsidR="005D7F3C" w:rsidRPr="00E800CA" w:rsidRDefault="005D7F3C" w:rsidP="005D7F3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Należy pamiętać, że las jest miejscem bytowania wielu 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leśnych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gatunków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Dlatego ważn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jest możliwość reagowania 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przez właścicieli lasu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na czynniki powodujące uszkodzenie lub zamieranie drzew. Istnieją trzy główne metody ochrony lasu tj. metoda biologiczna, chemiczna i mechaniczna. 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Dobrą praktyką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zakresie gospodarki leśnej 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jest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integracj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wszystkich trzech metod, dzięki temu działania mają charakter rozproszony i mniej ingerencyjny niż stosowanie tylko jednej z </w:t>
      </w:r>
      <w:r w:rsidR="002B382D">
        <w:rPr>
          <w:rFonts w:ascii="Times New Roman" w:hAnsi="Times New Roman" w:cs="Times New Roman"/>
          <w:color w:val="000000"/>
          <w:spacing w:val="-2"/>
          <w:sz w:val="24"/>
          <w:szCs w:val="24"/>
        </w:rPr>
        <w:t>nich. M</w:t>
      </w:r>
      <w:r w:rsidR="007F6F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etoda chemiczna jest stosowana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w przypadku braku możliwości lub braku zasadności zastosowania innych meto</w:t>
      </w:r>
      <w:r w:rsidR="00E35863">
        <w:rPr>
          <w:rFonts w:ascii="Times New Roman" w:hAnsi="Times New Roman" w:cs="Times New Roman"/>
          <w:color w:val="000000"/>
          <w:spacing w:val="-2"/>
          <w:sz w:val="24"/>
          <w:szCs w:val="24"/>
        </w:rPr>
        <w:t>d. P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odczas wyboru środków ochrony roślin należy kierować się bezpieczeństwem ludzi, zwierząt</w:t>
      </w:r>
      <w:r w:rsidR="00E35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7F3C">
        <w:rPr>
          <w:rFonts w:ascii="Times New Roman" w:hAnsi="Times New Roman" w:cs="Times New Roman"/>
          <w:color w:val="000000"/>
          <w:spacing w:val="-2"/>
          <w:sz w:val="24"/>
          <w:szCs w:val="24"/>
        </w:rPr>
        <w:t>i środowiska.</w:t>
      </w:r>
    </w:p>
    <w:p w14:paraId="59267F24" w14:textId="59B6E962" w:rsidR="007325DF" w:rsidRPr="00E800CA" w:rsidRDefault="00C50B77" w:rsidP="00422C4F">
      <w:pPr>
        <w:spacing w:after="0" w:line="360" w:lineRule="auto"/>
        <w:ind w:firstLine="426"/>
        <w:jc w:val="both"/>
      </w:pP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Należy podkreślić, że gospodarka leśna prowadzona </w:t>
      </w:r>
      <w:r w:rsidR="00A71AA6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z uwzględnieniem rozporządzenia</w:t>
      </w:r>
      <w:r w:rsidR="00A71AA6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3D42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będzie 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zgodna z zasadami określonymi w art. 8 ustawy o</w:t>
      </w:r>
      <w:r w:rsidR="00273A29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lasach, a także przyczyni się</w:t>
      </w:r>
      <w:r w:rsidR="00273A29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do </w:t>
      </w:r>
      <w:r w:rsidR="00431B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wzmocnienia 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takich celów zrównoważonej gospodarki leśnej</w:t>
      </w:r>
      <w:r w:rsidR="003D4221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jak ochrona lasów i</w:t>
      </w:r>
      <w:r w:rsidR="00F73A99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ekosystemów leśnych stanowiących naturalne fragmenty rodzimej przyrody lub lasów szcz</w:t>
      </w:r>
      <w:r w:rsidR="00273A29"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ególnie cennych</w:t>
      </w:r>
      <w:r w:rsidR="0022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800CA">
        <w:rPr>
          <w:rFonts w:ascii="Times New Roman" w:hAnsi="Times New Roman" w:cs="Times New Roman"/>
          <w:color w:val="000000"/>
          <w:spacing w:val="-2"/>
          <w:sz w:val="24"/>
          <w:szCs w:val="24"/>
        </w:rPr>
        <w:t>ze względu na zachowanie różnorodności przyrodniczej oraz zachowanie lasów i korzystnego ich wpływu na klimat oraz na równowagę przyrodniczą</w:t>
      </w:r>
      <w:r w:rsidR="000311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14:paraId="34E8660A" w14:textId="40EFE9A7" w:rsidR="00BE188A" w:rsidRPr="00E800CA" w:rsidRDefault="00A71AA6" w:rsidP="00422C4F">
      <w:pPr>
        <w:pStyle w:val="Default"/>
        <w:spacing w:line="360" w:lineRule="auto"/>
        <w:ind w:firstLine="708"/>
        <w:jc w:val="both"/>
        <w:rPr>
          <w:color w:val="auto"/>
        </w:rPr>
      </w:pPr>
      <w:r w:rsidRPr="00E800CA">
        <w:rPr>
          <w:color w:val="auto"/>
        </w:rPr>
        <w:t xml:space="preserve">Planowanym </w:t>
      </w:r>
      <w:r w:rsidR="001C5CFD" w:rsidRPr="00E800CA">
        <w:rPr>
          <w:color w:val="auto"/>
        </w:rPr>
        <w:t xml:space="preserve">terminem </w:t>
      </w:r>
      <w:r w:rsidRPr="00E800CA">
        <w:rPr>
          <w:color w:val="auto"/>
        </w:rPr>
        <w:t xml:space="preserve">wejścia w życie rozporządzenia jest </w:t>
      </w:r>
      <w:r w:rsidR="001175FD">
        <w:rPr>
          <w:color w:val="auto"/>
        </w:rPr>
        <w:t>termin 24 dni od dnia ogłoszenia rozporządzenia</w:t>
      </w:r>
      <w:r w:rsidRPr="00E800CA">
        <w:rPr>
          <w:color w:val="auto"/>
        </w:rPr>
        <w:t>.</w:t>
      </w:r>
    </w:p>
    <w:p w14:paraId="594CF857" w14:textId="623BA444" w:rsidR="000D0C8F" w:rsidRPr="00E800CA" w:rsidRDefault="00F1348A" w:rsidP="00422C4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>P</w:t>
      </w:r>
      <w:r w:rsidR="00DE35E0" w:rsidRPr="00E800CA">
        <w:rPr>
          <w:color w:val="auto"/>
        </w:rPr>
        <w:t>rojekt rozporządzenia jest zgodny z prawem Unii Europejskiej.</w:t>
      </w:r>
    </w:p>
    <w:p w14:paraId="47198F6B" w14:textId="5BDCF94F" w:rsidR="00A71AA6" w:rsidRPr="00E800CA" w:rsidRDefault="000D0C8F" w:rsidP="00422C4F">
      <w:pPr>
        <w:pStyle w:val="Default"/>
        <w:spacing w:line="360" w:lineRule="auto"/>
        <w:ind w:firstLine="708"/>
        <w:jc w:val="both"/>
        <w:rPr>
          <w:color w:val="auto"/>
        </w:rPr>
      </w:pPr>
      <w:r w:rsidRPr="00E800CA">
        <w:rPr>
          <w:color w:val="auto"/>
        </w:rPr>
        <w:t xml:space="preserve">Projekt </w:t>
      </w:r>
      <w:r w:rsidR="00D26A0C">
        <w:rPr>
          <w:color w:val="auto"/>
        </w:rPr>
        <w:t>rozporządzenia</w:t>
      </w:r>
      <w:r w:rsidR="00D26A0C" w:rsidRPr="00E800CA">
        <w:rPr>
          <w:color w:val="auto"/>
        </w:rPr>
        <w:t xml:space="preserve"> </w:t>
      </w:r>
      <w:r w:rsidR="002B382D">
        <w:rPr>
          <w:color w:val="auto"/>
        </w:rPr>
        <w:t>może wpływać</w:t>
      </w:r>
      <w:r w:rsidRPr="00E800CA">
        <w:rPr>
          <w:color w:val="auto"/>
        </w:rPr>
        <w:t xml:space="preserve"> na działalność mikro przedsiębiorców oraz małych</w:t>
      </w:r>
      <w:r w:rsidR="002B382D">
        <w:rPr>
          <w:color w:val="auto"/>
        </w:rPr>
        <w:t xml:space="preserve"> </w:t>
      </w:r>
      <w:r w:rsidRPr="00E800CA">
        <w:rPr>
          <w:color w:val="auto"/>
        </w:rPr>
        <w:t>i średnich przedsiębiorców</w:t>
      </w:r>
      <w:r w:rsidR="002B382D">
        <w:rPr>
          <w:color w:val="auto"/>
        </w:rPr>
        <w:t xml:space="preserve"> sektora leśno-drzewnego</w:t>
      </w:r>
      <w:r w:rsidR="008745D5">
        <w:rPr>
          <w:color w:val="auto"/>
        </w:rPr>
        <w:t xml:space="preserve"> m.in. </w:t>
      </w:r>
      <w:r w:rsidR="008745D5" w:rsidRPr="008745D5">
        <w:rPr>
          <w:color w:val="auto"/>
        </w:rPr>
        <w:t xml:space="preserve">poprzez wzrost kosztów </w:t>
      </w:r>
      <w:r w:rsidR="008745D5" w:rsidRPr="008745D5">
        <w:rPr>
          <w:color w:val="auto"/>
        </w:rPr>
        <w:lastRenderedPageBreak/>
        <w:t>wykonywanych prac w lesie (wzrost ceny końcowej towarów i usług)</w:t>
      </w:r>
      <w:r w:rsidR="008745D5">
        <w:rPr>
          <w:color w:val="auto"/>
        </w:rPr>
        <w:t>, ograniczenie ilości i</w:t>
      </w:r>
      <w:r w:rsidR="00F73A99">
        <w:rPr>
          <w:color w:val="auto"/>
        </w:rPr>
        <w:t> </w:t>
      </w:r>
      <w:r w:rsidR="008745D5">
        <w:rPr>
          <w:color w:val="auto"/>
        </w:rPr>
        <w:t>płynności dostaw surowca drzewnego na krajowy rynek.</w:t>
      </w:r>
      <w:r w:rsidR="002B382D">
        <w:rPr>
          <w:color w:val="auto"/>
        </w:rPr>
        <w:t xml:space="preserve"> </w:t>
      </w:r>
    </w:p>
    <w:p w14:paraId="3A9FD0C4" w14:textId="6484D96A" w:rsidR="00384565" w:rsidRDefault="00384565" w:rsidP="00F134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A">
        <w:rPr>
          <w:rFonts w:ascii="Times New Roman" w:hAnsi="Times New Roman" w:cs="Times New Roman"/>
          <w:sz w:val="24"/>
          <w:szCs w:val="24"/>
        </w:rPr>
        <w:t>Projekt rozporządzenia nie zawiera przepisów technicznych w rozumieniu rozporządzenia Rady Ministrów z dnia 23 grudnia 2002 r. w sprawie sposobu funkcjonowania krajowego systemu notyfikacji norm i aktów prawnych (Dz. U. poz. 2039 oraz z 2004 r. poz. 597), w związku z tym nie podlega notyfikacji.</w:t>
      </w:r>
    </w:p>
    <w:p w14:paraId="123E4E09" w14:textId="48B64C3A" w:rsidR="00C2799F" w:rsidRPr="00C2799F" w:rsidRDefault="00C2799F" w:rsidP="00C279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99F">
        <w:rPr>
          <w:rFonts w:ascii="Times New Roman" w:hAnsi="Times New Roman" w:cs="Times New Roman"/>
          <w:sz w:val="24"/>
          <w:szCs w:val="24"/>
        </w:rPr>
        <w:t xml:space="preserve">Projekt nie podlegał opiniowaniu, konsultacjom ani uzgodnieniom z organami </w:t>
      </w:r>
      <w:r>
        <w:rPr>
          <w:rFonts w:ascii="Times New Roman" w:hAnsi="Times New Roman" w:cs="Times New Roman"/>
          <w:sz w:val="24"/>
          <w:szCs w:val="24"/>
        </w:rPr>
        <w:br/>
      </w:r>
      <w:r w:rsidRPr="00C2799F">
        <w:rPr>
          <w:rFonts w:ascii="Times New Roman" w:hAnsi="Times New Roman" w:cs="Times New Roman"/>
          <w:sz w:val="24"/>
          <w:szCs w:val="24"/>
        </w:rPr>
        <w:t>i instytucjami Unii Europejskiej, w tym z Europejskim Bankiem Centralnym.</w:t>
      </w:r>
    </w:p>
    <w:p w14:paraId="42D76284" w14:textId="4D786275" w:rsidR="00C2799F" w:rsidRPr="00E800CA" w:rsidRDefault="00C2799F" w:rsidP="00422C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99F">
        <w:rPr>
          <w:rFonts w:ascii="Times New Roman" w:hAnsi="Times New Roman" w:cs="Times New Roman"/>
          <w:sz w:val="24"/>
          <w:szCs w:val="24"/>
        </w:rPr>
        <w:t>Stosownie do postanowień art. 5 ustawy z dnia 7 lipca 2005 r. o działalności lobbingowej w procesie stanowienia prawa (Dz. U. z 2017 r. poz. 248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799F">
        <w:rPr>
          <w:rFonts w:ascii="Times New Roman" w:hAnsi="Times New Roman" w:cs="Times New Roman"/>
          <w:sz w:val="24"/>
          <w:szCs w:val="24"/>
        </w:rPr>
        <w:t>projekt rozporządzenia został udostępniony w Biuletynie Informacji Publicznej Rządowego Centrum Legislacji na stronie internetowej Rządowego Centrum Legislacji, w serwisie Rządowy Proces Legislacyjny.</w:t>
      </w:r>
    </w:p>
    <w:sectPr w:rsidR="00C2799F" w:rsidRPr="00E800CA" w:rsidSect="00421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E14C" w14:textId="77777777" w:rsidR="00567438" w:rsidRDefault="00567438" w:rsidP="00DE35E0">
      <w:pPr>
        <w:spacing w:after="0" w:line="240" w:lineRule="auto"/>
      </w:pPr>
      <w:r>
        <w:separator/>
      </w:r>
    </w:p>
  </w:endnote>
  <w:endnote w:type="continuationSeparator" w:id="0">
    <w:p w14:paraId="22A592F7" w14:textId="77777777" w:rsidR="00567438" w:rsidRDefault="00567438" w:rsidP="00DE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996127"/>
      <w:docPartObj>
        <w:docPartGallery w:val="Page Numbers (Bottom of Page)"/>
        <w:docPartUnique/>
      </w:docPartObj>
    </w:sdtPr>
    <w:sdtEndPr/>
    <w:sdtContent>
      <w:p w14:paraId="04818CFC" w14:textId="03AD2EA0" w:rsidR="00DE35E0" w:rsidRDefault="000537EB">
        <w:pPr>
          <w:pStyle w:val="Stopka"/>
          <w:jc w:val="right"/>
        </w:pPr>
        <w:r>
          <w:fldChar w:fldCharType="begin"/>
        </w:r>
        <w:r w:rsidR="00DE35E0">
          <w:instrText>PAGE   \* MERGEFORMAT</w:instrText>
        </w:r>
        <w:r>
          <w:fldChar w:fldCharType="separate"/>
        </w:r>
        <w:r w:rsidR="00D54607">
          <w:rPr>
            <w:noProof/>
          </w:rPr>
          <w:t>6</w:t>
        </w:r>
        <w:r>
          <w:fldChar w:fldCharType="end"/>
        </w:r>
      </w:p>
    </w:sdtContent>
  </w:sdt>
  <w:p w14:paraId="790A4263" w14:textId="77777777" w:rsidR="00DE35E0" w:rsidRDefault="00DE3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00FF" w14:textId="77777777" w:rsidR="00567438" w:rsidRDefault="00567438" w:rsidP="00DE35E0">
      <w:pPr>
        <w:spacing w:after="0" w:line="240" w:lineRule="auto"/>
      </w:pPr>
      <w:r>
        <w:separator/>
      </w:r>
    </w:p>
  </w:footnote>
  <w:footnote w:type="continuationSeparator" w:id="0">
    <w:p w14:paraId="2AF53F0F" w14:textId="77777777" w:rsidR="00567438" w:rsidRDefault="00567438" w:rsidP="00DE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566"/>
    <w:multiLevelType w:val="hybridMultilevel"/>
    <w:tmpl w:val="2AB84A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569C4"/>
    <w:multiLevelType w:val="hybridMultilevel"/>
    <w:tmpl w:val="533C9620"/>
    <w:lvl w:ilvl="0" w:tplc="7EE499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06111"/>
    <w:multiLevelType w:val="hybridMultilevel"/>
    <w:tmpl w:val="F634C620"/>
    <w:lvl w:ilvl="0" w:tplc="6CE8745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15342516">
    <w:abstractNumId w:val="0"/>
  </w:num>
  <w:num w:numId="2" w16cid:durableId="170223810">
    <w:abstractNumId w:val="2"/>
  </w:num>
  <w:num w:numId="3" w16cid:durableId="155819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C1"/>
    <w:rsid w:val="000007C1"/>
    <w:rsid w:val="00006F17"/>
    <w:rsid w:val="00011251"/>
    <w:rsid w:val="00020B95"/>
    <w:rsid w:val="000311A6"/>
    <w:rsid w:val="00032262"/>
    <w:rsid w:val="0003287C"/>
    <w:rsid w:val="00036895"/>
    <w:rsid w:val="00036F4F"/>
    <w:rsid w:val="00042DE1"/>
    <w:rsid w:val="00043DAA"/>
    <w:rsid w:val="00052497"/>
    <w:rsid w:val="000537EB"/>
    <w:rsid w:val="00057578"/>
    <w:rsid w:val="00065709"/>
    <w:rsid w:val="000925B5"/>
    <w:rsid w:val="00097D7D"/>
    <w:rsid w:val="000B2C49"/>
    <w:rsid w:val="000D0C8F"/>
    <w:rsid w:val="000D52FD"/>
    <w:rsid w:val="000F0752"/>
    <w:rsid w:val="00104880"/>
    <w:rsid w:val="00110023"/>
    <w:rsid w:val="001175FD"/>
    <w:rsid w:val="00146700"/>
    <w:rsid w:val="00155F96"/>
    <w:rsid w:val="0016104A"/>
    <w:rsid w:val="00162D2C"/>
    <w:rsid w:val="001804DA"/>
    <w:rsid w:val="001846D0"/>
    <w:rsid w:val="00184DC9"/>
    <w:rsid w:val="001C5A95"/>
    <w:rsid w:val="001C5CFD"/>
    <w:rsid w:val="001D0094"/>
    <w:rsid w:val="001D0CBB"/>
    <w:rsid w:val="00202ACA"/>
    <w:rsid w:val="00207D15"/>
    <w:rsid w:val="00216655"/>
    <w:rsid w:val="002215C5"/>
    <w:rsid w:val="002274DC"/>
    <w:rsid w:val="002475D4"/>
    <w:rsid w:val="0024773E"/>
    <w:rsid w:val="00252A48"/>
    <w:rsid w:val="00256885"/>
    <w:rsid w:val="00273A29"/>
    <w:rsid w:val="00283083"/>
    <w:rsid w:val="002A3A00"/>
    <w:rsid w:val="002B2008"/>
    <w:rsid w:val="002B382D"/>
    <w:rsid w:val="002D0097"/>
    <w:rsid w:val="002D59B4"/>
    <w:rsid w:val="003504A0"/>
    <w:rsid w:val="00384565"/>
    <w:rsid w:val="00387D33"/>
    <w:rsid w:val="003957B6"/>
    <w:rsid w:val="003A1D15"/>
    <w:rsid w:val="003D4221"/>
    <w:rsid w:val="003E4654"/>
    <w:rsid w:val="003F03F3"/>
    <w:rsid w:val="003F74B1"/>
    <w:rsid w:val="00403C71"/>
    <w:rsid w:val="0041541D"/>
    <w:rsid w:val="004212E4"/>
    <w:rsid w:val="00422C4F"/>
    <w:rsid w:val="00431B8D"/>
    <w:rsid w:val="00462CAA"/>
    <w:rsid w:val="00472BDC"/>
    <w:rsid w:val="004B406F"/>
    <w:rsid w:val="004B5A87"/>
    <w:rsid w:val="004B6D49"/>
    <w:rsid w:val="004C72D3"/>
    <w:rsid w:val="0050563E"/>
    <w:rsid w:val="0053460B"/>
    <w:rsid w:val="00553421"/>
    <w:rsid w:val="00567438"/>
    <w:rsid w:val="00571B10"/>
    <w:rsid w:val="00582873"/>
    <w:rsid w:val="005C5122"/>
    <w:rsid w:val="005D534A"/>
    <w:rsid w:val="005D7F3C"/>
    <w:rsid w:val="005F7559"/>
    <w:rsid w:val="00603F6D"/>
    <w:rsid w:val="00612187"/>
    <w:rsid w:val="00632BF6"/>
    <w:rsid w:val="00643208"/>
    <w:rsid w:val="0065417B"/>
    <w:rsid w:val="00667A97"/>
    <w:rsid w:val="006931A7"/>
    <w:rsid w:val="006B2CF6"/>
    <w:rsid w:val="006F3888"/>
    <w:rsid w:val="007238BE"/>
    <w:rsid w:val="00725E6F"/>
    <w:rsid w:val="007325DF"/>
    <w:rsid w:val="00745073"/>
    <w:rsid w:val="00770483"/>
    <w:rsid w:val="00770B37"/>
    <w:rsid w:val="00792600"/>
    <w:rsid w:val="007961F7"/>
    <w:rsid w:val="007A0BBC"/>
    <w:rsid w:val="007C1622"/>
    <w:rsid w:val="007C3406"/>
    <w:rsid w:val="007F11DF"/>
    <w:rsid w:val="007F6F3B"/>
    <w:rsid w:val="00805019"/>
    <w:rsid w:val="00825700"/>
    <w:rsid w:val="00827CE5"/>
    <w:rsid w:val="00853763"/>
    <w:rsid w:val="00854DBF"/>
    <w:rsid w:val="00870234"/>
    <w:rsid w:val="008745D5"/>
    <w:rsid w:val="00895E94"/>
    <w:rsid w:val="008A0FE5"/>
    <w:rsid w:val="008B6E68"/>
    <w:rsid w:val="008E23BF"/>
    <w:rsid w:val="00934B61"/>
    <w:rsid w:val="00937BEF"/>
    <w:rsid w:val="0095101E"/>
    <w:rsid w:val="00960D02"/>
    <w:rsid w:val="00992B66"/>
    <w:rsid w:val="009A77D6"/>
    <w:rsid w:val="009F08DE"/>
    <w:rsid w:val="00A007DF"/>
    <w:rsid w:val="00A148F5"/>
    <w:rsid w:val="00A44124"/>
    <w:rsid w:val="00A63A3E"/>
    <w:rsid w:val="00A701A5"/>
    <w:rsid w:val="00A71AA6"/>
    <w:rsid w:val="00A7394C"/>
    <w:rsid w:val="00A8294C"/>
    <w:rsid w:val="00AB10DC"/>
    <w:rsid w:val="00AC199A"/>
    <w:rsid w:val="00AD5AC1"/>
    <w:rsid w:val="00AE496A"/>
    <w:rsid w:val="00AF0EF0"/>
    <w:rsid w:val="00AF52B4"/>
    <w:rsid w:val="00B24ACE"/>
    <w:rsid w:val="00B340FA"/>
    <w:rsid w:val="00B74F5B"/>
    <w:rsid w:val="00B859D3"/>
    <w:rsid w:val="00B870D1"/>
    <w:rsid w:val="00B93EAF"/>
    <w:rsid w:val="00B95CCD"/>
    <w:rsid w:val="00BA7D90"/>
    <w:rsid w:val="00BB796D"/>
    <w:rsid w:val="00BD23A4"/>
    <w:rsid w:val="00BD3931"/>
    <w:rsid w:val="00BE188A"/>
    <w:rsid w:val="00BE4396"/>
    <w:rsid w:val="00C01A71"/>
    <w:rsid w:val="00C0220C"/>
    <w:rsid w:val="00C075F2"/>
    <w:rsid w:val="00C13602"/>
    <w:rsid w:val="00C2799F"/>
    <w:rsid w:val="00C50B77"/>
    <w:rsid w:val="00C51EE9"/>
    <w:rsid w:val="00C70E89"/>
    <w:rsid w:val="00C84D30"/>
    <w:rsid w:val="00C934D9"/>
    <w:rsid w:val="00CA0AD9"/>
    <w:rsid w:val="00CA7391"/>
    <w:rsid w:val="00CD2189"/>
    <w:rsid w:val="00CF2328"/>
    <w:rsid w:val="00D01203"/>
    <w:rsid w:val="00D047ED"/>
    <w:rsid w:val="00D26A0C"/>
    <w:rsid w:val="00D34B35"/>
    <w:rsid w:val="00D54607"/>
    <w:rsid w:val="00D60E72"/>
    <w:rsid w:val="00D657F6"/>
    <w:rsid w:val="00D755F0"/>
    <w:rsid w:val="00D875BB"/>
    <w:rsid w:val="00D926D9"/>
    <w:rsid w:val="00DC7B8B"/>
    <w:rsid w:val="00DD3846"/>
    <w:rsid w:val="00DD6DF1"/>
    <w:rsid w:val="00DE35E0"/>
    <w:rsid w:val="00DF420A"/>
    <w:rsid w:val="00DF782C"/>
    <w:rsid w:val="00E039E8"/>
    <w:rsid w:val="00E11D18"/>
    <w:rsid w:val="00E13FA5"/>
    <w:rsid w:val="00E35863"/>
    <w:rsid w:val="00E51BC1"/>
    <w:rsid w:val="00E62976"/>
    <w:rsid w:val="00E62BF2"/>
    <w:rsid w:val="00E74F87"/>
    <w:rsid w:val="00E800CA"/>
    <w:rsid w:val="00E92E94"/>
    <w:rsid w:val="00EA4F2C"/>
    <w:rsid w:val="00EC2C8F"/>
    <w:rsid w:val="00EC4655"/>
    <w:rsid w:val="00EE0F65"/>
    <w:rsid w:val="00F1348A"/>
    <w:rsid w:val="00F31C36"/>
    <w:rsid w:val="00F41F83"/>
    <w:rsid w:val="00F43CCF"/>
    <w:rsid w:val="00F45BE8"/>
    <w:rsid w:val="00F47C04"/>
    <w:rsid w:val="00F7333B"/>
    <w:rsid w:val="00F73A99"/>
    <w:rsid w:val="00F926FF"/>
    <w:rsid w:val="00FB05E2"/>
    <w:rsid w:val="00FC02AA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BCD4"/>
  <w15:docId w15:val="{9DC08D31-B736-409B-910D-2D30633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8BE"/>
  </w:style>
  <w:style w:type="paragraph" w:styleId="Nagwek1">
    <w:name w:val="heading 1"/>
    <w:basedOn w:val="Normalny"/>
    <w:next w:val="Normalny"/>
    <w:link w:val="Nagwek1Znak"/>
    <w:uiPriority w:val="9"/>
    <w:qFormat/>
    <w:rsid w:val="00693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93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5E0"/>
  </w:style>
  <w:style w:type="paragraph" w:styleId="Stopka">
    <w:name w:val="footer"/>
    <w:basedOn w:val="Normalny"/>
    <w:link w:val="StopkaZnak"/>
    <w:uiPriority w:val="99"/>
    <w:unhideWhenUsed/>
    <w:rsid w:val="00D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5E0"/>
  </w:style>
  <w:style w:type="paragraph" w:customStyle="1" w:styleId="ARTartustawynprozporzdzenia">
    <w:name w:val="ART(§) – art. ustawy (§ np. rozporządzenia)"/>
    <w:uiPriority w:val="11"/>
    <w:qFormat/>
    <w:rsid w:val="00C50B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E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9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0C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0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2TIRpodwjnytiret">
    <w:name w:val="2TIR – podwójny tiret"/>
    <w:basedOn w:val="Normalny"/>
    <w:uiPriority w:val="73"/>
    <w:qFormat/>
    <w:rsid w:val="00E800CA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44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LIPKA-CHUDZIK Ewa</dc:creator>
  <cp:lastModifiedBy>Banaszak Wojciech</cp:lastModifiedBy>
  <cp:revision>2</cp:revision>
  <cp:lastPrinted>2017-10-26T07:38:00Z</cp:lastPrinted>
  <dcterms:created xsi:type="dcterms:W3CDTF">2022-06-30T08:18:00Z</dcterms:created>
  <dcterms:modified xsi:type="dcterms:W3CDTF">2022-06-30T08:18:00Z</dcterms:modified>
</cp:coreProperties>
</file>