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8E6" w:rsidRPr="00E20B66" w:rsidRDefault="001F29D8" w:rsidP="005C7DD6">
      <w:pPr>
        <w:pStyle w:val="ODNONIKtreodnonika"/>
        <w:ind w:left="0" w:firstLine="0"/>
        <w:jc w:val="center"/>
        <w:rPr>
          <w:rFonts w:cs="Times New Roman"/>
          <w:b/>
          <w:sz w:val="24"/>
          <w:szCs w:val="24"/>
        </w:rPr>
      </w:pPr>
      <w:bookmarkStart w:id="0" w:name="_GoBack"/>
      <w:bookmarkEnd w:id="0"/>
      <w:r w:rsidRPr="00E20B66">
        <w:rPr>
          <w:rFonts w:cs="Times New Roman"/>
          <w:b/>
          <w:sz w:val="24"/>
          <w:szCs w:val="24"/>
        </w:rPr>
        <w:t>UZASADNIENIE</w:t>
      </w:r>
    </w:p>
    <w:p w:rsidR="00E15A52" w:rsidRPr="00E20B66" w:rsidRDefault="00E15A52" w:rsidP="00E20B66">
      <w:pPr>
        <w:pStyle w:val="ODNONIKtreodnonika"/>
        <w:jc w:val="center"/>
        <w:rPr>
          <w:rFonts w:cs="Times New Roman"/>
          <w:sz w:val="24"/>
          <w:szCs w:val="24"/>
        </w:rPr>
      </w:pPr>
    </w:p>
    <w:p w:rsidR="009C6095" w:rsidRDefault="00E61D08" w:rsidP="00A849B1">
      <w:pPr>
        <w:pStyle w:val="ODNONIKtreodnonika"/>
        <w:spacing w:before="120" w:after="120"/>
        <w:ind w:left="0" w:firstLine="0"/>
        <w:rPr>
          <w:sz w:val="24"/>
          <w:szCs w:val="24"/>
        </w:rPr>
      </w:pPr>
      <w:r w:rsidRPr="00B80930">
        <w:rPr>
          <w:rFonts w:cs="Times New Roman"/>
          <w:sz w:val="24"/>
          <w:szCs w:val="24"/>
        </w:rPr>
        <w:t>Zmiana</w:t>
      </w:r>
      <w:r w:rsidR="00F05450" w:rsidRPr="00B80930">
        <w:rPr>
          <w:rFonts w:cs="Times New Roman"/>
          <w:sz w:val="24"/>
          <w:szCs w:val="24"/>
        </w:rPr>
        <w:t xml:space="preserve"> </w:t>
      </w:r>
      <w:r w:rsidR="00952684" w:rsidRPr="00B80930">
        <w:rPr>
          <w:rFonts w:cs="Times New Roman"/>
          <w:sz w:val="24"/>
          <w:szCs w:val="24"/>
        </w:rPr>
        <w:t>r</w:t>
      </w:r>
      <w:r w:rsidR="00B80930" w:rsidRPr="00B80930">
        <w:rPr>
          <w:rFonts w:cs="Times New Roman"/>
          <w:sz w:val="24"/>
          <w:szCs w:val="24"/>
        </w:rPr>
        <w:t>ozporządzenia Ministra Finansów</w:t>
      </w:r>
      <w:r w:rsidR="00F87A2C">
        <w:rPr>
          <w:sz w:val="24"/>
          <w:szCs w:val="24"/>
        </w:rPr>
        <w:t xml:space="preserve"> z dnia 21 grudnia</w:t>
      </w:r>
      <w:r w:rsidR="00B40C4C">
        <w:rPr>
          <w:sz w:val="24"/>
          <w:szCs w:val="24"/>
        </w:rPr>
        <w:t xml:space="preserve"> 2018</w:t>
      </w:r>
      <w:r w:rsidR="00B80930" w:rsidRPr="00B80930">
        <w:rPr>
          <w:sz w:val="24"/>
          <w:szCs w:val="24"/>
        </w:rPr>
        <w:t xml:space="preserve"> r. w sprawie </w:t>
      </w:r>
      <w:r w:rsidR="00B40C4C">
        <w:rPr>
          <w:sz w:val="24"/>
          <w:szCs w:val="24"/>
        </w:rPr>
        <w:t>zabezpieczeń akcyzowych (Dz. U. z 2021 r. poz. 115</w:t>
      </w:r>
      <w:r w:rsidR="00B80930" w:rsidRPr="00B80930">
        <w:rPr>
          <w:sz w:val="24"/>
          <w:szCs w:val="24"/>
        </w:rPr>
        <w:t>)</w:t>
      </w:r>
      <w:r w:rsidR="003130EA">
        <w:rPr>
          <w:sz w:val="24"/>
          <w:szCs w:val="24"/>
        </w:rPr>
        <w:t>, zwanego dalej „obowiązującym rozporządzeniem”,</w:t>
      </w:r>
      <w:r w:rsidR="00B80930">
        <w:rPr>
          <w:sz w:val="24"/>
          <w:szCs w:val="24"/>
        </w:rPr>
        <w:t xml:space="preserve"> ma charakter dostosowujący dotychczasowe </w:t>
      </w:r>
      <w:r w:rsidR="00D13799">
        <w:rPr>
          <w:sz w:val="24"/>
          <w:szCs w:val="24"/>
        </w:rPr>
        <w:t>jego brzmienie</w:t>
      </w:r>
      <w:r w:rsidR="00B80930">
        <w:rPr>
          <w:sz w:val="24"/>
          <w:szCs w:val="24"/>
        </w:rPr>
        <w:t xml:space="preserve"> do </w:t>
      </w:r>
      <w:r w:rsidR="0061689F">
        <w:rPr>
          <w:sz w:val="24"/>
          <w:szCs w:val="24"/>
        </w:rPr>
        <w:t>zmian</w:t>
      </w:r>
      <w:r w:rsidR="0041457D">
        <w:rPr>
          <w:sz w:val="24"/>
          <w:szCs w:val="24"/>
        </w:rPr>
        <w:t xml:space="preserve"> wprowadzonych ustawą z dnia 9</w:t>
      </w:r>
      <w:r w:rsidR="003130EA">
        <w:rPr>
          <w:sz w:val="24"/>
          <w:szCs w:val="24"/>
        </w:rPr>
        <w:t> </w:t>
      </w:r>
      <w:r w:rsidR="0041457D">
        <w:rPr>
          <w:sz w:val="24"/>
          <w:szCs w:val="24"/>
        </w:rPr>
        <w:t>grudnia 2021</w:t>
      </w:r>
      <w:r w:rsidR="0061689F">
        <w:rPr>
          <w:sz w:val="24"/>
          <w:szCs w:val="24"/>
        </w:rPr>
        <w:t xml:space="preserve"> r. </w:t>
      </w:r>
      <w:r w:rsidR="0041457D">
        <w:rPr>
          <w:sz w:val="24"/>
          <w:szCs w:val="24"/>
        </w:rPr>
        <w:t>o zmianie ustawy o podatku akcyzowym oraz niektórych innych ustaw (Dz. U. poz. 2427</w:t>
      </w:r>
      <w:r w:rsidR="0061689F">
        <w:rPr>
          <w:sz w:val="24"/>
          <w:szCs w:val="24"/>
        </w:rPr>
        <w:t>) w związku z implementacją postanowień dyrektywy</w:t>
      </w:r>
      <w:r w:rsidR="0061689F" w:rsidRPr="0061689F">
        <w:rPr>
          <w:color w:val="000000"/>
          <w:sz w:val="24"/>
          <w:szCs w:val="24"/>
        </w:rPr>
        <w:t xml:space="preserve"> </w:t>
      </w:r>
      <w:r w:rsidR="0061689F" w:rsidRPr="002D442B">
        <w:rPr>
          <w:color w:val="000000"/>
          <w:sz w:val="24"/>
          <w:szCs w:val="24"/>
        </w:rPr>
        <w:t>Rady (UE) 2020/262</w:t>
      </w:r>
      <w:r w:rsidR="0061689F">
        <w:rPr>
          <w:sz w:val="24"/>
          <w:szCs w:val="24"/>
        </w:rPr>
        <w:t xml:space="preserve"> </w:t>
      </w:r>
      <w:r w:rsidR="0061689F" w:rsidRPr="00AF7ADB">
        <w:rPr>
          <w:sz w:val="24"/>
          <w:szCs w:val="24"/>
        </w:rPr>
        <w:t>z dnia 19 grudnia 2019 r. ustanawiającej ogólne zasady dotyczące podatku akcyzowego (przekształcenie)</w:t>
      </w:r>
      <w:r w:rsidR="008E38D4">
        <w:rPr>
          <w:sz w:val="24"/>
          <w:szCs w:val="24"/>
        </w:rPr>
        <w:t xml:space="preserve"> (</w:t>
      </w:r>
      <w:r w:rsidR="008E38D4" w:rsidRPr="00637E7A">
        <w:rPr>
          <w:sz w:val="24"/>
          <w:szCs w:val="24"/>
        </w:rPr>
        <w:t>Dz. Urz. UE.L 2020 nr 58, str.4)</w:t>
      </w:r>
      <w:r w:rsidR="0061689F">
        <w:rPr>
          <w:sz w:val="24"/>
          <w:szCs w:val="24"/>
        </w:rPr>
        <w:t>.</w:t>
      </w:r>
    </w:p>
    <w:p w:rsidR="007A4D0C" w:rsidRDefault="007A4D0C" w:rsidP="00A56F32">
      <w:pPr>
        <w:widowControl/>
        <w:autoSpaceDE/>
        <w:autoSpaceDN/>
        <w:adjustRightInd/>
        <w:spacing w:line="240" w:lineRule="auto"/>
        <w:jc w:val="both"/>
        <w:rPr>
          <w:rFonts w:eastAsiaTheme="minorHAnsi" w:cstheme="minorBidi"/>
          <w:color w:val="000000"/>
          <w:szCs w:val="24"/>
        </w:rPr>
      </w:pPr>
    </w:p>
    <w:p w:rsidR="007A4D0C" w:rsidRPr="007A4D0C" w:rsidRDefault="007A4D0C" w:rsidP="00A56F32">
      <w:pPr>
        <w:widowControl/>
        <w:autoSpaceDE/>
        <w:autoSpaceDN/>
        <w:adjustRightInd/>
        <w:spacing w:line="240" w:lineRule="auto"/>
        <w:jc w:val="both"/>
        <w:rPr>
          <w:rFonts w:eastAsiaTheme="minorHAnsi" w:cstheme="minorBidi"/>
          <w:b/>
          <w:i/>
          <w:color w:val="000000"/>
          <w:szCs w:val="24"/>
        </w:rPr>
      </w:pPr>
      <w:r w:rsidRPr="007A4D0C">
        <w:rPr>
          <w:rFonts w:eastAsiaTheme="minorHAnsi" w:cstheme="minorBidi"/>
          <w:b/>
          <w:i/>
          <w:color w:val="000000"/>
          <w:szCs w:val="24"/>
        </w:rPr>
        <w:t xml:space="preserve">I. Zmiany wprowadzone do ustawy o podatku akcyzowym w związku </w:t>
      </w:r>
      <w:r>
        <w:rPr>
          <w:rFonts w:eastAsiaTheme="minorHAnsi" w:cstheme="minorBidi"/>
          <w:b/>
          <w:i/>
          <w:color w:val="000000"/>
          <w:szCs w:val="24"/>
        </w:rPr>
        <w:t>z implementacją</w:t>
      </w:r>
      <w:r w:rsidRPr="007A4D0C">
        <w:rPr>
          <w:rFonts w:eastAsiaTheme="minorHAnsi" w:cstheme="minorBidi"/>
          <w:b/>
          <w:i/>
          <w:color w:val="000000"/>
          <w:szCs w:val="24"/>
        </w:rPr>
        <w:t xml:space="preserve"> postanowie</w:t>
      </w:r>
      <w:r w:rsidR="00051AA1">
        <w:rPr>
          <w:rFonts w:eastAsiaTheme="minorHAnsi" w:cstheme="minorBidi"/>
          <w:b/>
          <w:i/>
          <w:color w:val="000000"/>
          <w:szCs w:val="24"/>
        </w:rPr>
        <w:t>ń dyrektywy Rady (UE) 2020/262.</w:t>
      </w:r>
    </w:p>
    <w:p w:rsidR="007A4D0C" w:rsidRDefault="007A4D0C" w:rsidP="00A56F32">
      <w:pPr>
        <w:widowControl/>
        <w:autoSpaceDE/>
        <w:autoSpaceDN/>
        <w:adjustRightInd/>
        <w:spacing w:line="240" w:lineRule="auto"/>
        <w:jc w:val="both"/>
        <w:rPr>
          <w:rFonts w:eastAsiaTheme="minorHAnsi" w:cstheme="minorBidi"/>
          <w:color w:val="000000"/>
          <w:szCs w:val="24"/>
        </w:rPr>
      </w:pPr>
    </w:p>
    <w:p w:rsidR="00A56F32" w:rsidRPr="00A56F32" w:rsidRDefault="00A56F32" w:rsidP="00A56F32">
      <w:pPr>
        <w:widowControl/>
        <w:autoSpaceDE/>
        <w:autoSpaceDN/>
        <w:adjustRightInd/>
        <w:spacing w:line="240" w:lineRule="auto"/>
        <w:jc w:val="both"/>
        <w:rPr>
          <w:rFonts w:eastAsiaTheme="minorHAnsi" w:cstheme="minorBidi"/>
          <w:color w:val="000000"/>
          <w:szCs w:val="24"/>
          <w:lang w:eastAsia="en-US"/>
        </w:rPr>
      </w:pPr>
      <w:r w:rsidRPr="00A56F32">
        <w:rPr>
          <w:rFonts w:eastAsiaTheme="minorHAnsi" w:cstheme="minorBidi"/>
          <w:color w:val="000000"/>
          <w:szCs w:val="24"/>
        </w:rPr>
        <w:t xml:space="preserve">Zgodnie z art. 35 ust. 2 lit. a dyrektywy Rady (UE) 2020/262 uprawniony odbiorca musi  przed wysyłką wyrobów złożyć gwarancję na pokrycie ryzyka związanego z niezapłaceniem podatku akcyzowego, co może mieć miejsce podczas przemieszczania </w:t>
      </w:r>
      <w:r w:rsidR="00262B12">
        <w:rPr>
          <w:rFonts w:eastAsiaTheme="minorHAnsi" w:cstheme="minorBidi"/>
          <w:color w:val="000000"/>
          <w:szCs w:val="24"/>
        </w:rPr>
        <w:t xml:space="preserve">tych wyrobów </w:t>
      </w:r>
      <w:r w:rsidRPr="00A56F32">
        <w:rPr>
          <w:rFonts w:eastAsiaTheme="minorHAnsi" w:cstheme="minorBidi"/>
          <w:color w:val="000000"/>
          <w:szCs w:val="24"/>
        </w:rPr>
        <w:t>w tranzycie przez terytoria państw członkowskich i w państwie członkowskim przeznaczenia.</w:t>
      </w:r>
      <w:r w:rsidRPr="00A56F32">
        <w:rPr>
          <w:rFonts w:eastAsiaTheme="minorHAnsi" w:cstheme="minorBidi"/>
          <w:color w:val="000000"/>
          <w:szCs w:val="24"/>
          <w:lang w:eastAsia="en-US"/>
        </w:rPr>
        <w:t xml:space="preserve"> </w:t>
      </w:r>
      <w:r w:rsidRPr="00A56F32">
        <w:rPr>
          <w:rFonts w:eastAsiaTheme="minorHAnsi" w:cstheme="minorBidi"/>
          <w:color w:val="000000"/>
          <w:szCs w:val="24"/>
        </w:rPr>
        <w:t>Stąd też konieczne stało się rozszerzenie katalogu podmiotów zobowiązanych do złożenia zabezpieczenia akcyzowego o</w:t>
      </w:r>
      <w:r w:rsidR="0037128D">
        <w:rPr>
          <w:rFonts w:eastAsiaTheme="minorHAnsi" w:cstheme="minorBidi"/>
          <w:color w:val="000000"/>
          <w:szCs w:val="24"/>
        </w:rPr>
        <w:t> </w:t>
      </w:r>
      <w:r w:rsidRPr="00A56F32">
        <w:rPr>
          <w:rFonts w:eastAsiaTheme="minorHAnsi" w:cstheme="minorBidi"/>
          <w:color w:val="000000"/>
          <w:szCs w:val="24"/>
        </w:rPr>
        <w:t>„</w:t>
      </w:r>
      <w:r w:rsidRPr="00A97E88">
        <w:rPr>
          <w:rFonts w:eastAsiaTheme="minorHAnsi" w:cstheme="minorBidi"/>
          <w:color w:val="000000"/>
          <w:szCs w:val="24"/>
          <w:u w:val="single"/>
        </w:rPr>
        <w:t>uprawnionego odbiorcę</w:t>
      </w:r>
      <w:r w:rsidRPr="00A56F32">
        <w:rPr>
          <w:rFonts w:eastAsiaTheme="minorHAnsi" w:cstheme="minorBidi"/>
          <w:color w:val="000000"/>
          <w:szCs w:val="24"/>
        </w:rPr>
        <w:t xml:space="preserve">” (zmiana w zakresie art. 63 ust. 1 ustawy o podatku akcyzowym). </w:t>
      </w:r>
    </w:p>
    <w:p w:rsidR="007A4D0C" w:rsidRDefault="007A4D0C" w:rsidP="00A56F32">
      <w:pPr>
        <w:widowControl/>
        <w:autoSpaceDE/>
        <w:autoSpaceDN/>
        <w:adjustRightInd/>
        <w:spacing w:line="240" w:lineRule="auto"/>
        <w:jc w:val="both"/>
        <w:rPr>
          <w:rFonts w:eastAsiaTheme="minorHAnsi" w:cstheme="minorBidi"/>
          <w:color w:val="000000"/>
          <w:szCs w:val="24"/>
        </w:rPr>
      </w:pPr>
    </w:p>
    <w:p w:rsidR="00A56F32" w:rsidRPr="00A56F32" w:rsidRDefault="00A56F32" w:rsidP="00A56F32">
      <w:pPr>
        <w:widowControl/>
        <w:autoSpaceDE/>
        <w:autoSpaceDN/>
        <w:adjustRightInd/>
        <w:spacing w:line="240" w:lineRule="auto"/>
        <w:jc w:val="both"/>
        <w:rPr>
          <w:rFonts w:eastAsiaTheme="minorHAnsi" w:cs="Times New Roman"/>
          <w:szCs w:val="24"/>
          <w:lang w:eastAsia="en-US"/>
        </w:rPr>
      </w:pPr>
      <w:r w:rsidRPr="00A56F32">
        <w:rPr>
          <w:rFonts w:eastAsiaTheme="minorHAnsi" w:cstheme="minorBidi"/>
          <w:color w:val="000000"/>
          <w:szCs w:val="24"/>
        </w:rPr>
        <w:t>W art. 44 ust. 3 dyrektywy Rady (UE) 2020/262 wskazano</w:t>
      </w:r>
      <w:r>
        <w:rPr>
          <w:rFonts w:eastAsiaTheme="minorHAnsi" w:cstheme="minorBidi"/>
          <w:color w:val="000000"/>
          <w:szCs w:val="24"/>
        </w:rPr>
        <w:t xml:space="preserve"> zaś, że</w:t>
      </w:r>
      <w:r w:rsidRPr="00A56F32">
        <w:rPr>
          <w:rFonts w:eastAsiaTheme="minorHAnsi" w:cstheme="minorBidi"/>
          <w:color w:val="000000"/>
          <w:szCs w:val="24"/>
        </w:rPr>
        <w:t xml:space="preserve"> </w:t>
      </w:r>
      <w:r w:rsidRPr="00A56F32">
        <w:rPr>
          <w:rFonts w:eastAsiaTheme="minorHAnsi" w:cstheme="minorBidi"/>
          <w:szCs w:val="24"/>
          <w:lang w:eastAsia="en-US"/>
        </w:rPr>
        <w:t>w sytuacji sprzedaży wyrobów akcyzowych na odległość osobą zobowiązaną do zapłaty podatku akcyzowego w</w:t>
      </w:r>
      <w:r w:rsidR="0037128D">
        <w:rPr>
          <w:rFonts w:eastAsiaTheme="minorHAnsi" w:cstheme="minorBidi"/>
          <w:szCs w:val="24"/>
          <w:lang w:eastAsia="en-US"/>
        </w:rPr>
        <w:t> </w:t>
      </w:r>
      <w:r w:rsidRPr="00A56F32">
        <w:rPr>
          <w:rFonts w:eastAsiaTheme="minorHAnsi" w:cstheme="minorBidi"/>
          <w:szCs w:val="24"/>
          <w:lang w:eastAsia="en-US"/>
        </w:rPr>
        <w:t xml:space="preserve">kraju, do którego wyroby </w:t>
      </w:r>
      <w:r w:rsidRPr="00A56F32">
        <w:rPr>
          <w:rFonts w:eastAsiaTheme="minorHAnsi" w:cs="Times New Roman"/>
          <w:szCs w:val="24"/>
          <w:lang w:eastAsia="en-US"/>
        </w:rPr>
        <w:t xml:space="preserve">są wysyłane, jest wysyłający (sprzedawca), który może (to zależy od niego, a nie od regulacji krajowych, jak to ma miejsce obecnie) wyznaczyć przedstawiciela podatkowego dla potrzeb rozliczenia podatku należnego w kraju odbioru wyrobów akcyzowych. Gdy takiego przedstawiciela nie wyznaczy, sam staje się podatnikiem. Dopuszczając możliwość zapłaty </w:t>
      </w:r>
      <w:r w:rsidR="003E3374">
        <w:rPr>
          <w:rFonts w:eastAsiaTheme="minorHAnsi" w:cs="Times New Roman"/>
          <w:szCs w:val="24"/>
          <w:lang w:eastAsia="en-US"/>
        </w:rPr>
        <w:t xml:space="preserve">akcyzy przez sprzedawcę, należało </w:t>
      </w:r>
      <w:r w:rsidRPr="00A56F32">
        <w:rPr>
          <w:rFonts w:eastAsiaTheme="minorHAnsi" w:cs="Times New Roman"/>
          <w:szCs w:val="24"/>
          <w:lang w:eastAsia="en-US"/>
        </w:rPr>
        <w:t>zatem również przewidzieć obowiązek złożenia przez niego zabezpiecze</w:t>
      </w:r>
      <w:r w:rsidR="003E3374">
        <w:rPr>
          <w:rFonts w:eastAsiaTheme="minorHAnsi" w:cs="Times New Roman"/>
          <w:szCs w:val="24"/>
          <w:lang w:eastAsia="en-US"/>
        </w:rPr>
        <w:t>nia akcyzowego. Stąd rozszerzono</w:t>
      </w:r>
      <w:r w:rsidRPr="00A56F32">
        <w:rPr>
          <w:rFonts w:eastAsiaTheme="minorHAnsi" w:cs="Times New Roman"/>
          <w:szCs w:val="24"/>
          <w:lang w:eastAsia="en-US"/>
        </w:rPr>
        <w:t xml:space="preserve"> katalog podmiotów zobowiązanych do złożenia zabezpieczenia akcyzowego (art. 63 ust. 1 ustawy) o </w:t>
      </w:r>
      <w:r w:rsidRPr="00A97E88">
        <w:rPr>
          <w:rFonts w:eastAsiaTheme="minorHAnsi" w:cs="Times New Roman"/>
          <w:szCs w:val="24"/>
          <w:u w:val="single"/>
          <w:lang w:eastAsia="en-US"/>
        </w:rPr>
        <w:t>wysyłający podmiot zagraniczny</w:t>
      </w:r>
      <w:r w:rsidRPr="00A56F32">
        <w:rPr>
          <w:rFonts w:eastAsiaTheme="minorHAnsi" w:cs="Times New Roman"/>
          <w:szCs w:val="24"/>
          <w:lang w:eastAsia="en-US"/>
        </w:rPr>
        <w:t>, który będzie wysyłał do Polski wyroby akcyzowe nabywane wewnątrzwspólnotowo przez osoby fizyczne nie w celach prowadzonej działalności gospodarczej.</w:t>
      </w:r>
    </w:p>
    <w:p w:rsidR="001D4EB0" w:rsidRDefault="001D4EB0" w:rsidP="001D4EB0">
      <w:pPr>
        <w:widowControl/>
        <w:kinsoku w:val="0"/>
        <w:overflowPunct w:val="0"/>
        <w:spacing w:beforeLines="120" w:before="288" w:afterLines="120" w:after="288" w:line="240" w:lineRule="auto"/>
        <w:jc w:val="both"/>
        <w:rPr>
          <w:rFonts w:eastAsiaTheme="minorHAnsi" w:cs="Times New Roman"/>
          <w:szCs w:val="24"/>
          <w:lang w:eastAsia="en-US"/>
        </w:rPr>
      </w:pPr>
      <w:r w:rsidRPr="001D4EB0">
        <w:rPr>
          <w:rFonts w:eastAsiaTheme="minorHAnsi" w:cs="Times New Roman"/>
          <w:color w:val="000000"/>
          <w:szCs w:val="24"/>
        </w:rPr>
        <w:t xml:space="preserve">Z uwagi na </w:t>
      </w:r>
      <w:r w:rsidRPr="001D4EB0">
        <w:rPr>
          <w:rFonts w:eastAsiaTheme="minorHAnsi" w:cs="Times New Roman"/>
          <w:szCs w:val="24"/>
          <w:lang w:eastAsia="en-US"/>
        </w:rPr>
        <w:t>dopuszczoną w art. 35 ust. 7 dyrektywy Rady (UE) 2020/262) możliwość by w</w:t>
      </w:r>
      <w:r w:rsidR="00CE0F85">
        <w:rPr>
          <w:rFonts w:eastAsiaTheme="minorHAnsi" w:cs="Times New Roman"/>
          <w:szCs w:val="24"/>
          <w:lang w:eastAsia="en-US"/>
        </w:rPr>
        <w:t> </w:t>
      </w:r>
      <w:r w:rsidRPr="001D4EB0">
        <w:rPr>
          <w:rFonts w:eastAsiaTheme="minorHAnsi" w:cs="Times New Roman"/>
          <w:szCs w:val="24"/>
          <w:lang w:eastAsia="en-US"/>
        </w:rPr>
        <w:t xml:space="preserve">charakterze uprawnionego odbiorcy mógł występować uprawniony prowadzący skład podatkowy lub zarejestrowany odbiorca, w </w:t>
      </w:r>
      <w:r w:rsidR="00D062C6">
        <w:rPr>
          <w:rFonts w:eastAsiaTheme="minorHAnsi" w:cs="Times New Roman"/>
          <w:szCs w:val="24"/>
          <w:lang w:eastAsia="en-US"/>
        </w:rPr>
        <w:t xml:space="preserve">art. 63 </w:t>
      </w:r>
      <w:r w:rsidRPr="001D4EB0">
        <w:rPr>
          <w:rFonts w:eastAsiaTheme="minorHAnsi" w:cs="Times New Roman"/>
          <w:szCs w:val="24"/>
          <w:lang w:eastAsia="en-US"/>
        </w:rPr>
        <w:t>ust. 1b</w:t>
      </w:r>
      <w:r w:rsidR="00D062C6">
        <w:rPr>
          <w:rFonts w:eastAsiaTheme="minorHAnsi" w:cs="Times New Roman"/>
          <w:szCs w:val="24"/>
          <w:lang w:eastAsia="en-US"/>
        </w:rPr>
        <w:t xml:space="preserve"> ustawy o podatku akcyzowym</w:t>
      </w:r>
      <w:r w:rsidRPr="001D4EB0">
        <w:rPr>
          <w:rFonts w:eastAsiaTheme="minorHAnsi" w:cs="Times New Roman"/>
          <w:szCs w:val="24"/>
          <w:lang w:eastAsia="en-US"/>
        </w:rPr>
        <w:t xml:space="preserve"> </w:t>
      </w:r>
      <w:r w:rsidR="00232B85">
        <w:rPr>
          <w:rFonts w:eastAsiaTheme="minorHAnsi" w:cs="Times New Roman"/>
          <w:szCs w:val="24"/>
          <w:lang w:eastAsia="en-US"/>
        </w:rPr>
        <w:t>wprowadzono</w:t>
      </w:r>
      <w:r w:rsidR="00232B85" w:rsidRPr="001D4EB0">
        <w:rPr>
          <w:rFonts w:eastAsiaTheme="minorHAnsi" w:cs="Times New Roman"/>
          <w:szCs w:val="24"/>
          <w:lang w:eastAsia="en-US"/>
        </w:rPr>
        <w:t xml:space="preserve"> </w:t>
      </w:r>
      <w:r w:rsidRPr="001D4EB0">
        <w:rPr>
          <w:rFonts w:eastAsiaTheme="minorHAnsi" w:cs="Times New Roman"/>
          <w:szCs w:val="24"/>
          <w:lang w:eastAsia="en-US"/>
        </w:rPr>
        <w:t>regulację, która umożliwia</w:t>
      </w:r>
      <w:r w:rsidR="00A56F32">
        <w:rPr>
          <w:rFonts w:eastAsiaTheme="minorHAnsi" w:cs="Times New Roman"/>
          <w:szCs w:val="24"/>
          <w:lang w:eastAsia="en-US"/>
        </w:rPr>
        <w:t>,</w:t>
      </w:r>
      <w:r w:rsidRPr="001D4EB0">
        <w:rPr>
          <w:rFonts w:eastAsiaTheme="minorHAnsi" w:cs="Times New Roman"/>
          <w:szCs w:val="24"/>
          <w:lang w:eastAsia="en-US"/>
        </w:rPr>
        <w:t xml:space="preserve"> na potrzeby przemieszczeń wyrobów akcyzowych z</w:t>
      </w:r>
      <w:r w:rsidR="00940900">
        <w:rPr>
          <w:rFonts w:eastAsiaTheme="minorHAnsi" w:cs="Times New Roman"/>
          <w:szCs w:val="24"/>
          <w:lang w:eastAsia="en-US"/>
        </w:rPr>
        <w:t> </w:t>
      </w:r>
      <w:r w:rsidRPr="001D4EB0">
        <w:rPr>
          <w:rFonts w:eastAsiaTheme="minorHAnsi" w:cs="Times New Roman"/>
          <w:szCs w:val="24"/>
          <w:lang w:eastAsia="en-US"/>
        </w:rPr>
        <w:t>użyciem Systemu</w:t>
      </w:r>
      <w:r w:rsidR="00A56F32">
        <w:rPr>
          <w:rFonts w:eastAsiaTheme="minorHAnsi" w:cs="Times New Roman"/>
          <w:szCs w:val="24"/>
          <w:lang w:eastAsia="en-US"/>
        </w:rPr>
        <w:t>,</w:t>
      </w:r>
      <w:r w:rsidRPr="001D4EB0">
        <w:rPr>
          <w:rFonts w:eastAsiaTheme="minorHAnsi" w:cs="Times New Roman"/>
          <w:szCs w:val="24"/>
          <w:lang w:eastAsia="en-US"/>
        </w:rPr>
        <w:t xml:space="preserve"> używać jednego wspólneg</w:t>
      </w:r>
      <w:r w:rsidR="005D1BB2">
        <w:rPr>
          <w:rFonts w:eastAsiaTheme="minorHAnsi" w:cs="Times New Roman"/>
          <w:szCs w:val="24"/>
          <w:lang w:eastAsia="en-US"/>
        </w:rPr>
        <w:t>o zabezpieczenia generalnego albo jednego wspólnego zabezpieczenia</w:t>
      </w:r>
      <w:r w:rsidRPr="001D4EB0">
        <w:rPr>
          <w:rFonts w:eastAsiaTheme="minorHAnsi" w:cs="Times New Roman"/>
          <w:szCs w:val="24"/>
          <w:lang w:eastAsia="en-US"/>
        </w:rPr>
        <w:t xml:space="preserve"> ryczałtowego podmiotu, który posiada kilka statusów akcyzowych. Na wniosek podmiotu zobowiązanego do złożenia zabezpieczenia akcyzowego powstałe albo mogące powstać zobowiązania podatkowe takiego podmiotu albo jego powstałe lub mogące powstać zobowiązania podatkowe oraz opłata paliwowa, której obowiązek zapłaty powstał lub może powstać w stosunku do przemieszczanych przez niego wyrobów akcyzowych, mogą być objęte </w:t>
      </w:r>
      <w:r w:rsidRPr="00A97E88">
        <w:rPr>
          <w:rFonts w:eastAsiaTheme="minorHAnsi" w:cs="Times New Roman"/>
          <w:szCs w:val="24"/>
          <w:u w:val="single"/>
          <w:lang w:eastAsia="en-US"/>
        </w:rPr>
        <w:t>jednym zabezpieczeniem</w:t>
      </w:r>
      <w:r w:rsidR="005D1BB2" w:rsidRPr="00A97E88">
        <w:rPr>
          <w:rFonts w:eastAsiaTheme="minorHAnsi" w:cs="Times New Roman"/>
          <w:szCs w:val="24"/>
          <w:u w:val="single"/>
          <w:lang w:eastAsia="en-US"/>
        </w:rPr>
        <w:t xml:space="preserve"> akcyzowym, generalnym albo ryczałtowym</w:t>
      </w:r>
      <w:r w:rsidR="005D1BB2" w:rsidRPr="00A97E88">
        <w:rPr>
          <w:rFonts w:eastAsiaTheme="minorHAnsi" w:cs="Times New Roman"/>
          <w:szCs w:val="24"/>
          <w:lang w:eastAsia="en-US"/>
        </w:rPr>
        <w:t>,</w:t>
      </w:r>
      <w:r w:rsidRPr="00A97E88">
        <w:rPr>
          <w:rFonts w:eastAsiaTheme="minorHAnsi" w:cs="Times New Roman"/>
          <w:szCs w:val="24"/>
          <w:lang w:eastAsia="en-US"/>
        </w:rPr>
        <w:t xml:space="preserve"> złożonym na potrzeby wszystkich uzyskanych zezwoleń akcyzowych, o których mowa</w:t>
      </w:r>
      <w:r w:rsidRPr="001D4EB0">
        <w:rPr>
          <w:rFonts w:eastAsiaTheme="minorHAnsi" w:cs="Times New Roman"/>
          <w:szCs w:val="24"/>
          <w:lang w:eastAsia="en-US"/>
        </w:rPr>
        <w:t xml:space="preserve"> w art. 84 ust. 1 pkt </w:t>
      </w:r>
      <w:r w:rsidR="0041457D">
        <w:rPr>
          <w:rFonts w:eastAsiaTheme="minorHAnsi" w:cs="Times New Roman"/>
          <w:szCs w:val="24"/>
          <w:lang w:eastAsia="en-US"/>
        </w:rPr>
        <w:t>1,</w:t>
      </w:r>
      <w:r w:rsidR="0037128D">
        <w:rPr>
          <w:rFonts w:eastAsiaTheme="minorHAnsi" w:cs="Times New Roman"/>
          <w:szCs w:val="24"/>
          <w:lang w:eastAsia="en-US"/>
        </w:rPr>
        <w:t xml:space="preserve"> </w:t>
      </w:r>
      <w:r w:rsidR="0041457D">
        <w:rPr>
          <w:rFonts w:eastAsiaTheme="minorHAnsi" w:cs="Times New Roman"/>
          <w:szCs w:val="24"/>
          <w:lang w:eastAsia="en-US"/>
        </w:rPr>
        <w:t>2 i 3a-5</w:t>
      </w:r>
      <w:r w:rsidR="00232B85">
        <w:rPr>
          <w:rFonts w:eastAsiaTheme="minorHAnsi" w:cs="Times New Roman"/>
          <w:szCs w:val="24"/>
          <w:lang w:eastAsia="en-US"/>
        </w:rPr>
        <w:t>,</w:t>
      </w:r>
      <w:r w:rsidR="0041457D">
        <w:rPr>
          <w:rFonts w:eastAsiaTheme="minorHAnsi" w:cs="Times New Roman"/>
          <w:szCs w:val="24"/>
          <w:lang w:eastAsia="en-US"/>
        </w:rPr>
        <w:t xml:space="preserve"> lub numerem akcyzowym uprawnionego odbiorcy, o którym mowa w art. 20j</w:t>
      </w:r>
      <w:r w:rsidRPr="001D4EB0">
        <w:rPr>
          <w:rFonts w:eastAsiaTheme="minorHAnsi" w:cs="Times New Roman"/>
          <w:szCs w:val="24"/>
          <w:lang w:eastAsia="en-US"/>
        </w:rPr>
        <w:t xml:space="preserve">. Tym samym dopuszczono, by podmiot posiadający kilka statusów akcyzowych miał możliwość </w:t>
      </w:r>
      <w:r w:rsidRPr="001D4EB0">
        <w:rPr>
          <w:rFonts w:eastAsiaTheme="minorHAnsi" w:cs="Times New Roman"/>
          <w:szCs w:val="24"/>
          <w:lang w:eastAsia="en-US"/>
        </w:rPr>
        <w:lastRenderedPageBreak/>
        <w:t>objęcia jednym</w:t>
      </w:r>
      <w:r w:rsidR="005D1BB2">
        <w:rPr>
          <w:rFonts w:eastAsiaTheme="minorHAnsi" w:cs="Times New Roman"/>
          <w:szCs w:val="24"/>
          <w:lang w:eastAsia="en-US"/>
        </w:rPr>
        <w:t xml:space="preserve"> </w:t>
      </w:r>
      <w:r w:rsidRPr="001D4EB0">
        <w:rPr>
          <w:rFonts w:eastAsiaTheme="minorHAnsi" w:cs="Times New Roman"/>
          <w:szCs w:val="24"/>
          <w:lang w:eastAsia="en-US"/>
        </w:rPr>
        <w:t xml:space="preserve">zabezpieczeniem akcyzowym </w:t>
      </w:r>
      <w:r w:rsidR="0037128D">
        <w:rPr>
          <w:rFonts w:eastAsiaTheme="minorHAnsi" w:cs="Times New Roman"/>
          <w:szCs w:val="24"/>
          <w:lang w:eastAsia="en-US"/>
        </w:rPr>
        <w:t>tego samego rodzaju (tj. albo generalnym albo ryczałtowym)</w:t>
      </w:r>
      <w:r w:rsidR="0037128D" w:rsidRPr="001D4EB0">
        <w:rPr>
          <w:rFonts w:eastAsiaTheme="minorHAnsi" w:cs="Times New Roman"/>
          <w:szCs w:val="24"/>
          <w:lang w:eastAsia="en-US"/>
        </w:rPr>
        <w:t xml:space="preserve"> </w:t>
      </w:r>
      <w:r w:rsidRPr="001D4EB0">
        <w:rPr>
          <w:rFonts w:eastAsiaTheme="minorHAnsi" w:cs="Times New Roman"/>
          <w:szCs w:val="24"/>
          <w:lang w:eastAsia="en-US"/>
        </w:rPr>
        <w:t>powstałe albo mogące powstać zobowiązania podatkowe albo powstałe lub mogące powstać zobowiązania podatkowe oraz opłatę paliwową, której obowiązek zapłaty powstał albo może powstać.</w:t>
      </w:r>
    </w:p>
    <w:p w:rsidR="00693004" w:rsidRPr="00BE46F7" w:rsidRDefault="00693004" w:rsidP="001D4EB0">
      <w:pPr>
        <w:widowControl/>
        <w:kinsoku w:val="0"/>
        <w:overflowPunct w:val="0"/>
        <w:spacing w:beforeLines="120" w:before="288" w:afterLines="120" w:after="288" w:line="240" w:lineRule="auto"/>
        <w:jc w:val="both"/>
        <w:rPr>
          <w:rFonts w:eastAsiaTheme="minorHAnsi" w:cs="Times New Roman"/>
          <w:szCs w:val="24"/>
          <w:lang w:eastAsia="en-US"/>
        </w:rPr>
      </w:pPr>
      <w:r>
        <w:rPr>
          <w:color w:val="000000"/>
          <w:szCs w:val="24"/>
        </w:rPr>
        <w:t>W</w:t>
      </w:r>
      <w:r w:rsidRPr="00037D54">
        <w:rPr>
          <w:color w:val="000000"/>
          <w:szCs w:val="24"/>
        </w:rPr>
        <w:t xml:space="preserve"> art. 35 ust. 3 dyrektywy Rady (UE) 2020/262 dopuszczono możliwość, by w przypadku przemieszczania wyrobów akcyzowych, od których akcyza została zapłacona w kraju wysyłki, zabezpieczenie akcyzowe zamiast podmiotu zobowiązanego (tj. uprawnionego odbiorcy) lub łącznie z tym podmiotem mógł złożyć przewoźnik lub spedytor, </w:t>
      </w:r>
      <w:r w:rsidR="001E7426">
        <w:rPr>
          <w:color w:val="000000"/>
          <w:szCs w:val="24"/>
        </w:rPr>
        <w:t xml:space="preserve">odbiorca </w:t>
      </w:r>
      <w:r w:rsidRPr="00037D54">
        <w:rPr>
          <w:color w:val="000000"/>
          <w:szCs w:val="24"/>
        </w:rPr>
        <w:t xml:space="preserve">wyrobów </w:t>
      </w:r>
      <w:r w:rsidRPr="00BE46F7">
        <w:rPr>
          <w:color w:val="000000"/>
          <w:szCs w:val="24"/>
        </w:rPr>
        <w:t>akcyzowych</w:t>
      </w:r>
      <w:r w:rsidR="00245887">
        <w:rPr>
          <w:color w:val="000000"/>
          <w:szCs w:val="24"/>
        </w:rPr>
        <w:t>,</w:t>
      </w:r>
      <w:r w:rsidR="001E7426" w:rsidRPr="00BE46F7">
        <w:rPr>
          <w:color w:val="000000"/>
          <w:szCs w:val="24"/>
        </w:rPr>
        <w:t xml:space="preserve"> </w:t>
      </w:r>
      <w:r w:rsidRPr="00BE46F7">
        <w:rPr>
          <w:color w:val="000000"/>
          <w:szCs w:val="24"/>
        </w:rPr>
        <w:t xml:space="preserve">jak również </w:t>
      </w:r>
      <w:r w:rsidRPr="00BE46F7">
        <w:rPr>
          <w:szCs w:val="24"/>
        </w:rPr>
        <w:t>osoba fizyczna lub prawna zare</w:t>
      </w:r>
      <w:r w:rsidR="001E7426" w:rsidRPr="00BE46F7">
        <w:rPr>
          <w:szCs w:val="24"/>
        </w:rPr>
        <w:t>jestrowana przez właściwe władze</w:t>
      </w:r>
      <w:r w:rsidRPr="00BE46F7">
        <w:rPr>
          <w:szCs w:val="24"/>
        </w:rPr>
        <w:t xml:space="preserve"> państwa członkowskiego</w:t>
      </w:r>
      <w:r w:rsidR="001E7426" w:rsidRPr="00BE46F7">
        <w:rPr>
          <w:szCs w:val="24"/>
        </w:rPr>
        <w:t xml:space="preserve"> Unii Europejskiej</w:t>
      </w:r>
      <w:r w:rsidRPr="00BE46F7">
        <w:rPr>
          <w:szCs w:val="24"/>
        </w:rPr>
        <w:t>, która wysłała na terytorium kraju z terytorium państwa członkowskiego wyroby akcyzowe poza procedurą zawieszenia poboru akcyzy</w:t>
      </w:r>
      <w:r w:rsidRPr="00BE46F7">
        <w:rPr>
          <w:color w:val="000000"/>
          <w:szCs w:val="24"/>
        </w:rPr>
        <w:t xml:space="preserve">. </w:t>
      </w:r>
      <w:r w:rsidR="00085D05" w:rsidRPr="00BE46F7">
        <w:rPr>
          <w:color w:val="000000"/>
          <w:szCs w:val="24"/>
        </w:rPr>
        <w:t xml:space="preserve">Dotychczasowe regulacje zezwalają, by przewoźnik lub spedytor mógł złożyć zabezpieczenie generalne </w:t>
      </w:r>
      <w:r w:rsidR="00085D05" w:rsidRPr="00BE46F7">
        <w:rPr>
          <w:szCs w:val="24"/>
        </w:rPr>
        <w:t>dla zagwarantowania pokrycia zobowiązań podatkowych mogących powstać w</w:t>
      </w:r>
      <w:r w:rsidR="00CE0F85">
        <w:rPr>
          <w:szCs w:val="24"/>
        </w:rPr>
        <w:t> </w:t>
      </w:r>
      <w:r w:rsidR="00085D05" w:rsidRPr="00BE46F7">
        <w:rPr>
          <w:szCs w:val="24"/>
        </w:rPr>
        <w:t>stosunku do przemieszczanych przez nich, z</w:t>
      </w:r>
      <w:r w:rsidR="00287BB6">
        <w:rPr>
          <w:szCs w:val="24"/>
        </w:rPr>
        <w:t> </w:t>
      </w:r>
      <w:r w:rsidR="00085D05" w:rsidRPr="00BE46F7">
        <w:rPr>
          <w:szCs w:val="24"/>
        </w:rPr>
        <w:t>zastosowaniem procedury zawieszania poboru akcyzy wyrobów akcyzowych.</w:t>
      </w:r>
      <w:r w:rsidR="00085D05" w:rsidRPr="00BE46F7">
        <w:rPr>
          <w:color w:val="000000"/>
          <w:szCs w:val="24"/>
        </w:rPr>
        <w:t xml:space="preserve"> Nowelizacją z dnia 9 grudnia 2021 r. rozszerzono więc</w:t>
      </w:r>
      <w:r w:rsidRPr="00BE46F7">
        <w:rPr>
          <w:color w:val="000000"/>
          <w:szCs w:val="24"/>
        </w:rPr>
        <w:t xml:space="preserve"> dotychczasową możliwość</w:t>
      </w:r>
      <w:r w:rsidRPr="00BE46F7">
        <w:rPr>
          <w:szCs w:val="24"/>
        </w:rPr>
        <w:t xml:space="preserve"> również na zobowiązania podatkowe</w:t>
      </w:r>
      <w:r w:rsidR="00262B12" w:rsidRPr="00262B12">
        <w:rPr>
          <w:szCs w:val="24"/>
        </w:rPr>
        <w:t xml:space="preserve"> </w:t>
      </w:r>
      <w:r w:rsidR="00262B12">
        <w:rPr>
          <w:szCs w:val="24"/>
        </w:rPr>
        <w:t>lub</w:t>
      </w:r>
      <w:r w:rsidR="00262B12" w:rsidRPr="00BE46F7">
        <w:rPr>
          <w:szCs w:val="24"/>
        </w:rPr>
        <w:t xml:space="preserve"> opłat</w:t>
      </w:r>
      <w:r w:rsidR="00262B12">
        <w:rPr>
          <w:szCs w:val="24"/>
        </w:rPr>
        <w:t>ę</w:t>
      </w:r>
      <w:r w:rsidR="00262B12" w:rsidRPr="00BE46F7">
        <w:rPr>
          <w:szCs w:val="24"/>
        </w:rPr>
        <w:t xml:space="preserve"> paliwow</w:t>
      </w:r>
      <w:r w:rsidR="00262B12">
        <w:rPr>
          <w:szCs w:val="24"/>
        </w:rPr>
        <w:t>ą</w:t>
      </w:r>
      <w:r w:rsidRPr="00BE46F7">
        <w:rPr>
          <w:szCs w:val="24"/>
        </w:rPr>
        <w:t>, mogące powstać w stosunku do przemieszczanych przez nich poza procedurą zawieszenia poboru akcyzy na podstawie art. 46pa wyrobów akcyzowych podmiotów obowiązanych do złożenia zabezpieczenia akcyzowego (nowelizacja art. 65 ust. 1a</w:t>
      </w:r>
      <w:r w:rsidR="00085D05" w:rsidRPr="00BE46F7">
        <w:rPr>
          <w:szCs w:val="24"/>
        </w:rPr>
        <w:t xml:space="preserve"> pkt 2</w:t>
      </w:r>
      <w:r w:rsidRPr="00BE46F7">
        <w:rPr>
          <w:szCs w:val="24"/>
        </w:rPr>
        <w:t xml:space="preserve"> ustawy o podatku akcyzowym)</w:t>
      </w:r>
      <w:r w:rsidR="00287BB6">
        <w:rPr>
          <w:szCs w:val="24"/>
        </w:rPr>
        <w:t>.</w:t>
      </w:r>
    </w:p>
    <w:p w:rsidR="009A4CC5" w:rsidRDefault="009A4CC5" w:rsidP="009A4CC5">
      <w:pPr>
        <w:widowControl/>
        <w:spacing w:after="200" w:line="240" w:lineRule="auto"/>
        <w:jc w:val="both"/>
        <w:rPr>
          <w:rFonts w:eastAsiaTheme="minorHAnsi" w:cs="Times New Roman"/>
          <w:szCs w:val="24"/>
          <w:lang w:eastAsia="en-US"/>
        </w:rPr>
      </w:pPr>
      <w:r>
        <w:rPr>
          <w:rFonts w:eastAsiaTheme="minorHAnsi" w:cs="Times New Roman"/>
          <w:color w:val="000000" w:themeColor="text1"/>
          <w:szCs w:val="24"/>
          <w:lang w:eastAsia="en-US"/>
        </w:rPr>
        <w:t>Z</w:t>
      </w:r>
      <w:r w:rsidRPr="009A4CC5">
        <w:rPr>
          <w:rFonts w:eastAsiaTheme="minorHAnsi" w:cs="Times New Roman"/>
          <w:color w:val="000000" w:themeColor="text1"/>
          <w:szCs w:val="24"/>
          <w:lang w:eastAsia="en-US"/>
        </w:rPr>
        <w:t xml:space="preserve">godnie z art. 40 ust. 4 pkt 2 lit. a </w:t>
      </w:r>
      <w:r>
        <w:rPr>
          <w:rFonts w:eastAsiaTheme="minorHAnsi" w:cs="Times New Roman"/>
          <w:color w:val="000000" w:themeColor="text1"/>
          <w:szCs w:val="24"/>
          <w:lang w:eastAsia="en-US"/>
        </w:rPr>
        <w:t>ustawy o podatku akcyzowym p</w:t>
      </w:r>
      <w:r w:rsidRPr="009A4CC5">
        <w:rPr>
          <w:rFonts w:eastAsiaTheme="minorHAnsi" w:cs="Times New Roman"/>
          <w:color w:val="000000" w:themeColor="text1"/>
          <w:szCs w:val="24"/>
          <w:lang w:eastAsia="en-US"/>
        </w:rPr>
        <w:t>odmioty nabywające wewnątrzwspólnotowo wyroby akcyzowe niewymienione w załącznik</w:t>
      </w:r>
      <w:r>
        <w:rPr>
          <w:rFonts w:eastAsiaTheme="minorHAnsi" w:cs="Times New Roman"/>
          <w:color w:val="000000" w:themeColor="text1"/>
          <w:szCs w:val="24"/>
          <w:lang w:eastAsia="en-US"/>
        </w:rPr>
        <w:t>u nr 2 do ustawy</w:t>
      </w:r>
      <w:r w:rsidR="00262B12">
        <w:rPr>
          <w:rFonts w:eastAsiaTheme="minorHAnsi" w:cs="Times New Roman"/>
          <w:color w:val="000000" w:themeColor="text1"/>
          <w:szCs w:val="24"/>
          <w:lang w:eastAsia="en-US"/>
        </w:rPr>
        <w:t>,</w:t>
      </w:r>
      <w:r w:rsidRPr="009A4CC5">
        <w:rPr>
          <w:rFonts w:eastAsiaTheme="minorHAnsi" w:cs="Times New Roman"/>
          <w:color w:val="000000" w:themeColor="text1"/>
          <w:szCs w:val="24"/>
          <w:lang w:eastAsia="en-US"/>
        </w:rPr>
        <w:t xml:space="preserve"> </w:t>
      </w:r>
      <w:r>
        <w:rPr>
          <w:rFonts w:eastAsiaTheme="minorHAnsi" w:cs="Times New Roman"/>
          <w:color w:val="000000" w:themeColor="text1"/>
          <w:szCs w:val="24"/>
          <w:lang w:eastAsia="en-US"/>
        </w:rPr>
        <w:t>jako</w:t>
      </w:r>
      <w:r w:rsidRPr="009A4CC5">
        <w:rPr>
          <w:rFonts w:eastAsiaTheme="minorHAnsi" w:cs="Times New Roman"/>
          <w:color w:val="000000" w:themeColor="text1"/>
          <w:szCs w:val="24"/>
          <w:lang w:eastAsia="en-US"/>
        </w:rPr>
        <w:t xml:space="preserve"> wa</w:t>
      </w:r>
      <w:r>
        <w:rPr>
          <w:rFonts w:eastAsiaTheme="minorHAnsi" w:cs="Times New Roman"/>
          <w:color w:val="000000" w:themeColor="text1"/>
          <w:szCs w:val="24"/>
          <w:lang w:eastAsia="en-US"/>
        </w:rPr>
        <w:t>runek</w:t>
      </w:r>
      <w:r w:rsidRPr="009A4CC5">
        <w:rPr>
          <w:rFonts w:eastAsiaTheme="minorHAnsi" w:cs="Times New Roman"/>
          <w:color w:val="000000" w:themeColor="text1"/>
          <w:szCs w:val="24"/>
          <w:lang w:eastAsia="en-US"/>
        </w:rPr>
        <w:t xml:space="preserve"> zastosowania wobec takich wyrobów procedury zawieszenia poboru akcyzy</w:t>
      </w:r>
      <w:r w:rsidR="00262B12">
        <w:rPr>
          <w:rFonts w:eastAsiaTheme="minorHAnsi" w:cs="Times New Roman"/>
          <w:color w:val="000000" w:themeColor="text1"/>
          <w:szCs w:val="24"/>
          <w:lang w:eastAsia="en-US"/>
        </w:rPr>
        <w:t>,</w:t>
      </w:r>
      <w:r>
        <w:rPr>
          <w:rFonts w:eastAsiaTheme="minorHAnsi" w:cs="Times New Roman"/>
          <w:color w:val="000000" w:themeColor="text1"/>
          <w:szCs w:val="24"/>
          <w:lang w:eastAsia="en-US"/>
        </w:rPr>
        <w:t xml:space="preserve"> obowiązane są </w:t>
      </w:r>
      <w:r w:rsidRPr="009A4CC5">
        <w:rPr>
          <w:rFonts w:eastAsiaTheme="minorHAnsi" w:cs="Times New Roman"/>
          <w:color w:val="000000" w:themeColor="text1"/>
          <w:szCs w:val="24"/>
          <w:lang w:eastAsia="en-US"/>
        </w:rPr>
        <w:t>do złożenia zabezpieczenia akcyzowego przed wprowadzeniem wyrobów na te</w:t>
      </w:r>
      <w:r>
        <w:rPr>
          <w:rFonts w:eastAsiaTheme="minorHAnsi" w:cs="Times New Roman"/>
          <w:color w:val="000000" w:themeColor="text1"/>
          <w:szCs w:val="24"/>
          <w:lang w:eastAsia="en-US"/>
        </w:rPr>
        <w:t>rytorium kraju</w:t>
      </w:r>
      <w:r w:rsidRPr="009A4CC5">
        <w:rPr>
          <w:rFonts w:eastAsiaTheme="minorHAnsi" w:cs="Times New Roman"/>
          <w:color w:val="000000" w:themeColor="text1"/>
          <w:szCs w:val="24"/>
          <w:lang w:eastAsia="en-US"/>
        </w:rPr>
        <w:t xml:space="preserve">. Jednocześnie </w:t>
      </w:r>
      <w:r w:rsidRPr="009A4CC5">
        <w:rPr>
          <w:rFonts w:eastAsiaTheme="minorHAnsi" w:cs="Times New Roman"/>
          <w:color w:val="000000" w:themeColor="text1"/>
          <w:szCs w:val="24"/>
          <w:u w:val="single"/>
          <w:lang w:eastAsia="en-US"/>
        </w:rPr>
        <w:t>art. 78 ust. 3</w:t>
      </w:r>
      <w:r w:rsidRPr="00A97E88">
        <w:rPr>
          <w:rFonts w:eastAsiaTheme="minorHAnsi" w:cs="Times New Roman"/>
          <w:color w:val="000000" w:themeColor="text1"/>
          <w:szCs w:val="24"/>
          <w:u w:val="single"/>
          <w:lang w:eastAsia="en-US"/>
        </w:rPr>
        <w:t xml:space="preserve"> tej ustawy</w:t>
      </w:r>
      <w:r w:rsidRPr="009A4CC5">
        <w:rPr>
          <w:rFonts w:eastAsiaTheme="minorHAnsi" w:cs="Times New Roman"/>
          <w:color w:val="000000" w:themeColor="text1"/>
          <w:szCs w:val="24"/>
          <w:lang w:eastAsia="en-US"/>
        </w:rPr>
        <w:t xml:space="preserve"> wskazuje również, że przy wewnątrzwspólnotowym nabyciu takich wyrobów poza procedurą zawieszenia poboru akcyzy należy złożyć zabezpieczenie akcyzowe. Ponieważ art. 63 ustawy, wskazujący podmioty obowiązane do złożenia zabezpieczenia akcyzowego, wymienia</w:t>
      </w:r>
      <w:r>
        <w:rPr>
          <w:rFonts w:eastAsiaTheme="minorHAnsi" w:cs="Times New Roman"/>
          <w:color w:val="000000" w:themeColor="text1"/>
          <w:szCs w:val="24"/>
          <w:lang w:eastAsia="en-US"/>
        </w:rPr>
        <w:t>ł dotychczas</w:t>
      </w:r>
      <w:r w:rsidRPr="009A4CC5">
        <w:rPr>
          <w:rFonts w:eastAsiaTheme="minorHAnsi" w:cs="Times New Roman"/>
          <w:color w:val="000000" w:themeColor="text1"/>
          <w:szCs w:val="24"/>
          <w:lang w:eastAsia="en-US"/>
        </w:rPr>
        <w:t xml:space="preserve"> jedynie podatnika, o którym mowa w art. 78 ust. 1, tj. podatnika dokonującego wewnątrzwspólnotowego nabycia wyrobów akcyzowych wymienionych w załączniku nr 2 ustawy, znajdujących się poza procedurą zawieszenia p</w:t>
      </w:r>
      <w:r w:rsidR="00BE46F7">
        <w:rPr>
          <w:rFonts w:eastAsiaTheme="minorHAnsi" w:cs="Times New Roman"/>
          <w:color w:val="000000" w:themeColor="text1"/>
          <w:szCs w:val="24"/>
          <w:lang w:eastAsia="en-US"/>
        </w:rPr>
        <w:t>oboru akcyzy, nowelizacją ustawy o podatku akcyzowym uzupełniono</w:t>
      </w:r>
      <w:r w:rsidRPr="009A4CC5">
        <w:rPr>
          <w:rFonts w:eastAsiaTheme="minorHAnsi" w:cs="Times New Roman"/>
          <w:color w:val="000000" w:themeColor="text1"/>
          <w:szCs w:val="24"/>
          <w:lang w:eastAsia="en-US"/>
        </w:rPr>
        <w:t xml:space="preserve"> tę regulację również o podatnika, który nabywa wewnątrzwspólnotowo </w:t>
      </w:r>
      <w:r w:rsidRPr="009A4CC5">
        <w:rPr>
          <w:rFonts w:eastAsiaTheme="minorHAnsi" w:cs="Times New Roman"/>
          <w:szCs w:val="24"/>
          <w:lang w:eastAsia="en-US"/>
        </w:rPr>
        <w:t>wyroby akcyzowe niewymienione w załączniku nr 2 do ustawy, które są objęte na terytorium kraju stawką akcyzy inną niż stawka zerowa, na potrzeby wykonywanej na terytorium kraju działalności gospodarczej.</w:t>
      </w:r>
    </w:p>
    <w:p w:rsidR="00A97E88" w:rsidRPr="00A97E88" w:rsidRDefault="00A97E88" w:rsidP="00A97E88">
      <w:pPr>
        <w:widowControl/>
        <w:autoSpaceDE/>
        <w:autoSpaceDN/>
        <w:adjustRightInd/>
        <w:spacing w:line="240" w:lineRule="auto"/>
        <w:jc w:val="both"/>
        <w:rPr>
          <w:rFonts w:eastAsiaTheme="minorHAnsi" w:cs="Times New Roman"/>
          <w:szCs w:val="24"/>
          <w:lang w:eastAsia="en-US"/>
        </w:rPr>
      </w:pPr>
      <w:r>
        <w:rPr>
          <w:rFonts w:eastAsiaTheme="minorHAnsi" w:cs="Times New Roman"/>
          <w:szCs w:val="24"/>
          <w:lang w:eastAsia="en-US"/>
        </w:rPr>
        <w:t>Jednocześnie, w</w:t>
      </w:r>
      <w:r w:rsidRPr="00A97E88">
        <w:rPr>
          <w:rFonts w:eastAsiaTheme="minorHAnsi" w:cs="Times New Roman"/>
          <w:szCs w:val="24"/>
          <w:lang w:eastAsia="en-US"/>
        </w:rPr>
        <w:t xml:space="preserve"> związku z obowiązkiem złożenia zabezpieczenia akcyzowego przez uprawnionego odbiorcę oraz podatnika, o którym mowa w art. 78 ust. 3</w:t>
      </w:r>
      <w:r>
        <w:rPr>
          <w:rFonts w:eastAsiaTheme="minorHAnsi" w:cs="Times New Roman"/>
          <w:szCs w:val="24"/>
          <w:lang w:eastAsia="en-US"/>
        </w:rPr>
        <w:t xml:space="preserve"> ustawy o podatku akcyzowym</w:t>
      </w:r>
      <w:r w:rsidRPr="00A97E88">
        <w:rPr>
          <w:rFonts w:eastAsiaTheme="minorHAnsi" w:cs="Times New Roman"/>
          <w:szCs w:val="24"/>
          <w:lang w:eastAsia="en-US"/>
        </w:rPr>
        <w:t xml:space="preserve">, </w:t>
      </w:r>
      <w:r>
        <w:rPr>
          <w:rFonts w:eastAsiaTheme="minorHAnsi" w:cs="Times New Roman"/>
          <w:szCs w:val="24"/>
          <w:lang w:eastAsia="en-US"/>
        </w:rPr>
        <w:t>zaproponowano by</w:t>
      </w:r>
      <w:r w:rsidRPr="00A97E88">
        <w:rPr>
          <w:rFonts w:eastAsiaTheme="minorHAnsi" w:cs="Times New Roman"/>
          <w:szCs w:val="24"/>
          <w:lang w:eastAsia="en-US"/>
        </w:rPr>
        <w:t xml:space="preserve"> w celu zagwarantowania pokrycia przez te podmioty wielu zobowiązań podatkowych albo wielu zobowiązań podatkowych oraz wielu opłat paliwowych, składali oni </w:t>
      </w:r>
      <w:r w:rsidRPr="00A97E88">
        <w:rPr>
          <w:rFonts w:eastAsiaTheme="minorHAnsi" w:cs="Times New Roman"/>
          <w:szCs w:val="24"/>
          <w:u w:val="single"/>
          <w:lang w:eastAsia="en-US"/>
        </w:rPr>
        <w:t>zabezpieczenie akcyzowe w formie zabezpieczenia genera</w:t>
      </w:r>
      <w:r w:rsidRPr="00A849B1">
        <w:rPr>
          <w:rFonts w:eastAsiaTheme="minorHAnsi" w:cs="Times New Roman"/>
          <w:szCs w:val="24"/>
          <w:u w:val="single"/>
          <w:lang w:eastAsia="en-US"/>
        </w:rPr>
        <w:t>lnego</w:t>
      </w:r>
      <w:r>
        <w:rPr>
          <w:rFonts w:eastAsiaTheme="minorHAnsi" w:cs="Times New Roman"/>
          <w:szCs w:val="24"/>
          <w:lang w:eastAsia="en-US"/>
        </w:rPr>
        <w:t>. Z obowiązku tego wyłączono</w:t>
      </w:r>
      <w:r w:rsidRPr="00A97E88">
        <w:rPr>
          <w:rFonts w:eastAsiaTheme="minorHAnsi" w:cs="Times New Roman"/>
          <w:szCs w:val="24"/>
          <w:lang w:eastAsia="en-US"/>
        </w:rPr>
        <w:t xml:space="preserve"> jedynie uprawnionego odbiorcę, który odbiera jednorazowo w ramach nabycia wewnątrzwspólnotowego wyroby akcyzowe poza procedurą zawieszenia poboru akcyzy na podstawie e-SAD albo dokumentu zastępującego e-SAD</w:t>
      </w:r>
      <w:r w:rsidR="00BE46F7">
        <w:rPr>
          <w:rFonts w:eastAsiaTheme="minorHAnsi" w:cs="Times New Roman"/>
          <w:szCs w:val="24"/>
          <w:lang w:eastAsia="en-US"/>
        </w:rPr>
        <w:t xml:space="preserve"> (art. 65 ust. 1 pkt 8 i 9 ustawy nowelizującej)</w:t>
      </w:r>
      <w:r w:rsidRPr="00A97E88">
        <w:rPr>
          <w:rFonts w:eastAsiaTheme="minorHAnsi" w:cs="Times New Roman"/>
          <w:szCs w:val="24"/>
          <w:lang w:eastAsia="en-US"/>
        </w:rPr>
        <w:t xml:space="preserve">. </w:t>
      </w:r>
    </w:p>
    <w:p w:rsidR="00A97E88" w:rsidRPr="00A97E88" w:rsidRDefault="00A97E88" w:rsidP="00A97E88">
      <w:pPr>
        <w:widowControl/>
        <w:autoSpaceDE/>
        <w:autoSpaceDN/>
        <w:adjustRightInd/>
        <w:spacing w:line="240" w:lineRule="auto"/>
        <w:jc w:val="both"/>
        <w:rPr>
          <w:rFonts w:eastAsia="Times New Roman" w:cs="Calibri"/>
        </w:rPr>
      </w:pPr>
    </w:p>
    <w:p w:rsidR="00236A11" w:rsidRDefault="009A4CC5" w:rsidP="00236A11">
      <w:pPr>
        <w:widowControl/>
        <w:spacing w:after="200" w:line="240" w:lineRule="auto"/>
        <w:jc w:val="both"/>
        <w:rPr>
          <w:rFonts w:eastAsiaTheme="minorHAnsi" w:cs="Times New Roman"/>
          <w:b/>
          <w:i/>
          <w:color w:val="000000" w:themeColor="text1"/>
          <w:szCs w:val="24"/>
          <w:lang w:eastAsia="en-US"/>
        </w:rPr>
      </w:pPr>
      <w:r w:rsidRPr="009A4CC5">
        <w:rPr>
          <w:rFonts w:eastAsiaTheme="minorHAnsi" w:cs="Times New Roman"/>
          <w:b/>
          <w:i/>
          <w:szCs w:val="24"/>
          <w:lang w:eastAsia="en-US"/>
        </w:rPr>
        <w:t>II. Proponowane rozwiązania w rozporządzeniu zmieniającym rozporządzenie w sprawie zabezpieczeń akcyzowych</w:t>
      </w:r>
      <w:r w:rsidR="00236A11">
        <w:rPr>
          <w:rFonts w:eastAsiaTheme="minorHAnsi" w:cs="Times New Roman"/>
          <w:b/>
          <w:i/>
          <w:szCs w:val="24"/>
          <w:lang w:eastAsia="en-US"/>
        </w:rPr>
        <w:t>.</w:t>
      </w:r>
    </w:p>
    <w:p w:rsidR="00A849B1" w:rsidRDefault="00A849B1" w:rsidP="00236A11">
      <w:pPr>
        <w:widowControl/>
        <w:spacing w:after="200" w:line="240" w:lineRule="auto"/>
        <w:jc w:val="both"/>
        <w:rPr>
          <w:rFonts w:eastAsiaTheme="minorHAnsi" w:cs="Times New Roman"/>
          <w:szCs w:val="24"/>
          <w:lang w:eastAsia="en-US"/>
        </w:rPr>
      </w:pPr>
    </w:p>
    <w:p w:rsidR="007B10FD" w:rsidRDefault="00940900" w:rsidP="007B10FD">
      <w:pPr>
        <w:widowControl/>
        <w:spacing w:after="200" w:line="240" w:lineRule="auto"/>
        <w:jc w:val="both"/>
        <w:rPr>
          <w:rFonts w:eastAsiaTheme="minorHAnsi" w:cs="Times New Roman"/>
          <w:color w:val="000000" w:themeColor="text1"/>
          <w:szCs w:val="24"/>
          <w:lang w:eastAsia="en-US"/>
        </w:rPr>
      </w:pPr>
      <w:r>
        <w:rPr>
          <w:rFonts w:eastAsiaTheme="minorHAnsi" w:cs="Times New Roman"/>
          <w:b/>
          <w:i/>
          <w:szCs w:val="24"/>
          <w:lang w:eastAsia="en-US"/>
        </w:rPr>
        <w:t xml:space="preserve">Projektowany </w:t>
      </w:r>
      <w:r w:rsidR="00A849B1" w:rsidRPr="00CC18E1">
        <w:rPr>
          <w:rFonts w:eastAsiaTheme="minorHAnsi" w:cs="Times New Roman"/>
          <w:b/>
          <w:i/>
          <w:szCs w:val="24"/>
          <w:lang w:eastAsia="en-US"/>
        </w:rPr>
        <w:t>§ 4 pkt 9</w:t>
      </w:r>
      <w:r w:rsidR="00CC18E1" w:rsidRPr="00CC18E1">
        <w:rPr>
          <w:rFonts w:eastAsiaTheme="minorHAnsi" w:cs="Times New Roman"/>
          <w:b/>
          <w:i/>
          <w:szCs w:val="24"/>
          <w:lang w:eastAsia="en-US"/>
        </w:rPr>
        <w:t xml:space="preserve"> </w:t>
      </w:r>
      <w:r>
        <w:rPr>
          <w:rFonts w:eastAsiaTheme="minorHAnsi" w:cs="Times New Roman"/>
          <w:b/>
          <w:i/>
          <w:szCs w:val="24"/>
          <w:lang w:eastAsia="en-US"/>
        </w:rPr>
        <w:t>zmienianego</w:t>
      </w:r>
      <w:r w:rsidRPr="00CC18E1">
        <w:rPr>
          <w:rFonts w:eastAsiaTheme="minorHAnsi" w:cs="Times New Roman"/>
          <w:b/>
          <w:i/>
          <w:szCs w:val="24"/>
          <w:lang w:eastAsia="en-US"/>
        </w:rPr>
        <w:t xml:space="preserve"> </w:t>
      </w:r>
      <w:r w:rsidR="00CC18E1" w:rsidRPr="00CC18E1">
        <w:rPr>
          <w:rFonts w:eastAsiaTheme="minorHAnsi" w:cs="Times New Roman"/>
          <w:b/>
          <w:i/>
          <w:szCs w:val="24"/>
          <w:lang w:eastAsia="en-US"/>
        </w:rPr>
        <w:t>rozporządzenia</w:t>
      </w:r>
      <w:r w:rsidR="00A849B1">
        <w:rPr>
          <w:rFonts w:eastAsiaTheme="minorHAnsi" w:cs="Times New Roman"/>
          <w:szCs w:val="24"/>
          <w:lang w:eastAsia="en-US"/>
        </w:rPr>
        <w:t xml:space="preserve"> – proponuje się, by w przyp</w:t>
      </w:r>
      <w:r w:rsidR="00450169">
        <w:rPr>
          <w:rFonts w:eastAsiaTheme="minorHAnsi" w:cs="Times New Roman"/>
          <w:szCs w:val="24"/>
          <w:lang w:eastAsia="en-US"/>
        </w:rPr>
        <w:t xml:space="preserve">adku </w:t>
      </w:r>
      <w:r w:rsidR="00A849B1" w:rsidRPr="009A4CC5">
        <w:rPr>
          <w:rFonts w:eastAsiaTheme="minorHAnsi" w:cs="Times New Roman"/>
          <w:color w:val="000000" w:themeColor="text1"/>
          <w:szCs w:val="24"/>
          <w:lang w:eastAsia="en-US"/>
        </w:rPr>
        <w:t xml:space="preserve">podatnika, który nabywa wewnątrzwspólnotowo </w:t>
      </w:r>
      <w:r w:rsidR="00A849B1" w:rsidRPr="009A4CC5">
        <w:rPr>
          <w:rFonts w:eastAsiaTheme="minorHAnsi" w:cs="Times New Roman"/>
          <w:szCs w:val="24"/>
          <w:lang w:eastAsia="en-US"/>
        </w:rPr>
        <w:t>wyroby akcyzowe niewymienione w</w:t>
      </w:r>
      <w:r>
        <w:rPr>
          <w:rFonts w:eastAsiaTheme="minorHAnsi" w:cs="Times New Roman"/>
          <w:szCs w:val="24"/>
          <w:lang w:eastAsia="en-US"/>
        </w:rPr>
        <w:t> </w:t>
      </w:r>
      <w:r w:rsidR="00A849B1" w:rsidRPr="009A4CC5">
        <w:rPr>
          <w:rFonts w:eastAsiaTheme="minorHAnsi" w:cs="Times New Roman"/>
          <w:szCs w:val="24"/>
          <w:lang w:eastAsia="en-US"/>
        </w:rPr>
        <w:t>załączniku nr 2 do ustawy</w:t>
      </w:r>
      <w:r w:rsidR="000629AC">
        <w:rPr>
          <w:rFonts w:eastAsiaTheme="minorHAnsi" w:cs="Times New Roman"/>
          <w:szCs w:val="24"/>
          <w:lang w:eastAsia="en-US"/>
        </w:rPr>
        <w:t xml:space="preserve"> (podatnik, o którym mowa w art. 73 ust. 3 ustawy)</w:t>
      </w:r>
      <w:r w:rsidR="00A849B1" w:rsidRPr="009A4CC5">
        <w:rPr>
          <w:rFonts w:eastAsiaTheme="minorHAnsi" w:cs="Times New Roman"/>
          <w:szCs w:val="24"/>
          <w:lang w:eastAsia="en-US"/>
        </w:rPr>
        <w:t xml:space="preserve">, które są objęte na terytorium kraju stawką akcyzy inną niż stawka zerowa, na potrzeby wykonywanej na terytorium </w:t>
      </w:r>
      <w:r w:rsidR="00A849B1">
        <w:rPr>
          <w:rFonts w:eastAsiaTheme="minorHAnsi" w:cs="Times New Roman"/>
          <w:szCs w:val="24"/>
          <w:lang w:eastAsia="en-US"/>
        </w:rPr>
        <w:t>kraju działalności gospodarczej, generalne zabez</w:t>
      </w:r>
      <w:r w:rsidR="00A84554">
        <w:rPr>
          <w:rFonts w:eastAsiaTheme="minorHAnsi" w:cs="Times New Roman"/>
          <w:szCs w:val="24"/>
          <w:lang w:eastAsia="en-US"/>
        </w:rPr>
        <w:t>pieczenie akcyzowe, do złożenia którego został on zobowiązany, ustalane było jako równowartość kwoty wskazanej przez ten podmiot we wniosku o złożenie zabezpieczenia generalnego, oszacowanej przez ten podmiot na poziomie pozwalającym na pokrycie w każdym czasie zobowiązań podatkowych oraz opłat paliwowych, które mają być objęte tym zabezpieczeniem. Zaproponowane rozwiązanie jest analogiczne do tego, jakie w przypadku ustalania wysokości generalnego zabezpieczenia akcyzowego było stosowane dotychczas w przypadku podatnika</w:t>
      </w:r>
      <w:r w:rsidR="00A84554" w:rsidRPr="00A84554">
        <w:rPr>
          <w:rFonts w:eastAsiaTheme="minorHAnsi" w:cs="Times New Roman"/>
          <w:color w:val="000000" w:themeColor="text1"/>
          <w:szCs w:val="24"/>
          <w:lang w:eastAsia="en-US"/>
        </w:rPr>
        <w:t xml:space="preserve"> </w:t>
      </w:r>
      <w:r w:rsidR="00A84554" w:rsidRPr="009A4CC5">
        <w:rPr>
          <w:rFonts w:eastAsiaTheme="minorHAnsi" w:cs="Times New Roman"/>
          <w:color w:val="000000" w:themeColor="text1"/>
          <w:szCs w:val="24"/>
          <w:lang w:eastAsia="en-US"/>
        </w:rPr>
        <w:t>dokonującego wewnątrzwspólnotowego nabycia wyrobów akcyzowych wymienionych w załączniku nr 2 ustawy, znajdujących się poza procedurą zawieszenia poboru akcyzy</w:t>
      </w:r>
      <w:r w:rsidR="00A84554">
        <w:rPr>
          <w:rFonts w:eastAsiaTheme="minorHAnsi" w:cs="Times New Roman"/>
          <w:color w:val="000000" w:themeColor="text1"/>
          <w:szCs w:val="24"/>
          <w:lang w:eastAsia="en-US"/>
        </w:rPr>
        <w:t>, tj. podatnika, o którym mowa w art. 78 ust.</w:t>
      </w:r>
      <w:r w:rsidR="00B62F10">
        <w:rPr>
          <w:rFonts w:eastAsiaTheme="minorHAnsi" w:cs="Times New Roman"/>
          <w:color w:val="000000" w:themeColor="text1"/>
          <w:szCs w:val="24"/>
          <w:lang w:eastAsia="en-US"/>
        </w:rPr>
        <w:t xml:space="preserve"> 1 ustawy o podatku akcyzowym,</w:t>
      </w:r>
      <w:r w:rsidR="00A84554">
        <w:rPr>
          <w:rFonts w:eastAsiaTheme="minorHAnsi" w:cs="Times New Roman"/>
          <w:color w:val="000000" w:themeColor="text1"/>
          <w:szCs w:val="24"/>
          <w:lang w:eastAsia="en-US"/>
        </w:rPr>
        <w:t xml:space="preserve"> </w:t>
      </w:r>
      <w:r w:rsidR="00DE6B82">
        <w:rPr>
          <w:rFonts w:eastAsiaTheme="minorHAnsi" w:cs="Times New Roman"/>
          <w:color w:val="000000" w:themeColor="text1"/>
          <w:szCs w:val="24"/>
          <w:lang w:eastAsia="en-US"/>
        </w:rPr>
        <w:t>który w nowej terminologii jest określany jako</w:t>
      </w:r>
      <w:r w:rsidR="00A84554">
        <w:rPr>
          <w:rFonts w:eastAsiaTheme="minorHAnsi" w:cs="Times New Roman"/>
          <w:color w:val="000000" w:themeColor="text1"/>
          <w:szCs w:val="24"/>
          <w:lang w:eastAsia="en-US"/>
        </w:rPr>
        <w:t xml:space="preserve"> - uprawnion</w:t>
      </w:r>
      <w:r w:rsidR="00DE6B82">
        <w:rPr>
          <w:rFonts w:eastAsiaTheme="minorHAnsi" w:cs="Times New Roman"/>
          <w:color w:val="000000" w:themeColor="text1"/>
          <w:szCs w:val="24"/>
          <w:lang w:eastAsia="en-US"/>
        </w:rPr>
        <w:t>y</w:t>
      </w:r>
      <w:r w:rsidR="00A84554">
        <w:rPr>
          <w:rFonts w:eastAsiaTheme="minorHAnsi" w:cs="Times New Roman"/>
          <w:color w:val="000000" w:themeColor="text1"/>
          <w:szCs w:val="24"/>
          <w:lang w:eastAsia="en-US"/>
        </w:rPr>
        <w:t xml:space="preserve"> odbiorc</w:t>
      </w:r>
      <w:r w:rsidR="00DE6B82">
        <w:rPr>
          <w:rFonts w:eastAsiaTheme="minorHAnsi" w:cs="Times New Roman"/>
          <w:color w:val="000000" w:themeColor="text1"/>
          <w:szCs w:val="24"/>
          <w:lang w:eastAsia="en-US"/>
        </w:rPr>
        <w:t>a</w:t>
      </w:r>
      <w:r w:rsidR="00A84554">
        <w:rPr>
          <w:rFonts w:eastAsiaTheme="minorHAnsi" w:cs="Times New Roman"/>
          <w:color w:val="000000" w:themeColor="text1"/>
          <w:szCs w:val="24"/>
          <w:lang w:eastAsia="en-US"/>
        </w:rPr>
        <w:t>.</w:t>
      </w:r>
    </w:p>
    <w:p w:rsidR="007B10FD" w:rsidRPr="00BD411A" w:rsidRDefault="00940900" w:rsidP="007B10FD">
      <w:pPr>
        <w:widowControl/>
        <w:spacing w:after="200" w:line="240" w:lineRule="auto"/>
        <w:jc w:val="both"/>
      </w:pPr>
      <w:r>
        <w:rPr>
          <w:b/>
          <w:i/>
        </w:rPr>
        <w:t xml:space="preserve">Projektowany </w:t>
      </w:r>
      <w:r w:rsidR="00CC18E1" w:rsidRPr="00CC17B3">
        <w:rPr>
          <w:b/>
          <w:i/>
        </w:rPr>
        <w:t>§ 6 ust</w:t>
      </w:r>
      <w:r w:rsidR="00287BB6">
        <w:rPr>
          <w:b/>
          <w:i/>
        </w:rPr>
        <w:t>.</w:t>
      </w:r>
      <w:r w:rsidR="00CC18E1" w:rsidRPr="00CC17B3">
        <w:rPr>
          <w:b/>
          <w:i/>
        </w:rPr>
        <w:t xml:space="preserve"> 5 </w:t>
      </w:r>
      <w:r>
        <w:rPr>
          <w:b/>
          <w:i/>
        </w:rPr>
        <w:t>zmienianego</w:t>
      </w:r>
      <w:r w:rsidRPr="00CC17B3">
        <w:rPr>
          <w:b/>
          <w:i/>
        </w:rPr>
        <w:t xml:space="preserve"> </w:t>
      </w:r>
      <w:r w:rsidR="00CC18E1" w:rsidRPr="00CC17B3">
        <w:rPr>
          <w:b/>
          <w:i/>
        </w:rPr>
        <w:t>rozporządzenia</w:t>
      </w:r>
      <w:r w:rsidR="00CC17B3">
        <w:rPr>
          <w:b/>
          <w:i/>
        </w:rPr>
        <w:t xml:space="preserve"> </w:t>
      </w:r>
      <w:r w:rsidR="007B10FD">
        <w:t xml:space="preserve">– proponuje się, by </w:t>
      </w:r>
      <w:r w:rsidR="007B10FD" w:rsidRPr="00BD411A">
        <w:t xml:space="preserve">w przypadku podmiotu posiadającego kilka statusów akcyzowych, który zamierza </w:t>
      </w:r>
      <w:r w:rsidR="007B10FD">
        <w:t xml:space="preserve">przy wykorzystaniu Systemu </w:t>
      </w:r>
      <w:r w:rsidR="007B10FD" w:rsidRPr="00BD411A">
        <w:t>objąć jednym</w:t>
      </w:r>
      <w:r w:rsidR="007B10FD">
        <w:t xml:space="preserve">, wspólnym </w:t>
      </w:r>
      <w:r w:rsidR="007B10FD" w:rsidRPr="00BD411A">
        <w:t xml:space="preserve">zabezpieczeniem akcyzowym </w:t>
      </w:r>
      <w:r w:rsidR="007B10FD">
        <w:t>swoje obecne lub przyszłe zobowiązania podatkowe albo obecne lub przyszłe zobowiązania podatkowe oraz opłatę paliwową</w:t>
      </w:r>
      <w:r>
        <w:t>,</w:t>
      </w:r>
      <w:r w:rsidR="007B10FD" w:rsidRPr="007B10FD">
        <w:t xml:space="preserve"> </w:t>
      </w:r>
      <w:r w:rsidR="007B10FD">
        <w:t xml:space="preserve">metodologia wyliczania takiego zabezpieczenia oparta była o dotychczasowe regulacje, o których mowa w </w:t>
      </w:r>
      <w:r w:rsidR="007B10FD" w:rsidRPr="00026DA5">
        <w:t>§</w:t>
      </w:r>
      <w:r w:rsidR="007B10FD">
        <w:t xml:space="preserve"> 3 pkt 1</w:t>
      </w:r>
      <w:r w:rsidR="007B10FD" w:rsidRPr="006A223A">
        <w:sym w:font="Symbol" w:char="F02D"/>
      </w:r>
      <w:r w:rsidR="007B10FD">
        <w:t xml:space="preserve">5 lub </w:t>
      </w:r>
      <w:r w:rsidR="007B10FD" w:rsidRPr="00026DA5">
        <w:t>§</w:t>
      </w:r>
      <w:r w:rsidR="007B10FD">
        <w:t xml:space="preserve"> 4 pkt 1</w:t>
      </w:r>
      <w:r w:rsidR="007B10FD" w:rsidRPr="006A223A">
        <w:sym w:font="Symbol" w:char="F02D"/>
      </w:r>
      <w:r w:rsidR="007B10FD">
        <w:t>5 i 9 rozporządzenia w sprawie zabezpieczeń akcyzowych.</w:t>
      </w:r>
    </w:p>
    <w:p w:rsidR="005537F4" w:rsidRPr="0051281F" w:rsidRDefault="00940900" w:rsidP="00F60699">
      <w:pPr>
        <w:pStyle w:val="pkt"/>
        <w:spacing w:before="0" w:after="0"/>
        <w:ind w:left="0" w:firstLine="0"/>
        <w:rPr>
          <w:color w:val="000000"/>
          <w:szCs w:val="24"/>
        </w:rPr>
      </w:pPr>
      <w:r>
        <w:rPr>
          <w:b/>
          <w:i/>
        </w:rPr>
        <w:t xml:space="preserve">Projektowany </w:t>
      </w:r>
      <w:r w:rsidR="00693004" w:rsidRPr="00693004">
        <w:rPr>
          <w:b/>
          <w:i/>
        </w:rPr>
        <w:t xml:space="preserve">§ 10 ust. 5 </w:t>
      </w:r>
      <w:r>
        <w:rPr>
          <w:b/>
          <w:i/>
        </w:rPr>
        <w:t>zmienianego</w:t>
      </w:r>
      <w:r w:rsidRPr="00693004">
        <w:rPr>
          <w:b/>
          <w:i/>
        </w:rPr>
        <w:t xml:space="preserve"> </w:t>
      </w:r>
      <w:r w:rsidR="00693004" w:rsidRPr="00693004">
        <w:rPr>
          <w:b/>
          <w:i/>
        </w:rPr>
        <w:t>rozporządzenia</w:t>
      </w:r>
      <w:r w:rsidR="00693004">
        <w:t xml:space="preserve"> – </w:t>
      </w:r>
      <w:r w:rsidR="00706357">
        <w:t xml:space="preserve">ponieważ art. 65 ust. 1a pkt 2 ustawy dopuszcza </w:t>
      </w:r>
      <w:r w:rsidR="006E345C" w:rsidRPr="0051281F">
        <w:rPr>
          <w:szCs w:val="24"/>
        </w:rPr>
        <w:t>możliwoś</w:t>
      </w:r>
      <w:r w:rsidR="00706357" w:rsidRPr="0051281F">
        <w:rPr>
          <w:szCs w:val="24"/>
        </w:rPr>
        <w:t>ć</w:t>
      </w:r>
      <w:r w:rsidR="00287BB6" w:rsidRPr="0051281F">
        <w:rPr>
          <w:szCs w:val="24"/>
        </w:rPr>
        <w:t>,</w:t>
      </w:r>
      <w:r w:rsidR="006E345C" w:rsidRPr="0051281F">
        <w:rPr>
          <w:szCs w:val="24"/>
        </w:rPr>
        <w:t xml:space="preserve"> by</w:t>
      </w:r>
      <w:r w:rsidR="00CE0F85" w:rsidRPr="0051281F">
        <w:rPr>
          <w:szCs w:val="24"/>
        </w:rPr>
        <w:t> </w:t>
      </w:r>
      <w:r w:rsidR="00706357" w:rsidRPr="0051281F">
        <w:rPr>
          <w:szCs w:val="24"/>
        </w:rPr>
        <w:t>przewoźnik lub spedytor mógł złożyć zabezpieczenie generalne dla zagwarantowania pokrycia zobowiąza</w:t>
      </w:r>
      <w:r w:rsidR="00C817F9" w:rsidRPr="0051281F">
        <w:rPr>
          <w:szCs w:val="24"/>
        </w:rPr>
        <w:t>ń</w:t>
      </w:r>
      <w:r w:rsidR="00706357" w:rsidRPr="0051281F">
        <w:rPr>
          <w:szCs w:val="24"/>
        </w:rPr>
        <w:t xml:space="preserve"> podatkowych oraz opłat paliwowych mogących powstać w stosunku do </w:t>
      </w:r>
      <w:r w:rsidR="00706357" w:rsidRPr="0051281F">
        <w:rPr>
          <w:color w:val="000000"/>
          <w:szCs w:val="24"/>
        </w:rPr>
        <w:t>wyrobów akcyzowych</w:t>
      </w:r>
      <w:r w:rsidR="00706357" w:rsidRPr="0051281F">
        <w:rPr>
          <w:szCs w:val="24"/>
        </w:rPr>
        <w:t xml:space="preserve"> przemieszczanych przez nich poza procedurą za</w:t>
      </w:r>
      <w:r w:rsidR="00BE7FBC" w:rsidRPr="0051281F">
        <w:rPr>
          <w:color w:val="000000"/>
          <w:szCs w:val="24"/>
        </w:rPr>
        <w:t>w</w:t>
      </w:r>
      <w:r w:rsidR="00706357" w:rsidRPr="0051281F">
        <w:rPr>
          <w:color w:val="000000"/>
          <w:szCs w:val="24"/>
        </w:rPr>
        <w:t>ieszenia poboru akcyzy na podstawie art. 46pa</w:t>
      </w:r>
      <w:r w:rsidR="00BE7FBC" w:rsidRPr="0051281F">
        <w:rPr>
          <w:color w:val="000000"/>
          <w:szCs w:val="24"/>
        </w:rPr>
        <w:t xml:space="preserve">, </w:t>
      </w:r>
      <w:r w:rsidR="00F87A2C" w:rsidRPr="0051281F">
        <w:rPr>
          <w:szCs w:val="24"/>
        </w:rPr>
        <w:t>należało</w:t>
      </w:r>
      <w:r w:rsidR="00F60699" w:rsidRPr="0051281F">
        <w:rPr>
          <w:szCs w:val="24"/>
        </w:rPr>
        <w:t xml:space="preserve"> dokonać korekty </w:t>
      </w:r>
      <w:r w:rsidR="00C54D7E" w:rsidRPr="0051281F">
        <w:rPr>
          <w:szCs w:val="24"/>
        </w:rPr>
        <w:t>§ 10 ust. 5 obowiązującego rozporządzenia</w:t>
      </w:r>
      <w:r w:rsidR="005537F4" w:rsidRPr="0051281F">
        <w:rPr>
          <w:color w:val="000000"/>
          <w:szCs w:val="24"/>
        </w:rPr>
        <w:t>, uzupełniając dotychczasową regulację również o ten rodzaj przemieszczenia</w:t>
      </w:r>
      <w:r w:rsidR="00F60699" w:rsidRPr="0051281F">
        <w:rPr>
          <w:color w:val="000000"/>
          <w:szCs w:val="24"/>
        </w:rPr>
        <w:t>.</w:t>
      </w:r>
      <w:r w:rsidR="00BE7FBC" w:rsidRPr="0051281F">
        <w:rPr>
          <w:color w:val="000000"/>
          <w:szCs w:val="24"/>
        </w:rPr>
        <w:t xml:space="preserve"> </w:t>
      </w:r>
    </w:p>
    <w:p w:rsidR="00C15EC1" w:rsidRPr="0051281F" w:rsidRDefault="00C15EC1" w:rsidP="00C15EC1">
      <w:pPr>
        <w:pStyle w:val="p"/>
        <w:rPr>
          <w:rFonts w:ascii="Times New Roman" w:hAnsi="Times New Roman" w:cs="Times New Roman"/>
          <w:sz w:val="24"/>
          <w:szCs w:val="24"/>
        </w:rPr>
      </w:pPr>
      <w:r w:rsidRPr="0051281F">
        <w:rPr>
          <w:rFonts w:ascii="Times New Roman" w:hAnsi="Times New Roman" w:cs="Times New Roman"/>
          <w:sz w:val="24"/>
          <w:szCs w:val="24"/>
        </w:rPr>
        <w:t xml:space="preserve">Proponuje się, by w takim przypadku objęcie zobowiązania podatkowego lub opłaty paliwowej podmiotu, o którym mowa w </w:t>
      </w:r>
      <w:r w:rsidR="0079053D" w:rsidRPr="0051281F">
        <w:rPr>
          <w:rFonts w:ascii="Times New Roman" w:hAnsi="Times New Roman" w:cs="Times New Roman"/>
          <w:sz w:val="24"/>
          <w:szCs w:val="24"/>
        </w:rPr>
        <w:t>art. 2 ust. 1 pkt 32 lit. f</w:t>
      </w:r>
      <w:r w:rsidRPr="0051281F">
        <w:rPr>
          <w:rFonts w:ascii="Times New Roman" w:hAnsi="Times New Roman" w:cs="Times New Roman"/>
          <w:sz w:val="24"/>
          <w:szCs w:val="24"/>
        </w:rPr>
        <w:t xml:space="preserve"> ustawy, zabezpieczeniem generalnym przewoźnika lub spedytora mogło być dokonane po przedłożeniu przez ten podmiot </w:t>
      </w:r>
      <w:r w:rsidR="0073320F" w:rsidRPr="0051281F">
        <w:rPr>
          <w:rFonts w:ascii="Times New Roman" w:hAnsi="Times New Roman" w:cs="Times New Roman"/>
          <w:sz w:val="24"/>
          <w:szCs w:val="24"/>
        </w:rPr>
        <w:t xml:space="preserve">odbierający </w:t>
      </w:r>
      <w:r w:rsidRPr="0051281F">
        <w:rPr>
          <w:rFonts w:ascii="Times New Roman" w:hAnsi="Times New Roman" w:cs="Times New Roman"/>
          <w:sz w:val="24"/>
          <w:szCs w:val="24"/>
        </w:rPr>
        <w:t>właściwemu naczelnikowi urzędu skarbowego, pisemnego oświadczenia</w:t>
      </w:r>
      <w:r w:rsidR="0051281F" w:rsidRPr="0051281F">
        <w:rPr>
          <w:rFonts w:ascii="Times New Roman" w:hAnsi="Times New Roman" w:cs="Times New Roman"/>
          <w:sz w:val="24"/>
          <w:szCs w:val="24"/>
        </w:rPr>
        <w:t xml:space="preserve"> przewoźnika lub spedytora</w:t>
      </w:r>
      <w:r w:rsidR="007B10FD" w:rsidRPr="0051281F">
        <w:rPr>
          <w:rFonts w:ascii="Times New Roman" w:hAnsi="Times New Roman" w:cs="Times New Roman"/>
          <w:sz w:val="24"/>
          <w:szCs w:val="24"/>
        </w:rPr>
        <w:t xml:space="preserve">. W oświadczeniu tym powinna być wyrażona zgoda </w:t>
      </w:r>
      <w:r w:rsidRPr="0051281F">
        <w:rPr>
          <w:rFonts w:ascii="Times New Roman" w:hAnsi="Times New Roman" w:cs="Times New Roman"/>
          <w:sz w:val="24"/>
          <w:szCs w:val="24"/>
        </w:rPr>
        <w:t>na objęcie zabezpieczeniem generalnym</w:t>
      </w:r>
      <w:r w:rsidR="007B10FD" w:rsidRPr="0051281F">
        <w:rPr>
          <w:rFonts w:ascii="Times New Roman" w:hAnsi="Times New Roman" w:cs="Times New Roman"/>
          <w:sz w:val="24"/>
          <w:szCs w:val="24"/>
        </w:rPr>
        <w:t xml:space="preserve"> tych podmiotów</w:t>
      </w:r>
      <w:r w:rsidRPr="0051281F">
        <w:rPr>
          <w:rFonts w:ascii="Times New Roman" w:hAnsi="Times New Roman" w:cs="Times New Roman"/>
          <w:sz w:val="24"/>
          <w:szCs w:val="24"/>
        </w:rPr>
        <w:t xml:space="preserve"> określonego zobowiązania podatkowego podmiot</w:t>
      </w:r>
      <w:r w:rsidR="006B35EE" w:rsidRPr="0051281F">
        <w:rPr>
          <w:rFonts w:ascii="Times New Roman" w:hAnsi="Times New Roman" w:cs="Times New Roman"/>
          <w:sz w:val="24"/>
          <w:szCs w:val="24"/>
        </w:rPr>
        <w:t>u</w:t>
      </w:r>
      <w:r w:rsidR="00706357" w:rsidRPr="0051281F">
        <w:rPr>
          <w:rFonts w:ascii="Times New Roman" w:hAnsi="Times New Roman" w:cs="Times New Roman"/>
          <w:sz w:val="24"/>
          <w:szCs w:val="24"/>
        </w:rPr>
        <w:t xml:space="preserve"> odbierającego (uprawnionego odbiorcy)</w:t>
      </w:r>
      <w:r w:rsidRPr="0051281F">
        <w:rPr>
          <w:rFonts w:ascii="Times New Roman" w:hAnsi="Times New Roman" w:cs="Times New Roman"/>
          <w:sz w:val="24"/>
          <w:szCs w:val="24"/>
        </w:rPr>
        <w:t xml:space="preserve"> albo określonych zobowiązań podatkowych t</w:t>
      </w:r>
      <w:r w:rsidR="006B35EE" w:rsidRPr="0051281F">
        <w:rPr>
          <w:rFonts w:ascii="Times New Roman" w:hAnsi="Times New Roman" w:cs="Times New Roman"/>
          <w:sz w:val="24"/>
          <w:szCs w:val="24"/>
        </w:rPr>
        <w:t>ego</w:t>
      </w:r>
      <w:r w:rsidRPr="0051281F">
        <w:rPr>
          <w:rFonts w:ascii="Times New Roman" w:hAnsi="Times New Roman" w:cs="Times New Roman"/>
          <w:sz w:val="24"/>
          <w:szCs w:val="24"/>
        </w:rPr>
        <w:t xml:space="preserve"> podmiot</w:t>
      </w:r>
      <w:r w:rsidR="006B35EE" w:rsidRPr="0051281F">
        <w:rPr>
          <w:rFonts w:ascii="Times New Roman" w:hAnsi="Times New Roman" w:cs="Times New Roman"/>
          <w:sz w:val="24"/>
          <w:szCs w:val="24"/>
        </w:rPr>
        <w:t>u</w:t>
      </w:r>
      <w:r w:rsidRPr="0051281F">
        <w:rPr>
          <w:rFonts w:ascii="Times New Roman" w:hAnsi="Times New Roman" w:cs="Times New Roman"/>
          <w:sz w:val="24"/>
          <w:szCs w:val="24"/>
        </w:rPr>
        <w:t>, albo określonego zobowiązania podatkowego oraz określonej opłaty paliwowej t</w:t>
      </w:r>
      <w:r w:rsidR="006B35EE" w:rsidRPr="0051281F">
        <w:rPr>
          <w:rFonts w:ascii="Times New Roman" w:hAnsi="Times New Roman" w:cs="Times New Roman"/>
          <w:sz w:val="24"/>
          <w:szCs w:val="24"/>
        </w:rPr>
        <w:t>ego</w:t>
      </w:r>
      <w:r w:rsidRPr="0051281F">
        <w:rPr>
          <w:rFonts w:ascii="Times New Roman" w:hAnsi="Times New Roman" w:cs="Times New Roman"/>
          <w:sz w:val="24"/>
          <w:szCs w:val="24"/>
        </w:rPr>
        <w:t xml:space="preserve"> podmiot</w:t>
      </w:r>
      <w:r w:rsidR="006B35EE" w:rsidRPr="0051281F">
        <w:rPr>
          <w:rFonts w:ascii="Times New Roman" w:hAnsi="Times New Roman" w:cs="Times New Roman"/>
          <w:sz w:val="24"/>
          <w:szCs w:val="24"/>
        </w:rPr>
        <w:t>u</w:t>
      </w:r>
      <w:r w:rsidRPr="0051281F">
        <w:rPr>
          <w:rFonts w:ascii="Times New Roman" w:hAnsi="Times New Roman" w:cs="Times New Roman"/>
          <w:sz w:val="24"/>
          <w:szCs w:val="24"/>
        </w:rPr>
        <w:t>, albo określonych zobowiązań podatkowych oraz opłat paliwowych t</w:t>
      </w:r>
      <w:r w:rsidR="006B35EE" w:rsidRPr="0051281F">
        <w:rPr>
          <w:rFonts w:ascii="Times New Roman" w:hAnsi="Times New Roman" w:cs="Times New Roman"/>
          <w:sz w:val="24"/>
          <w:szCs w:val="24"/>
        </w:rPr>
        <w:t>ego</w:t>
      </w:r>
      <w:r w:rsidRPr="0051281F">
        <w:rPr>
          <w:rFonts w:ascii="Times New Roman" w:hAnsi="Times New Roman" w:cs="Times New Roman"/>
          <w:sz w:val="24"/>
          <w:szCs w:val="24"/>
        </w:rPr>
        <w:t xml:space="preserve"> podmiotu</w:t>
      </w:r>
      <w:r w:rsidR="00DE6B82" w:rsidRPr="0051281F">
        <w:rPr>
          <w:rFonts w:ascii="Times New Roman" w:hAnsi="Times New Roman" w:cs="Times New Roman"/>
          <w:sz w:val="24"/>
          <w:szCs w:val="24"/>
        </w:rPr>
        <w:t>.</w:t>
      </w:r>
      <w:r w:rsidR="007B10FD" w:rsidRPr="0051281F">
        <w:rPr>
          <w:rFonts w:ascii="Times New Roman" w:hAnsi="Times New Roman" w:cs="Times New Roman"/>
          <w:sz w:val="24"/>
          <w:szCs w:val="24"/>
        </w:rPr>
        <w:t xml:space="preserve"> Przy czym złożenie oświadczenia powinno nastąpić przed wyprowadzeniem wyrobów akcyzowych z miejsca wysyłki na terytorium państwa członkowskiego przez osobę fizyczną lub prawną zarejestrowaną przez właściwe władze państwa członkowskiego Unii Europejskiej, która wysyła na terytorium kraju z terytorium państwa członkowskiego wyroby akcyzowe poza procedurą zawieszenia poboru akcyzy</w:t>
      </w:r>
      <w:r w:rsidR="007B10FD" w:rsidRPr="0051281F" w:rsidDel="0073320F">
        <w:rPr>
          <w:rFonts w:ascii="Times New Roman" w:hAnsi="Times New Roman" w:cs="Times New Roman"/>
          <w:sz w:val="24"/>
          <w:szCs w:val="24"/>
        </w:rPr>
        <w:t xml:space="preserve"> </w:t>
      </w:r>
      <w:r w:rsidR="007B10FD" w:rsidRPr="0051281F">
        <w:rPr>
          <w:rFonts w:ascii="Times New Roman" w:hAnsi="Times New Roman" w:cs="Times New Roman"/>
          <w:sz w:val="24"/>
          <w:szCs w:val="24"/>
        </w:rPr>
        <w:t>na podstawie art. 46pa.</w:t>
      </w:r>
    </w:p>
    <w:p w:rsidR="00DF43B8" w:rsidRDefault="00DF43B8" w:rsidP="00667D77">
      <w:pPr>
        <w:widowControl/>
        <w:spacing w:after="200" w:line="240" w:lineRule="auto"/>
        <w:jc w:val="both"/>
        <w:rPr>
          <w:b/>
          <w:i/>
        </w:rPr>
      </w:pPr>
    </w:p>
    <w:p w:rsidR="00667D77" w:rsidRDefault="004D2C71" w:rsidP="00667D77">
      <w:pPr>
        <w:widowControl/>
        <w:spacing w:after="200" w:line="240" w:lineRule="auto"/>
        <w:jc w:val="both"/>
      </w:pPr>
      <w:r>
        <w:rPr>
          <w:b/>
          <w:i/>
        </w:rPr>
        <w:lastRenderedPageBreak/>
        <w:t xml:space="preserve">Projektowany </w:t>
      </w:r>
      <w:r w:rsidR="00DF43B8">
        <w:rPr>
          <w:b/>
          <w:i/>
        </w:rPr>
        <w:t>§ 10 ust. 7</w:t>
      </w:r>
      <w:r w:rsidR="00DF43B8" w:rsidRPr="00693004">
        <w:rPr>
          <w:b/>
          <w:i/>
        </w:rPr>
        <w:t xml:space="preserve"> </w:t>
      </w:r>
      <w:r>
        <w:rPr>
          <w:b/>
          <w:i/>
        </w:rPr>
        <w:t>zmienianego</w:t>
      </w:r>
      <w:r w:rsidRPr="00693004">
        <w:rPr>
          <w:b/>
          <w:i/>
        </w:rPr>
        <w:t xml:space="preserve"> </w:t>
      </w:r>
      <w:r w:rsidR="00DF43B8" w:rsidRPr="00693004">
        <w:rPr>
          <w:b/>
          <w:i/>
        </w:rPr>
        <w:t>rozporządzenia</w:t>
      </w:r>
      <w:r w:rsidR="00DF43B8">
        <w:t xml:space="preserve"> – </w:t>
      </w:r>
      <w:r w:rsidR="003A3B11">
        <w:t>należało dokonać jego korekty w</w:t>
      </w:r>
      <w:r>
        <w:t> </w:t>
      </w:r>
      <w:r w:rsidR="003A3B11">
        <w:t>związku ze zmianą wprowadzoną ustawą nowelizującą w art. 78 ust. 3 ustawy</w:t>
      </w:r>
      <w:r w:rsidR="00840603">
        <w:t xml:space="preserve"> i określić podatnika zobowiązanego do złożenia zabezpieczenia akcyzowego zgodnie z tą zmianą. </w:t>
      </w:r>
      <w:r w:rsidR="003A3B11">
        <w:t xml:space="preserve"> P</w:t>
      </w:r>
      <w:r w:rsidR="00DF43B8">
        <w:t>roponuje się</w:t>
      </w:r>
      <w:r w:rsidR="00840603">
        <w:t xml:space="preserve"> więc</w:t>
      </w:r>
      <w:r w:rsidR="00DF43B8">
        <w:t>, by</w:t>
      </w:r>
      <w:r w:rsidR="00DF43B8" w:rsidRPr="00DF43B8">
        <w:t xml:space="preserve"> </w:t>
      </w:r>
      <w:r w:rsidR="000831BA">
        <w:t>obowiązek przedłożenia dokumentów wymaganych do odnotowania obciążenia zabezpieczenia generalnego najpóźniej z chwilą złożenia właściwemu naczelnikowi urzędu skarbowego zgłoszenia o planowanym nabyciu wewnątrzwspólnotowym, dotyczy</w:t>
      </w:r>
      <w:r w:rsidR="001141D3">
        <w:t xml:space="preserve">ł </w:t>
      </w:r>
      <w:r w:rsidR="000831BA">
        <w:t>podatnika, o któr</w:t>
      </w:r>
      <w:r w:rsidR="001141D3">
        <w:t>ym mowa w art. 78 ust. 3 ustawy, tj.</w:t>
      </w:r>
      <w:r w:rsidR="00CE0F85">
        <w:t> </w:t>
      </w:r>
      <w:r w:rsidR="001141D3" w:rsidRPr="003E25C0">
        <w:rPr>
          <w:lang w:eastAsia="en-US"/>
        </w:rPr>
        <w:t>podatnik</w:t>
      </w:r>
      <w:r w:rsidR="001141D3">
        <w:rPr>
          <w:lang w:eastAsia="en-US"/>
        </w:rPr>
        <w:t>a</w:t>
      </w:r>
      <w:r w:rsidR="001141D3" w:rsidRPr="003E25C0">
        <w:rPr>
          <w:lang w:eastAsia="en-US"/>
        </w:rPr>
        <w:t xml:space="preserve"> nabywa</w:t>
      </w:r>
      <w:r w:rsidR="001141D3">
        <w:rPr>
          <w:lang w:eastAsia="en-US"/>
        </w:rPr>
        <w:t>jącego</w:t>
      </w:r>
      <w:r w:rsidR="001141D3" w:rsidRPr="003E25C0">
        <w:rPr>
          <w:lang w:eastAsia="en-US"/>
        </w:rPr>
        <w:t xml:space="preserve"> wewnątrzwspólnotowo wyroby akcyzowe niewymienione w</w:t>
      </w:r>
      <w:r w:rsidR="00CE0F85">
        <w:rPr>
          <w:lang w:eastAsia="en-US"/>
        </w:rPr>
        <w:t> </w:t>
      </w:r>
      <w:r w:rsidR="001141D3" w:rsidRPr="003E25C0">
        <w:rPr>
          <w:lang w:eastAsia="en-US"/>
        </w:rPr>
        <w:t>załączniku nr 2 do ustawy, które są objęte na ter</w:t>
      </w:r>
      <w:r w:rsidR="001141D3">
        <w:rPr>
          <w:lang w:eastAsia="en-US"/>
        </w:rPr>
        <w:t>ytorium kraju stawką akcyzy inną</w:t>
      </w:r>
      <w:r w:rsidR="001141D3" w:rsidRPr="003E25C0">
        <w:rPr>
          <w:lang w:eastAsia="en-US"/>
        </w:rPr>
        <w:t xml:space="preserve"> niż stawka zerowa, na potrzeby wykonywanej na terytorium kraju działalności gospodarczej</w:t>
      </w:r>
      <w:r w:rsidR="001141D3">
        <w:rPr>
          <w:lang w:eastAsia="en-US"/>
        </w:rPr>
        <w:t>.</w:t>
      </w:r>
    </w:p>
    <w:p w:rsidR="00684118" w:rsidRDefault="001141D3" w:rsidP="00684118">
      <w:pPr>
        <w:widowControl/>
        <w:spacing w:after="200" w:line="240" w:lineRule="auto"/>
        <w:jc w:val="both"/>
        <w:rPr>
          <w:rFonts w:eastAsia="Times New Roman" w:cs="Times New Roman"/>
          <w:szCs w:val="24"/>
        </w:rPr>
      </w:pPr>
      <w:r w:rsidRPr="001141D3">
        <w:rPr>
          <w:b/>
          <w:i/>
        </w:rPr>
        <w:t>Załącznik nr 1 i 2 do projektu rozporządzenia</w:t>
      </w:r>
      <w:r>
        <w:t xml:space="preserve"> - z</w:t>
      </w:r>
      <w:r w:rsidR="002014C3">
        <w:t xml:space="preserve"> związku z wprowadzeniem nowego katalogu podmiotów zobowiązanych do złożenia zabezpieczenia akcyzowego i zmianami w tym zakresie wprowadzonymi w ustawie o po</w:t>
      </w:r>
      <w:r w:rsidR="00C27D06">
        <w:t>datku akcyzowym należało</w:t>
      </w:r>
      <w:r w:rsidR="002014C3">
        <w:t xml:space="preserve"> dokonać</w:t>
      </w:r>
      <w:r w:rsidR="00C27D06">
        <w:t xml:space="preserve"> również</w:t>
      </w:r>
      <w:r w:rsidR="002014C3">
        <w:t xml:space="preserve"> zmian</w:t>
      </w:r>
      <w:r w:rsidR="00FF45A9">
        <w:t>y załączników</w:t>
      </w:r>
      <w:r w:rsidR="002014C3">
        <w:t xml:space="preserve"> nr 2 i 3</w:t>
      </w:r>
      <w:r w:rsidR="00B15459">
        <w:t xml:space="preserve"> obowiązującego rozporządzenia,</w:t>
      </w:r>
      <w:r w:rsidR="002014C3">
        <w:t xml:space="preserve"> zawierających odpowiednio</w:t>
      </w:r>
      <w:r w:rsidR="00FF45A9">
        <w:t>:</w:t>
      </w:r>
      <w:r w:rsidR="002014C3">
        <w:t xml:space="preserve"> wzór potwierdzenia złożenia zabezpieczenia akcyzowego oraz wzór pokwitowania złożenia zabezpieczenia akcyzowego. W obu wzora</w:t>
      </w:r>
      <w:r w:rsidR="001E6385">
        <w:t xml:space="preserve">ch skorygowano </w:t>
      </w:r>
      <w:r w:rsidR="00472903">
        <w:t>w polu</w:t>
      </w:r>
      <w:r w:rsidR="001E6385">
        <w:t xml:space="preserve"> czwartym</w:t>
      </w:r>
      <w:r w:rsidR="002014C3">
        <w:t xml:space="preserve"> – Status podmiotu zobowiązanego do złożenia zabezpieczenia akcyzowego – dotychczasową pozycję nr 5 </w:t>
      </w:r>
      <w:r w:rsidR="00B15459">
        <w:t xml:space="preserve">wprowadzając zmianę dotychczasowego podmiotu, o którym mowa w art. 78 ust. 1 ustawy na </w:t>
      </w:r>
      <w:r w:rsidR="00FF45A9">
        <w:t xml:space="preserve">podmiot o statusie </w:t>
      </w:r>
      <w:r w:rsidR="001E6385">
        <w:t>„uprawniony odbiorca”</w:t>
      </w:r>
      <w:r w:rsidR="00FF45A9">
        <w:t xml:space="preserve">. </w:t>
      </w:r>
      <w:r w:rsidR="006D1306">
        <w:t xml:space="preserve">Jednocześnie oddzielnie wyodrębniono status uprawnionego odbiorcy, który będzie dokonywał nabyć jednorazowo (poz. 5) oraz który będzie dokonywać takich nabyć wielokrotnie (poz. 6). </w:t>
      </w:r>
      <w:r w:rsidR="00FF45A9">
        <w:t xml:space="preserve">Dodatkowo uzupełniono katalog podmiotów zobowiązanych do złożenia zabezpieczenia akcyzowego o </w:t>
      </w:r>
      <w:r w:rsidR="00B15459">
        <w:t xml:space="preserve">podmioty o statusie: </w:t>
      </w:r>
      <w:r w:rsidR="00FF45A9">
        <w:t>wysyłający podmiot zagraniczny (poz. 1</w:t>
      </w:r>
      <w:r w:rsidR="006D1306">
        <w:t>2</w:t>
      </w:r>
      <w:r w:rsidR="00FF45A9">
        <w:t>) i podmiot, o którym mowa w art. 78 ust. 3 ustawy (poz. 1</w:t>
      </w:r>
      <w:r w:rsidR="006D1306">
        <w:t>3</w:t>
      </w:r>
      <w:r w:rsidR="00FF45A9">
        <w:t>).</w:t>
      </w:r>
      <w:r w:rsidR="00472903">
        <w:t xml:space="preserve"> </w:t>
      </w:r>
      <w:r w:rsidR="00684118">
        <w:t>Jednocześnie uzupełniono pole nr 4</w:t>
      </w:r>
      <w:r w:rsidR="00472903">
        <w:t xml:space="preserve"> o komentarz odnoszący się do możliwości, jaką przewiduje art. 63 ust. 1b ustawy o podatku akcyzowym. Wyjaśniono, że </w:t>
      </w:r>
      <w:r w:rsidR="00472903" w:rsidRPr="00472903">
        <w:rPr>
          <w:szCs w:val="24"/>
        </w:rPr>
        <w:t>w</w:t>
      </w:r>
      <w:r w:rsidR="00472903" w:rsidRPr="00684118">
        <w:rPr>
          <w:rFonts w:eastAsia="Times New Roman" w:cs="Times New Roman"/>
          <w:szCs w:val="24"/>
        </w:rPr>
        <w:t xml:space="preserve"> przypadku zabezpieczenia akcyzowego, o którym mowa w art. 63 ust. 1b ustawy z dnia 6 grudnia 2008 r. o podatku akcyzowym </w:t>
      </w:r>
      <w:r w:rsidR="00684118">
        <w:rPr>
          <w:rFonts w:eastAsia="Times New Roman" w:cs="Times New Roman"/>
          <w:szCs w:val="24"/>
        </w:rPr>
        <w:t xml:space="preserve">w polu tym </w:t>
      </w:r>
      <w:r w:rsidR="00472903" w:rsidRPr="00684118">
        <w:rPr>
          <w:rFonts w:eastAsia="Times New Roman" w:cs="Times New Roman"/>
          <w:szCs w:val="24"/>
        </w:rPr>
        <w:t>należy wskazać wszystkie</w:t>
      </w:r>
      <w:r w:rsidR="00684118" w:rsidRPr="00684118">
        <w:rPr>
          <w:rFonts w:eastAsia="Times New Roman" w:cs="Times New Roman"/>
          <w:szCs w:val="24"/>
        </w:rPr>
        <w:t xml:space="preserve"> statusy, których dotyczyć ma</w:t>
      </w:r>
      <w:r w:rsidR="00B15459">
        <w:rPr>
          <w:rFonts w:eastAsia="Times New Roman" w:cs="Times New Roman"/>
          <w:szCs w:val="24"/>
        </w:rPr>
        <w:t xml:space="preserve"> jedno, wspólne </w:t>
      </w:r>
      <w:r w:rsidR="00472903" w:rsidRPr="00684118">
        <w:rPr>
          <w:rFonts w:eastAsia="Times New Roman" w:cs="Times New Roman"/>
          <w:szCs w:val="24"/>
        </w:rPr>
        <w:t>zabezpieczenie akcyzowe</w:t>
      </w:r>
      <w:r w:rsidR="00684118">
        <w:rPr>
          <w:rFonts w:eastAsia="Times New Roman" w:cs="Times New Roman"/>
          <w:szCs w:val="24"/>
        </w:rPr>
        <w:t>.</w:t>
      </w:r>
      <w:r w:rsidR="00B15459">
        <w:rPr>
          <w:rFonts w:eastAsia="Times New Roman" w:cs="Times New Roman"/>
          <w:szCs w:val="24"/>
        </w:rPr>
        <w:t xml:space="preserve"> </w:t>
      </w:r>
    </w:p>
    <w:p w:rsidR="00840603" w:rsidRPr="006563BD" w:rsidRDefault="003277C1" w:rsidP="00840603">
      <w:pPr>
        <w:spacing w:line="240" w:lineRule="auto"/>
        <w:jc w:val="both"/>
      </w:pPr>
      <w:r>
        <w:t>Ponieważ projekt przewiduje nowe wzory potwierdzenia</w:t>
      </w:r>
      <w:r w:rsidR="00305354">
        <w:t xml:space="preserve"> złożenia zabezpieczenia akcyzowego</w:t>
      </w:r>
      <w:r>
        <w:t xml:space="preserve"> i pokwitowania złożenia zabezpieczenia dodano regulację, która wskazuje, że nie wymagają </w:t>
      </w:r>
      <w:r w:rsidR="00840603" w:rsidRPr="006563BD">
        <w:t>zmiany</w:t>
      </w:r>
      <w:r>
        <w:t xml:space="preserve"> pokwitowania i</w:t>
      </w:r>
      <w:r w:rsidR="004D2C71">
        <w:t> </w:t>
      </w:r>
      <w:r>
        <w:t>potwierdzenia</w:t>
      </w:r>
      <w:r w:rsidR="00840603" w:rsidRPr="006563BD">
        <w:t xml:space="preserve"> wydan</w:t>
      </w:r>
      <w:r>
        <w:t>e</w:t>
      </w:r>
      <w:r w:rsidR="00840603" w:rsidRPr="006563BD">
        <w:t xml:space="preserve"> przed dniem wejścia w życie nowelizacji</w:t>
      </w:r>
      <w:r w:rsidR="00E17070">
        <w:t xml:space="preserve">, </w:t>
      </w:r>
      <w:r w:rsidR="00840603" w:rsidRPr="006563BD">
        <w:t>jeżeli złożone zabezpieczenie akcyzowe zapewnia pokrycie w należnej wyso</w:t>
      </w:r>
      <w:r w:rsidR="00305354">
        <w:t>kości lub w terminie obecnych i </w:t>
      </w:r>
      <w:r w:rsidR="00840603" w:rsidRPr="006563BD">
        <w:t>przyszłych kwot zobowiązania podatkowego lub kwot zobowiązania podatkowego oraz opłaty paliwowej.</w:t>
      </w:r>
      <w:r w:rsidR="00305354">
        <w:t xml:space="preserve"> </w:t>
      </w:r>
    </w:p>
    <w:p w:rsidR="004D2C71" w:rsidRDefault="00615A63" w:rsidP="00684118">
      <w:pPr>
        <w:spacing w:before="120" w:after="120" w:line="240" w:lineRule="auto"/>
        <w:jc w:val="both"/>
        <w:rPr>
          <w:rFonts w:cs="Times New Roman"/>
          <w:szCs w:val="24"/>
        </w:rPr>
      </w:pPr>
      <w:r w:rsidRPr="0031057C">
        <w:rPr>
          <w:rFonts w:cs="Times New Roman"/>
          <w:szCs w:val="24"/>
        </w:rPr>
        <w:t>Przewiduje się, że rozporządzenie wejdzie</w:t>
      </w:r>
      <w:r w:rsidR="00F96548" w:rsidRPr="0031057C">
        <w:rPr>
          <w:rFonts w:cs="Times New Roman"/>
          <w:szCs w:val="24"/>
        </w:rPr>
        <w:t xml:space="preserve"> w życie </w:t>
      </w:r>
      <w:r w:rsidR="00347C38" w:rsidRPr="0031057C">
        <w:rPr>
          <w:rFonts w:cs="Times New Roman"/>
          <w:szCs w:val="24"/>
        </w:rPr>
        <w:t>z dniem</w:t>
      </w:r>
      <w:r w:rsidR="0031057C" w:rsidRPr="0031057C">
        <w:rPr>
          <w:rFonts w:cs="Times New Roman"/>
          <w:szCs w:val="24"/>
        </w:rPr>
        <w:t xml:space="preserve"> </w:t>
      </w:r>
      <w:r w:rsidR="00363F68" w:rsidRPr="0031057C">
        <w:rPr>
          <w:rFonts w:cs="Times New Roman"/>
          <w:szCs w:val="24"/>
        </w:rPr>
        <w:t>1</w:t>
      </w:r>
      <w:r w:rsidR="00E17070">
        <w:rPr>
          <w:rFonts w:cs="Times New Roman"/>
          <w:szCs w:val="24"/>
        </w:rPr>
        <w:t>6 stycznia</w:t>
      </w:r>
      <w:r w:rsidR="00363F68" w:rsidRPr="0031057C">
        <w:rPr>
          <w:rFonts w:cs="Times New Roman"/>
          <w:szCs w:val="24"/>
        </w:rPr>
        <w:t xml:space="preserve"> 2023 r</w:t>
      </w:r>
      <w:r w:rsidR="003B0EDD" w:rsidRPr="0031057C">
        <w:rPr>
          <w:rFonts w:cs="Times New Roman"/>
          <w:szCs w:val="24"/>
        </w:rPr>
        <w:t>oku</w:t>
      </w:r>
      <w:r w:rsidR="001F7448" w:rsidRPr="0031057C">
        <w:rPr>
          <w:rFonts w:cs="Times New Roman"/>
          <w:szCs w:val="24"/>
        </w:rPr>
        <w:t>.</w:t>
      </w:r>
      <w:r w:rsidR="00834E70" w:rsidRPr="00834E70">
        <w:t xml:space="preserve"> </w:t>
      </w:r>
      <w:r w:rsidR="00E17070">
        <w:t xml:space="preserve">Przyjęcie takiego terminu jest spójne z przygotowywaną </w:t>
      </w:r>
      <w:r w:rsidR="004D2C71">
        <w:t xml:space="preserve">zmianą </w:t>
      </w:r>
      <w:r w:rsidR="00E17070">
        <w:t>ustawy nowelizującej z dnia 9</w:t>
      </w:r>
      <w:r w:rsidR="003277C1">
        <w:t> </w:t>
      </w:r>
      <w:r w:rsidR="00E17070">
        <w:t xml:space="preserve">grudnia 2021 r. o zmianie ustawy o podatku akcyzowych oraz niektórych innych ustaw. </w:t>
      </w:r>
      <w:r w:rsidR="00E17070">
        <w:rPr>
          <w:szCs w:val="24"/>
        </w:rPr>
        <w:t>Umożliwi on</w:t>
      </w:r>
      <w:r w:rsidR="00E17070" w:rsidRPr="00C75342">
        <w:rPr>
          <w:szCs w:val="24"/>
        </w:rPr>
        <w:t xml:space="preserve"> podmiotom posiadającym ww. statusy akcyzowe, planującym po dniu 13 lutego 2023 r. nabywanie wyrobów akcyzowych poza procedurą zawieszenia poboru akcyzy przy użyciu systemu EMCS PL2 i dokumentu eSAD, na przygotowanie się do takich przemieszczeń dzięki możliwości wcześniejszego złożenia zabezpieczenia akcyzowego i uzyskania potwierdzenia lub pokwitowania złożenia zabezpieczenia akcyzowego. Tym samym możliwe będzie zachowanie ciągłości nabyć wewnątrzwspólnotowych wyrobów akcyzowych poza procedurą zawieszenia poboru akcyzy na potrzeby prowadzonej działalności</w:t>
      </w:r>
      <w:r w:rsidR="00E17070">
        <w:rPr>
          <w:szCs w:val="24"/>
        </w:rPr>
        <w:t xml:space="preserve"> </w:t>
      </w:r>
      <w:r w:rsidR="00E17070" w:rsidRPr="00C75342">
        <w:rPr>
          <w:szCs w:val="24"/>
        </w:rPr>
        <w:t>gospodarczej.</w:t>
      </w:r>
      <w:r w:rsidR="00E17070">
        <w:rPr>
          <w:szCs w:val="24"/>
        </w:rPr>
        <w:t xml:space="preserve"> </w:t>
      </w:r>
    </w:p>
    <w:p w:rsidR="009C6095" w:rsidRPr="00B80930" w:rsidRDefault="009C6095" w:rsidP="00684118">
      <w:pPr>
        <w:spacing w:before="120" w:after="120" w:line="240" w:lineRule="auto"/>
        <w:jc w:val="both"/>
        <w:rPr>
          <w:rFonts w:cs="Times New Roman"/>
          <w:szCs w:val="24"/>
        </w:rPr>
      </w:pPr>
      <w:r w:rsidRPr="00B80930">
        <w:rPr>
          <w:rFonts w:cs="Times New Roman"/>
          <w:szCs w:val="24"/>
        </w:rPr>
        <w:t xml:space="preserve">Projekt rozporządzenia jest zgodny z prawem Unii Europejskiej. </w:t>
      </w:r>
    </w:p>
    <w:p w:rsidR="009C6095" w:rsidRPr="00B80930" w:rsidRDefault="009C6095" w:rsidP="00684118">
      <w:pPr>
        <w:spacing w:before="120" w:after="120" w:line="240" w:lineRule="auto"/>
        <w:jc w:val="both"/>
        <w:rPr>
          <w:rFonts w:cs="Times New Roman"/>
          <w:szCs w:val="24"/>
        </w:rPr>
      </w:pPr>
      <w:r w:rsidRPr="00B80930">
        <w:rPr>
          <w:rFonts w:cs="Times New Roman"/>
          <w:szCs w:val="24"/>
        </w:rPr>
        <w:t xml:space="preserve">Projekt rozporządzenia nie podlega przedstawieniu właściwym organom i instytucjom Unii </w:t>
      </w:r>
      <w:r w:rsidRPr="00B80930">
        <w:rPr>
          <w:rFonts w:cs="Times New Roman"/>
          <w:szCs w:val="24"/>
        </w:rPr>
        <w:lastRenderedPageBreak/>
        <w:t xml:space="preserve">Europejskiej, w tym Europejskiemu Bankowi Centralnemu. </w:t>
      </w:r>
    </w:p>
    <w:p w:rsidR="009C6095" w:rsidRDefault="009C6095" w:rsidP="00684118">
      <w:pPr>
        <w:spacing w:line="240" w:lineRule="auto"/>
        <w:jc w:val="both"/>
        <w:rPr>
          <w:rFonts w:cs="Times New Roman"/>
          <w:szCs w:val="24"/>
        </w:rPr>
      </w:pPr>
      <w:r w:rsidRPr="00B80930">
        <w:rPr>
          <w:rFonts w:cs="Times New Roman"/>
          <w:szCs w:val="24"/>
        </w:rPr>
        <w:t xml:space="preserve">Projekt rozporządzenia nie zawiera norm technicznych w rozumieniu przepisów rozporządzenia Rady Ministrów z dnia 23 grudnia 2002 r. w sprawie sposobu funkcjonowania krajowego systemu notyfikacji norm i aktów prawnych (Dz. U. </w:t>
      </w:r>
      <w:r w:rsidR="0006227B">
        <w:rPr>
          <w:rFonts w:cs="Times New Roman"/>
          <w:szCs w:val="24"/>
        </w:rPr>
        <w:t xml:space="preserve">nr 239, </w:t>
      </w:r>
      <w:r w:rsidRPr="00B80930">
        <w:rPr>
          <w:rFonts w:cs="Times New Roman"/>
          <w:szCs w:val="24"/>
        </w:rPr>
        <w:t>poz. 2039</w:t>
      </w:r>
      <w:r w:rsidR="00EA7ACA">
        <w:rPr>
          <w:rFonts w:cs="Times New Roman"/>
          <w:szCs w:val="24"/>
        </w:rPr>
        <w:t>, z późn. zm.</w:t>
      </w:r>
      <w:r w:rsidRPr="00B80930">
        <w:rPr>
          <w:rFonts w:cs="Times New Roman"/>
          <w:szCs w:val="24"/>
        </w:rPr>
        <w:t>), w związku</w:t>
      </w:r>
      <w:r w:rsidR="00A5264E">
        <w:rPr>
          <w:rFonts w:cs="Times New Roman"/>
          <w:szCs w:val="24"/>
        </w:rPr>
        <w:t xml:space="preserve"> z czym nie podlega notyfikacji.</w:t>
      </w:r>
    </w:p>
    <w:p w:rsidR="00E17070" w:rsidRDefault="00E17070" w:rsidP="00684118">
      <w:pPr>
        <w:spacing w:line="240" w:lineRule="auto"/>
        <w:jc w:val="both"/>
        <w:rPr>
          <w:rFonts w:cs="Times New Roman"/>
          <w:szCs w:val="24"/>
        </w:rPr>
      </w:pPr>
    </w:p>
    <w:p w:rsidR="00E20B66" w:rsidRDefault="00E17070" w:rsidP="00684118">
      <w:pPr>
        <w:spacing w:line="240" w:lineRule="auto"/>
        <w:jc w:val="both"/>
        <w:rPr>
          <w:rFonts w:eastAsia="Times New Roman" w:cs="Times New Roman"/>
          <w:szCs w:val="24"/>
        </w:rPr>
      </w:pPr>
      <w:r>
        <w:rPr>
          <w:rFonts w:eastAsiaTheme="minorHAnsi" w:cs="Times New Roman"/>
          <w:szCs w:val="24"/>
          <w:lang w:eastAsia="en-US"/>
        </w:rPr>
        <w:t>Wprowadzone</w:t>
      </w:r>
      <w:r w:rsidRPr="00173D98">
        <w:rPr>
          <w:rFonts w:eastAsiaTheme="minorHAnsi" w:cs="Times New Roman"/>
          <w:szCs w:val="24"/>
          <w:lang w:eastAsia="en-US"/>
        </w:rPr>
        <w:t xml:space="preserve"> </w:t>
      </w:r>
      <w:r>
        <w:rPr>
          <w:rFonts w:eastAsiaTheme="minorHAnsi" w:cs="Times New Roman"/>
          <w:szCs w:val="24"/>
          <w:lang w:eastAsia="en-US"/>
        </w:rPr>
        <w:t>zmiany,</w:t>
      </w:r>
      <w:r w:rsidRPr="00173D98">
        <w:rPr>
          <w:rFonts w:eastAsia="Times New Roman" w:cs="Times New Roman"/>
          <w:szCs w:val="24"/>
        </w:rPr>
        <w:t xml:space="preserve"> </w:t>
      </w:r>
      <w:r>
        <w:rPr>
          <w:rFonts w:eastAsia="Times New Roman" w:cs="Times New Roman"/>
          <w:szCs w:val="24"/>
        </w:rPr>
        <w:t xml:space="preserve">stanowiące </w:t>
      </w:r>
      <w:r w:rsidRPr="00173D98">
        <w:rPr>
          <w:rFonts w:eastAsia="Times New Roman" w:cs="Times New Roman"/>
          <w:szCs w:val="24"/>
        </w:rPr>
        <w:t>dostosowanie do systematyki ustawy o podatku akcyzowym</w:t>
      </w:r>
      <w:r>
        <w:rPr>
          <w:rFonts w:eastAsia="Times New Roman" w:cs="Times New Roman"/>
          <w:szCs w:val="24"/>
        </w:rPr>
        <w:t>,</w:t>
      </w:r>
      <w:r w:rsidR="005D69D8">
        <w:rPr>
          <w:rFonts w:eastAsia="Times New Roman" w:cs="Times New Roman"/>
          <w:szCs w:val="24"/>
        </w:rPr>
        <w:t xml:space="preserve"> wpłyn</w:t>
      </w:r>
      <w:r>
        <w:rPr>
          <w:rFonts w:eastAsia="Times New Roman" w:cs="Times New Roman"/>
          <w:szCs w:val="24"/>
        </w:rPr>
        <w:t>ą</w:t>
      </w:r>
      <w:r w:rsidRPr="00173D98">
        <w:rPr>
          <w:rFonts w:eastAsia="Times New Roman" w:cs="Times New Roman"/>
          <w:szCs w:val="24"/>
        </w:rPr>
        <w:t xml:space="preserve"> pozytywnie na działalność </w:t>
      </w:r>
      <w:r w:rsidRPr="00173D98">
        <w:rPr>
          <w:rFonts w:eastAsiaTheme="minorHAnsi" w:cs="Times New Roman"/>
          <w:szCs w:val="24"/>
          <w:lang w:eastAsia="en-US"/>
        </w:rPr>
        <w:t>mikroprzedsiębiorców, małych i średnich przedsiębiorców</w:t>
      </w:r>
      <w:r w:rsidRPr="00173D98">
        <w:rPr>
          <w:rFonts w:eastAsia="Times New Roman" w:cs="Times New Roman"/>
          <w:szCs w:val="24"/>
        </w:rPr>
        <w:t>.</w:t>
      </w:r>
    </w:p>
    <w:p w:rsidR="004D2C71" w:rsidRPr="00B80930" w:rsidRDefault="004D2C71" w:rsidP="00684118">
      <w:pPr>
        <w:spacing w:line="240" w:lineRule="auto"/>
        <w:jc w:val="both"/>
        <w:rPr>
          <w:rFonts w:cs="Times New Roman"/>
          <w:szCs w:val="24"/>
        </w:rPr>
      </w:pPr>
    </w:p>
    <w:p w:rsidR="00DA244C" w:rsidRPr="00B80930" w:rsidRDefault="009C6095" w:rsidP="00684118">
      <w:pPr>
        <w:spacing w:line="240" w:lineRule="auto"/>
        <w:jc w:val="both"/>
        <w:rPr>
          <w:rFonts w:cs="Times New Roman"/>
          <w:szCs w:val="24"/>
        </w:rPr>
      </w:pPr>
      <w:r w:rsidRPr="00B80930">
        <w:rPr>
          <w:rFonts w:cs="Times New Roman"/>
          <w:szCs w:val="24"/>
        </w:rPr>
        <w:t>Zgodnie z art. 5 ustawy z dnia 7 lipca 2005 r. o działalności lobbingowej w procesie stanowienia prawa (Dz. U. z 2017 r., poz. 248) w związku z § 52 uchwały Nr 190 Rady Ministrów z dnia 29 października 2013 r. Regulamin pracy Rady Ministrów (M.P. z 20</w:t>
      </w:r>
      <w:r w:rsidR="00EA7ACA">
        <w:rPr>
          <w:rFonts w:cs="Times New Roman"/>
          <w:szCs w:val="24"/>
        </w:rPr>
        <w:t>22</w:t>
      </w:r>
      <w:r w:rsidRPr="00B80930">
        <w:rPr>
          <w:rFonts w:cs="Times New Roman"/>
          <w:szCs w:val="24"/>
        </w:rPr>
        <w:t xml:space="preserve"> r. poz. </w:t>
      </w:r>
      <w:r w:rsidR="00EA7ACA">
        <w:rPr>
          <w:rFonts w:cs="Times New Roman"/>
          <w:szCs w:val="24"/>
        </w:rPr>
        <w:t>348</w:t>
      </w:r>
      <w:r w:rsidRPr="00B80930">
        <w:rPr>
          <w:rFonts w:cs="Times New Roman"/>
          <w:szCs w:val="24"/>
        </w:rPr>
        <w:t>), projekt rozporządzenia, z chwilą przekazania do uzgodnień z</w:t>
      </w:r>
      <w:r w:rsidR="00712D7C" w:rsidRPr="00B80930">
        <w:rPr>
          <w:rFonts w:cs="Times New Roman"/>
          <w:szCs w:val="24"/>
        </w:rPr>
        <w:t> </w:t>
      </w:r>
      <w:r w:rsidRPr="00B80930">
        <w:rPr>
          <w:rFonts w:cs="Times New Roman"/>
          <w:szCs w:val="24"/>
        </w:rPr>
        <w:t>członkami Rady Ministrów oraz k</w:t>
      </w:r>
      <w:r w:rsidR="00363F68">
        <w:rPr>
          <w:rFonts w:cs="Times New Roman"/>
          <w:szCs w:val="24"/>
        </w:rPr>
        <w:t>onsultacji publicznych, zostanie</w:t>
      </w:r>
      <w:r w:rsidRPr="00B80930">
        <w:rPr>
          <w:rFonts w:cs="Times New Roman"/>
          <w:szCs w:val="24"/>
        </w:rPr>
        <w:t xml:space="preserve"> udostępniony w Biuletynie Informacji Publicznej na stronie podmiotowej Rządowego Centrum Legislacji, w serwisie Rządowy Proces Legislacji.</w:t>
      </w:r>
    </w:p>
    <w:sectPr w:rsidR="00DA244C" w:rsidRPr="00B80930" w:rsidSect="001A7F15">
      <w:headerReference w:type="default" r:id="rId8"/>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70" w:rsidRDefault="00F73A70" w:rsidP="001F29D8">
      <w:pPr>
        <w:spacing w:line="240" w:lineRule="auto"/>
      </w:pPr>
      <w:r>
        <w:separator/>
      </w:r>
    </w:p>
  </w:endnote>
  <w:endnote w:type="continuationSeparator" w:id="0">
    <w:p w:rsidR="00F73A70" w:rsidRDefault="00F73A70" w:rsidP="001F29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70" w:rsidRDefault="00F73A70" w:rsidP="001F29D8">
      <w:pPr>
        <w:spacing w:line="240" w:lineRule="auto"/>
      </w:pPr>
      <w:r>
        <w:separator/>
      </w:r>
    </w:p>
  </w:footnote>
  <w:footnote w:type="continuationSeparator" w:id="0">
    <w:p w:rsidR="00F73A70" w:rsidRDefault="00F73A70" w:rsidP="001F29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E3D" w:rsidRPr="00B371CC" w:rsidRDefault="00977D2B" w:rsidP="00B371CC">
    <w:pPr>
      <w:pStyle w:val="Nagwek"/>
      <w:jc w:val="center"/>
    </w:pPr>
    <w:r>
      <w:t xml:space="preserve">– </w:t>
    </w:r>
    <w:r>
      <w:fldChar w:fldCharType="begin"/>
    </w:r>
    <w:r>
      <w:instrText xml:space="preserve"> PAGE  \* MERGEFORMAT </w:instrText>
    </w:r>
    <w:r>
      <w:fldChar w:fldCharType="separate"/>
    </w:r>
    <w:r w:rsidR="00F80356">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148EF"/>
    <w:multiLevelType w:val="hybridMultilevel"/>
    <w:tmpl w:val="852EB942"/>
    <w:lvl w:ilvl="0" w:tplc="FF9467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0522E6"/>
    <w:multiLevelType w:val="hybridMultilevel"/>
    <w:tmpl w:val="67EE6ADC"/>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D8"/>
    <w:rsid w:val="00000ACF"/>
    <w:rsid w:val="000261BC"/>
    <w:rsid w:val="00046A0C"/>
    <w:rsid w:val="00051AA1"/>
    <w:rsid w:val="000615FF"/>
    <w:rsid w:val="0006227B"/>
    <w:rsid w:val="000629AC"/>
    <w:rsid w:val="000831BA"/>
    <w:rsid w:val="00085D05"/>
    <w:rsid w:val="000C1732"/>
    <w:rsid w:val="000E755E"/>
    <w:rsid w:val="000F5998"/>
    <w:rsid w:val="001055DE"/>
    <w:rsid w:val="001141D3"/>
    <w:rsid w:val="001170A0"/>
    <w:rsid w:val="0012346E"/>
    <w:rsid w:val="00131CDC"/>
    <w:rsid w:val="00135A6E"/>
    <w:rsid w:val="001530E1"/>
    <w:rsid w:val="00154E99"/>
    <w:rsid w:val="00170989"/>
    <w:rsid w:val="0018062C"/>
    <w:rsid w:val="0019323D"/>
    <w:rsid w:val="00195EB9"/>
    <w:rsid w:val="0019693D"/>
    <w:rsid w:val="001A276B"/>
    <w:rsid w:val="001A6C02"/>
    <w:rsid w:val="001B44E6"/>
    <w:rsid w:val="001C21C8"/>
    <w:rsid w:val="001C65BD"/>
    <w:rsid w:val="001D4EB0"/>
    <w:rsid w:val="001E6385"/>
    <w:rsid w:val="001E7426"/>
    <w:rsid w:val="001F29D8"/>
    <w:rsid w:val="001F7448"/>
    <w:rsid w:val="002014C3"/>
    <w:rsid w:val="00215731"/>
    <w:rsid w:val="002260D7"/>
    <w:rsid w:val="00231C27"/>
    <w:rsid w:val="00232B85"/>
    <w:rsid w:val="00236A11"/>
    <w:rsid w:val="00236D44"/>
    <w:rsid w:val="00245887"/>
    <w:rsid w:val="0024602A"/>
    <w:rsid w:val="00254B50"/>
    <w:rsid w:val="00262B12"/>
    <w:rsid w:val="0028189C"/>
    <w:rsid w:val="00287BB6"/>
    <w:rsid w:val="00290032"/>
    <w:rsid w:val="002A7153"/>
    <w:rsid w:val="002B1833"/>
    <w:rsid w:val="002C7D94"/>
    <w:rsid w:val="002E26F7"/>
    <w:rsid w:val="002F1A9D"/>
    <w:rsid w:val="00303EEA"/>
    <w:rsid w:val="00305354"/>
    <w:rsid w:val="00310225"/>
    <w:rsid w:val="0031057C"/>
    <w:rsid w:val="003130EA"/>
    <w:rsid w:val="003277C1"/>
    <w:rsid w:val="00337542"/>
    <w:rsid w:val="003404A5"/>
    <w:rsid w:val="00347C38"/>
    <w:rsid w:val="00363F68"/>
    <w:rsid w:val="0037128D"/>
    <w:rsid w:val="00387724"/>
    <w:rsid w:val="00387D40"/>
    <w:rsid w:val="00391ABA"/>
    <w:rsid w:val="00393C82"/>
    <w:rsid w:val="003A1925"/>
    <w:rsid w:val="003A3B11"/>
    <w:rsid w:val="003B0EDD"/>
    <w:rsid w:val="003B3734"/>
    <w:rsid w:val="003D2C9C"/>
    <w:rsid w:val="003D5436"/>
    <w:rsid w:val="003E2020"/>
    <w:rsid w:val="003E3374"/>
    <w:rsid w:val="00402170"/>
    <w:rsid w:val="0041457D"/>
    <w:rsid w:val="004150C4"/>
    <w:rsid w:val="00427CE8"/>
    <w:rsid w:val="00435861"/>
    <w:rsid w:val="00435A9D"/>
    <w:rsid w:val="004424D5"/>
    <w:rsid w:val="00450169"/>
    <w:rsid w:val="004670A2"/>
    <w:rsid w:val="00472903"/>
    <w:rsid w:val="00474A39"/>
    <w:rsid w:val="00483CD8"/>
    <w:rsid w:val="00490528"/>
    <w:rsid w:val="004A7823"/>
    <w:rsid w:val="004B592A"/>
    <w:rsid w:val="004C2300"/>
    <w:rsid w:val="004D2C71"/>
    <w:rsid w:val="004D3FDB"/>
    <w:rsid w:val="004E2603"/>
    <w:rsid w:val="004E6390"/>
    <w:rsid w:val="004F6704"/>
    <w:rsid w:val="0050463F"/>
    <w:rsid w:val="00510DC9"/>
    <w:rsid w:val="0051281F"/>
    <w:rsid w:val="005142E8"/>
    <w:rsid w:val="0052047D"/>
    <w:rsid w:val="00545EDE"/>
    <w:rsid w:val="00552D46"/>
    <w:rsid w:val="005537F4"/>
    <w:rsid w:val="005603B7"/>
    <w:rsid w:val="00561FBC"/>
    <w:rsid w:val="00563E81"/>
    <w:rsid w:val="00580388"/>
    <w:rsid w:val="00580C78"/>
    <w:rsid w:val="005909DB"/>
    <w:rsid w:val="00594C09"/>
    <w:rsid w:val="005A7628"/>
    <w:rsid w:val="005B65EE"/>
    <w:rsid w:val="005C7DD6"/>
    <w:rsid w:val="005D1BB2"/>
    <w:rsid w:val="005D3301"/>
    <w:rsid w:val="005D69D8"/>
    <w:rsid w:val="005E0950"/>
    <w:rsid w:val="006054D1"/>
    <w:rsid w:val="00612905"/>
    <w:rsid w:val="00615A63"/>
    <w:rsid w:val="0061689F"/>
    <w:rsid w:val="00637E7A"/>
    <w:rsid w:val="00664E4D"/>
    <w:rsid w:val="00667D77"/>
    <w:rsid w:val="00684118"/>
    <w:rsid w:val="006874AC"/>
    <w:rsid w:val="006901A2"/>
    <w:rsid w:val="00693004"/>
    <w:rsid w:val="006A41CA"/>
    <w:rsid w:val="006A547B"/>
    <w:rsid w:val="006B353B"/>
    <w:rsid w:val="006B35EE"/>
    <w:rsid w:val="006D1306"/>
    <w:rsid w:val="006E345C"/>
    <w:rsid w:val="006F0FC9"/>
    <w:rsid w:val="00702C67"/>
    <w:rsid w:val="00706357"/>
    <w:rsid w:val="00712B3A"/>
    <w:rsid w:val="00712D7C"/>
    <w:rsid w:val="007174CD"/>
    <w:rsid w:val="0072195F"/>
    <w:rsid w:val="007302B6"/>
    <w:rsid w:val="0073320F"/>
    <w:rsid w:val="00733E40"/>
    <w:rsid w:val="007367BC"/>
    <w:rsid w:val="0074525A"/>
    <w:rsid w:val="00763E20"/>
    <w:rsid w:val="00765EB1"/>
    <w:rsid w:val="0078205C"/>
    <w:rsid w:val="00783674"/>
    <w:rsid w:val="00786F0D"/>
    <w:rsid w:val="0079053D"/>
    <w:rsid w:val="00793C84"/>
    <w:rsid w:val="007A4D0C"/>
    <w:rsid w:val="007B10FD"/>
    <w:rsid w:val="007B33DD"/>
    <w:rsid w:val="007D558A"/>
    <w:rsid w:val="007D682E"/>
    <w:rsid w:val="007F297C"/>
    <w:rsid w:val="008012AE"/>
    <w:rsid w:val="00801C06"/>
    <w:rsid w:val="0081675B"/>
    <w:rsid w:val="00834E70"/>
    <w:rsid w:val="00840603"/>
    <w:rsid w:val="00854BEA"/>
    <w:rsid w:val="00863AC2"/>
    <w:rsid w:val="00885684"/>
    <w:rsid w:val="008A3DF8"/>
    <w:rsid w:val="008A47C2"/>
    <w:rsid w:val="008A4A69"/>
    <w:rsid w:val="008B64A2"/>
    <w:rsid w:val="008B76B9"/>
    <w:rsid w:val="008C431B"/>
    <w:rsid w:val="008E38D4"/>
    <w:rsid w:val="008E6E68"/>
    <w:rsid w:val="008E72C5"/>
    <w:rsid w:val="00935BE6"/>
    <w:rsid w:val="00940900"/>
    <w:rsid w:val="00952684"/>
    <w:rsid w:val="00974B82"/>
    <w:rsid w:val="00977324"/>
    <w:rsid w:val="00977D2B"/>
    <w:rsid w:val="00981911"/>
    <w:rsid w:val="009A4CC5"/>
    <w:rsid w:val="009C384D"/>
    <w:rsid w:val="009C6095"/>
    <w:rsid w:val="009E3727"/>
    <w:rsid w:val="00A13F12"/>
    <w:rsid w:val="00A23F81"/>
    <w:rsid w:val="00A5264E"/>
    <w:rsid w:val="00A5363C"/>
    <w:rsid w:val="00A56F32"/>
    <w:rsid w:val="00A610E4"/>
    <w:rsid w:val="00A724CC"/>
    <w:rsid w:val="00A76FAA"/>
    <w:rsid w:val="00A84554"/>
    <w:rsid w:val="00A849B1"/>
    <w:rsid w:val="00A90D4D"/>
    <w:rsid w:val="00A97E88"/>
    <w:rsid w:val="00AB05D9"/>
    <w:rsid w:val="00AC7E2E"/>
    <w:rsid w:val="00AD0657"/>
    <w:rsid w:val="00AF0EE0"/>
    <w:rsid w:val="00B15459"/>
    <w:rsid w:val="00B160A9"/>
    <w:rsid w:val="00B344CD"/>
    <w:rsid w:val="00B40C4C"/>
    <w:rsid w:val="00B4328B"/>
    <w:rsid w:val="00B62F10"/>
    <w:rsid w:val="00B770FC"/>
    <w:rsid w:val="00B80930"/>
    <w:rsid w:val="00B90CF0"/>
    <w:rsid w:val="00BE46F7"/>
    <w:rsid w:val="00BE7FBC"/>
    <w:rsid w:val="00BF5448"/>
    <w:rsid w:val="00C05071"/>
    <w:rsid w:val="00C15EC1"/>
    <w:rsid w:val="00C25D70"/>
    <w:rsid w:val="00C27D06"/>
    <w:rsid w:val="00C311C7"/>
    <w:rsid w:val="00C428E6"/>
    <w:rsid w:val="00C54D7E"/>
    <w:rsid w:val="00C64C76"/>
    <w:rsid w:val="00C817F9"/>
    <w:rsid w:val="00CA120C"/>
    <w:rsid w:val="00CA13E1"/>
    <w:rsid w:val="00CA23B3"/>
    <w:rsid w:val="00CB12EE"/>
    <w:rsid w:val="00CC17B3"/>
    <w:rsid w:val="00CC18E1"/>
    <w:rsid w:val="00CD3B36"/>
    <w:rsid w:val="00CD50DD"/>
    <w:rsid w:val="00CE0F85"/>
    <w:rsid w:val="00CE4746"/>
    <w:rsid w:val="00CE4AF5"/>
    <w:rsid w:val="00CF50FC"/>
    <w:rsid w:val="00D062C6"/>
    <w:rsid w:val="00D071A1"/>
    <w:rsid w:val="00D13799"/>
    <w:rsid w:val="00D17A48"/>
    <w:rsid w:val="00D4107E"/>
    <w:rsid w:val="00D63095"/>
    <w:rsid w:val="00D63DF8"/>
    <w:rsid w:val="00D64466"/>
    <w:rsid w:val="00D82E4E"/>
    <w:rsid w:val="00D92F62"/>
    <w:rsid w:val="00DA244C"/>
    <w:rsid w:val="00DA2CCF"/>
    <w:rsid w:val="00DB0862"/>
    <w:rsid w:val="00DB3461"/>
    <w:rsid w:val="00DC526D"/>
    <w:rsid w:val="00DE0E91"/>
    <w:rsid w:val="00DE6B82"/>
    <w:rsid w:val="00DF43B8"/>
    <w:rsid w:val="00E15A52"/>
    <w:rsid w:val="00E17070"/>
    <w:rsid w:val="00E20B66"/>
    <w:rsid w:val="00E61D08"/>
    <w:rsid w:val="00E65B1F"/>
    <w:rsid w:val="00E748FD"/>
    <w:rsid w:val="00E90ADD"/>
    <w:rsid w:val="00EA0F6F"/>
    <w:rsid w:val="00EA7ACA"/>
    <w:rsid w:val="00EC1BDA"/>
    <w:rsid w:val="00ED319A"/>
    <w:rsid w:val="00ED39DE"/>
    <w:rsid w:val="00EE07B5"/>
    <w:rsid w:val="00F05450"/>
    <w:rsid w:val="00F102EF"/>
    <w:rsid w:val="00F12312"/>
    <w:rsid w:val="00F30DAE"/>
    <w:rsid w:val="00F60699"/>
    <w:rsid w:val="00F73A70"/>
    <w:rsid w:val="00F80356"/>
    <w:rsid w:val="00F87A2C"/>
    <w:rsid w:val="00F96548"/>
    <w:rsid w:val="00F977F8"/>
    <w:rsid w:val="00FA7528"/>
    <w:rsid w:val="00FD5338"/>
    <w:rsid w:val="00FD6930"/>
    <w:rsid w:val="00FF44DD"/>
    <w:rsid w:val="00FF4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958176-CE10-4AFE-B9C2-98E0CE8F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9D8"/>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F29D8"/>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1F29D8"/>
    <w:rPr>
      <w:rFonts w:ascii="Times" w:eastAsia="Times New Roman" w:hAnsi="Times" w:cs="Times New Roman"/>
      <w:kern w:val="1"/>
      <w:sz w:val="24"/>
      <w:szCs w:val="24"/>
      <w:lang w:eastAsia="ar-SA"/>
    </w:rPr>
  </w:style>
  <w:style w:type="paragraph" w:customStyle="1" w:styleId="ODNONIKtreodnonika">
    <w:name w:val="ODNOŚNIK – treść odnośnika"/>
    <w:uiPriority w:val="19"/>
    <w:qFormat/>
    <w:rsid w:val="001F29D8"/>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ARTartustawynprozporzdzenia">
    <w:name w:val="ART(§) – art. ustawy (§ np. rozporządzenia)"/>
    <w:uiPriority w:val="11"/>
    <w:qFormat/>
    <w:rsid w:val="001F29D8"/>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PKTpunkt">
    <w:name w:val="PKT – punkt"/>
    <w:uiPriority w:val="13"/>
    <w:qFormat/>
    <w:rsid w:val="001F29D8"/>
    <w:pPr>
      <w:spacing w:after="0" w:line="360" w:lineRule="auto"/>
      <w:ind w:left="510" w:hanging="510"/>
      <w:jc w:val="both"/>
    </w:pPr>
    <w:rPr>
      <w:rFonts w:ascii="Times" w:eastAsiaTheme="minorEastAsia" w:hAnsi="Times" w:cs="Arial"/>
      <w:bCs/>
      <w:sz w:val="24"/>
      <w:szCs w:val="20"/>
      <w:lang w:eastAsia="pl-PL"/>
    </w:rPr>
  </w:style>
  <w:style w:type="character" w:styleId="Odwoaniedokomentarza">
    <w:name w:val="annotation reference"/>
    <w:basedOn w:val="Domylnaczcionkaakapitu"/>
    <w:uiPriority w:val="99"/>
    <w:semiHidden/>
    <w:rsid w:val="001F29D8"/>
    <w:rPr>
      <w:sz w:val="16"/>
      <w:szCs w:val="16"/>
    </w:rPr>
  </w:style>
  <w:style w:type="paragraph" w:styleId="Tekstkomentarza">
    <w:name w:val="annotation text"/>
    <w:basedOn w:val="Normalny"/>
    <w:link w:val="TekstkomentarzaZnak"/>
    <w:uiPriority w:val="99"/>
    <w:semiHidden/>
    <w:rsid w:val="001F29D8"/>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1F29D8"/>
    <w:rPr>
      <w:rFonts w:ascii="Times" w:eastAsia="Times New Roman" w:hAnsi="Times" w:cs="Times New Roman"/>
      <w:sz w:val="24"/>
      <w:szCs w:val="24"/>
      <w:lang w:eastAsia="pl-PL"/>
    </w:rPr>
  </w:style>
  <w:style w:type="paragraph" w:styleId="Tekstdymka">
    <w:name w:val="Balloon Text"/>
    <w:basedOn w:val="Normalny"/>
    <w:link w:val="TekstdymkaZnak"/>
    <w:uiPriority w:val="99"/>
    <w:semiHidden/>
    <w:unhideWhenUsed/>
    <w:rsid w:val="001F29D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9D8"/>
    <w:rPr>
      <w:rFonts w:ascii="Segoe UI" w:eastAsiaTheme="minorEastAsia" w:hAnsi="Segoe UI" w:cs="Segoe UI"/>
      <w:sz w:val="18"/>
      <w:szCs w:val="18"/>
      <w:lang w:eastAsia="pl-PL"/>
    </w:rPr>
  </w:style>
  <w:style w:type="paragraph" w:customStyle="1" w:styleId="LITlitera">
    <w:name w:val="LIT – litera"/>
    <w:basedOn w:val="PKTpunkt"/>
    <w:uiPriority w:val="14"/>
    <w:qFormat/>
    <w:rsid w:val="00D82E4E"/>
    <w:pPr>
      <w:ind w:left="986" w:hanging="476"/>
    </w:pPr>
  </w:style>
  <w:style w:type="paragraph" w:styleId="Tematkomentarza">
    <w:name w:val="annotation subject"/>
    <w:basedOn w:val="Tekstkomentarza"/>
    <w:next w:val="Tekstkomentarza"/>
    <w:link w:val="TematkomentarzaZnak"/>
    <w:uiPriority w:val="99"/>
    <w:semiHidden/>
    <w:unhideWhenUsed/>
    <w:rsid w:val="0074525A"/>
    <w:pPr>
      <w:spacing w:line="240" w:lineRule="auto"/>
    </w:pPr>
    <w:rPr>
      <w:rFonts w:ascii="Times New Roman" w:eastAsiaTheme="minorEastAsia" w:hAnsi="Times New Roman" w:cs="Arial"/>
      <w:b/>
      <w:bCs/>
      <w:sz w:val="20"/>
      <w:szCs w:val="20"/>
    </w:rPr>
  </w:style>
  <w:style w:type="character" w:customStyle="1" w:styleId="TematkomentarzaZnak">
    <w:name w:val="Temat komentarza Znak"/>
    <w:basedOn w:val="TekstkomentarzaZnak"/>
    <w:link w:val="Tematkomentarza"/>
    <w:uiPriority w:val="99"/>
    <w:semiHidden/>
    <w:rsid w:val="0074525A"/>
    <w:rPr>
      <w:rFonts w:ascii="Times New Roman" w:eastAsiaTheme="minorEastAsia" w:hAnsi="Times New Roman" w:cs="Arial"/>
      <w:b/>
      <w:bCs/>
      <w:sz w:val="20"/>
      <w:szCs w:val="20"/>
      <w:lang w:eastAsia="pl-PL"/>
    </w:rPr>
  </w:style>
  <w:style w:type="paragraph" w:styleId="Tekstprzypisudolnego">
    <w:name w:val="footnote text"/>
    <w:basedOn w:val="Normalny"/>
    <w:link w:val="TekstprzypisudolnegoZnak"/>
    <w:uiPriority w:val="99"/>
    <w:semiHidden/>
    <w:unhideWhenUsed/>
    <w:rsid w:val="003130EA"/>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3130EA"/>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3130EA"/>
    <w:rPr>
      <w:vertAlign w:val="superscript"/>
    </w:rPr>
  </w:style>
  <w:style w:type="paragraph" w:customStyle="1" w:styleId="pkt">
    <w:name w:val="pkt"/>
    <w:basedOn w:val="Normalny"/>
    <w:rsid w:val="005537F4"/>
    <w:pPr>
      <w:widowControl/>
      <w:autoSpaceDE/>
      <w:autoSpaceDN/>
      <w:adjustRightInd/>
      <w:spacing w:before="60" w:after="60" w:line="240" w:lineRule="auto"/>
      <w:ind w:left="851" w:hanging="295"/>
      <w:jc w:val="both"/>
    </w:pPr>
    <w:rPr>
      <w:rFonts w:eastAsia="Times New Roman" w:cs="Times New Roman"/>
    </w:rPr>
  </w:style>
  <w:style w:type="paragraph" w:styleId="Bezodstpw">
    <w:name w:val="No Spacing"/>
    <w:uiPriority w:val="99"/>
    <w:rsid w:val="001C21C8"/>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ZUSTzmustartykuempunktem">
    <w:name w:val="Z/UST(§) – zm. ust. (§) artykułem (punktem)"/>
    <w:basedOn w:val="Normalny"/>
    <w:uiPriority w:val="30"/>
    <w:qFormat/>
    <w:rsid w:val="001C21C8"/>
    <w:pPr>
      <w:widowControl/>
      <w:suppressAutoHyphens/>
      <w:ind w:left="510" w:firstLine="510"/>
      <w:jc w:val="both"/>
    </w:pPr>
    <w:rPr>
      <w:rFonts w:ascii="Times" w:hAnsi="Times"/>
    </w:rPr>
  </w:style>
  <w:style w:type="paragraph" w:customStyle="1" w:styleId="h2">
    <w:name w:val="h2"/>
    <w:uiPriority w:val="99"/>
    <w:rsid w:val="00C15EC1"/>
    <w:pPr>
      <w:widowControl w:val="0"/>
      <w:autoSpaceDE w:val="0"/>
      <w:autoSpaceDN w:val="0"/>
      <w:adjustRightInd w:val="0"/>
      <w:spacing w:before="320" w:line="160" w:lineRule="atLeast"/>
    </w:pPr>
    <w:rPr>
      <w:rFonts w:ascii="Helvetica" w:eastAsiaTheme="minorEastAsia" w:hAnsi="Helvetica" w:cs="Helvetica"/>
      <w:b/>
      <w:bCs/>
      <w:color w:val="000000"/>
      <w:sz w:val="32"/>
      <w:szCs w:val="32"/>
      <w:lang w:eastAsia="pl-PL"/>
    </w:rPr>
  </w:style>
  <w:style w:type="paragraph" w:customStyle="1" w:styleId="ppkt">
    <w:name w:val="p.pkt"/>
    <w:uiPriority w:val="99"/>
    <w:rsid w:val="00C15EC1"/>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p">
    <w:name w:val="p"/>
    <w:uiPriority w:val="99"/>
    <w:rsid w:val="00C15EC1"/>
    <w:pPr>
      <w:widowControl w:val="0"/>
      <w:autoSpaceDE w:val="0"/>
      <w:autoSpaceDN w:val="0"/>
      <w:adjustRightInd w:val="0"/>
      <w:spacing w:before="20" w:after="40" w:line="40" w:lineRule="atLeast"/>
      <w:jc w:val="both"/>
    </w:pPr>
    <w:rPr>
      <w:rFonts w:ascii="Helvetica" w:eastAsiaTheme="minorEastAsia"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C5865-905E-4D0D-9413-671864D2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2179</Words>
  <Characters>13079</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Łućko Renata</dc:creator>
  <cp:keywords/>
  <dc:description/>
  <cp:lastModifiedBy>KGHM</cp:lastModifiedBy>
  <cp:revision>2</cp:revision>
  <cp:lastPrinted>2020-03-07T11:42:00Z</cp:lastPrinted>
  <dcterms:created xsi:type="dcterms:W3CDTF">2022-07-13T10:08:00Z</dcterms:created>
  <dcterms:modified xsi:type="dcterms:W3CDTF">2022-07-13T10:08:00Z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CATEGORY">
    <vt:lpwstr>InformacjePubliczneInformacjeSektoraPublicznego</vt:lpwstr>
  </property>
  <property fmtid="{D5CDD505-2E9C-101B-9397-08002B2CF9AE}" pid="3" name="MFClassifiedBy">
    <vt:lpwstr>MF\FLQH;Chmiel Beata</vt:lpwstr>
  </property>
  <property fmtid="{D5CDD505-2E9C-101B-9397-08002B2CF9AE}" pid="4" name="MFClassificationDate">
    <vt:lpwstr>2022-04-12T12:04:02.4825881+02:00</vt:lpwstr>
  </property>
  <property fmtid="{D5CDD505-2E9C-101B-9397-08002B2CF9AE}" pid="5" name="MFClassifiedBySID">
    <vt:lpwstr>MF\S-1-5-21-1525952054-1005573771-2909822258-141058</vt:lpwstr>
  </property>
  <property fmtid="{D5CDD505-2E9C-101B-9397-08002B2CF9AE}" pid="6" name="MFGRNItemId">
    <vt:lpwstr>GRN-18021039-2cb1-45f2-90c4-d75ed19895c7</vt:lpwstr>
  </property>
  <property fmtid="{D5CDD505-2E9C-101B-9397-08002B2CF9AE}" pid="7" name="MFHash">
    <vt:lpwstr>apAiTEZTonsopP0PE1kbOkFO7zUjjmW8869nhy7jm6g=</vt:lpwstr>
  </property>
  <property fmtid="{D5CDD505-2E9C-101B-9397-08002B2CF9AE}" pid="8" name="DLPManualFileClassification">
    <vt:lpwstr>{2755b7d9-e53d-4779-a40c-03797dcf43b3}</vt:lpwstr>
  </property>
  <property fmtid="{D5CDD505-2E9C-101B-9397-08002B2CF9AE}" pid="9" name="MFRefresh">
    <vt:lpwstr>False</vt:lpwstr>
  </property>
</Properties>
</file>