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4"/>
        <w:gridCol w:w="642"/>
        <w:gridCol w:w="422"/>
        <w:gridCol w:w="462"/>
        <w:gridCol w:w="412"/>
        <w:gridCol w:w="154"/>
        <w:gridCol w:w="186"/>
        <w:gridCol w:w="381"/>
        <w:gridCol w:w="551"/>
        <w:gridCol w:w="16"/>
        <w:gridCol w:w="118"/>
        <w:gridCol w:w="150"/>
        <w:gridCol w:w="298"/>
        <w:gridCol w:w="352"/>
        <w:gridCol w:w="216"/>
        <w:gridCol w:w="567"/>
        <w:gridCol w:w="80"/>
        <w:gridCol w:w="71"/>
        <w:gridCol w:w="417"/>
        <w:gridCol w:w="113"/>
        <w:gridCol w:w="403"/>
        <w:gridCol w:w="51"/>
        <w:gridCol w:w="265"/>
        <w:gridCol w:w="302"/>
        <w:gridCol w:w="316"/>
        <w:gridCol w:w="252"/>
        <w:gridCol w:w="567"/>
        <w:gridCol w:w="114"/>
        <w:gridCol w:w="1412"/>
        <w:gridCol w:w="21"/>
        <w:gridCol w:w="42"/>
      </w:tblGrid>
      <w:tr w:rsidR="009004F8" w:rsidRPr="008B4FE6" w:rsidTr="00222F94">
        <w:trPr>
          <w:gridAfter w:val="2"/>
          <w:wAfter w:w="63" w:type="dxa"/>
          <w:trHeight w:val="3114"/>
        </w:trPr>
        <w:tc>
          <w:tcPr>
            <w:tcW w:w="6591" w:type="dxa"/>
            <w:gridSpan w:val="17"/>
          </w:tcPr>
          <w:p w:rsidR="009004F8" w:rsidRPr="00AE470B" w:rsidRDefault="009004F8" w:rsidP="00191BC1">
            <w:pPr>
              <w:spacing w:line="240" w:lineRule="auto"/>
              <w:ind w:hanging="45"/>
              <w:jc w:val="both"/>
              <w:rPr>
                <w:rFonts w:ascii="Times New Roman" w:hAnsi="Times New Roman"/>
                <w:color w:val="000000"/>
              </w:rPr>
            </w:pPr>
            <w:bookmarkStart w:id="0" w:name="t1"/>
            <w:r w:rsidRPr="00AE470B">
              <w:rPr>
                <w:rFonts w:ascii="Times New Roman" w:hAnsi="Times New Roman"/>
                <w:b/>
                <w:color w:val="000000"/>
              </w:rPr>
              <w:t>Nazwa projektu</w:t>
            </w:r>
          </w:p>
          <w:p w:rsidR="00F759AB" w:rsidRPr="008B4FE6" w:rsidRDefault="00F759AB" w:rsidP="00F759AB">
            <w:pPr>
              <w:spacing w:line="240" w:lineRule="auto"/>
              <w:ind w:hanging="34"/>
              <w:rPr>
                <w:rFonts w:ascii="Times New Roman" w:hAnsi="Times New Roman"/>
                <w:color w:val="000000"/>
              </w:rPr>
            </w:pPr>
            <w:r>
              <w:rPr>
                <w:rFonts w:ascii="Times New Roman" w:hAnsi="Times New Roman"/>
                <w:color w:val="000000"/>
              </w:rPr>
              <w:t xml:space="preserve">Projekt rozporządzenia Ministra Finansów w sprawie opłat na pokrycie </w:t>
            </w:r>
            <w:r w:rsidRPr="0089482D">
              <w:rPr>
                <w:rFonts w:ascii="Times New Roman" w:hAnsi="Times New Roman"/>
                <w:color w:val="000000"/>
              </w:rPr>
              <w:t>kosztów nadzoru nad rynkiem kapitałowym</w:t>
            </w:r>
          </w:p>
          <w:p w:rsidR="009004F8" w:rsidRPr="00AE470B" w:rsidRDefault="009004F8" w:rsidP="00191BC1">
            <w:pPr>
              <w:spacing w:line="240" w:lineRule="auto"/>
              <w:ind w:hanging="45"/>
              <w:jc w:val="both"/>
              <w:rPr>
                <w:rFonts w:ascii="Times New Roman" w:hAnsi="Times New Roman"/>
                <w:b/>
                <w:color w:val="000000"/>
              </w:rPr>
            </w:pPr>
            <w:r w:rsidRPr="00AE470B">
              <w:rPr>
                <w:rFonts w:ascii="Times New Roman" w:hAnsi="Times New Roman"/>
                <w:b/>
                <w:color w:val="000000"/>
              </w:rPr>
              <w:t>Ministerstwo wiodące i ministerstwa współpracujące</w:t>
            </w:r>
          </w:p>
          <w:bookmarkEnd w:id="0"/>
          <w:p w:rsidR="009004F8" w:rsidRPr="00AE470B" w:rsidRDefault="009004F8" w:rsidP="00191BC1">
            <w:pPr>
              <w:spacing w:line="240" w:lineRule="auto"/>
              <w:ind w:hanging="34"/>
              <w:jc w:val="both"/>
              <w:rPr>
                <w:rFonts w:ascii="Times New Roman" w:hAnsi="Times New Roman"/>
                <w:color w:val="000000"/>
              </w:rPr>
            </w:pPr>
            <w:r w:rsidRPr="00AE470B">
              <w:rPr>
                <w:rFonts w:ascii="Times New Roman" w:hAnsi="Times New Roman"/>
                <w:color w:val="000000"/>
              </w:rPr>
              <w:t xml:space="preserve">Ministerstwo Finansów </w:t>
            </w:r>
          </w:p>
          <w:p w:rsidR="009004F8" w:rsidRPr="00AE470B" w:rsidRDefault="009004F8" w:rsidP="00191BC1">
            <w:pPr>
              <w:spacing w:line="240" w:lineRule="auto"/>
              <w:ind w:left="-45"/>
              <w:jc w:val="both"/>
              <w:rPr>
                <w:rFonts w:ascii="Times New Roman" w:hAnsi="Times New Roman"/>
                <w:color w:val="000000"/>
              </w:rPr>
            </w:pPr>
            <w:r w:rsidRPr="00AE470B">
              <w:rPr>
                <w:rFonts w:ascii="Times New Roman" w:hAnsi="Times New Roman"/>
                <w:b/>
              </w:rPr>
              <w:t>Osoba odpowiedzialna za projekt w randze Ministra, Sekretarza Stanu lub Podsekretarza Stanu</w:t>
            </w:r>
          </w:p>
          <w:p w:rsidR="009004F8" w:rsidRDefault="009004F8" w:rsidP="00191BC1">
            <w:pPr>
              <w:spacing w:line="240" w:lineRule="auto"/>
              <w:ind w:hanging="45"/>
              <w:jc w:val="both"/>
              <w:rPr>
                <w:rFonts w:ascii="Times New Roman" w:hAnsi="Times New Roman"/>
                <w:noProof/>
                <w:color w:val="000000"/>
              </w:rPr>
            </w:pPr>
            <w:r>
              <w:rPr>
                <w:rFonts w:ascii="Times New Roman" w:hAnsi="Times New Roman"/>
                <w:noProof/>
                <w:color w:val="000000"/>
              </w:rPr>
              <w:t>Piotr Patkowski, Podsekretarz Stanu w Ministerstwie Finansów</w:t>
            </w:r>
          </w:p>
          <w:p w:rsidR="009004F8" w:rsidRPr="00AE470B" w:rsidRDefault="009004F8" w:rsidP="00191BC1">
            <w:pPr>
              <w:spacing w:line="240" w:lineRule="auto"/>
              <w:ind w:hanging="45"/>
              <w:jc w:val="both"/>
              <w:rPr>
                <w:rFonts w:ascii="Times New Roman" w:hAnsi="Times New Roman"/>
                <w:b/>
                <w:color w:val="000000"/>
              </w:rPr>
            </w:pPr>
            <w:r w:rsidRPr="00AE470B">
              <w:rPr>
                <w:rFonts w:ascii="Times New Roman" w:hAnsi="Times New Roman"/>
                <w:b/>
                <w:color w:val="000000"/>
              </w:rPr>
              <w:t>Kontakt do opiekuna merytorycznego projektu</w:t>
            </w:r>
          </w:p>
          <w:p w:rsidR="00F759AB" w:rsidRDefault="00F759AB" w:rsidP="00F759AB">
            <w:pPr>
              <w:spacing w:line="240" w:lineRule="auto"/>
              <w:ind w:hanging="34"/>
              <w:rPr>
                <w:rFonts w:ascii="Times New Roman" w:hAnsi="Times New Roman"/>
                <w:color w:val="000000"/>
              </w:rPr>
            </w:pPr>
            <w:r>
              <w:rPr>
                <w:rFonts w:ascii="Times New Roman" w:hAnsi="Times New Roman"/>
                <w:color w:val="000000"/>
              </w:rPr>
              <w:t>Cezary Ulanicki, Departament Rozwoju Rynku Finansowego,</w:t>
            </w:r>
          </w:p>
          <w:p w:rsidR="009004F8" w:rsidRPr="009E1C69" w:rsidRDefault="00F759AB" w:rsidP="00F759AB">
            <w:pPr>
              <w:spacing w:line="240" w:lineRule="auto"/>
              <w:ind w:hanging="34"/>
              <w:rPr>
                <w:rFonts w:ascii="Times New Roman" w:hAnsi="Times New Roman"/>
                <w:color w:val="000000"/>
                <w:lang w:val="en-GB"/>
              </w:rPr>
            </w:pPr>
            <w:r w:rsidRPr="0093429E">
              <w:rPr>
                <w:rFonts w:ascii="Times New Roman" w:hAnsi="Times New Roman"/>
                <w:color w:val="000000"/>
                <w:lang w:val="en-GB"/>
              </w:rPr>
              <w:t xml:space="preserve">tel. 539 149 841, e-mail </w:t>
            </w:r>
            <w:hyperlink r:id="rId8" w:history="1">
              <w:r w:rsidRPr="0093429E">
                <w:rPr>
                  <w:rStyle w:val="Hipercze"/>
                  <w:rFonts w:ascii="Times New Roman" w:hAnsi="Times New Roman"/>
                  <w:lang w:val="en-GB"/>
                </w:rPr>
                <w:t>cezary.ulanicki@mf.gov.pl</w:t>
              </w:r>
            </w:hyperlink>
          </w:p>
        </w:tc>
        <w:tc>
          <w:tcPr>
            <w:tcW w:w="4283" w:type="dxa"/>
            <w:gridSpan w:val="12"/>
            <w:shd w:val="clear" w:color="auto" w:fill="FFFFFF"/>
          </w:tcPr>
          <w:p w:rsidR="00F759AB" w:rsidRPr="00642825" w:rsidRDefault="00F759AB" w:rsidP="00F759AB">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813667">
              <w:rPr>
                <w:rFonts w:ascii="Times New Roman" w:hAnsi="Times New Roman"/>
                <w:sz w:val="21"/>
                <w:szCs w:val="21"/>
              </w:rPr>
              <w:t>02.08</w:t>
            </w:r>
            <w:r>
              <w:rPr>
                <w:rFonts w:ascii="Times New Roman" w:hAnsi="Times New Roman"/>
                <w:sz w:val="21"/>
                <w:szCs w:val="21"/>
              </w:rPr>
              <w:t>.2022 r.</w:t>
            </w:r>
          </w:p>
          <w:p w:rsidR="00F759AB" w:rsidRDefault="00F759AB" w:rsidP="00F759AB">
            <w:pPr>
              <w:spacing w:line="240" w:lineRule="auto"/>
              <w:rPr>
                <w:rFonts w:ascii="Times New Roman" w:hAnsi="Times New Roman"/>
                <w:b/>
              </w:rPr>
            </w:pPr>
          </w:p>
          <w:p w:rsidR="00F759AB" w:rsidRPr="0065019F" w:rsidRDefault="00F759AB" w:rsidP="00F759AB">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p w:rsidR="00F759AB" w:rsidRDefault="00F759AB" w:rsidP="00F759AB">
            <w:pPr>
              <w:spacing w:line="240" w:lineRule="auto"/>
              <w:rPr>
                <w:rFonts w:ascii="Times New Roman" w:hAnsi="Times New Roman"/>
              </w:rPr>
            </w:pPr>
            <w:r>
              <w:rPr>
                <w:rFonts w:ascii="Times New Roman" w:hAnsi="Times New Roman"/>
              </w:rPr>
              <w:t>Upoważnienie ustawowe</w:t>
            </w:r>
          </w:p>
          <w:p w:rsidR="00F759AB" w:rsidRPr="0065019F" w:rsidRDefault="00F759AB" w:rsidP="00F759AB">
            <w:pPr>
              <w:spacing w:line="240" w:lineRule="auto"/>
              <w:rPr>
                <w:rFonts w:ascii="Times New Roman" w:hAnsi="Times New Roman"/>
              </w:rPr>
            </w:pPr>
            <w:r>
              <w:rPr>
                <w:rFonts w:ascii="Times New Roman" w:hAnsi="Times New Roman"/>
              </w:rPr>
              <w:t>Art. 17 ust. 14 ustawy z dnia 29 lipca 2005 r. o nadzorze nad rynkiem kapitałowym (Dz. U. z 2022</w:t>
            </w:r>
            <w:r w:rsidRPr="00AC7F33">
              <w:rPr>
                <w:rFonts w:ascii="Times New Roman" w:hAnsi="Times New Roman"/>
              </w:rPr>
              <w:t xml:space="preserve"> r. poz. </w:t>
            </w:r>
            <w:r>
              <w:rPr>
                <w:rFonts w:ascii="Times New Roman" w:hAnsi="Times New Roman"/>
              </w:rPr>
              <w:t>837</w:t>
            </w:r>
            <w:r w:rsidR="00EC465F">
              <w:rPr>
                <w:rFonts w:ascii="Times New Roman" w:hAnsi="Times New Roman"/>
              </w:rPr>
              <w:t xml:space="preserve"> i 1488</w:t>
            </w:r>
            <w:r>
              <w:rPr>
                <w:rFonts w:ascii="Times New Roman" w:hAnsi="Times New Roman"/>
              </w:rPr>
              <w:t>)</w:t>
            </w:r>
          </w:p>
          <w:p w:rsidR="00F759AB" w:rsidRPr="0065019F" w:rsidRDefault="00F759AB" w:rsidP="00F759AB">
            <w:pPr>
              <w:spacing w:line="240" w:lineRule="auto"/>
              <w:rPr>
                <w:rFonts w:ascii="Times New Roman" w:hAnsi="Times New Roman"/>
              </w:rPr>
            </w:pPr>
          </w:p>
          <w:p w:rsidR="00F759AB" w:rsidRPr="008B4FE6" w:rsidRDefault="00F759AB" w:rsidP="00F759AB">
            <w:pPr>
              <w:spacing w:before="120" w:line="240" w:lineRule="auto"/>
              <w:rPr>
                <w:rFonts w:ascii="Times New Roman" w:hAnsi="Times New Roman"/>
                <w:b/>
                <w:color w:val="000000"/>
              </w:rPr>
            </w:pPr>
            <w:r w:rsidRPr="008B4FE6">
              <w:rPr>
                <w:rFonts w:ascii="Times New Roman" w:hAnsi="Times New Roman"/>
                <w:b/>
                <w:color w:val="000000"/>
              </w:rPr>
              <w:t xml:space="preserve">Nr </w:t>
            </w:r>
            <w:r>
              <w:rPr>
                <w:rFonts w:ascii="Times New Roman" w:hAnsi="Times New Roman"/>
                <w:b/>
                <w:color w:val="000000"/>
              </w:rPr>
              <w:t>w</w:t>
            </w:r>
            <w:r w:rsidRPr="008B4FE6">
              <w:rPr>
                <w:rFonts w:ascii="Times New Roman" w:hAnsi="Times New Roman"/>
                <w:b/>
                <w:color w:val="000000"/>
              </w:rPr>
              <w:t xml:space="preserve"> wykaz</w:t>
            </w:r>
            <w:r>
              <w:rPr>
                <w:rFonts w:ascii="Times New Roman" w:hAnsi="Times New Roman"/>
                <w:b/>
                <w:color w:val="000000"/>
              </w:rPr>
              <w:t>ie</w:t>
            </w:r>
            <w:r w:rsidRPr="008B4FE6">
              <w:rPr>
                <w:rFonts w:ascii="Times New Roman" w:hAnsi="Times New Roman"/>
                <w:b/>
                <w:color w:val="000000"/>
              </w:rPr>
              <w:t xml:space="preserve"> prac </w:t>
            </w:r>
            <w:r>
              <w:rPr>
                <w:rFonts w:ascii="Times New Roman" w:hAnsi="Times New Roman"/>
                <w:b/>
                <w:color w:val="000000"/>
              </w:rPr>
              <w:t>Ministra Finansów</w:t>
            </w:r>
          </w:p>
          <w:p w:rsidR="00F759AB" w:rsidRPr="008B4FE6" w:rsidRDefault="00F759AB" w:rsidP="00F759AB">
            <w:pPr>
              <w:spacing w:line="240" w:lineRule="auto"/>
              <w:rPr>
                <w:rFonts w:ascii="Times New Roman" w:hAnsi="Times New Roman"/>
                <w:color w:val="000000"/>
              </w:rPr>
            </w:pPr>
            <w:r>
              <w:rPr>
                <w:rFonts w:ascii="Times New Roman" w:hAnsi="Times New Roman"/>
                <w:color w:val="000000"/>
              </w:rPr>
              <w:t>577</w:t>
            </w:r>
          </w:p>
          <w:p w:rsidR="009004F8" w:rsidRPr="000E3ED7" w:rsidRDefault="009004F8" w:rsidP="000E3ED7">
            <w:pPr>
              <w:spacing w:line="240" w:lineRule="auto"/>
              <w:jc w:val="both"/>
              <w:rPr>
                <w:rFonts w:ascii="Times New Roman" w:hAnsi="Times New Roman"/>
                <w:color w:val="000000"/>
              </w:rPr>
            </w:pPr>
          </w:p>
        </w:tc>
      </w:tr>
      <w:tr w:rsidR="009004F8" w:rsidRPr="0022687A" w:rsidTr="00222F94">
        <w:trPr>
          <w:gridAfter w:val="2"/>
          <w:wAfter w:w="63" w:type="dxa"/>
          <w:trHeight w:val="142"/>
        </w:trPr>
        <w:tc>
          <w:tcPr>
            <w:tcW w:w="10874" w:type="dxa"/>
            <w:gridSpan w:val="29"/>
            <w:shd w:val="clear" w:color="auto" w:fill="99CCFF"/>
          </w:tcPr>
          <w:p w:rsidR="009004F8" w:rsidRPr="00627221" w:rsidRDefault="009004F8"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9004F8" w:rsidRPr="008B4FE6" w:rsidTr="00222F94">
        <w:trPr>
          <w:gridAfter w:val="2"/>
          <w:wAfter w:w="63" w:type="dxa"/>
          <w:trHeight w:val="333"/>
        </w:trPr>
        <w:tc>
          <w:tcPr>
            <w:tcW w:w="10874" w:type="dxa"/>
            <w:gridSpan w:val="29"/>
            <w:shd w:val="clear" w:color="auto" w:fill="99CCFF"/>
            <w:vAlign w:val="center"/>
          </w:tcPr>
          <w:p w:rsidR="009004F8" w:rsidRPr="008B4FE6" w:rsidRDefault="009004F8"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2" w:name="Wybór1"/>
            <w:bookmarkEnd w:id="2"/>
          </w:p>
        </w:tc>
      </w:tr>
      <w:tr w:rsidR="009004F8" w:rsidRPr="00F4040E" w:rsidTr="00222F94">
        <w:trPr>
          <w:gridAfter w:val="2"/>
          <w:wAfter w:w="63" w:type="dxa"/>
          <w:trHeight w:val="142"/>
        </w:trPr>
        <w:tc>
          <w:tcPr>
            <w:tcW w:w="10874" w:type="dxa"/>
            <w:gridSpan w:val="29"/>
            <w:shd w:val="clear" w:color="auto" w:fill="auto"/>
          </w:tcPr>
          <w:p w:rsidR="00F759AB" w:rsidRPr="0089482D" w:rsidRDefault="00F759AB" w:rsidP="00F759AB">
            <w:pPr>
              <w:spacing w:line="240" w:lineRule="auto"/>
              <w:jc w:val="both"/>
              <w:rPr>
                <w:rFonts w:ascii="Times New Roman" w:hAnsi="Times New Roman"/>
                <w:color w:val="000000"/>
              </w:rPr>
            </w:pPr>
            <w:r w:rsidRPr="0089482D">
              <w:rPr>
                <w:rFonts w:ascii="Times New Roman" w:hAnsi="Times New Roman"/>
                <w:color w:val="000000"/>
              </w:rPr>
              <w:t>Projektowane rozporządzenie stanowi wykonanie upoważnienia ustawowego zawartego w art. 17 ust. 14 ustawy z dnia 29 lipca 2005 r. o nadzorze nad rynkiem kapitałowym</w:t>
            </w:r>
            <w:r>
              <w:rPr>
                <w:rFonts w:ascii="Times New Roman" w:hAnsi="Times New Roman"/>
                <w:color w:val="000000"/>
              </w:rPr>
              <w:t xml:space="preserve"> </w:t>
            </w:r>
            <w:r w:rsidRPr="0089482D">
              <w:rPr>
                <w:rFonts w:ascii="Times New Roman" w:hAnsi="Times New Roman"/>
                <w:color w:val="000000"/>
              </w:rPr>
              <w:t xml:space="preserve">w brzmieniu określonym ustawą z dnia </w:t>
            </w:r>
            <w:r>
              <w:rPr>
                <w:rFonts w:ascii="Times New Roman" w:hAnsi="Times New Roman"/>
                <w:color w:val="000000"/>
              </w:rPr>
              <w:t>7 lipca 2022 r.</w:t>
            </w:r>
            <w:r w:rsidRPr="0089482D">
              <w:rPr>
                <w:rFonts w:ascii="Times New Roman" w:hAnsi="Times New Roman"/>
                <w:color w:val="000000"/>
              </w:rPr>
              <w:t xml:space="preserve"> o finansowaniu społecznościowym dla przedsięwzięć gospodarczych</w:t>
            </w:r>
            <w:r>
              <w:rPr>
                <w:rFonts w:ascii="Times New Roman" w:hAnsi="Times New Roman"/>
                <w:color w:val="000000"/>
              </w:rPr>
              <w:t xml:space="preserve"> </w:t>
            </w:r>
            <w:r w:rsidRPr="004369E1">
              <w:rPr>
                <w:rFonts w:ascii="Times New Roman" w:hAnsi="Times New Roman"/>
                <w:color w:val="000000"/>
              </w:rPr>
              <w:t>i pomocy kredytobiorcom</w:t>
            </w:r>
            <w:r w:rsidRPr="0089482D">
              <w:rPr>
                <w:rFonts w:ascii="Times New Roman" w:hAnsi="Times New Roman"/>
                <w:color w:val="000000"/>
              </w:rPr>
              <w:t xml:space="preserve"> (Dz. U. </w:t>
            </w:r>
            <w:r>
              <w:rPr>
                <w:rFonts w:ascii="Times New Roman" w:hAnsi="Times New Roman"/>
                <w:color w:val="000000"/>
              </w:rPr>
              <w:t xml:space="preserve">2022 </w:t>
            </w:r>
            <w:r w:rsidRPr="0089482D">
              <w:rPr>
                <w:rFonts w:ascii="Times New Roman" w:hAnsi="Times New Roman"/>
                <w:color w:val="000000"/>
              </w:rPr>
              <w:t xml:space="preserve">poz. </w:t>
            </w:r>
            <w:r w:rsidRPr="002615CD">
              <w:rPr>
                <w:rFonts w:ascii="Times New Roman" w:hAnsi="Times New Roman"/>
                <w:color w:val="000000"/>
              </w:rPr>
              <w:t>1488</w:t>
            </w:r>
            <w:r w:rsidRPr="0089482D">
              <w:rPr>
                <w:rFonts w:ascii="Times New Roman" w:hAnsi="Times New Roman"/>
                <w:color w:val="000000"/>
              </w:rPr>
              <w:t>), zwaną dalej „ustawą o finansowaniu społecznościowym”.</w:t>
            </w:r>
          </w:p>
          <w:p w:rsidR="00F759AB" w:rsidRPr="00B37C80" w:rsidRDefault="00F759AB" w:rsidP="00F759AB">
            <w:pPr>
              <w:spacing w:line="240" w:lineRule="auto"/>
              <w:jc w:val="both"/>
              <w:rPr>
                <w:rFonts w:ascii="Times New Roman" w:hAnsi="Times New Roman"/>
                <w:color w:val="000000"/>
              </w:rPr>
            </w:pPr>
            <w:r w:rsidRPr="0089482D">
              <w:rPr>
                <w:rFonts w:ascii="Times New Roman" w:hAnsi="Times New Roman"/>
                <w:color w:val="000000"/>
              </w:rPr>
              <w:t xml:space="preserve">Projektowane rozporządzenie zastąpi rozporządzenie Ministra Finansów z dnia 17 grudnia 2019 r. w sprawie opłat na pokrycie kosztów nadzoru nad rynkiem kapitałowym (Dz. U. </w:t>
            </w:r>
            <w:r>
              <w:rPr>
                <w:rFonts w:ascii="Times New Roman" w:hAnsi="Times New Roman"/>
                <w:color w:val="000000"/>
              </w:rPr>
              <w:t xml:space="preserve">z 2019 r. </w:t>
            </w:r>
            <w:r w:rsidRPr="0089482D">
              <w:rPr>
                <w:rFonts w:ascii="Times New Roman" w:hAnsi="Times New Roman"/>
                <w:color w:val="000000"/>
              </w:rPr>
              <w:t>poz. 2486</w:t>
            </w:r>
            <w:r w:rsidRPr="00772E6D">
              <w:rPr>
                <w:rFonts w:ascii="Times New Roman" w:hAnsi="Times New Roman"/>
                <w:color w:val="000000"/>
              </w:rPr>
              <w:t xml:space="preserve"> oraz z 2021 r. poz. 2466</w:t>
            </w:r>
            <w:r w:rsidRPr="0089482D">
              <w:rPr>
                <w:rFonts w:ascii="Times New Roman" w:hAnsi="Times New Roman"/>
                <w:color w:val="000000"/>
              </w:rPr>
              <w:t xml:space="preserve">), zwane dalej „obowiązującym rozporządzeniem”, które utraci moc z dniem wejścia w życie projektowanego rozporządzenia. Art. </w:t>
            </w:r>
            <w:r>
              <w:rPr>
                <w:rFonts w:ascii="Times New Roman" w:hAnsi="Times New Roman"/>
                <w:color w:val="000000"/>
              </w:rPr>
              <w:t>92 pkt 1</w:t>
            </w:r>
            <w:r w:rsidRPr="0089482D">
              <w:rPr>
                <w:rFonts w:ascii="Times New Roman" w:hAnsi="Times New Roman"/>
                <w:color w:val="000000"/>
              </w:rPr>
              <w:t xml:space="preserve"> ustawy o finansowaniu społecznościowym utrzymał moc obowiązującą obowiązującego rozporządzenia do dnia wejścia w życie projektowanego rozporządzenia, nie dłużej jednak niż przez </w:t>
            </w:r>
            <w:r>
              <w:rPr>
                <w:rFonts w:ascii="Times New Roman" w:hAnsi="Times New Roman"/>
                <w:color w:val="000000"/>
              </w:rPr>
              <w:t>6</w:t>
            </w:r>
            <w:r w:rsidRPr="0089482D">
              <w:rPr>
                <w:rFonts w:ascii="Times New Roman" w:hAnsi="Times New Roman"/>
                <w:color w:val="000000"/>
              </w:rPr>
              <w:t xml:space="preserve"> miesięcy od dnia wejścia w życie ustawy o finansowaniu społecznościowym</w:t>
            </w:r>
            <w:r>
              <w:rPr>
                <w:rFonts w:ascii="Times New Roman" w:hAnsi="Times New Roman"/>
                <w:color w:val="000000"/>
              </w:rPr>
              <w:t>.</w:t>
            </w:r>
          </w:p>
          <w:p w:rsidR="00643932" w:rsidRPr="0089482D" w:rsidRDefault="00643932" w:rsidP="00643932">
            <w:pPr>
              <w:spacing w:line="240" w:lineRule="auto"/>
              <w:jc w:val="both"/>
              <w:rPr>
                <w:rFonts w:ascii="Times New Roman" w:hAnsi="Times New Roman"/>
                <w:color w:val="000000"/>
                <w:spacing w:val="-2"/>
              </w:rPr>
            </w:pPr>
            <w:r w:rsidRPr="0089482D">
              <w:rPr>
                <w:rFonts w:ascii="Times New Roman" w:hAnsi="Times New Roman"/>
                <w:color w:val="000000"/>
                <w:spacing w:val="-2"/>
              </w:rPr>
              <w:t>Ustawa o finansowaniu społecznościowym objęła dostawców usług finansowania społecznościowego nadzorem Komisji Nadzoru Finansowego, zwanej dalej „KNF”, a co za tym idzie – zobowiązała te podmioty do wnoszenia opłat za udzielenie zezwolenia na prowadzenie działalności oraz rozszerzenie zakresu tego zezwolenia (w wysokości nie wyższej niż równowartość w złotych 4500 euro) oraz opłat rocznych, ustalanych, co do zasady, na podstawie średniej wartości przychodów w okresie ostatnich trzech lat obrotowych poprzedzających rok, za który opłata jest należna, ale w wysokości nie większej niż 0,5% tej średniej, i nie mniejszej niż równowartość w złotych 750 euro.</w:t>
            </w:r>
          </w:p>
          <w:p w:rsidR="00643932" w:rsidRDefault="00643932" w:rsidP="00643932">
            <w:pPr>
              <w:spacing w:line="240" w:lineRule="auto"/>
              <w:jc w:val="both"/>
              <w:rPr>
                <w:rFonts w:ascii="Times New Roman" w:hAnsi="Times New Roman"/>
                <w:color w:val="000000"/>
                <w:spacing w:val="-2"/>
              </w:rPr>
            </w:pPr>
            <w:r w:rsidRPr="0089482D">
              <w:rPr>
                <w:rFonts w:ascii="Times New Roman" w:hAnsi="Times New Roman"/>
                <w:color w:val="000000"/>
                <w:spacing w:val="-2"/>
              </w:rPr>
              <w:t xml:space="preserve">W porównaniu do obowiązującego rozporządzenia, w projektowanym rozporządzeniu dodano przepisy określające wysokość oraz sposób i terminy uiszczania wyżej opisanych opłat od dostawców usług finansowania społecznościowego. </w:t>
            </w:r>
            <w:r w:rsidR="009F500A">
              <w:rPr>
                <w:rFonts w:ascii="Times New Roman" w:hAnsi="Times New Roman"/>
                <w:color w:val="000000"/>
                <w:spacing w:val="-2"/>
              </w:rPr>
              <w:t>Wprowadzono zmiany redakcyjne zgodnie z zasadami techniki prawodawczej</w:t>
            </w:r>
            <w:r w:rsidRPr="0089482D">
              <w:rPr>
                <w:rFonts w:ascii="Times New Roman" w:hAnsi="Times New Roman"/>
                <w:color w:val="000000"/>
                <w:spacing w:val="-2"/>
              </w:rPr>
              <w:t>,</w:t>
            </w:r>
            <w:r w:rsidR="00DA7136">
              <w:rPr>
                <w:rFonts w:ascii="Times New Roman" w:hAnsi="Times New Roman"/>
                <w:color w:val="000000"/>
                <w:spacing w:val="-2"/>
              </w:rPr>
              <w:t xml:space="preserve"> a</w:t>
            </w:r>
            <w:r w:rsidR="00594654" w:rsidRPr="00F975E2">
              <w:rPr>
                <w:rFonts w:ascii="Times New Roman" w:hAnsi="Times New Roman"/>
                <w:color w:val="000000"/>
                <w:spacing w:val="-2"/>
              </w:rPr>
              <w:t xml:space="preserve"> także w deklaracji o opłacie rocznej stanowiącej załącznik do rozporządzenia,</w:t>
            </w:r>
            <w:r w:rsidRPr="0089482D">
              <w:rPr>
                <w:rFonts w:ascii="Times New Roman" w:hAnsi="Times New Roman"/>
                <w:color w:val="000000"/>
                <w:spacing w:val="-2"/>
              </w:rPr>
              <w:t xml:space="preserve"> </w:t>
            </w:r>
            <w:r w:rsidR="009F500A">
              <w:rPr>
                <w:rFonts w:ascii="Times New Roman" w:hAnsi="Times New Roman"/>
                <w:color w:val="000000"/>
                <w:spacing w:val="-2"/>
              </w:rPr>
              <w:t>jednakże w zakresie merytorycznym projektowane rozporządzenie</w:t>
            </w:r>
            <w:r w:rsidRPr="0089482D">
              <w:rPr>
                <w:rFonts w:ascii="Times New Roman" w:hAnsi="Times New Roman"/>
                <w:color w:val="000000"/>
                <w:spacing w:val="-2"/>
              </w:rPr>
              <w:t xml:space="preserve"> powtarza przepisy obowiązującego rozporządzenia</w:t>
            </w:r>
            <w:r w:rsidRPr="00B214D2">
              <w:rPr>
                <w:rFonts w:ascii="Times New Roman" w:hAnsi="Times New Roman"/>
                <w:color w:val="000000"/>
                <w:spacing w:val="-2"/>
              </w:rPr>
              <w:t>.</w:t>
            </w:r>
          </w:p>
          <w:p w:rsidR="00AF0099" w:rsidRPr="00FA6BC0" w:rsidRDefault="00AF0099" w:rsidP="007C2C07">
            <w:pPr>
              <w:spacing w:after="120" w:line="240" w:lineRule="auto"/>
              <w:jc w:val="both"/>
              <w:rPr>
                <w:rFonts w:ascii="Times New Roman" w:hAnsi="Times New Roman"/>
                <w:color w:val="000000" w:themeColor="text1"/>
              </w:rPr>
            </w:pPr>
          </w:p>
        </w:tc>
      </w:tr>
      <w:tr w:rsidR="009004F8" w:rsidRPr="008B4FE6" w:rsidTr="00222F94">
        <w:trPr>
          <w:gridAfter w:val="2"/>
          <w:wAfter w:w="63" w:type="dxa"/>
          <w:trHeight w:val="142"/>
        </w:trPr>
        <w:tc>
          <w:tcPr>
            <w:tcW w:w="10874" w:type="dxa"/>
            <w:gridSpan w:val="29"/>
            <w:shd w:val="clear" w:color="auto" w:fill="99CCFF"/>
            <w:vAlign w:val="center"/>
          </w:tcPr>
          <w:p w:rsidR="009004F8" w:rsidRPr="008B4FE6" w:rsidRDefault="009004F8"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9004F8" w:rsidRPr="008B4FE6" w:rsidTr="00222F94">
        <w:trPr>
          <w:gridAfter w:val="2"/>
          <w:wAfter w:w="63" w:type="dxa"/>
          <w:trHeight w:val="142"/>
        </w:trPr>
        <w:tc>
          <w:tcPr>
            <w:tcW w:w="10874" w:type="dxa"/>
            <w:gridSpan w:val="29"/>
            <w:shd w:val="clear" w:color="auto" w:fill="auto"/>
          </w:tcPr>
          <w:p w:rsidR="00643932" w:rsidRDefault="00643932" w:rsidP="00F759AB">
            <w:pPr>
              <w:spacing w:line="240" w:lineRule="auto"/>
              <w:jc w:val="both"/>
              <w:rPr>
                <w:rFonts w:ascii="Times New Roman" w:hAnsi="Times New Roman"/>
                <w:color w:val="000000"/>
                <w:spacing w:val="-2"/>
              </w:rPr>
            </w:pPr>
            <w:r>
              <w:rPr>
                <w:rFonts w:ascii="Times New Roman" w:hAnsi="Times New Roman"/>
                <w:color w:val="000000"/>
                <w:spacing w:val="-2"/>
              </w:rPr>
              <w:t>Z uwagi na zmiany przepisów merytorycznych ustawy i uchylenie pośrednie, które przewidziano w ustawie o finansowaniu społecznościowym, koniecznym jest wydanie nowego rozporządzenia w sprawie opłat na pokrycie kosztów nadzoru nad rynkiem kapitałowym celem uwzględnienia dostawców usług finansowania społecznościowego w systemie naliczania opłat na pokrycie kosztów nadzoru nad rynkiem finansowym prowadzonym przez KNF.</w:t>
            </w:r>
            <w:r w:rsidR="004142EB">
              <w:rPr>
                <w:rFonts w:ascii="Times New Roman" w:hAnsi="Times New Roman"/>
                <w:color w:val="000000"/>
                <w:spacing w:val="-2"/>
              </w:rPr>
              <w:t xml:space="preserve"> Efektem będzie spójny system finansowania nadzoru rynku kapitałowego przez podmioty objęte tymże nadzorem.</w:t>
            </w:r>
          </w:p>
          <w:p w:rsidR="00F759AB" w:rsidRPr="00F759AB" w:rsidRDefault="00F759AB" w:rsidP="00643932">
            <w:pPr>
              <w:spacing w:line="240" w:lineRule="auto"/>
              <w:jc w:val="both"/>
              <w:rPr>
                <w:rFonts w:ascii="Times New Roman" w:hAnsi="Times New Roman"/>
                <w:color w:val="000000"/>
                <w:spacing w:val="-2"/>
              </w:rPr>
            </w:pPr>
          </w:p>
        </w:tc>
      </w:tr>
      <w:tr w:rsidR="009004F8" w:rsidRPr="008B4FE6" w:rsidTr="00222F94">
        <w:trPr>
          <w:gridAfter w:val="2"/>
          <w:wAfter w:w="63" w:type="dxa"/>
          <w:trHeight w:val="307"/>
        </w:trPr>
        <w:tc>
          <w:tcPr>
            <w:tcW w:w="10874" w:type="dxa"/>
            <w:gridSpan w:val="29"/>
            <w:shd w:val="clear" w:color="auto" w:fill="99CCFF"/>
            <w:vAlign w:val="center"/>
          </w:tcPr>
          <w:p w:rsidR="009004F8" w:rsidRPr="008B4FE6" w:rsidRDefault="009004F8"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9004F8" w:rsidRPr="008B4FE6" w:rsidTr="00222F94">
        <w:trPr>
          <w:gridAfter w:val="2"/>
          <w:wAfter w:w="63" w:type="dxa"/>
          <w:trHeight w:val="142"/>
        </w:trPr>
        <w:tc>
          <w:tcPr>
            <w:tcW w:w="10874" w:type="dxa"/>
            <w:gridSpan w:val="29"/>
            <w:shd w:val="clear" w:color="auto" w:fill="auto"/>
          </w:tcPr>
          <w:p w:rsidR="00643932" w:rsidRDefault="00643932" w:rsidP="00643932">
            <w:pPr>
              <w:spacing w:line="240" w:lineRule="auto"/>
              <w:jc w:val="both"/>
              <w:rPr>
                <w:rFonts w:ascii="Times New Roman" w:hAnsi="Times New Roman"/>
              </w:rPr>
            </w:pPr>
            <w:r>
              <w:rPr>
                <w:rFonts w:ascii="Times New Roman" w:hAnsi="Times New Roman"/>
              </w:rPr>
              <w:t>Do krajów członkowskich UE, w których koszty nadzoru kapitałowego pokrywane są bezpośrednio przez poszczególne nadzorowane grupy podmiotów, w tym platformy obrotu, emitentów, doradców inwestycyjnych, domy maklerskie, fundusze inwestycyjne, jako osobną grupę, albo w ramach ogólnej grupy pośredników na rynku finansowym - należy zaliczyć m.in. Niemcy, Finlandię, Belgię, Szwecję, Austrię oraz Francję (z pewnym różnicami np. w Niemczech giełdy nie są obciążane, w Finlandii, gdzie 95% kosztów nadzoru pokrywają opłaty, a 5% Bank Finlandii oraz Austrii, gdzie opłaty obniżone są o roczną wpłatę rządu federalnego w wysokości 4 600 000 EUR). Ponadto podmioty nadzorowane finansują także działalność organów w państwach spoza UE, np. taką metodę finansowania przewidziano odnośnie nadzoru prowadzonego przez amerykańską FINRA.</w:t>
            </w:r>
          </w:p>
          <w:p w:rsidR="009004F8" w:rsidRDefault="00643932" w:rsidP="00AB75E9">
            <w:pPr>
              <w:autoSpaceDE w:val="0"/>
              <w:autoSpaceDN w:val="0"/>
              <w:adjustRightInd w:val="0"/>
              <w:spacing w:line="240" w:lineRule="auto"/>
              <w:jc w:val="both"/>
              <w:rPr>
                <w:rFonts w:ascii="Times New Roman" w:hAnsi="Times New Roman"/>
              </w:rPr>
            </w:pPr>
            <w:r>
              <w:rPr>
                <w:rFonts w:ascii="Times New Roman" w:hAnsi="Times New Roman"/>
              </w:rPr>
              <w:t>Podobne do projektowanego rozwiązania w zakresie alokacji części rzeczywistych kosztów przypisanych procentowo dla grup podmiotów pomniejszonych o opłaty za pojedyncze czynności obowiązują np. w Niemczech i Austrii. Podział kosztów na poszczególne firmy w postaci opłat ustalany jest według różnych podstaw (kapitał własny, aktywa, liczba transakcji, czynności maklerskich, czy usług inwestycyjnych, wysokość sumy bilansowej, kapitalizacja, przychody). Projekt rozporządzenia nie wynika z implementacji aktów prawnych Unii Europejskiej.</w:t>
            </w:r>
          </w:p>
          <w:p w:rsidR="00643932" w:rsidRPr="00A02DEB" w:rsidRDefault="00643932" w:rsidP="00643932">
            <w:pPr>
              <w:autoSpaceDE w:val="0"/>
              <w:autoSpaceDN w:val="0"/>
              <w:adjustRightInd w:val="0"/>
              <w:spacing w:line="240" w:lineRule="auto"/>
              <w:rPr>
                <w:rFonts w:ascii="Times New Roman" w:hAnsi="Times New Roman"/>
                <w:lang w:eastAsia="pl-PL"/>
              </w:rPr>
            </w:pPr>
          </w:p>
        </w:tc>
      </w:tr>
      <w:tr w:rsidR="009004F8" w:rsidRPr="008B4FE6" w:rsidTr="00222F94">
        <w:trPr>
          <w:gridAfter w:val="2"/>
          <w:wAfter w:w="63" w:type="dxa"/>
          <w:trHeight w:val="359"/>
        </w:trPr>
        <w:tc>
          <w:tcPr>
            <w:tcW w:w="10874" w:type="dxa"/>
            <w:gridSpan w:val="29"/>
            <w:shd w:val="clear" w:color="auto" w:fill="99CCFF"/>
            <w:vAlign w:val="center"/>
          </w:tcPr>
          <w:p w:rsidR="009004F8" w:rsidRPr="008B4FE6" w:rsidRDefault="009004F8"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9004F8" w:rsidRPr="008B4FE6" w:rsidTr="00222F94">
        <w:trPr>
          <w:gridAfter w:val="2"/>
          <w:wAfter w:w="63" w:type="dxa"/>
          <w:trHeight w:val="142"/>
        </w:trPr>
        <w:tc>
          <w:tcPr>
            <w:tcW w:w="2648" w:type="dxa"/>
            <w:gridSpan w:val="3"/>
            <w:shd w:val="clear" w:color="auto" w:fill="auto"/>
          </w:tcPr>
          <w:p w:rsidR="009004F8" w:rsidRPr="008B4FE6" w:rsidRDefault="009004F8"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80" w:type="dxa"/>
            <w:gridSpan w:val="8"/>
            <w:shd w:val="clear" w:color="auto" w:fill="auto"/>
          </w:tcPr>
          <w:p w:rsidR="009004F8" w:rsidRPr="008B4FE6" w:rsidRDefault="009004F8"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83" w:type="dxa"/>
            <w:gridSpan w:val="12"/>
            <w:shd w:val="clear" w:color="auto" w:fill="auto"/>
          </w:tcPr>
          <w:p w:rsidR="009004F8" w:rsidRPr="008B4FE6" w:rsidRDefault="009004F8"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63" w:type="dxa"/>
            <w:gridSpan w:val="6"/>
            <w:shd w:val="clear" w:color="auto" w:fill="auto"/>
          </w:tcPr>
          <w:p w:rsidR="009004F8" w:rsidRPr="008B4FE6" w:rsidRDefault="009004F8"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F759AB" w:rsidRPr="008B4FE6" w:rsidTr="00222F94">
        <w:trPr>
          <w:gridAfter w:val="2"/>
          <w:wAfter w:w="63" w:type="dxa"/>
          <w:trHeight w:val="142"/>
        </w:trPr>
        <w:tc>
          <w:tcPr>
            <w:tcW w:w="2648" w:type="dxa"/>
            <w:gridSpan w:val="3"/>
            <w:shd w:val="clear" w:color="auto" w:fill="auto"/>
          </w:tcPr>
          <w:p w:rsidR="00F759AB" w:rsidRPr="00B237F2"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 xml:space="preserve">I. </w:t>
            </w:r>
            <w:r w:rsidRPr="00B237F2">
              <w:rPr>
                <w:rFonts w:ascii="Times New Roman" w:hAnsi="Times New Roman"/>
                <w:noProof/>
                <w:color w:val="000000"/>
              </w:rPr>
              <w:t>Komisja Nadzoru Finansowego</w:t>
            </w:r>
          </w:p>
        </w:tc>
        <w:tc>
          <w:tcPr>
            <w:tcW w:w="2280" w:type="dxa"/>
            <w:gridSpan w:val="8"/>
            <w:shd w:val="clear" w:color="auto" w:fill="FFFFFF" w:themeFill="background1"/>
          </w:tcPr>
          <w:p w:rsidR="00F759AB" w:rsidRPr="00B37C80" w:rsidRDefault="00F759AB" w:rsidP="00F759AB">
            <w:pPr>
              <w:spacing w:before="120" w:after="120" w:line="240" w:lineRule="auto"/>
              <w:jc w:val="both"/>
              <w:rPr>
                <w:rFonts w:ascii="Times New Roman" w:hAnsi="Times New Roman"/>
                <w:color w:val="000000"/>
                <w:spacing w:val="-2"/>
              </w:rPr>
            </w:pPr>
            <w:r>
              <w:rPr>
                <w:rFonts w:ascii="Times New Roman" w:hAnsi="Times New Roman"/>
                <w:color w:val="000000"/>
                <w:spacing w:val="-2"/>
              </w:rPr>
              <w:t>1</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sidRPr="008F7757">
              <w:rPr>
                <w:rFonts w:ascii="Times New Roman" w:hAnsi="Times New Roman"/>
                <w:noProof/>
                <w:color w:val="000000"/>
              </w:rPr>
              <w:t>Ustawa z dnia 21 lipca 2006 r. o nadzor</w:t>
            </w:r>
            <w:r>
              <w:rPr>
                <w:rFonts w:ascii="Times New Roman" w:hAnsi="Times New Roman"/>
                <w:noProof/>
                <w:color w:val="000000"/>
              </w:rPr>
              <w:t>ze nad rynkiem finansowym (</w:t>
            </w:r>
            <w:r w:rsidRPr="001F142E">
              <w:rPr>
                <w:rFonts w:ascii="Times New Roman" w:hAnsi="Times New Roman"/>
                <w:noProof/>
                <w:color w:val="000000"/>
              </w:rPr>
              <w:t xml:space="preserve">Dz. U. z 2022 r. poz. 660 </w:t>
            </w:r>
            <w:r w:rsidR="00EC465F">
              <w:rPr>
                <w:rFonts w:ascii="Times New Roman" w:hAnsi="Times New Roman"/>
                <w:noProof/>
                <w:color w:val="000000"/>
              </w:rPr>
              <w:t xml:space="preserve">, </w:t>
            </w:r>
            <w:r w:rsidRPr="001F142E">
              <w:rPr>
                <w:rFonts w:ascii="Times New Roman" w:hAnsi="Times New Roman"/>
                <w:noProof/>
                <w:color w:val="000000"/>
              </w:rPr>
              <w:t>872</w:t>
            </w:r>
            <w:r w:rsidR="00EC465F">
              <w:rPr>
                <w:rFonts w:ascii="Times New Roman" w:hAnsi="Times New Roman"/>
                <w:noProof/>
                <w:color w:val="000000"/>
              </w:rPr>
              <w:t xml:space="preserve"> i 1488</w:t>
            </w:r>
            <w:r w:rsidRPr="008F7757">
              <w:rPr>
                <w:rFonts w:ascii="Times New Roman" w:hAnsi="Times New Roman"/>
                <w:noProof/>
                <w:color w:val="000000"/>
              </w:rPr>
              <w:t>)</w:t>
            </w:r>
          </w:p>
        </w:tc>
        <w:tc>
          <w:tcPr>
            <w:tcW w:w="2963" w:type="dxa"/>
            <w:gridSpan w:val="6"/>
            <w:shd w:val="clear" w:color="auto" w:fill="auto"/>
          </w:tcPr>
          <w:p w:rsidR="00F759AB" w:rsidRPr="00B37C80" w:rsidRDefault="00643932" w:rsidP="00643932">
            <w:pPr>
              <w:spacing w:before="120" w:after="120" w:line="240" w:lineRule="auto"/>
              <w:ind w:hanging="34"/>
              <w:rPr>
                <w:rFonts w:ascii="Times New Roman" w:hAnsi="Times New Roman"/>
                <w:color w:val="000000"/>
                <w:spacing w:val="-2"/>
              </w:rPr>
            </w:pPr>
            <w:r>
              <w:rPr>
                <w:rFonts w:ascii="Times New Roman" w:hAnsi="Times New Roman"/>
                <w:color w:val="000000"/>
                <w:spacing w:val="-2"/>
              </w:rPr>
              <w:t xml:space="preserve">Konieczność dostosowania systemu naliczania opłat na pokrycie kosztów nadzoru nad rynkiem finansowym z uwagi na rozszerzenie zakresu podmiotów objętych nadzorem </w:t>
            </w:r>
          </w:p>
        </w:tc>
      </w:tr>
      <w:tr w:rsidR="00F759AB" w:rsidRPr="008B4FE6" w:rsidTr="00222F94">
        <w:trPr>
          <w:gridAfter w:val="2"/>
          <w:wAfter w:w="63" w:type="dxa"/>
          <w:trHeight w:val="142"/>
        </w:trPr>
        <w:tc>
          <w:tcPr>
            <w:tcW w:w="2648" w:type="dxa"/>
            <w:gridSpan w:val="3"/>
            <w:shd w:val="clear" w:color="auto" w:fill="auto"/>
          </w:tcPr>
          <w:p w:rsidR="00F759AB" w:rsidRPr="00B237F2"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lang w:eastAsia="pl-PL"/>
              </w:rPr>
              <w:t>II. Podmioty rynku kapitałowego:</w:t>
            </w:r>
          </w:p>
        </w:tc>
        <w:tc>
          <w:tcPr>
            <w:tcW w:w="2280" w:type="dxa"/>
            <w:gridSpan w:val="8"/>
            <w:shd w:val="clear" w:color="auto" w:fill="FFFFFF" w:themeFill="background1"/>
          </w:tcPr>
          <w:p w:rsidR="00F759AB" w:rsidRPr="001B7CE7" w:rsidRDefault="00F759AB" w:rsidP="00F759AB">
            <w:pPr>
              <w:spacing w:before="120" w:after="120" w:line="240" w:lineRule="auto"/>
              <w:jc w:val="both"/>
              <w:rPr>
                <w:rFonts w:ascii="Times New Roman" w:hAnsi="Times New Roman"/>
                <w:color w:val="000000"/>
                <w:spacing w:val="-2"/>
              </w:rPr>
            </w:pP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Pr="007D1F90" w:rsidRDefault="00F759AB" w:rsidP="00F759AB">
            <w:pPr>
              <w:spacing w:before="120" w:after="120" w:line="240" w:lineRule="auto"/>
              <w:ind w:hanging="34"/>
              <w:rPr>
                <w:rFonts w:ascii="Times New Roman" w:hAnsi="Times New Roman"/>
                <w:color w:val="000000"/>
                <w:spacing w:val="-2"/>
              </w:rPr>
            </w:pPr>
            <w:r>
              <w:rPr>
                <w:rFonts w:ascii="Times New Roman" w:hAnsi="Times New Roman"/>
                <w:color w:val="000000"/>
                <w:spacing w:val="-2"/>
              </w:rPr>
              <w:t>Wnoszenie</w:t>
            </w:r>
            <w:r w:rsidRPr="007D1F90">
              <w:rPr>
                <w:rFonts w:ascii="Times New Roman" w:hAnsi="Times New Roman"/>
                <w:color w:val="000000"/>
                <w:spacing w:val="-2"/>
              </w:rPr>
              <w:t xml:space="preserve"> opłat na pokrycie kosztów nadzoru nad rynkiem finansowym </w:t>
            </w:r>
          </w:p>
          <w:p w:rsidR="00F759AB" w:rsidRPr="007560C7" w:rsidRDefault="00F759AB" w:rsidP="00F759AB">
            <w:pPr>
              <w:spacing w:before="120" w:after="120" w:line="240" w:lineRule="auto"/>
              <w:ind w:hanging="34"/>
              <w:rPr>
                <w:rFonts w:ascii="Times New Roman" w:hAnsi="Times New Roman"/>
                <w:noProof/>
                <w:color w:val="000000"/>
              </w:rPr>
            </w:pP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975E2">
            <w:pPr>
              <w:spacing w:before="120" w:after="120" w:line="240" w:lineRule="auto"/>
              <w:ind w:hanging="34"/>
              <w:jc w:val="both"/>
              <w:rPr>
                <w:rFonts w:ascii="Times New Roman" w:hAnsi="Times New Roman"/>
                <w:lang w:eastAsia="pl-PL"/>
              </w:rPr>
            </w:pPr>
            <w:r>
              <w:rPr>
                <w:rFonts w:ascii="Times New Roman" w:hAnsi="Times New Roman"/>
              </w:rPr>
              <w:t xml:space="preserve">1. </w:t>
            </w:r>
            <w:r w:rsidRPr="004A34A7">
              <w:rPr>
                <w:rFonts w:ascii="Times New Roman" w:hAnsi="Times New Roman"/>
              </w:rPr>
              <w:t>towarzystwa funduszy inwestycyjnych (TFI),</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rPr>
              <w:t>57</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Pr>
                <w:rFonts w:ascii="Times New Roman" w:hAnsi="Times New Roman"/>
              </w:rPr>
              <w:t xml:space="preserve">2. </w:t>
            </w:r>
            <w:r w:rsidRPr="004A34A7">
              <w:rPr>
                <w:rFonts w:ascii="Times New Roman" w:hAnsi="Times New Roman"/>
              </w:rPr>
              <w:t>zarządzający ASI</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258</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spacing w:val="-2"/>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975E2">
            <w:pPr>
              <w:spacing w:before="120" w:after="120" w:line="240" w:lineRule="auto"/>
              <w:ind w:hanging="34"/>
              <w:jc w:val="both"/>
              <w:rPr>
                <w:rFonts w:ascii="Times New Roman" w:hAnsi="Times New Roman"/>
                <w:lang w:eastAsia="pl-PL"/>
              </w:rPr>
            </w:pPr>
            <w:r>
              <w:rPr>
                <w:rFonts w:ascii="Times New Roman" w:hAnsi="Times New Roman"/>
              </w:rPr>
              <w:t xml:space="preserve">3. </w:t>
            </w:r>
            <w:r w:rsidRPr="004A34A7">
              <w:rPr>
                <w:rFonts w:ascii="Times New Roman" w:hAnsi="Times New Roman"/>
              </w:rPr>
              <w:t>zarządzający ASI (ZASI) działający na podstawie zezwolenia</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1</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Pr>
                <w:rFonts w:ascii="Times New Roman" w:hAnsi="Times New Roman"/>
              </w:rPr>
              <w:t xml:space="preserve">4. </w:t>
            </w:r>
            <w:r w:rsidRPr="004A34A7">
              <w:rPr>
                <w:rFonts w:ascii="Times New Roman" w:hAnsi="Times New Roman"/>
              </w:rPr>
              <w:t>podmioty prowadzące rejestr uczestników funduszu inwestycyjnego (tzw. agenci transferowi funduszy inwestycyjnych),</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5</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Pr>
                <w:rFonts w:ascii="Times New Roman" w:hAnsi="Times New Roman"/>
                <w:spacing w:val="-2"/>
              </w:rPr>
              <w:t xml:space="preserve">5. </w:t>
            </w:r>
            <w:r w:rsidRPr="004A34A7">
              <w:rPr>
                <w:rFonts w:ascii="Times New Roman" w:hAnsi="Times New Roman"/>
                <w:spacing w:val="-2"/>
              </w:rPr>
              <w:t>podmioty pośredniczące w zbywaniu i odkupywaniu jednostek uczestnictwa funduszy inwestycyjnych, które uzyskały zezwolenie na podstawie art. 32 ust. 2 ustawy o funduszach inwestycyjnych,</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69</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Pr>
                <w:rFonts w:ascii="Times New Roman" w:hAnsi="Times New Roman"/>
              </w:rPr>
              <w:t xml:space="preserve">6. </w:t>
            </w:r>
            <w:r w:rsidRPr="004A34A7">
              <w:rPr>
                <w:rFonts w:ascii="Times New Roman" w:hAnsi="Times New Roman"/>
              </w:rPr>
              <w:t>podmioty zarządzające sekurytyzowanymi wierzytelnościami funduszu sekurytyzacyjnego,</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43</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Pr>
                <w:rFonts w:ascii="Times New Roman" w:hAnsi="Times New Roman"/>
              </w:rPr>
              <w:t xml:space="preserve">7. </w:t>
            </w:r>
            <w:r w:rsidRPr="00E85C6F">
              <w:rPr>
                <w:rFonts w:ascii="Times New Roman" w:hAnsi="Times New Roman"/>
              </w:rPr>
              <w:t>spółki prowadzące rynek regulowany</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Pr>
                <w:rFonts w:ascii="Times New Roman" w:hAnsi="Times New Roman"/>
                <w:spacing w:val="-2"/>
              </w:rPr>
              <w:t>2</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Pr>
                <w:rFonts w:ascii="Times New Roman" w:hAnsi="Times New Roman"/>
              </w:rPr>
              <w:t xml:space="preserve">8. </w:t>
            </w:r>
            <w:r w:rsidRPr="004A34A7">
              <w:rPr>
                <w:rFonts w:ascii="Times New Roman" w:hAnsi="Times New Roman"/>
              </w:rPr>
              <w:t>Krajowy Depozyt Papierów Wartościowych,</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1</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Pr>
                <w:rFonts w:ascii="Times New Roman" w:hAnsi="Times New Roman"/>
              </w:rPr>
              <w:t xml:space="preserve">9. </w:t>
            </w:r>
            <w:r w:rsidRPr="004A34A7">
              <w:rPr>
                <w:rFonts w:ascii="Times New Roman" w:hAnsi="Times New Roman"/>
              </w:rPr>
              <w:t>spółki prowadzące izbę rozliczeniową oraz spółki, którym Krajowy Depozyt Papierów Wartościowych przekazał wykonywanie czynności z zakresu rozliczania transakcji,</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2</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sidRPr="004A34A7">
              <w:rPr>
                <w:rFonts w:ascii="Times New Roman" w:hAnsi="Times New Roman"/>
              </w:rPr>
              <w:lastRenderedPageBreak/>
              <w:t>1</w:t>
            </w:r>
            <w:r>
              <w:rPr>
                <w:rFonts w:ascii="Times New Roman" w:hAnsi="Times New Roman"/>
              </w:rPr>
              <w:t xml:space="preserve">0. </w:t>
            </w:r>
            <w:r w:rsidRPr="004A34A7">
              <w:rPr>
                <w:rFonts w:ascii="Times New Roman" w:hAnsi="Times New Roman"/>
              </w:rPr>
              <w:t>spółki prowadzące izbę rozliczeniową i rozrachunkową, która wykonuje funkcję giełdowej izby rozrachunkowej,</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1</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sidRPr="004A34A7">
              <w:rPr>
                <w:rFonts w:ascii="Times New Roman" w:hAnsi="Times New Roman"/>
              </w:rPr>
              <w:t>1</w:t>
            </w:r>
            <w:r>
              <w:rPr>
                <w:rFonts w:ascii="Times New Roman" w:hAnsi="Times New Roman"/>
              </w:rPr>
              <w:t xml:space="preserve">1. </w:t>
            </w:r>
            <w:r w:rsidRPr="004A34A7">
              <w:rPr>
                <w:rFonts w:ascii="Times New Roman" w:hAnsi="Times New Roman"/>
              </w:rPr>
              <w:t>domy maklerskie,</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36</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sidRPr="004A34A7">
              <w:rPr>
                <w:rFonts w:ascii="Times New Roman" w:hAnsi="Times New Roman"/>
              </w:rPr>
              <w:t>1</w:t>
            </w:r>
            <w:r>
              <w:rPr>
                <w:rFonts w:ascii="Times New Roman" w:hAnsi="Times New Roman"/>
              </w:rPr>
              <w:t xml:space="preserve">2. </w:t>
            </w:r>
            <w:r w:rsidRPr="004A34A7">
              <w:rPr>
                <w:rFonts w:ascii="Times New Roman" w:hAnsi="Times New Roman"/>
              </w:rPr>
              <w:t>agenci firm inwestycyjnych,</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263</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sidRPr="004A34A7">
              <w:rPr>
                <w:rFonts w:ascii="Times New Roman" w:hAnsi="Times New Roman"/>
              </w:rPr>
              <w:t>1</w:t>
            </w:r>
            <w:r>
              <w:rPr>
                <w:rFonts w:ascii="Times New Roman" w:hAnsi="Times New Roman"/>
              </w:rPr>
              <w:t xml:space="preserve">3. </w:t>
            </w:r>
            <w:r w:rsidRPr="004A34A7">
              <w:rPr>
                <w:rFonts w:ascii="Times New Roman" w:hAnsi="Times New Roman"/>
              </w:rPr>
              <w:t>zagraniczne firmy inwestycyjne prowadzące działalność maklerską na terytorium Rzeczypospolitej Polskiej w formie oddziału oraz zagraniczne osoby prawne prowadzące taką działalność na terytorium Rzeczypospolitej Polskiej,</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7</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sidRPr="004A34A7">
              <w:rPr>
                <w:rFonts w:ascii="Times New Roman" w:hAnsi="Times New Roman"/>
              </w:rPr>
              <w:t>1</w:t>
            </w:r>
            <w:r>
              <w:rPr>
                <w:rFonts w:ascii="Times New Roman" w:hAnsi="Times New Roman"/>
              </w:rPr>
              <w:t xml:space="preserve">4. </w:t>
            </w:r>
            <w:r w:rsidRPr="004A34A7">
              <w:rPr>
                <w:rFonts w:ascii="Times New Roman" w:hAnsi="Times New Roman"/>
              </w:rPr>
              <w:t xml:space="preserve">zagraniczne firmy inwestycyjne </w:t>
            </w:r>
            <w:r>
              <w:rPr>
                <w:rFonts w:ascii="Times New Roman" w:hAnsi="Times New Roman"/>
              </w:rPr>
              <w:t>n</w:t>
            </w:r>
            <w:r w:rsidRPr="004A34A7">
              <w:rPr>
                <w:rFonts w:ascii="Times New Roman" w:hAnsi="Times New Roman"/>
              </w:rPr>
              <w:t>ieprowadzące działalności maklerskiej na terytorium Rzeczypospolitej Polskiej, a będące stronami transakcji zawieranych na rynku giełdowym (tzw. zdalni członkowi giełdy),</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25</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sidRPr="004A34A7">
              <w:rPr>
                <w:rFonts w:ascii="Times New Roman" w:hAnsi="Times New Roman"/>
              </w:rPr>
              <w:t>1</w:t>
            </w:r>
            <w:r>
              <w:rPr>
                <w:rFonts w:ascii="Times New Roman" w:hAnsi="Times New Roman"/>
              </w:rPr>
              <w:t xml:space="preserve">5. </w:t>
            </w:r>
            <w:r w:rsidRPr="004A34A7">
              <w:rPr>
                <w:rFonts w:ascii="Times New Roman" w:hAnsi="Times New Roman"/>
              </w:rPr>
              <w:t>spółki prowadzące giełdę towarową,</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1</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sidRPr="004A34A7">
              <w:rPr>
                <w:rFonts w:ascii="Times New Roman" w:hAnsi="Times New Roman"/>
              </w:rPr>
              <w:t>1</w:t>
            </w:r>
            <w:r>
              <w:rPr>
                <w:rFonts w:ascii="Times New Roman" w:hAnsi="Times New Roman"/>
              </w:rPr>
              <w:t xml:space="preserve">6. </w:t>
            </w:r>
            <w:r w:rsidRPr="004A34A7">
              <w:rPr>
                <w:rFonts w:ascii="Times New Roman" w:hAnsi="Times New Roman"/>
              </w:rPr>
              <w:t>spółki prowadzące giełdowe izby rozrachunkowe na podstawie ustawy o giełdach towarowych,</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0</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sidRPr="004A34A7">
              <w:rPr>
                <w:rFonts w:ascii="Times New Roman" w:hAnsi="Times New Roman"/>
              </w:rPr>
              <w:t>1</w:t>
            </w:r>
            <w:r>
              <w:rPr>
                <w:rFonts w:ascii="Times New Roman" w:hAnsi="Times New Roman"/>
              </w:rPr>
              <w:t xml:space="preserve">7. </w:t>
            </w:r>
            <w:r w:rsidRPr="004A34A7">
              <w:rPr>
                <w:rFonts w:ascii="Times New Roman" w:hAnsi="Times New Roman"/>
              </w:rPr>
              <w:t>towarowe domy maklerskie,</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1</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sidRPr="004A34A7">
              <w:rPr>
                <w:rFonts w:ascii="Times New Roman" w:hAnsi="Times New Roman"/>
              </w:rPr>
              <w:t>1</w:t>
            </w:r>
            <w:r>
              <w:rPr>
                <w:rFonts w:ascii="Times New Roman" w:hAnsi="Times New Roman"/>
              </w:rPr>
              <w:t xml:space="preserve">8. </w:t>
            </w:r>
            <w:r w:rsidRPr="004A34A7">
              <w:rPr>
                <w:rFonts w:ascii="Times New Roman" w:hAnsi="Times New Roman"/>
              </w:rPr>
              <w:t>podmioty posiadające zezwolenie na prowadzenie rachunków i rejestrów towarów giełdowych,</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60</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Pr>
                <w:rFonts w:ascii="Times New Roman" w:hAnsi="Times New Roman"/>
              </w:rPr>
              <w:t xml:space="preserve">19. </w:t>
            </w:r>
            <w:r w:rsidRPr="004A34A7">
              <w:rPr>
                <w:rFonts w:ascii="Times New Roman" w:hAnsi="Times New Roman"/>
              </w:rPr>
              <w:t>zagraniczne osoby prawne, o których mowa w art. 50 ust. 1 ustawy o giełdach towarowych, prowadzące działalność na terytorium Rzeczypospolitej Polskiej w formie oddziału,</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0</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sidRPr="004A34A7">
              <w:rPr>
                <w:rFonts w:ascii="Times New Roman" w:hAnsi="Times New Roman"/>
              </w:rPr>
              <w:lastRenderedPageBreak/>
              <w:t>2</w:t>
            </w:r>
            <w:r>
              <w:rPr>
                <w:rFonts w:ascii="Times New Roman" w:hAnsi="Times New Roman"/>
              </w:rPr>
              <w:t xml:space="preserve">0. </w:t>
            </w:r>
            <w:r w:rsidRPr="004A34A7">
              <w:rPr>
                <w:rFonts w:ascii="Times New Roman" w:hAnsi="Times New Roman"/>
              </w:rPr>
              <w:t>krajowe spółki publiczne, których akcje dopuszczone są do obrotu na rynku regulowanym lub których akcje wprowadzone są do alternatywnego systemu obrotu,</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759</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B237F2" w:rsidDel="009B6CB1" w:rsidRDefault="00F759AB" w:rsidP="00F759AB">
            <w:pPr>
              <w:spacing w:before="120" w:after="120" w:line="240" w:lineRule="auto"/>
              <w:ind w:hanging="34"/>
              <w:jc w:val="both"/>
              <w:rPr>
                <w:rFonts w:ascii="Times New Roman" w:hAnsi="Times New Roman"/>
                <w:lang w:eastAsia="pl-PL"/>
              </w:rPr>
            </w:pPr>
            <w:r w:rsidRPr="004A34A7">
              <w:rPr>
                <w:rFonts w:ascii="Times New Roman" w:hAnsi="Times New Roman"/>
              </w:rPr>
              <w:t>2</w:t>
            </w:r>
            <w:r>
              <w:rPr>
                <w:rFonts w:ascii="Times New Roman" w:hAnsi="Times New Roman"/>
              </w:rPr>
              <w:t xml:space="preserve">1. </w:t>
            </w:r>
            <w:r w:rsidRPr="004A34A7">
              <w:rPr>
                <w:rFonts w:ascii="Times New Roman" w:hAnsi="Times New Roman"/>
              </w:rPr>
              <w:t>krajowi emitenci papierów wartościowych, innych niż akcje, dopuszczonych do obrotu na rynku regulowanym,</w:t>
            </w:r>
          </w:p>
        </w:tc>
        <w:tc>
          <w:tcPr>
            <w:tcW w:w="2280" w:type="dxa"/>
            <w:gridSpan w:val="8"/>
            <w:shd w:val="clear" w:color="auto" w:fill="FFFFFF" w:themeFill="background1"/>
          </w:tcPr>
          <w:p w:rsidR="00F759AB"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106</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2D69A3" w:rsidDel="009004F8" w:rsidRDefault="00F759AB" w:rsidP="00F759AB">
            <w:pPr>
              <w:spacing w:before="120" w:after="120" w:line="240" w:lineRule="auto"/>
              <w:ind w:hanging="34"/>
              <w:jc w:val="both"/>
              <w:rPr>
                <w:rFonts w:ascii="Times New Roman" w:hAnsi="Times New Roman"/>
              </w:rPr>
            </w:pPr>
            <w:r w:rsidRPr="004A34A7">
              <w:rPr>
                <w:rFonts w:ascii="Times New Roman" w:hAnsi="Times New Roman"/>
              </w:rPr>
              <w:t>2</w:t>
            </w:r>
            <w:r>
              <w:rPr>
                <w:rFonts w:ascii="Times New Roman" w:hAnsi="Times New Roman"/>
              </w:rPr>
              <w:t xml:space="preserve">2. </w:t>
            </w:r>
            <w:r w:rsidRPr="004A34A7">
              <w:rPr>
                <w:rFonts w:ascii="Times New Roman" w:hAnsi="Times New Roman"/>
              </w:rPr>
              <w:t>podmioty o statusie agencji informacyjnej.</w:t>
            </w:r>
          </w:p>
        </w:tc>
        <w:tc>
          <w:tcPr>
            <w:tcW w:w="2280" w:type="dxa"/>
            <w:gridSpan w:val="8"/>
            <w:shd w:val="clear" w:color="auto" w:fill="FFFFFF" w:themeFill="background1"/>
          </w:tcPr>
          <w:p w:rsidR="00F759AB" w:rsidRPr="002D69A3" w:rsidDel="006B5A85"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4</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Pr="001F6CCC"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2D69A3" w:rsidDel="009004F8" w:rsidRDefault="00F759AB" w:rsidP="00F759AB">
            <w:pPr>
              <w:spacing w:before="120" w:after="120" w:line="240" w:lineRule="auto"/>
              <w:ind w:hanging="34"/>
              <w:jc w:val="both"/>
              <w:rPr>
                <w:rFonts w:ascii="Times New Roman" w:hAnsi="Times New Roman"/>
              </w:rPr>
            </w:pPr>
            <w:r w:rsidRPr="004A34A7">
              <w:rPr>
                <w:rFonts w:ascii="Times New Roman" w:hAnsi="Times New Roman"/>
              </w:rPr>
              <w:t>2</w:t>
            </w:r>
            <w:r>
              <w:rPr>
                <w:rFonts w:ascii="Times New Roman" w:hAnsi="Times New Roman"/>
              </w:rPr>
              <w:t>3</w:t>
            </w:r>
            <w:r w:rsidRPr="004A34A7">
              <w:rPr>
                <w:rFonts w:ascii="Times New Roman" w:hAnsi="Times New Roman"/>
              </w:rPr>
              <w:t>. fundusze zagraniczne oraz fundusze inwestycyjne otwarte z siedzibą w państwie należącym do EEA w przypadku których KNF otrzymała zawiadomienie o zamiarze zbywania tytułów uczestnictwa na terytorium Rzeczypospolitej Polskiej</w:t>
            </w:r>
          </w:p>
        </w:tc>
        <w:tc>
          <w:tcPr>
            <w:tcW w:w="2280" w:type="dxa"/>
            <w:gridSpan w:val="8"/>
            <w:shd w:val="clear" w:color="auto" w:fill="FFFFFF" w:themeFill="background1"/>
          </w:tcPr>
          <w:p w:rsidR="00F759AB" w:rsidRPr="002D69A3" w:rsidDel="006B5A85"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33 fundusze, 709 subfunduszy</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Pr="001F6CCC"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2D69A3" w:rsidDel="009004F8" w:rsidRDefault="00F759AB" w:rsidP="00F759AB">
            <w:pPr>
              <w:spacing w:before="120" w:after="120" w:line="240" w:lineRule="auto"/>
              <w:ind w:hanging="34"/>
              <w:jc w:val="both"/>
              <w:rPr>
                <w:rFonts w:ascii="Times New Roman" w:hAnsi="Times New Roman"/>
              </w:rPr>
            </w:pPr>
            <w:r w:rsidRPr="004A34A7">
              <w:rPr>
                <w:rFonts w:ascii="Times New Roman" w:hAnsi="Times New Roman"/>
              </w:rPr>
              <w:t>2</w:t>
            </w:r>
            <w:r>
              <w:rPr>
                <w:rFonts w:ascii="Times New Roman" w:hAnsi="Times New Roman"/>
              </w:rPr>
              <w:t>4</w:t>
            </w:r>
            <w:r w:rsidRPr="004A34A7">
              <w:rPr>
                <w:rFonts w:ascii="Times New Roman" w:hAnsi="Times New Roman"/>
              </w:rPr>
              <w:t>. unijne AFI oraz alternatywne fundusze inwestycyjne z siedzibą w państwie należącym do EEA, w przypadku których KNF otrzymała zawiadomienie o zamiarze wprowadzania ich do obrotu na terytorium Rzeczypospolitej Polskiej</w:t>
            </w:r>
          </w:p>
        </w:tc>
        <w:tc>
          <w:tcPr>
            <w:tcW w:w="2280" w:type="dxa"/>
            <w:gridSpan w:val="8"/>
            <w:shd w:val="clear" w:color="auto" w:fill="FFFFFF" w:themeFill="background1"/>
          </w:tcPr>
          <w:p w:rsidR="00F759AB" w:rsidRPr="002D69A3" w:rsidDel="006B5A85" w:rsidRDefault="00F759AB" w:rsidP="00F759AB">
            <w:pPr>
              <w:spacing w:before="120" w:after="120" w:line="240" w:lineRule="auto"/>
              <w:jc w:val="both"/>
              <w:rPr>
                <w:rFonts w:ascii="Times New Roman" w:hAnsi="Times New Roman"/>
                <w:color w:val="000000"/>
                <w:spacing w:val="-2"/>
              </w:rPr>
            </w:pPr>
            <w:r w:rsidRPr="004A34A7">
              <w:rPr>
                <w:rFonts w:ascii="Times New Roman" w:hAnsi="Times New Roman"/>
                <w:spacing w:val="-2"/>
              </w:rPr>
              <w:t>433 fundusze, 82 subfundusz</w:t>
            </w:r>
            <w:r>
              <w:rPr>
                <w:rFonts w:ascii="Times New Roman" w:hAnsi="Times New Roman"/>
                <w:spacing w:val="-2"/>
              </w:rPr>
              <w:t>y</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Pr="001F6CCC" w:rsidRDefault="00F759AB" w:rsidP="00F759AB">
            <w:pPr>
              <w:spacing w:before="120" w:after="120" w:line="240" w:lineRule="auto"/>
              <w:ind w:hanging="34"/>
              <w:rPr>
                <w:rFonts w:ascii="Times New Roman" w:hAnsi="Times New Roman"/>
                <w:color w:val="000000"/>
                <w:spacing w:val="-2"/>
              </w:rPr>
            </w:pPr>
            <w:r w:rsidRPr="00640612">
              <w:rPr>
                <w:rFonts w:ascii="Times New Roman" w:hAnsi="Times New Roman"/>
                <w:color w:val="000000"/>
                <w:spacing w:val="-2"/>
              </w:rPr>
              <w:t>Obciążenia zostaną utrzymane na dotychczasowym poziomie</w:t>
            </w:r>
            <w:r>
              <w:rPr>
                <w:rFonts w:ascii="Times New Roman" w:hAnsi="Times New Roman"/>
                <w:color w:val="000000"/>
              </w:rPr>
              <w:t>.</w:t>
            </w:r>
          </w:p>
        </w:tc>
      </w:tr>
      <w:tr w:rsidR="00F759AB" w:rsidRPr="008B4FE6" w:rsidTr="00222F94">
        <w:trPr>
          <w:gridAfter w:val="2"/>
          <w:wAfter w:w="63" w:type="dxa"/>
          <w:trHeight w:val="142"/>
        </w:trPr>
        <w:tc>
          <w:tcPr>
            <w:tcW w:w="2648" w:type="dxa"/>
            <w:gridSpan w:val="3"/>
            <w:shd w:val="clear" w:color="auto" w:fill="auto"/>
          </w:tcPr>
          <w:p w:rsidR="00F759AB" w:rsidRPr="002D69A3" w:rsidDel="009004F8" w:rsidRDefault="00F975E2" w:rsidP="00F759AB">
            <w:pPr>
              <w:spacing w:before="120" w:after="120" w:line="240" w:lineRule="auto"/>
              <w:ind w:hanging="34"/>
              <w:jc w:val="both"/>
              <w:rPr>
                <w:rFonts w:ascii="Times New Roman" w:hAnsi="Times New Roman"/>
              </w:rPr>
            </w:pPr>
            <w:r>
              <w:rPr>
                <w:rFonts w:ascii="Times New Roman" w:hAnsi="Times New Roman"/>
              </w:rPr>
              <w:t>25</w:t>
            </w:r>
            <w:r w:rsidR="00F759AB">
              <w:rPr>
                <w:rFonts w:ascii="Times New Roman" w:hAnsi="Times New Roman"/>
              </w:rPr>
              <w:t>.</w:t>
            </w:r>
            <w:r w:rsidR="00F759AB">
              <w:rPr>
                <w:rFonts w:ascii="Times New Roman" w:hAnsi="Times New Roman"/>
              </w:rPr>
              <w:tab/>
            </w:r>
            <w:r w:rsidR="00F759AB" w:rsidRPr="004149BC">
              <w:rPr>
                <w:rFonts w:ascii="Times New Roman" w:hAnsi="Times New Roman"/>
              </w:rPr>
              <w:t>dostawcy usług finansowania społecznościowego dla przedsięwzięć gospodarczych</w:t>
            </w:r>
          </w:p>
        </w:tc>
        <w:tc>
          <w:tcPr>
            <w:tcW w:w="2280" w:type="dxa"/>
            <w:gridSpan w:val="8"/>
            <w:shd w:val="clear" w:color="auto" w:fill="FFFFFF" w:themeFill="background1"/>
          </w:tcPr>
          <w:p w:rsidR="00F759AB" w:rsidRPr="002D69A3" w:rsidDel="006B5A85" w:rsidRDefault="00F759AB" w:rsidP="00F759AB">
            <w:pPr>
              <w:spacing w:before="120" w:after="120" w:line="240" w:lineRule="auto"/>
              <w:jc w:val="both"/>
              <w:rPr>
                <w:rFonts w:ascii="Times New Roman" w:hAnsi="Times New Roman"/>
                <w:color w:val="000000"/>
                <w:spacing w:val="-2"/>
              </w:rPr>
            </w:pPr>
            <w:r>
              <w:rPr>
                <w:rFonts w:ascii="Times New Roman" w:hAnsi="Times New Roman"/>
                <w:color w:val="000000"/>
                <w:spacing w:val="-2"/>
              </w:rPr>
              <w:t>8</w:t>
            </w:r>
          </w:p>
        </w:tc>
        <w:tc>
          <w:tcPr>
            <w:tcW w:w="2983" w:type="dxa"/>
            <w:gridSpan w:val="12"/>
            <w:shd w:val="clear" w:color="auto" w:fill="auto"/>
          </w:tcPr>
          <w:p w:rsidR="00F759AB" w:rsidRPr="007560C7" w:rsidRDefault="00F759AB" w:rsidP="00F759AB">
            <w:pPr>
              <w:spacing w:before="120" w:after="120" w:line="240" w:lineRule="auto"/>
              <w:ind w:hanging="34"/>
              <w:jc w:val="both"/>
              <w:rPr>
                <w:rFonts w:ascii="Times New Roman" w:hAnsi="Times New Roman"/>
                <w:noProof/>
                <w:color w:val="000000"/>
              </w:rPr>
            </w:pPr>
            <w:r>
              <w:rPr>
                <w:rFonts w:ascii="Times New Roman" w:hAnsi="Times New Roman"/>
                <w:noProof/>
                <w:color w:val="000000"/>
              </w:rPr>
              <w:t>Urząd Komisji Nadzoru Finansowego</w:t>
            </w:r>
          </w:p>
        </w:tc>
        <w:tc>
          <w:tcPr>
            <w:tcW w:w="2963" w:type="dxa"/>
            <w:gridSpan w:val="6"/>
            <w:shd w:val="clear" w:color="auto" w:fill="auto"/>
          </w:tcPr>
          <w:p w:rsidR="00F759AB" w:rsidRPr="001F6CCC" w:rsidRDefault="00643932" w:rsidP="00B55EE3">
            <w:pPr>
              <w:spacing w:before="120" w:after="120" w:line="240" w:lineRule="auto"/>
              <w:ind w:hanging="34"/>
              <w:rPr>
                <w:rFonts w:ascii="Times New Roman" w:hAnsi="Times New Roman"/>
                <w:color w:val="000000"/>
                <w:spacing w:val="-2"/>
              </w:rPr>
            </w:pPr>
            <w:r>
              <w:rPr>
                <w:rFonts w:ascii="Times New Roman" w:hAnsi="Times New Roman"/>
                <w:color w:val="000000"/>
                <w:spacing w:val="-2"/>
              </w:rPr>
              <w:t xml:space="preserve">Konieczność </w:t>
            </w:r>
            <w:r w:rsidR="00B55EE3">
              <w:rPr>
                <w:rFonts w:ascii="Times New Roman" w:hAnsi="Times New Roman"/>
                <w:color w:val="000000"/>
                <w:spacing w:val="-2"/>
              </w:rPr>
              <w:t>terminowego</w:t>
            </w:r>
            <w:r w:rsidR="00F975E2">
              <w:rPr>
                <w:rFonts w:ascii="Times New Roman" w:hAnsi="Times New Roman"/>
                <w:color w:val="000000"/>
                <w:spacing w:val="-2"/>
              </w:rPr>
              <w:t xml:space="preserve"> uiszczania</w:t>
            </w:r>
            <w:r>
              <w:rPr>
                <w:rFonts w:ascii="Times New Roman" w:hAnsi="Times New Roman"/>
                <w:color w:val="000000"/>
                <w:spacing w:val="-2"/>
              </w:rPr>
              <w:t xml:space="preserve"> opłat na pokrycie kosztów nadzoru nad ryn</w:t>
            </w:r>
            <w:r w:rsidR="00F975E2">
              <w:rPr>
                <w:rFonts w:ascii="Times New Roman" w:hAnsi="Times New Roman"/>
                <w:color w:val="000000"/>
                <w:spacing w:val="-2"/>
              </w:rPr>
              <w:t>kiem finansowym, a także uiszcza</w:t>
            </w:r>
            <w:r>
              <w:rPr>
                <w:rFonts w:ascii="Times New Roman" w:hAnsi="Times New Roman"/>
                <w:color w:val="000000"/>
                <w:spacing w:val="-2"/>
              </w:rPr>
              <w:t>nie ich w sposób i w wysokości określonej w przepisach projektowanego rozporządzenia</w:t>
            </w:r>
          </w:p>
        </w:tc>
      </w:tr>
      <w:tr w:rsidR="009004F8" w:rsidRPr="008B4FE6" w:rsidTr="00222F94">
        <w:trPr>
          <w:gridAfter w:val="2"/>
          <w:wAfter w:w="63" w:type="dxa"/>
          <w:trHeight w:val="302"/>
        </w:trPr>
        <w:tc>
          <w:tcPr>
            <w:tcW w:w="10874" w:type="dxa"/>
            <w:gridSpan w:val="29"/>
            <w:shd w:val="clear" w:color="auto" w:fill="99CCFF"/>
            <w:vAlign w:val="center"/>
          </w:tcPr>
          <w:p w:rsidR="009004F8" w:rsidRPr="008B4FE6" w:rsidRDefault="009004F8" w:rsidP="009004F8">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9004F8" w:rsidRPr="008B4FE6" w:rsidTr="00222F94">
        <w:trPr>
          <w:gridAfter w:val="2"/>
          <w:wAfter w:w="63" w:type="dxa"/>
          <w:trHeight w:val="342"/>
        </w:trPr>
        <w:tc>
          <w:tcPr>
            <w:tcW w:w="10874" w:type="dxa"/>
            <w:gridSpan w:val="29"/>
            <w:shd w:val="clear" w:color="auto" w:fill="auto"/>
          </w:tcPr>
          <w:p w:rsidR="00F759AB" w:rsidRPr="00B214D2" w:rsidRDefault="00F759AB" w:rsidP="00F759AB">
            <w:pPr>
              <w:spacing w:line="240" w:lineRule="auto"/>
              <w:jc w:val="both"/>
              <w:rPr>
                <w:rFonts w:ascii="Times New Roman" w:hAnsi="Times New Roman"/>
                <w:color w:val="000000"/>
                <w:spacing w:val="-2"/>
              </w:rPr>
            </w:pPr>
            <w:r w:rsidRPr="00B214D2">
              <w:rPr>
                <w:rFonts w:ascii="Times New Roman" w:hAnsi="Times New Roman"/>
                <w:color w:val="000000"/>
                <w:spacing w:val="-2"/>
              </w:rPr>
              <w:t xml:space="preserve">W ramach konsultacji publicznych i opiniowania projekt rozporządzenia zostanie przekazany Urzędowi Komisji Nadzoru Finansowego, Narodowemu Bankowi Polskiemu, Urzędowi Ochrony Konkurencji i Konsumentów, Rzecznikowi Praw Obywatelskich, Rzecznikowi Finansowemu, Głównemu Urzędowi Statystycznemu, Prokuratorii Generalnej Rzeczypospolitej Polskiej, Rzecznikowi Małych i Średnich Przedsiębiorców, Urzędowi Ochrony Danych Osobowych, Polskiej Agencji Nadzoru Audytowego, Bankowemu Funduszowi Gwarancyjnemu, Giełdzie Papierów Wartościowych w Warszawie S.A., Krajowemu Depozytowi Papierów Wartościowych, Izbie Domów Maklerskich, Izbie Zarządzających Funduszami i Aktywami, Związkowi Banków Polskich, Stowarzyszeniu Emitentów Giełdowych, BondSpot, Towarowej Giełdzie Energii, Izbie Rozliczeniowej Giełd Towarowych, Stowarzyszeniu Inwestorów Indywidualnych, Związkowi Maklerów i Doradców, Polskiemu Stowarzyszeniu Inwestorów Kapitałowych, Krajowej Spółdzielczej Kasie Oszczędnościowo-Kredytowej, CFA Society Poland, Krajowej Radzie Biegłych Rewidentów, Stowarzyszeniu Compliance </w:t>
            </w:r>
            <w:r w:rsidRPr="00B214D2">
              <w:rPr>
                <w:rFonts w:ascii="Times New Roman" w:hAnsi="Times New Roman"/>
                <w:color w:val="000000"/>
                <w:spacing w:val="-2"/>
              </w:rPr>
              <w:lastRenderedPageBreak/>
              <w:t>Polska, Federacji Przedsiębiorców Polskich, Związkowi Przedsiębiorstw Finansowych w Polsce i Stowarzyszeniu Rynków Finansowych ACI Polska.</w:t>
            </w:r>
          </w:p>
          <w:p w:rsidR="00F759AB" w:rsidRPr="00B37C80" w:rsidRDefault="00F759AB" w:rsidP="00F759AB">
            <w:pPr>
              <w:spacing w:line="240" w:lineRule="auto"/>
              <w:jc w:val="both"/>
              <w:rPr>
                <w:rFonts w:ascii="Times New Roman" w:hAnsi="Times New Roman"/>
                <w:color w:val="000000"/>
                <w:spacing w:val="-2"/>
              </w:rPr>
            </w:pPr>
            <w:r w:rsidRPr="00B214D2">
              <w:rPr>
                <w:rFonts w:ascii="Times New Roman" w:hAnsi="Times New Roman"/>
                <w:color w:val="000000"/>
                <w:spacing w:val="-2"/>
              </w:rPr>
              <w:t>Czas trwania konsultacji zostanie wyznaczony na 14 dni od dnia udostępnienia projektu.</w:t>
            </w:r>
          </w:p>
          <w:p w:rsidR="009004F8" w:rsidRPr="00A25BBB" w:rsidRDefault="009004F8" w:rsidP="00C2021A">
            <w:pPr>
              <w:spacing w:before="120" w:line="240" w:lineRule="auto"/>
              <w:jc w:val="both"/>
              <w:rPr>
                <w:rFonts w:ascii="Times New Roman" w:hAnsi="Times New Roman"/>
                <w:color w:val="000000"/>
                <w:spacing w:val="-2"/>
              </w:rPr>
            </w:pPr>
          </w:p>
        </w:tc>
      </w:tr>
      <w:tr w:rsidR="009004F8" w:rsidRPr="008B4FE6" w:rsidTr="00222F94">
        <w:trPr>
          <w:gridAfter w:val="2"/>
          <w:wAfter w:w="63" w:type="dxa"/>
          <w:trHeight w:val="363"/>
        </w:trPr>
        <w:tc>
          <w:tcPr>
            <w:tcW w:w="10874" w:type="dxa"/>
            <w:gridSpan w:val="29"/>
            <w:shd w:val="clear" w:color="auto" w:fill="99CCFF"/>
            <w:vAlign w:val="center"/>
          </w:tcPr>
          <w:p w:rsidR="009004F8" w:rsidRPr="008B4FE6" w:rsidRDefault="009004F8" w:rsidP="009004F8">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9004F8" w:rsidRPr="008B4FE6" w:rsidTr="00222F94">
        <w:trPr>
          <w:gridAfter w:val="2"/>
          <w:wAfter w:w="63" w:type="dxa"/>
          <w:trHeight w:val="142"/>
        </w:trPr>
        <w:tc>
          <w:tcPr>
            <w:tcW w:w="3110" w:type="dxa"/>
            <w:gridSpan w:val="4"/>
            <w:vMerge w:val="restart"/>
            <w:shd w:val="clear" w:color="auto" w:fill="auto"/>
          </w:tcPr>
          <w:p w:rsidR="009004F8" w:rsidRPr="00C53F26" w:rsidRDefault="009004F8" w:rsidP="009004F8">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764" w:type="dxa"/>
            <w:gridSpan w:val="25"/>
            <w:shd w:val="clear" w:color="auto" w:fill="auto"/>
          </w:tcPr>
          <w:p w:rsidR="009004F8" w:rsidRPr="00C53F26" w:rsidRDefault="009004F8" w:rsidP="009004F8">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9004F8" w:rsidRPr="008B4FE6" w:rsidTr="00222F94">
        <w:trPr>
          <w:gridAfter w:val="2"/>
          <w:wAfter w:w="63" w:type="dxa"/>
          <w:trHeight w:val="142"/>
        </w:trPr>
        <w:tc>
          <w:tcPr>
            <w:tcW w:w="3110" w:type="dxa"/>
            <w:gridSpan w:val="4"/>
            <w:vMerge/>
            <w:shd w:val="clear" w:color="auto" w:fill="auto"/>
          </w:tcPr>
          <w:p w:rsidR="009004F8" w:rsidRPr="00C53F26" w:rsidRDefault="009004F8" w:rsidP="009004F8">
            <w:pPr>
              <w:spacing w:before="40" w:after="40" w:line="240" w:lineRule="auto"/>
              <w:rPr>
                <w:rFonts w:ascii="Times New Roman" w:hAnsi="Times New Roman"/>
                <w:i/>
                <w:color w:val="000000"/>
                <w:sz w:val="21"/>
                <w:szCs w:val="21"/>
              </w:rPr>
            </w:pPr>
          </w:p>
        </w:tc>
        <w:tc>
          <w:tcPr>
            <w:tcW w:w="566" w:type="dxa"/>
            <w:gridSpan w:val="2"/>
            <w:shd w:val="clear" w:color="auto" w:fill="auto"/>
          </w:tcPr>
          <w:p w:rsidR="009004F8" w:rsidRPr="00C53F26" w:rsidRDefault="009004F8" w:rsidP="009004F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67" w:type="dxa"/>
            <w:gridSpan w:val="2"/>
            <w:shd w:val="clear" w:color="auto" w:fill="auto"/>
          </w:tcPr>
          <w:p w:rsidR="009004F8" w:rsidRPr="00C53F26" w:rsidRDefault="009004F8" w:rsidP="009004F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67" w:type="dxa"/>
            <w:gridSpan w:val="2"/>
            <w:shd w:val="clear" w:color="auto" w:fill="auto"/>
          </w:tcPr>
          <w:p w:rsidR="009004F8" w:rsidRPr="00C53F26" w:rsidRDefault="009004F8" w:rsidP="009004F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6" w:type="dxa"/>
            <w:gridSpan w:val="3"/>
            <w:shd w:val="clear" w:color="auto" w:fill="auto"/>
          </w:tcPr>
          <w:p w:rsidR="009004F8" w:rsidRPr="00C53F26" w:rsidRDefault="009004F8" w:rsidP="009004F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68" w:type="dxa"/>
            <w:gridSpan w:val="2"/>
            <w:shd w:val="clear" w:color="auto" w:fill="auto"/>
          </w:tcPr>
          <w:p w:rsidR="009004F8" w:rsidRPr="00C53F26" w:rsidRDefault="009004F8" w:rsidP="009004F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67" w:type="dxa"/>
            <w:shd w:val="clear" w:color="auto" w:fill="auto"/>
          </w:tcPr>
          <w:p w:rsidR="009004F8" w:rsidRPr="00C53F26" w:rsidRDefault="009004F8" w:rsidP="009004F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68" w:type="dxa"/>
            <w:gridSpan w:val="3"/>
            <w:shd w:val="clear" w:color="auto" w:fill="auto"/>
          </w:tcPr>
          <w:p w:rsidR="009004F8" w:rsidRPr="00C53F26" w:rsidRDefault="009004F8" w:rsidP="009004F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7" w:type="dxa"/>
            <w:gridSpan w:val="3"/>
            <w:shd w:val="clear" w:color="auto" w:fill="auto"/>
          </w:tcPr>
          <w:p w:rsidR="009004F8" w:rsidRPr="00C53F26" w:rsidRDefault="009004F8" w:rsidP="009004F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67" w:type="dxa"/>
            <w:gridSpan w:val="2"/>
            <w:shd w:val="clear" w:color="auto" w:fill="auto"/>
          </w:tcPr>
          <w:p w:rsidR="009004F8" w:rsidRPr="00C53F26" w:rsidRDefault="009004F8" w:rsidP="009004F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68" w:type="dxa"/>
            <w:gridSpan w:val="2"/>
            <w:shd w:val="clear" w:color="auto" w:fill="auto"/>
          </w:tcPr>
          <w:p w:rsidR="009004F8" w:rsidRPr="00C53F26" w:rsidRDefault="009004F8" w:rsidP="009004F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67" w:type="dxa"/>
            <w:shd w:val="clear" w:color="auto" w:fill="auto"/>
          </w:tcPr>
          <w:p w:rsidR="009004F8" w:rsidRPr="00C53F26" w:rsidRDefault="009004F8" w:rsidP="009004F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26" w:type="dxa"/>
            <w:gridSpan w:val="2"/>
            <w:shd w:val="clear" w:color="auto" w:fill="auto"/>
          </w:tcPr>
          <w:p w:rsidR="009004F8" w:rsidRPr="00C53F26" w:rsidRDefault="009004F8" w:rsidP="009004F8">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AB1C62" w:rsidRPr="008B4FE6" w:rsidTr="00AB1C62">
        <w:trPr>
          <w:gridAfter w:val="1"/>
          <w:wAfter w:w="42" w:type="dxa"/>
          <w:trHeight w:val="321"/>
        </w:trPr>
        <w:tc>
          <w:tcPr>
            <w:tcW w:w="3110" w:type="dxa"/>
            <w:gridSpan w:val="4"/>
            <w:shd w:val="clear" w:color="auto" w:fill="auto"/>
            <w:vAlign w:val="center"/>
          </w:tcPr>
          <w:p w:rsidR="00AB1C62" w:rsidRPr="00C53F26" w:rsidRDefault="00AB1C62" w:rsidP="00AB1C62">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6"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6"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Pr>
          <w:p w:rsidR="00AB1C62" w:rsidRPr="008B4FE6" w:rsidRDefault="00AB1C62" w:rsidP="00AB1C62">
            <w:pPr>
              <w:spacing w:line="240" w:lineRule="auto"/>
            </w:pPr>
            <w:r>
              <w:rPr>
                <w:rFonts w:ascii="Times New Roman" w:hAnsi="Times New Roman"/>
                <w:color w:val="000000"/>
                <w:spacing w:val="-2"/>
                <w:sz w:val="21"/>
                <w:szCs w:val="21"/>
              </w:rPr>
              <w:t>0</w:t>
            </w:r>
          </w:p>
        </w:tc>
      </w:tr>
      <w:tr w:rsidR="00AB1C62" w:rsidRPr="008B4FE6" w:rsidTr="00AB1C62">
        <w:trPr>
          <w:gridAfter w:val="1"/>
          <w:wAfter w:w="42" w:type="dxa"/>
          <w:trHeight w:val="321"/>
        </w:trPr>
        <w:tc>
          <w:tcPr>
            <w:tcW w:w="3110" w:type="dxa"/>
            <w:gridSpan w:val="4"/>
            <w:shd w:val="clear" w:color="auto" w:fill="auto"/>
            <w:vAlign w:val="center"/>
          </w:tcPr>
          <w:p w:rsidR="00AB1C62" w:rsidRPr="00C53F26" w:rsidRDefault="00AB1C62" w:rsidP="00AB1C62">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6"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6"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Pr>
          <w:p w:rsidR="00AB1C62" w:rsidRPr="008B4FE6" w:rsidRDefault="00AB1C62" w:rsidP="00AB1C62">
            <w:pPr>
              <w:spacing w:line="240" w:lineRule="auto"/>
            </w:pPr>
            <w:r>
              <w:rPr>
                <w:rFonts w:ascii="Times New Roman" w:hAnsi="Times New Roman"/>
                <w:color w:val="000000"/>
                <w:spacing w:val="-2"/>
                <w:sz w:val="21"/>
                <w:szCs w:val="21"/>
              </w:rPr>
              <w:t>0</w:t>
            </w:r>
          </w:p>
        </w:tc>
      </w:tr>
      <w:tr w:rsidR="00AB1C62" w:rsidRPr="008B4FE6" w:rsidTr="00AB1C62">
        <w:trPr>
          <w:gridAfter w:val="1"/>
          <w:wAfter w:w="42" w:type="dxa"/>
          <w:trHeight w:val="344"/>
        </w:trPr>
        <w:tc>
          <w:tcPr>
            <w:tcW w:w="3110" w:type="dxa"/>
            <w:gridSpan w:val="4"/>
            <w:shd w:val="clear" w:color="auto" w:fill="auto"/>
            <w:vAlign w:val="center"/>
          </w:tcPr>
          <w:p w:rsidR="00AB1C62" w:rsidRPr="00C53F26" w:rsidRDefault="00AB1C62" w:rsidP="00AB1C62">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6"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6"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Pr>
          <w:p w:rsidR="00AB1C62" w:rsidRPr="008B4FE6" w:rsidRDefault="00AB1C62" w:rsidP="00AB1C62">
            <w:pPr>
              <w:spacing w:line="240" w:lineRule="auto"/>
            </w:pPr>
            <w:r>
              <w:rPr>
                <w:rFonts w:ascii="Times New Roman" w:hAnsi="Times New Roman"/>
                <w:color w:val="000000"/>
                <w:spacing w:val="-2"/>
                <w:sz w:val="21"/>
                <w:szCs w:val="21"/>
              </w:rPr>
              <w:t>0</w:t>
            </w:r>
          </w:p>
        </w:tc>
      </w:tr>
      <w:tr w:rsidR="00AB1C62" w:rsidRPr="008B4FE6" w:rsidTr="00AB1C62">
        <w:trPr>
          <w:gridAfter w:val="1"/>
          <w:wAfter w:w="42" w:type="dxa"/>
          <w:trHeight w:val="344"/>
        </w:trPr>
        <w:tc>
          <w:tcPr>
            <w:tcW w:w="3110" w:type="dxa"/>
            <w:gridSpan w:val="4"/>
            <w:shd w:val="clear" w:color="auto" w:fill="auto"/>
            <w:vAlign w:val="center"/>
          </w:tcPr>
          <w:p w:rsidR="00AB1C62" w:rsidRPr="00C53F26" w:rsidRDefault="00AB1C62" w:rsidP="00AB1C62">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6"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6"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Pr>
          <w:p w:rsidR="00AB1C62" w:rsidRPr="008B4FE6" w:rsidRDefault="00AB1C62" w:rsidP="00AB1C62">
            <w:pPr>
              <w:spacing w:line="240" w:lineRule="auto"/>
            </w:pPr>
            <w:r>
              <w:rPr>
                <w:rFonts w:ascii="Times New Roman" w:hAnsi="Times New Roman"/>
                <w:color w:val="000000"/>
                <w:spacing w:val="-2"/>
                <w:sz w:val="21"/>
                <w:szCs w:val="21"/>
              </w:rPr>
              <w:t>0</w:t>
            </w:r>
          </w:p>
        </w:tc>
      </w:tr>
      <w:tr w:rsidR="00AB1C62" w:rsidRPr="008B4FE6" w:rsidTr="00AB1C62">
        <w:trPr>
          <w:gridAfter w:val="1"/>
          <w:wAfter w:w="42" w:type="dxa"/>
          <w:trHeight w:val="330"/>
        </w:trPr>
        <w:tc>
          <w:tcPr>
            <w:tcW w:w="3110" w:type="dxa"/>
            <w:gridSpan w:val="4"/>
            <w:shd w:val="clear" w:color="auto" w:fill="auto"/>
            <w:vAlign w:val="center"/>
          </w:tcPr>
          <w:p w:rsidR="00AB1C62" w:rsidRPr="00C53F26" w:rsidRDefault="00AB1C62" w:rsidP="00AB1C62">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6"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6"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Pr>
          <w:p w:rsidR="00AB1C62" w:rsidRPr="008B4FE6" w:rsidRDefault="00AB1C62" w:rsidP="00AB1C62">
            <w:pPr>
              <w:spacing w:line="240" w:lineRule="auto"/>
            </w:pPr>
            <w:r>
              <w:rPr>
                <w:rFonts w:ascii="Times New Roman" w:hAnsi="Times New Roman"/>
                <w:color w:val="000000"/>
                <w:spacing w:val="-2"/>
                <w:sz w:val="21"/>
                <w:szCs w:val="21"/>
              </w:rPr>
              <w:t>0</w:t>
            </w:r>
          </w:p>
        </w:tc>
      </w:tr>
      <w:tr w:rsidR="00AB1C62" w:rsidRPr="008B4FE6" w:rsidTr="00AB1C62">
        <w:trPr>
          <w:gridAfter w:val="1"/>
          <w:wAfter w:w="42" w:type="dxa"/>
          <w:trHeight w:val="330"/>
        </w:trPr>
        <w:tc>
          <w:tcPr>
            <w:tcW w:w="3110" w:type="dxa"/>
            <w:gridSpan w:val="4"/>
            <w:shd w:val="clear" w:color="auto" w:fill="auto"/>
            <w:vAlign w:val="center"/>
          </w:tcPr>
          <w:p w:rsidR="00AB1C62" w:rsidRPr="00C53F26" w:rsidRDefault="00AB1C62" w:rsidP="00AB1C62">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6"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6"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Pr>
          <w:p w:rsidR="00AB1C62" w:rsidRPr="008B4FE6" w:rsidRDefault="00AB1C62" w:rsidP="00AB1C62">
            <w:pPr>
              <w:spacing w:line="240" w:lineRule="auto"/>
            </w:pPr>
            <w:r>
              <w:rPr>
                <w:rFonts w:ascii="Times New Roman" w:hAnsi="Times New Roman"/>
                <w:color w:val="000000"/>
                <w:spacing w:val="-2"/>
                <w:sz w:val="21"/>
                <w:szCs w:val="21"/>
              </w:rPr>
              <w:t>0</w:t>
            </w:r>
          </w:p>
        </w:tc>
      </w:tr>
      <w:tr w:rsidR="00AB1C62" w:rsidRPr="008B4FE6" w:rsidTr="00AB1C62">
        <w:trPr>
          <w:gridAfter w:val="1"/>
          <w:wAfter w:w="42" w:type="dxa"/>
          <w:trHeight w:val="351"/>
        </w:trPr>
        <w:tc>
          <w:tcPr>
            <w:tcW w:w="3110" w:type="dxa"/>
            <w:gridSpan w:val="4"/>
            <w:shd w:val="clear" w:color="auto" w:fill="auto"/>
            <w:vAlign w:val="center"/>
          </w:tcPr>
          <w:p w:rsidR="00AB1C62" w:rsidRPr="00C53F26" w:rsidRDefault="00AB1C62" w:rsidP="00AB1C62">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6"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6"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Pr>
          <w:p w:rsidR="00AB1C62" w:rsidRPr="008B4FE6" w:rsidRDefault="00AB1C62" w:rsidP="00AB1C62">
            <w:pPr>
              <w:spacing w:line="240" w:lineRule="auto"/>
            </w:pPr>
            <w:r>
              <w:rPr>
                <w:rFonts w:ascii="Times New Roman" w:hAnsi="Times New Roman"/>
                <w:color w:val="000000"/>
                <w:spacing w:val="-2"/>
                <w:sz w:val="21"/>
                <w:szCs w:val="21"/>
              </w:rPr>
              <w:t>0</w:t>
            </w:r>
          </w:p>
        </w:tc>
      </w:tr>
      <w:tr w:rsidR="00AB1C62" w:rsidRPr="008B4FE6" w:rsidTr="00AB1C62">
        <w:trPr>
          <w:gridAfter w:val="1"/>
          <w:wAfter w:w="42" w:type="dxa"/>
          <w:trHeight w:val="351"/>
        </w:trPr>
        <w:tc>
          <w:tcPr>
            <w:tcW w:w="3110" w:type="dxa"/>
            <w:gridSpan w:val="4"/>
            <w:shd w:val="clear" w:color="auto" w:fill="auto"/>
            <w:vAlign w:val="center"/>
          </w:tcPr>
          <w:p w:rsidR="00AB1C62" w:rsidRPr="00C53F26" w:rsidRDefault="00AB1C62" w:rsidP="00AB1C62">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6"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6"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Pr>
          <w:p w:rsidR="00AB1C62" w:rsidRPr="008B4FE6" w:rsidRDefault="00AB1C62" w:rsidP="00AB1C62">
            <w:pPr>
              <w:spacing w:line="240" w:lineRule="auto"/>
            </w:pPr>
            <w:r>
              <w:rPr>
                <w:rFonts w:ascii="Times New Roman" w:hAnsi="Times New Roman"/>
                <w:color w:val="000000"/>
                <w:spacing w:val="-2"/>
                <w:sz w:val="21"/>
                <w:szCs w:val="21"/>
              </w:rPr>
              <w:t>0</w:t>
            </w:r>
          </w:p>
        </w:tc>
      </w:tr>
      <w:tr w:rsidR="00AB1C62" w:rsidRPr="008B4FE6" w:rsidTr="00AB1C62">
        <w:trPr>
          <w:gridAfter w:val="1"/>
          <w:wAfter w:w="42" w:type="dxa"/>
          <w:trHeight w:val="360"/>
        </w:trPr>
        <w:tc>
          <w:tcPr>
            <w:tcW w:w="3110" w:type="dxa"/>
            <w:gridSpan w:val="4"/>
            <w:shd w:val="clear" w:color="auto" w:fill="auto"/>
            <w:vAlign w:val="center"/>
          </w:tcPr>
          <w:p w:rsidR="00AB1C62" w:rsidRPr="00C53F26" w:rsidRDefault="00AB1C62" w:rsidP="00AB1C62">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6"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6"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Pr>
          <w:p w:rsidR="00AB1C62" w:rsidRPr="008B4FE6" w:rsidRDefault="00AB1C62" w:rsidP="00AB1C62">
            <w:pPr>
              <w:spacing w:line="240" w:lineRule="auto"/>
            </w:pPr>
            <w:r>
              <w:rPr>
                <w:rFonts w:ascii="Times New Roman" w:hAnsi="Times New Roman"/>
                <w:color w:val="000000"/>
                <w:spacing w:val="-2"/>
                <w:sz w:val="21"/>
                <w:szCs w:val="21"/>
              </w:rPr>
              <w:t>0</w:t>
            </w:r>
          </w:p>
        </w:tc>
      </w:tr>
      <w:tr w:rsidR="00AB1C62" w:rsidRPr="008B4FE6" w:rsidTr="00AB1C62">
        <w:trPr>
          <w:gridAfter w:val="1"/>
          <w:wAfter w:w="42" w:type="dxa"/>
          <w:trHeight w:val="360"/>
        </w:trPr>
        <w:tc>
          <w:tcPr>
            <w:tcW w:w="3110" w:type="dxa"/>
            <w:gridSpan w:val="4"/>
            <w:shd w:val="clear" w:color="auto" w:fill="auto"/>
            <w:vAlign w:val="center"/>
          </w:tcPr>
          <w:p w:rsidR="00AB1C62" w:rsidRPr="00C53F26" w:rsidRDefault="00AB1C62" w:rsidP="00AB1C62">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6"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6"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Pr>
          <w:p w:rsidR="00AB1C62" w:rsidRPr="008B4FE6" w:rsidRDefault="00AB1C62" w:rsidP="00AB1C62">
            <w:pPr>
              <w:spacing w:line="240" w:lineRule="auto"/>
            </w:pPr>
            <w:r>
              <w:rPr>
                <w:rFonts w:ascii="Times New Roman" w:hAnsi="Times New Roman"/>
                <w:color w:val="000000"/>
                <w:spacing w:val="-2"/>
                <w:sz w:val="21"/>
                <w:szCs w:val="21"/>
              </w:rPr>
              <w:t>0</w:t>
            </w:r>
          </w:p>
        </w:tc>
      </w:tr>
      <w:tr w:rsidR="00AB1C62" w:rsidRPr="008B4FE6" w:rsidTr="00AB1C62">
        <w:trPr>
          <w:gridAfter w:val="1"/>
          <w:wAfter w:w="42" w:type="dxa"/>
          <w:trHeight w:val="357"/>
        </w:trPr>
        <w:tc>
          <w:tcPr>
            <w:tcW w:w="3110" w:type="dxa"/>
            <w:gridSpan w:val="4"/>
            <w:shd w:val="clear" w:color="auto" w:fill="auto"/>
            <w:vAlign w:val="center"/>
          </w:tcPr>
          <w:p w:rsidR="00AB1C62" w:rsidRPr="00C53F26" w:rsidRDefault="00AB1C62" w:rsidP="00AB1C62">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6"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6"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Pr>
          <w:p w:rsidR="00AB1C62" w:rsidRPr="008B4FE6" w:rsidRDefault="00AB1C62" w:rsidP="00AB1C62">
            <w:pPr>
              <w:spacing w:line="240" w:lineRule="auto"/>
            </w:pPr>
            <w:r>
              <w:rPr>
                <w:rFonts w:ascii="Times New Roman" w:hAnsi="Times New Roman"/>
                <w:color w:val="000000"/>
                <w:spacing w:val="-2"/>
                <w:sz w:val="21"/>
                <w:szCs w:val="21"/>
              </w:rPr>
              <w:t>0</w:t>
            </w:r>
          </w:p>
        </w:tc>
      </w:tr>
      <w:tr w:rsidR="00AB1C62" w:rsidRPr="008B4FE6" w:rsidTr="00AB1C62">
        <w:trPr>
          <w:gridAfter w:val="1"/>
          <w:wAfter w:w="42" w:type="dxa"/>
          <w:trHeight w:val="357"/>
        </w:trPr>
        <w:tc>
          <w:tcPr>
            <w:tcW w:w="3110" w:type="dxa"/>
            <w:gridSpan w:val="4"/>
            <w:shd w:val="clear" w:color="auto" w:fill="auto"/>
            <w:vAlign w:val="center"/>
          </w:tcPr>
          <w:p w:rsidR="00AB1C62" w:rsidRPr="00C53F26" w:rsidRDefault="00AB1C62" w:rsidP="00AB1C62">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6"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6"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8"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7" w:type="dxa"/>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Pr>
          <w:p w:rsidR="00AB1C62" w:rsidRPr="008B4FE6" w:rsidRDefault="00AB1C62" w:rsidP="00AB1C62">
            <w:pPr>
              <w:spacing w:line="240" w:lineRule="auto"/>
            </w:pPr>
            <w:r>
              <w:rPr>
                <w:rFonts w:ascii="Times New Roman" w:hAnsi="Times New Roman"/>
                <w:color w:val="000000"/>
                <w:spacing w:val="-2"/>
                <w:sz w:val="21"/>
                <w:szCs w:val="21"/>
              </w:rPr>
              <w:t>0</w:t>
            </w:r>
          </w:p>
        </w:tc>
      </w:tr>
      <w:tr w:rsidR="00AB1C62" w:rsidRPr="008B4FE6" w:rsidTr="00222F94">
        <w:trPr>
          <w:gridAfter w:val="2"/>
          <w:wAfter w:w="63" w:type="dxa"/>
          <w:trHeight w:val="348"/>
        </w:trPr>
        <w:tc>
          <w:tcPr>
            <w:tcW w:w="2226" w:type="dxa"/>
            <w:gridSpan w:val="2"/>
            <w:shd w:val="clear" w:color="auto" w:fill="auto"/>
            <w:vAlign w:val="center"/>
          </w:tcPr>
          <w:p w:rsidR="00AB1C62" w:rsidRPr="00C53F26" w:rsidRDefault="00AB1C62" w:rsidP="00AB1C62">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48" w:type="dxa"/>
            <w:gridSpan w:val="27"/>
            <w:shd w:val="clear" w:color="auto" w:fill="auto"/>
            <w:vAlign w:val="center"/>
          </w:tcPr>
          <w:p w:rsidR="00AB1C62" w:rsidRPr="007273AF" w:rsidRDefault="00AB1C62" w:rsidP="00AB1C62">
            <w:pPr>
              <w:spacing w:before="120" w:after="120" w:line="240" w:lineRule="auto"/>
              <w:jc w:val="both"/>
              <w:rPr>
                <w:rFonts w:ascii="Times New Roman" w:hAnsi="Times New Roman"/>
                <w:color w:val="000000"/>
                <w:sz w:val="21"/>
                <w:szCs w:val="21"/>
              </w:rPr>
            </w:pPr>
            <w:r w:rsidRPr="00467DDF">
              <w:rPr>
                <w:rFonts w:ascii="Times New Roman" w:hAnsi="Times New Roman"/>
                <w:color w:val="000000"/>
              </w:rPr>
              <w:t>Wejście w życie rozporządzenia nie będzie miało wpływu na dochody i wydatki sektora finansów publicznych.</w:t>
            </w:r>
          </w:p>
        </w:tc>
      </w:tr>
      <w:tr w:rsidR="00AB1C62" w:rsidRPr="008B4FE6" w:rsidTr="00222F94">
        <w:trPr>
          <w:gridAfter w:val="2"/>
          <w:wAfter w:w="63" w:type="dxa"/>
          <w:trHeight w:val="1314"/>
        </w:trPr>
        <w:tc>
          <w:tcPr>
            <w:tcW w:w="2226" w:type="dxa"/>
            <w:gridSpan w:val="2"/>
            <w:shd w:val="clear" w:color="auto" w:fill="auto"/>
          </w:tcPr>
          <w:p w:rsidR="00AB1C62" w:rsidRPr="00C53F26" w:rsidRDefault="00AB1C62" w:rsidP="00AB1C62">
            <w:pPr>
              <w:spacing w:before="120" w:after="120" w:line="240" w:lineRule="auto"/>
              <w:ind w:hanging="34"/>
              <w:jc w:val="both"/>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48" w:type="dxa"/>
            <w:gridSpan w:val="27"/>
            <w:shd w:val="clear" w:color="auto" w:fill="auto"/>
          </w:tcPr>
          <w:p w:rsidR="00AB1C62" w:rsidRDefault="00F759AB" w:rsidP="00AB1C62">
            <w:pPr>
              <w:spacing w:before="120" w:after="120" w:line="240" w:lineRule="auto"/>
              <w:ind w:left="-34"/>
              <w:jc w:val="both"/>
              <w:rPr>
                <w:rFonts w:ascii="Times New Roman" w:hAnsi="Times New Roman"/>
                <w:color w:val="000000"/>
                <w:sz w:val="21"/>
                <w:szCs w:val="21"/>
              </w:rPr>
            </w:pPr>
            <w:r w:rsidRPr="00B214D2">
              <w:rPr>
                <w:rFonts w:ascii="Times New Roman" w:hAnsi="Times New Roman"/>
                <w:color w:val="000000"/>
                <w:sz w:val="21"/>
                <w:szCs w:val="21"/>
              </w:rPr>
              <w:t>Wejście w życie rozporządzenia nie spowoduje skutków finansowych powodujących zwiększenie wydatków lub zmniejszenie dochodów jednostek sektora finansów publicznych, w tym dla budżetu państwa i dla budżetów jednostek samorządu terytorialnego, w stosunku do wielkości wynikających z obowiązujących przepisów.</w:t>
            </w:r>
          </w:p>
          <w:p w:rsidR="00AB1C62" w:rsidRDefault="00AB1C62" w:rsidP="00AB1C62">
            <w:pPr>
              <w:spacing w:before="120" w:after="120" w:line="240" w:lineRule="auto"/>
              <w:ind w:left="-34"/>
              <w:jc w:val="both"/>
              <w:rPr>
                <w:rFonts w:ascii="Times New Roman" w:hAnsi="Times New Roman"/>
                <w:color w:val="000000"/>
                <w:sz w:val="21"/>
                <w:szCs w:val="21"/>
              </w:rPr>
            </w:pPr>
          </w:p>
          <w:p w:rsidR="00AB1C62" w:rsidRPr="00C53F26" w:rsidRDefault="00AB1C62" w:rsidP="00AB1C62">
            <w:pPr>
              <w:spacing w:before="120" w:after="120" w:line="240" w:lineRule="auto"/>
              <w:ind w:left="-34"/>
              <w:jc w:val="both"/>
              <w:rPr>
                <w:rFonts w:ascii="Times New Roman" w:hAnsi="Times New Roman"/>
                <w:color w:val="000000"/>
                <w:sz w:val="21"/>
                <w:szCs w:val="21"/>
              </w:rPr>
            </w:pPr>
          </w:p>
        </w:tc>
      </w:tr>
      <w:tr w:rsidR="00AB1C62" w:rsidRPr="008B4FE6" w:rsidTr="00222F94">
        <w:trPr>
          <w:gridAfter w:val="2"/>
          <w:wAfter w:w="63" w:type="dxa"/>
          <w:trHeight w:val="345"/>
        </w:trPr>
        <w:tc>
          <w:tcPr>
            <w:tcW w:w="10874" w:type="dxa"/>
            <w:gridSpan w:val="29"/>
            <w:shd w:val="clear" w:color="auto" w:fill="99CCFF"/>
          </w:tcPr>
          <w:p w:rsidR="00AB1C62" w:rsidRPr="008B4FE6" w:rsidRDefault="00AB1C62" w:rsidP="00AB1C62">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AB1C62" w:rsidRPr="008B4FE6" w:rsidTr="00222F94">
        <w:trPr>
          <w:gridAfter w:val="2"/>
          <w:wAfter w:w="63" w:type="dxa"/>
          <w:trHeight w:val="142"/>
        </w:trPr>
        <w:tc>
          <w:tcPr>
            <w:tcW w:w="10874" w:type="dxa"/>
            <w:gridSpan w:val="29"/>
            <w:shd w:val="clear" w:color="auto" w:fill="auto"/>
          </w:tcPr>
          <w:p w:rsidR="00AB1C62" w:rsidRPr="00301959" w:rsidRDefault="00AB1C62" w:rsidP="00AB1C62">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AB1C62" w:rsidRPr="008B4FE6" w:rsidTr="00222F94">
        <w:trPr>
          <w:gridAfter w:val="2"/>
          <w:wAfter w:w="63" w:type="dxa"/>
          <w:trHeight w:val="142"/>
        </w:trPr>
        <w:tc>
          <w:tcPr>
            <w:tcW w:w="3862" w:type="dxa"/>
            <w:gridSpan w:val="7"/>
            <w:shd w:val="clear" w:color="auto" w:fill="auto"/>
          </w:tcPr>
          <w:p w:rsidR="00AB1C62" w:rsidRPr="00301959" w:rsidRDefault="00AB1C62" w:rsidP="00AB1C62">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2" w:type="dxa"/>
            <w:gridSpan w:val="2"/>
            <w:shd w:val="clear" w:color="auto" w:fill="auto"/>
          </w:tcPr>
          <w:p w:rsidR="00AB1C62" w:rsidRPr="00301959" w:rsidRDefault="00AB1C62" w:rsidP="00AB1C62">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4" w:type="dxa"/>
            <w:gridSpan w:val="5"/>
            <w:shd w:val="clear" w:color="auto" w:fill="auto"/>
          </w:tcPr>
          <w:p w:rsidR="00AB1C62" w:rsidRPr="00301959" w:rsidRDefault="00AB1C62" w:rsidP="00AB1C62">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4" w:type="dxa"/>
            <w:gridSpan w:val="4"/>
            <w:shd w:val="clear" w:color="auto" w:fill="auto"/>
          </w:tcPr>
          <w:p w:rsidR="00AB1C62" w:rsidRPr="00301959" w:rsidRDefault="00AB1C62" w:rsidP="00AB1C62">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3" w:type="dxa"/>
            <w:gridSpan w:val="3"/>
            <w:shd w:val="clear" w:color="auto" w:fill="auto"/>
          </w:tcPr>
          <w:p w:rsidR="00AB1C62" w:rsidRPr="00301959" w:rsidRDefault="00AB1C62" w:rsidP="00AB1C62">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4" w:type="dxa"/>
            <w:gridSpan w:val="4"/>
            <w:shd w:val="clear" w:color="auto" w:fill="auto"/>
          </w:tcPr>
          <w:p w:rsidR="00AB1C62" w:rsidRPr="00301959" w:rsidRDefault="00AB1C62" w:rsidP="00AB1C62">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3" w:type="dxa"/>
            <w:gridSpan w:val="3"/>
            <w:shd w:val="clear" w:color="auto" w:fill="auto"/>
          </w:tcPr>
          <w:p w:rsidR="00AB1C62" w:rsidRPr="00301959" w:rsidRDefault="00AB1C62" w:rsidP="00AB1C62">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12" w:type="dxa"/>
            <w:shd w:val="clear" w:color="auto" w:fill="auto"/>
          </w:tcPr>
          <w:p w:rsidR="00AB1C62" w:rsidRPr="001B3460" w:rsidRDefault="00AB1C62" w:rsidP="00AB1C62">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AB1C62" w:rsidRPr="008B4FE6" w:rsidTr="00222F94">
        <w:trPr>
          <w:gridAfter w:val="2"/>
          <w:wAfter w:w="63" w:type="dxa"/>
          <w:trHeight w:val="142"/>
        </w:trPr>
        <w:tc>
          <w:tcPr>
            <w:tcW w:w="1584" w:type="dxa"/>
            <w:vMerge w:val="restart"/>
            <w:shd w:val="clear" w:color="auto" w:fill="auto"/>
          </w:tcPr>
          <w:p w:rsidR="00AB1C62" w:rsidRDefault="00AB1C62" w:rsidP="00AB1C62">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AB1C62" w:rsidRDefault="00AB1C62" w:rsidP="00AB1C62">
            <w:pPr>
              <w:rPr>
                <w:rFonts w:ascii="Times New Roman" w:hAnsi="Times New Roman"/>
                <w:spacing w:val="-2"/>
                <w:sz w:val="21"/>
                <w:szCs w:val="21"/>
              </w:rPr>
            </w:pPr>
            <w:r>
              <w:rPr>
                <w:rFonts w:ascii="Times New Roman" w:hAnsi="Times New Roman"/>
                <w:spacing w:val="-2"/>
                <w:sz w:val="21"/>
                <w:szCs w:val="21"/>
              </w:rPr>
              <w:t xml:space="preserve">(w mln zł, </w:t>
            </w:r>
          </w:p>
          <w:p w:rsidR="00AB1C62" w:rsidRPr="00301959" w:rsidRDefault="00AB1C62" w:rsidP="00AB1C62">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78" w:type="dxa"/>
            <w:gridSpan w:val="6"/>
            <w:shd w:val="clear" w:color="auto" w:fill="auto"/>
          </w:tcPr>
          <w:p w:rsidR="00AB1C62" w:rsidRPr="00301959" w:rsidRDefault="00AB1C62" w:rsidP="00AB1C62">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2"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4" w:type="dxa"/>
            <w:gridSpan w:val="5"/>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4" w:type="dxa"/>
            <w:gridSpan w:val="4"/>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3"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4" w:type="dxa"/>
            <w:gridSpan w:val="4"/>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3"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12" w:type="dxa"/>
            <w:shd w:val="clear" w:color="auto" w:fill="auto"/>
          </w:tcPr>
          <w:p w:rsidR="00AB1C62" w:rsidRPr="00B37C80" w:rsidRDefault="00AB1C62" w:rsidP="00AB1C62">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AB1C62" w:rsidRPr="008B4FE6" w:rsidTr="00222F94">
        <w:trPr>
          <w:gridAfter w:val="2"/>
          <w:wAfter w:w="63" w:type="dxa"/>
          <w:trHeight w:val="142"/>
        </w:trPr>
        <w:tc>
          <w:tcPr>
            <w:tcW w:w="1584" w:type="dxa"/>
            <w:vMerge/>
            <w:shd w:val="clear" w:color="auto" w:fill="auto"/>
          </w:tcPr>
          <w:p w:rsidR="00AB1C62" w:rsidRPr="00301959" w:rsidRDefault="00AB1C62" w:rsidP="00AB1C62">
            <w:pPr>
              <w:spacing w:line="240" w:lineRule="auto"/>
              <w:rPr>
                <w:rFonts w:ascii="Times New Roman" w:hAnsi="Times New Roman"/>
                <w:color w:val="000000"/>
                <w:sz w:val="21"/>
                <w:szCs w:val="21"/>
              </w:rPr>
            </w:pPr>
          </w:p>
        </w:tc>
        <w:tc>
          <w:tcPr>
            <w:tcW w:w="2278" w:type="dxa"/>
            <w:gridSpan w:val="6"/>
            <w:shd w:val="clear" w:color="auto" w:fill="auto"/>
          </w:tcPr>
          <w:p w:rsidR="00AB1C62" w:rsidRPr="00301959" w:rsidRDefault="00AB1C62" w:rsidP="00AB1C62">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2"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4" w:type="dxa"/>
            <w:gridSpan w:val="5"/>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4" w:type="dxa"/>
            <w:gridSpan w:val="4"/>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3"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4" w:type="dxa"/>
            <w:gridSpan w:val="4"/>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3"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12" w:type="dxa"/>
            <w:shd w:val="clear" w:color="auto" w:fill="auto"/>
          </w:tcPr>
          <w:p w:rsidR="00AB1C62" w:rsidRPr="00B37C80" w:rsidRDefault="00AB1C62" w:rsidP="00AB1C62">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AB1C62" w:rsidRPr="008B4FE6" w:rsidTr="00222F94">
        <w:trPr>
          <w:gridAfter w:val="2"/>
          <w:wAfter w:w="63" w:type="dxa"/>
          <w:trHeight w:val="142"/>
        </w:trPr>
        <w:tc>
          <w:tcPr>
            <w:tcW w:w="1584" w:type="dxa"/>
            <w:vMerge/>
            <w:shd w:val="clear" w:color="auto" w:fill="auto"/>
          </w:tcPr>
          <w:p w:rsidR="00AB1C62" w:rsidRPr="00301959" w:rsidRDefault="00AB1C62" w:rsidP="00AB1C62">
            <w:pPr>
              <w:spacing w:line="240" w:lineRule="auto"/>
              <w:rPr>
                <w:rFonts w:ascii="Times New Roman" w:hAnsi="Times New Roman"/>
                <w:color w:val="000000"/>
                <w:sz w:val="21"/>
                <w:szCs w:val="21"/>
              </w:rPr>
            </w:pPr>
          </w:p>
        </w:tc>
        <w:tc>
          <w:tcPr>
            <w:tcW w:w="2278" w:type="dxa"/>
            <w:gridSpan w:val="6"/>
            <w:shd w:val="clear" w:color="auto" w:fill="auto"/>
          </w:tcPr>
          <w:p w:rsidR="00AB1C62" w:rsidRPr="00301959" w:rsidRDefault="00AB1C62" w:rsidP="00AB1C62">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2" w:type="dxa"/>
            <w:gridSpan w:val="2"/>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4" w:type="dxa"/>
            <w:gridSpan w:val="5"/>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4" w:type="dxa"/>
            <w:gridSpan w:val="4"/>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3"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4" w:type="dxa"/>
            <w:gridSpan w:val="4"/>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3" w:type="dxa"/>
            <w:gridSpan w:val="3"/>
            <w:shd w:val="clear" w:color="auto" w:fill="auto"/>
          </w:tcPr>
          <w:p w:rsidR="00AB1C62" w:rsidRPr="00B37C80"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12" w:type="dxa"/>
            <w:shd w:val="clear" w:color="auto" w:fill="auto"/>
          </w:tcPr>
          <w:p w:rsidR="00AB1C62" w:rsidRPr="00B37C80" w:rsidRDefault="00AB1C62" w:rsidP="00AB1C62">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AB1C62" w:rsidRPr="008B4FE6" w:rsidTr="00222F94">
        <w:trPr>
          <w:gridAfter w:val="2"/>
          <w:wAfter w:w="63" w:type="dxa"/>
          <w:trHeight w:val="142"/>
        </w:trPr>
        <w:tc>
          <w:tcPr>
            <w:tcW w:w="1584" w:type="dxa"/>
            <w:vMerge w:val="restart"/>
            <w:shd w:val="clear" w:color="auto" w:fill="auto"/>
          </w:tcPr>
          <w:p w:rsidR="00AB1C62" w:rsidRPr="00301959" w:rsidRDefault="00AB1C62" w:rsidP="00AB1C62">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78" w:type="dxa"/>
            <w:gridSpan w:val="6"/>
            <w:shd w:val="clear" w:color="auto" w:fill="auto"/>
          </w:tcPr>
          <w:p w:rsidR="00AB1C62" w:rsidRPr="00301959" w:rsidRDefault="00AB1C62" w:rsidP="00AB1C62">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12" w:type="dxa"/>
            <w:gridSpan w:val="22"/>
            <w:shd w:val="clear" w:color="auto" w:fill="auto"/>
          </w:tcPr>
          <w:p w:rsidR="00AB1C62" w:rsidRPr="00B37C80" w:rsidRDefault="00F759AB" w:rsidP="00AB1C62">
            <w:pPr>
              <w:spacing w:line="240" w:lineRule="auto"/>
              <w:rPr>
                <w:rFonts w:ascii="Times New Roman" w:hAnsi="Times New Roman"/>
                <w:color w:val="000000"/>
                <w:spacing w:val="-2"/>
                <w:sz w:val="21"/>
                <w:szCs w:val="21"/>
              </w:rPr>
            </w:pPr>
            <w:r w:rsidRPr="00B214D2">
              <w:rPr>
                <w:rFonts w:ascii="Times New Roman" w:hAnsi="Times New Roman"/>
                <w:color w:val="000000"/>
                <w:spacing w:val="-2"/>
                <w:sz w:val="21"/>
                <w:szCs w:val="21"/>
              </w:rPr>
              <w:t xml:space="preserve">Projektowane rozporządzenie będzie miało niewielki wpływ na działalność </w:t>
            </w:r>
            <w:r>
              <w:rPr>
                <w:rFonts w:ascii="Times New Roman" w:hAnsi="Times New Roman"/>
                <w:color w:val="000000"/>
                <w:spacing w:val="-2"/>
                <w:sz w:val="21"/>
                <w:szCs w:val="21"/>
              </w:rPr>
              <w:t>dużych</w:t>
            </w:r>
            <w:r w:rsidRPr="00B214D2">
              <w:rPr>
                <w:rFonts w:ascii="Times New Roman" w:hAnsi="Times New Roman"/>
                <w:color w:val="000000"/>
                <w:spacing w:val="-2"/>
                <w:sz w:val="21"/>
                <w:szCs w:val="21"/>
              </w:rPr>
              <w:t xml:space="preserve"> przedsiębiorców. </w:t>
            </w:r>
            <w:r w:rsidRPr="0089482D">
              <w:rPr>
                <w:rFonts w:ascii="Times New Roman" w:hAnsi="Times New Roman"/>
                <w:color w:val="000000"/>
                <w:spacing w:val="-2"/>
                <w:sz w:val="21"/>
                <w:szCs w:val="21"/>
              </w:rPr>
              <w:t>Objęcie dostawców usług finansowania społecznościowego dla przedsięwzięć gospodarczych obowiązkiem uiszczania opłat na pokrycie kosztów nadzoru nad rynkiem kapitałowym zostało przewidziane na poziomie ustawowym, natomiast projektowane rozporządzenie stanowi jedynie uszczegółowienie tego obowiązku. Wysokość opłat przewidzianych w projektowanym rozporządzeniu została przy tym określona w sposób proporcjonalny do rodzajów wykonywanej działalności i sprawiedliwy w stosunku do pozostałych podmiotów działających na rynku kapitałowym</w:t>
            </w:r>
            <w:r w:rsidRPr="00B214D2">
              <w:rPr>
                <w:rFonts w:ascii="Times New Roman" w:hAnsi="Times New Roman"/>
                <w:color w:val="000000"/>
                <w:spacing w:val="-2"/>
                <w:sz w:val="21"/>
                <w:szCs w:val="21"/>
              </w:rPr>
              <w:t>.</w:t>
            </w:r>
          </w:p>
        </w:tc>
      </w:tr>
      <w:tr w:rsidR="00AB1C62" w:rsidRPr="008B4FE6" w:rsidTr="00222F94">
        <w:trPr>
          <w:gridAfter w:val="2"/>
          <w:wAfter w:w="63" w:type="dxa"/>
          <w:trHeight w:val="142"/>
        </w:trPr>
        <w:tc>
          <w:tcPr>
            <w:tcW w:w="1584" w:type="dxa"/>
            <w:vMerge/>
            <w:shd w:val="clear" w:color="auto" w:fill="auto"/>
          </w:tcPr>
          <w:p w:rsidR="00AB1C62" w:rsidRPr="00301959" w:rsidRDefault="00AB1C62" w:rsidP="00AB1C62">
            <w:pPr>
              <w:spacing w:line="240" w:lineRule="auto"/>
              <w:rPr>
                <w:rFonts w:ascii="Times New Roman" w:hAnsi="Times New Roman"/>
                <w:color w:val="000000"/>
                <w:sz w:val="21"/>
                <w:szCs w:val="21"/>
              </w:rPr>
            </w:pPr>
          </w:p>
        </w:tc>
        <w:tc>
          <w:tcPr>
            <w:tcW w:w="2278" w:type="dxa"/>
            <w:gridSpan w:val="6"/>
            <w:shd w:val="clear" w:color="auto" w:fill="auto"/>
          </w:tcPr>
          <w:p w:rsidR="00AB1C62" w:rsidRPr="00301959" w:rsidRDefault="00AB1C62" w:rsidP="00AB1C62">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12" w:type="dxa"/>
            <w:gridSpan w:val="22"/>
            <w:shd w:val="clear" w:color="auto" w:fill="auto"/>
          </w:tcPr>
          <w:p w:rsidR="00AB1C62" w:rsidRPr="00B37C80" w:rsidRDefault="00F759AB" w:rsidP="00AB1C62">
            <w:pPr>
              <w:spacing w:line="240" w:lineRule="auto"/>
              <w:rPr>
                <w:rFonts w:ascii="Times New Roman" w:hAnsi="Times New Roman"/>
                <w:color w:val="000000"/>
                <w:spacing w:val="-2"/>
                <w:sz w:val="21"/>
                <w:szCs w:val="21"/>
              </w:rPr>
            </w:pPr>
            <w:r w:rsidRPr="00B214D2">
              <w:rPr>
                <w:rFonts w:ascii="Times New Roman" w:hAnsi="Times New Roman"/>
                <w:color w:val="000000"/>
                <w:spacing w:val="-2"/>
                <w:sz w:val="21"/>
                <w:szCs w:val="21"/>
              </w:rPr>
              <w:t xml:space="preserve">Projektowane rozporządzenie będzie miało niewielki wpływ na działalność mikroprzedsiębiorców, małych i średnich przedsiębiorców. </w:t>
            </w:r>
            <w:r w:rsidRPr="0089482D">
              <w:rPr>
                <w:rFonts w:ascii="Times New Roman" w:hAnsi="Times New Roman"/>
                <w:color w:val="000000"/>
                <w:spacing w:val="-2"/>
                <w:sz w:val="21"/>
                <w:szCs w:val="21"/>
              </w:rPr>
              <w:t xml:space="preserve">Objęcie dostawców usług finansowania społecznościowego dla przedsięwzięć gospodarczych obowiązkiem uiszczania opłat na pokrycie kosztów nadzoru nad rynkiem kapitałowym zostało przewidziane na poziomie ustawowym, natomiast </w:t>
            </w:r>
            <w:r w:rsidRPr="0089482D">
              <w:rPr>
                <w:rFonts w:ascii="Times New Roman" w:hAnsi="Times New Roman"/>
                <w:color w:val="000000"/>
                <w:spacing w:val="-2"/>
                <w:sz w:val="21"/>
                <w:szCs w:val="21"/>
              </w:rPr>
              <w:lastRenderedPageBreak/>
              <w:t>projektowane rozporządzenie stanowi jedynie uszczegółowienie tego obowiązku. Wysokość opłat przewidzianych w projektowanym rozporządzeniu została przy tym określona w sposób proporcjonalny do rodzajów wykonywanej działalności i sprawiedliwy w stosunku do pozostałych podmiotów działających na rynku kapitałowym</w:t>
            </w:r>
            <w:r w:rsidRPr="00B214D2">
              <w:rPr>
                <w:rFonts w:ascii="Times New Roman" w:hAnsi="Times New Roman"/>
                <w:color w:val="000000"/>
                <w:spacing w:val="-2"/>
                <w:sz w:val="21"/>
                <w:szCs w:val="21"/>
              </w:rPr>
              <w:t>.</w:t>
            </w:r>
          </w:p>
        </w:tc>
      </w:tr>
      <w:tr w:rsidR="00AB1C62" w:rsidRPr="008B4FE6" w:rsidTr="00222F94">
        <w:trPr>
          <w:gridAfter w:val="2"/>
          <w:wAfter w:w="63" w:type="dxa"/>
          <w:trHeight w:val="596"/>
        </w:trPr>
        <w:tc>
          <w:tcPr>
            <w:tcW w:w="1584" w:type="dxa"/>
            <w:vMerge/>
            <w:shd w:val="clear" w:color="auto" w:fill="auto"/>
          </w:tcPr>
          <w:p w:rsidR="00AB1C62" w:rsidRPr="00301959" w:rsidRDefault="00AB1C62" w:rsidP="00AB1C62">
            <w:pPr>
              <w:spacing w:line="240" w:lineRule="auto"/>
              <w:rPr>
                <w:rFonts w:ascii="Times New Roman" w:hAnsi="Times New Roman"/>
                <w:color w:val="000000"/>
                <w:sz w:val="21"/>
                <w:szCs w:val="21"/>
              </w:rPr>
            </w:pPr>
          </w:p>
        </w:tc>
        <w:tc>
          <w:tcPr>
            <w:tcW w:w="2278" w:type="dxa"/>
            <w:gridSpan w:val="6"/>
            <w:shd w:val="clear" w:color="auto" w:fill="auto"/>
          </w:tcPr>
          <w:p w:rsidR="00AB1C62" w:rsidRPr="00301959" w:rsidRDefault="00AB1C62" w:rsidP="00AB1C62">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12" w:type="dxa"/>
            <w:gridSpan w:val="22"/>
            <w:shd w:val="clear" w:color="auto" w:fill="auto"/>
          </w:tcPr>
          <w:p w:rsidR="00AB1C62" w:rsidRPr="00B37C80" w:rsidRDefault="00F759AB" w:rsidP="00AB1C62">
            <w:pPr>
              <w:spacing w:line="240" w:lineRule="auto"/>
              <w:rPr>
                <w:rFonts w:ascii="Times New Roman" w:hAnsi="Times New Roman"/>
                <w:color w:val="000000"/>
                <w:spacing w:val="-2"/>
                <w:sz w:val="21"/>
                <w:szCs w:val="21"/>
              </w:rPr>
            </w:pPr>
            <w:r w:rsidRPr="00B214D2">
              <w:rPr>
                <w:rFonts w:ascii="Times New Roman" w:hAnsi="Times New Roman"/>
                <w:color w:val="000000"/>
                <w:spacing w:val="-2"/>
                <w:sz w:val="21"/>
                <w:szCs w:val="21"/>
              </w:rPr>
              <w:t>Projektowane rozporządzenie nie będzie miało wpływu na sytuację ekonomiczną i społeczną rodzin, obywateli oraz gospodarstw domowych.</w:t>
            </w:r>
          </w:p>
        </w:tc>
      </w:tr>
      <w:tr w:rsidR="00AB1C62" w:rsidRPr="008B4FE6" w:rsidTr="00222F94">
        <w:trPr>
          <w:gridAfter w:val="2"/>
          <w:wAfter w:w="63" w:type="dxa"/>
          <w:trHeight w:val="142"/>
        </w:trPr>
        <w:tc>
          <w:tcPr>
            <w:tcW w:w="1584" w:type="dxa"/>
            <w:vMerge w:val="restart"/>
            <w:shd w:val="clear" w:color="auto" w:fill="auto"/>
          </w:tcPr>
          <w:p w:rsidR="00AB1C62" w:rsidRPr="00301959" w:rsidRDefault="00AB1C62" w:rsidP="00AB1C62">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78" w:type="dxa"/>
            <w:gridSpan w:val="6"/>
            <w:shd w:val="clear" w:color="auto" w:fill="auto"/>
          </w:tcPr>
          <w:p w:rsidR="00AB1C62" w:rsidRPr="00301959" w:rsidRDefault="00AB1C62" w:rsidP="00AB1C62">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7012" w:type="dxa"/>
            <w:gridSpan w:val="22"/>
            <w:shd w:val="clear" w:color="auto" w:fill="auto"/>
          </w:tcPr>
          <w:p w:rsidR="00AB1C62" w:rsidRPr="00884760" w:rsidRDefault="00AB1C62" w:rsidP="00AB1C62">
            <w:pPr>
              <w:tabs>
                <w:tab w:val="right" w:pos="1936"/>
              </w:tabs>
              <w:spacing w:line="240" w:lineRule="auto"/>
              <w:jc w:val="both"/>
              <w:rPr>
                <w:rFonts w:ascii="Times New Roman" w:hAnsi="Times New Roman"/>
                <w:spacing w:val="-2"/>
                <w:sz w:val="21"/>
                <w:szCs w:val="21"/>
              </w:rPr>
            </w:pPr>
            <w:r>
              <w:rPr>
                <w:rFonts w:ascii="Times New Roman" w:hAnsi="Times New Roman"/>
                <w:spacing w:val="-2"/>
                <w:sz w:val="21"/>
                <w:szCs w:val="21"/>
              </w:rPr>
              <w:t>Brak</w:t>
            </w:r>
          </w:p>
        </w:tc>
      </w:tr>
      <w:tr w:rsidR="00AB1C62" w:rsidRPr="008B4FE6" w:rsidTr="00222F94">
        <w:trPr>
          <w:gridAfter w:val="2"/>
          <w:wAfter w:w="63" w:type="dxa"/>
          <w:trHeight w:val="142"/>
        </w:trPr>
        <w:tc>
          <w:tcPr>
            <w:tcW w:w="1584" w:type="dxa"/>
            <w:vMerge/>
            <w:shd w:val="clear" w:color="auto" w:fill="auto"/>
          </w:tcPr>
          <w:p w:rsidR="00AB1C62" w:rsidRPr="00301959" w:rsidRDefault="00AB1C62" w:rsidP="00AB1C62">
            <w:pPr>
              <w:spacing w:line="240" w:lineRule="auto"/>
              <w:rPr>
                <w:rFonts w:ascii="Times New Roman" w:hAnsi="Times New Roman"/>
                <w:color w:val="000000"/>
                <w:sz w:val="21"/>
                <w:szCs w:val="21"/>
              </w:rPr>
            </w:pPr>
          </w:p>
        </w:tc>
        <w:tc>
          <w:tcPr>
            <w:tcW w:w="2278" w:type="dxa"/>
            <w:gridSpan w:val="6"/>
            <w:shd w:val="clear" w:color="auto" w:fill="auto"/>
          </w:tcPr>
          <w:p w:rsidR="00AB1C62"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 xml:space="preserve">gospodarka </w:t>
            </w:r>
          </w:p>
        </w:tc>
        <w:tc>
          <w:tcPr>
            <w:tcW w:w="7012" w:type="dxa"/>
            <w:gridSpan w:val="22"/>
            <w:shd w:val="clear" w:color="auto" w:fill="auto"/>
          </w:tcPr>
          <w:p w:rsidR="00AB1C62" w:rsidRDefault="00AB1C62" w:rsidP="00AB1C62">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Brak </w:t>
            </w:r>
          </w:p>
        </w:tc>
      </w:tr>
      <w:tr w:rsidR="00AB1C62" w:rsidRPr="008B4FE6" w:rsidTr="00222F94">
        <w:trPr>
          <w:gridAfter w:val="2"/>
          <w:wAfter w:w="63" w:type="dxa"/>
          <w:trHeight w:val="142"/>
        </w:trPr>
        <w:tc>
          <w:tcPr>
            <w:tcW w:w="1584" w:type="dxa"/>
            <w:vMerge/>
            <w:shd w:val="clear" w:color="auto" w:fill="auto"/>
          </w:tcPr>
          <w:p w:rsidR="00AB1C62" w:rsidRPr="00301959" w:rsidRDefault="00AB1C62" w:rsidP="00AB1C62">
            <w:pPr>
              <w:spacing w:line="240" w:lineRule="auto"/>
              <w:rPr>
                <w:rFonts w:ascii="Times New Roman" w:hAnsi="Times New Roman"/>
                <w:color w:val="000000"/>
                <w:sz w:val="21"/>
                <w:szCs w:val="21"/>
              </w:rPr>
            </w:pPr>
          </w:p>
        </w:tc>
        <w:tc>
          <w:tcPr>
            <w:tcW w:w="2278" w:type="dxa"/>
            <w:gridSpan w:val="6"/>
            <w:shd w:val="clear" w:color="auto" w:fill="auto"/>
          </w:tcPr>
          <w:p w:rsidR="00AB1C62" w:rsidRPr="00301959" w:rsidRDefault="00AB1C62" w:rsidP="00AB1C62">
            <w:pPr>
              <w:spacing w:line="240" w:lineRule="auto"/>
              <w:rPr>
                <w:rFonts w:ascii="Times New Roman" w:hAnsi="Times New Roman"/>
                <w:color w:val="000000"/>
                <w:sz w:val="21"/>
                <w:szCs w:val="21"/>
              </w:rPr>
            </w:pPr>
          </w:p>
        </w:tc>
        <w:tc>
          <w:tcPr>
            <w:tcW w:w="7012" w:type="dxa"/>
            <w:gridSpan w:val="22"/>
            <w:shd w:val="clear" w:color="auto" w:fill="auto"/>
          </w:tcPr>
          <w:p w:rsidR="00AB1C62" w:rsidRPr="00281CFC" w:rsidRDefault="00AB1C62" w:rsidP="00AB1C62">
            <w:pPr>
              <w:spacing w:line="240" w:lineRule="auto"/>
              <w:jc w:val="both"/>
              <w:rPr>
                <w:rFonts w:ascii="Times New Roman" w:hAnsi="Times New Roman"/>
                <w:color w:val="000000"/>
                <w:szCs w:val="21"/>
              </w:rPr>
            </w:pPr>
          </w:p>
        </w:tc>
      </w:tr>
      <w:tr w:rsidR="00AB1C62" w:rsidRPr="008B4FE6" w:rsidTr="00222F94">
        <w:trPr>
          <w:gridAfter w:val="2"/>
          <w:wAfter w:w="63" w:type="dxa"/>
          <w:trHeight w:val="1251"/>
        </w:trPr>
        <w:tc>
          <w:tcPr>
            <w:tcW w:w="2226" w:type="dxa"/>
            <w:gridSpan w:val="2"/>
            <w:shd w:val="clear" w:color="auto" w:fill="auto"/>
          </w:tcPr>
          <w:p w:rsidR="00AB1C62" w:rsidRPr="00301959" w:rsidRDefault="00AB1C62" w:rsidP="00AB1C62">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48" w:type="dxa"/>
            <w:gridSpan w:val="27"/>
            <w:shd w:val="clear" w:color="auto" w:fill="auto"/>
          </w:tcPr>
          <w:p w:rsidR="00AB1C62" w:rsidRPr="00301959" w:rsidRDefault="00AB1C62" w:rsidP="00AB1C62">
            <w:pPr>
              <w:spacing w:line="240" w:lineRule="auto"/>
              <w:rPr>
                <w:rFonts w:ascii="Times New Roman" w:hAnsi="Times New Roman"/>
                <w:color w:val="000000"/>
                <w:sz w:val="21"/>
                <w:szCs w:val="21"/>
              </w:rPr>
            </w:pPr>
            <w:r>
              <w:rPr>
                <w:rFonts w:ascii="Times New Roman" w:hAnsi="Times New Roman"/>
                <w:color w:val="000000"/>
                <w:sz w:val="21"/>
                <w:szCs w:val="21"/>
              </w:rPr>
              <w:t>Rozwiązania przyjęte w projektowanym rozporządzeniu nie będą mieć wpływu na sytuację ekonomiczną i społeczną rodziny, osób niepełnosprawnych i osób starszych.</w:t>
            </w:r>
          </w:p>
        </w:tc>
      </w:tr>
      <w:tr w:rsidR="00AB1C62" w:rsidRPr="008B4FE6" w:rsidTr="00222F94">
        <w:trPr>
          <w:gridAfter w:val="2"/>
          <w:wAfter w:w="63" w:type="dxa"/>
          <w:trHeight w:val="342"/>
        </w:trPr>
        <w:tc>
          <w:tcPr>
            <w:tcW w:w="10874" w:type="dxa"/>
            <w:gridSpan w:val="29"/>
            <w:shd w:val="clear" w:color="auto" w:fill="99CCFF"/>
            <w:vAlign w:val="center"/>
          </w:tcPr>
          <w:p w:rsidR="00AB1C62" w:rsidRPr="008B4FE6" w:rsidRDefault="00AB1C62" w:rsidP="00AB1C62">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AB1C62" w:rsidRPr="008B4FE6" w:rsidTr="00222F94">
        <w:trPr>
          <w:gridAfter w:val="2"/>
          <w:wAfter w:w="63" w:type="dxa"/>
          <w:trHeight w:val="151"/>
        </w:trPr>
        <w:tc>
          <w:tcPr>
            <w:tcW w:w="10874" w:type="dxa"/>
            <w:gridSpan w:val="29"/>
            <w:shd w:val="clear" w:color="auto" w:fill="auto"/>
          </w:tcPr>
          <w:p w:rsidR="00AB1C62" w:rsidRPr="008B4FE6" w:rsidRDefault="00AB1C62" w:rsidP="00AB1C6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AB1C62" w:rsidRPr="008B4FE6" w:rsidTr="00222F94">
        <w:trPr>
          <w:gridAfter w:val="2"/>
          <w:wAfter w:w="63" w:type="dxa"/>
          <w:trHeight w:val="946"/>
        </w:trPr>
        <w:tc>
          <w:tcPr>
            <w:tcW w:w="5078" w:type="dxa"/>
            <w:gridSpan w:val="12"/>
            <w:shd w:val="clear" w:color="auto" w:fill="auto"/>
          </w:tcPr>
          <w:p w:rsidR="00AB1C62" w:rsidRDefault="00AB1C62" w:rsidP="00AB1C62">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796" w:type="dxa"/>
            <w:gridSpan w:val="17"/>
            <w:shd w:val="clear" w:color="auto" w:fill="auto"/>
          </w:tcPr>
          <w:p w:rsidR="00AB1C62" w:rsidRDefault="00AB1C62" w:rsidP="00AB1C6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rsidR="00AB1C62" w:rsidRDefault="00AB1C62" w:rsidP="00AB1C6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w:t>
            </w:r>
          </w:p>
          <w:p w:rsidR="00AB1C62" w:rsidRDefault="00AB1C62" w:rsidP="00AB1C62">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 dotyczy</w:t>
            </w:r>
          </w:p>
        </w:tc>
      </w:tr>
      <w:tr w:rsidR="00AB1C62" w:rsidRPr="008B4FE6" w:rsidTr="00222F94">
        <w:trPr>
          <w:gridAfter w:val="2"/>
          <w:wAfter w:w="63" w:type="dxa"/>
          <w:trHeight w:val="1245"/>
        </w:trPr>
        <w:tc>
          <w:tcPr>
            <w:tcW w:w="5078" w:type="dxa"/>
            <w:gridSpan w:val="12"/>
            <w:shd w:val="clear" w:color="auto" w:fill="auto"/>
          </w:tcPr>
          <w:p w:rsidR="00AB1C62" w:rsidRPr="008B4FE6" w:rsidRDefault="00AB1C62" w:rsidP="00AB1C6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rsidR="00AB1C62" w:rsidRPr="008B4FE6" w:rsidRDefault="00AB1C62" w:rsidP="00AB1C6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rsidR="00AB1C62" w:rsidRDefault="00AB1C62" w:rsidP="00AB1C6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rsidR="00AB1C62" w:rsidRPr="008B4FE6" w:rsidRDefault="00AB1C62" w:rsidP="00AB1C62">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796" w:type="dxa"/>
            <w:gridSpan w:val="17"/>
            <w:shd w:val="clear" w:color="auto" w:fill="auto"/>
          </w:tcPr>
          <w:p w:rsidR="00AB1C62" w:rsidRPr="008B4FE6" w:rsidRDefault="00AB1C62" w:rsidP="00AB1C6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rsidR="00AB1C62" w:rsidRPr="008B4FE6" w:rsidRDefault="00AB1C62" w:rsidP="00AB1C6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rsidR="00AB1C62" w:rsidRPr="008B4FE6" w:rsidRDefault="00AB1C62" w:rsidP="00AB1C6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rsidR="00AB1C62" w:rsidRPr="008B4FE6" w:rsidRDefault="00AB1C62" w:rsidP="00AB1C6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rsidR="00AB1C62" w:rsidRPr="008B4FE6" w:rsidRDefault="00AB1C62" w:rsidP="00AB1C62">
            <w:pPr>
              <w:spacing w:line="240" w:lineRule="auto"/>
              <w:rPr>
                <w:rFonts w:ascii="Times New Roman" w:hAnsi="Times New Roman"/>
                <w:color w:val="000000"/>
              </w:rPr>
            </w:pPr>
          </w:p>
        </w:tc>
      </w:tr>
      <w:tr w:rsidR="00AB1C62" w:rsidRPr="008B4FE6" w:rsidTr="00222F94">
        <w:trPr>
          <w:gridAfter w:val="2"/>
          <w:wAfter w:w="63" w:type="dxa"/>
          <w:trHeight w:val="870"/>
        </w:trPr>
        <w:tc>
          <w:tcPr>
            <w:tcW w:w="5078" w:type="dxa"/>
            <w:gridSpan w:val="12"/>
            <w:shd w:val="clear" w:color="auto" w:fill="auto"/>
          </w:tcPr>
          <w:p w:rsidR="00AB1C62" w:rsidRPr="008B4FE6" w:rsidRDefault="00AB1C62" w:rsidP="00AB1C62">
            <w:pPr>
              <w:spacing w:before="120" w:after="120" w:line="240" w:lineRule="auto"/>
              <w:ind w:hanging="34"/>
              <w:jc w:val="both"/>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796" w:type="dxa"/>
            <w:gridSpan w:val="17"/>
            <w:shd w:val="clear" w:color="auto" w:fill="auto"/>
          </w:tcPr>
          <w:p w:rsidR="00AB1C62" w:rsidRDefault="00AB1C62" w:rsidP="00AB1C6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rsidR="00AB1C62" w:rsidRDefault="00AB1C62" w:rsidP="00AB1C6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AB1C62" w:rsidRDefault="00AB1C62" w:rsidP="00AB1C6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 dotyczy</w:t>
            </w:r>
          </w:p>
          <w:p w:rsidR="00AB1C62" w:rsidRPr="008B4FE6" w:rsidRDefault="00AB1C62" w:rsidP="00AB1C62">
            <w:pPr>
              <w:spacing w:line="240" w:lineRule="auto"/>
              <w:rPr>
                <w:rFonts w:ascii="Times New Roman" w:hAnsi="Times New Roman"/>
                <w:color w:val="000000"/>
              </w:rPr>
            </w:pPr>
          </w:p>
        </w:tc>
      </w:tr>
      <w:tr w:rsidR="00AB1C62" w:rsidRPr="008B4FE6" w:rsidTr="00222F94">
        <w:trPr>
          <w:gridAfter w:val="2"/>
          <w:wAfter w:w="63" w:type="dxa"/>
          <w:trHeight w:val="630"/>
        </w:trPr>
        <w:tc>
          <w:tcPr>
            <w:tcW w:w="10874" w:type="dxa"/>
            <w:gridSpan w:val="29"/>
            <w:shd w:val="clear" w:color="auto" w:fill="auto"/>
          </w:tcPr>
          <w:p w:rsidR="00AB1C62" w:rsidRPr="008B4FE6" w:rsidRDefault="00AB1C62" w:rsidP="00AB1C62">
            <w:pPr>
              <w:spacing w:after="120" w:line="240" w:lineRule="auto"/>
              <w:jc w:val="both"/>
              <w:rPr>
                <w:rFonts w:ascii="Times New Roman" w:hAnsi="Times New Roman"/>
                <w:color w:val="000000"/>
              </w:rPr>
            </w:pPr>
          </w:p>
        </w:tc>
      </w:tr>
      <w:tr w:rsidR="00AB1C62" w:rsidRPr="008B4FE6" w:rsidTr="00222F94">
        <w:trPr>
          <w:gridAfter w:val="2"/>
          <w:wAfter w:w="63" w:type="dxa"/>
          <w:trHeight w:val="142"/>
        </w:trPr>
        <w:tc>
          <w:tcPr>
            <w:tcW w:w="10874" w:type="dxa"/>
            <w:gridSpan w:val="29"/>
            <w:shd w:val="clear" w:color="auto" w:fill="99CCFF"/>
          </w:tcPr>
          <w:p w:rsidR="00AB1C62" w:rsidRPr="008B4FE6" w:rsidRDefault="00AB1C62" w:rsidP="00AB1C62">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AB1C62" w:rsidRPr="008B4FE6" w:rsidTr="00222F94">
        <w:trPr>
          <w:gridAfter w:val="2"/>
          <w:wAfter w:w="63" w:type="dxa"/>
          <w:trHeight w:val="142"/>
        </w:trPr>
        <w:tc>
          <w:tcPr>
            <w:tcW w:w="10874" w:type="dxa"/>
            <w:gridSpan w:val="29"/>
            <w:shd w:val="clear" w:color="auto" w:fill="auto"/>
          </w:tcPr>
          <w:p w:rsidR="00AB1C62" w:rsidRPr="008B4FE6" w:rsidRDefault="00AB1C62" w:rsidP="00AB1C62">
            <w:pPr>
              <w:spacing w:before="120" w:after="120" w:line="240" w:lineRule="auto"/>
              <w:jc w:val="both"/>
              <w:rPr>
                <w:rFonts w:ascii="Times New Roman" w:hAnsi="Times New Roman"/>
                <w:color w:val="000000"/>
              </w:rPr>
            </w:pPr>
            <w:r>
              <w:rPr>
                <w:rFonts w:ascii="Times New Roman" w:hAnsi="Times New Roman"/>
                <w:color w:val="000000"/>
              </w:rPr>
              <w:t>Projektowane</w:t>
            </w:r>
            <w:r w:rsidRPr="009C5EF0">
              <w:rPr>
                <w:rFonts w:ascii="Times New Roman" w:hAnsi="Times New Roman"/>
                <w:color w:val="000000"/>
              </w:rPr>
              <w:t xml:space="preserve"> </w:t>
            </w:r>
            <w:r w:rsidR="00F975E2">
              <w:rPr>
                <w:rFonts w:ascii="Times New Roman" w:hAnsi="Times New Roman"/>
                <w:color w:val="000000"/>
              </w:rPr>
              <w:t>r</w:t>
            </w:r>
            <w:r>
              <w:rPr>
                <w:rFonts w:ascii="Times New Roman" w:hAnsi="Times New Roman"/>
                <w:color w:val="000000"/>
              </w:rPr>
              <w:t>ozporządzenie nie wpłynie na rynek pracy.</w:t>
            </w:r>
          </w:p>
        </w:tc>
      </w:tr>
      <w:tr w:rsidR="00AB1C62" w:rsidRPr="008B4FE6" w:rsidTr="00222F94">
        <w:trPr>
          <w:gridAfter w:val="2"/>
          <w:wAfter w:w="63" w:type="dxa"/>
          <w:trHeight w:val="142"/>
        </w:trPr>
        <w:tc>
          <w:tcPr>
            <w:tcW w:w="10874" w:type="dxa"/>
            <w:gridSpan w:val="29"/>
            <w:shd w:val="clear" w:color="auto" w:fill="99CCFF"/>
          </w:tcPr>
          <w:p w:rsidR="00AB1C62" w:rsidRPr="008B4FE6" w:rsidRDefault="00AB1C62" w:rsidP="00AB1C62">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AB1C62" w:rsidRPr="008B4FE6" w:rsidTr="00222F94">
        <w:trPr>
          <w:gridAfter w:val="2"/>
          <w:wAfter w:w="63" w:type="dxa"/>
          <w:trHeight w:val="1031"/>
        </w:trPr>
        <w:tc>
          <w:tcPr>
            <w:tcW w:w="3522" w:type="dxa"/>
            <w:gridSpan w:val="5"/>
            <w:shd w:val="clear" w:color="auto" w:fill="auto"/>
          </w:tcPr>
          <w:p w:rsidR="00AB1C62" w:rsidRPr="008B4FE6" w:rsidRDefault="00AB1C62" w:rsidP="00AB1C62">
            <w:pPr>
              <w:spacing w:line="240" w:lineRule="auto"/>
              <w:rPr>
                <w:rFonts w:ascii="Times New Roman" w:hAnsi="Times New Roman"/>
                <w:color w:val="000000"/>
              </w:rPr>
            </w:pPr>
          </w:p>
          <w:p w:rsidR="00AB1C62" w:rsidRPr="008B4FE6" w:rsidRDefault="00AB1C62" w:rsidP="00AB1C6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rsidR="00AB1C62" w:rsidRDefault="00AB1C62" w:rsidP="00AB1C62">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rsidR="00AB1C62" w:rsidRPr="008B4FE6" w:rsidRDefault="00AB1C62" w:rsidP="00AB1C6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70" w:type="dxa"/>
            <w:gridSpan w:val="15"/>
            <w:shd w:val="clear" w:color="auto" w:fill="auto"/>
          </w:tcPr>
          <w:p w:rsidR="00AB1C62" w:rsidRPr="008B4FE6" w:rsidRDefault="00AB1C62" w:rsidP="00AB1C62">
            <w:pPr>
              <w:spacing w:line="240" w:lineRule="auto"/>
              <w:rPr>
                <w:rFonts w:ascii="Times New Roman" w:hAnsi="Times New Roman"/>
                <w:color w:val="000000"/>
              </w:rPr>
            </w:pPr>
          </w:p>
          <w:p w:rsidR="00AB1C62" w:rsidRPr="008B4FE6" w:rsidRDefault="00AB1C62" w:rsidP="00AB1C6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rsidR="00AB1C62" w:rsidRDefault="00AB1C62" w:rsidP="00AB1C62">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rsidR="00AB1C62" w:rsidRPr="008B4FE6" w:rsidRDefault="00AB1C62" w:rsidP="00AB1C6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2" w:type="dxa"/>
            <w:gridSpan w:val="9"/>
            <w:shd w:val="clear" w:color="auto" w:fill="auto"/>
          </w:tcPr>
          <w:p w:rsidR="00AB1C62" w:rsidRPr="008B4FE6" w:rsidRDefault="00AB1C62" w:rsidP="00AB1C62">
            <w:pPr>
              <w:spacing w:line="240" w:lineRule="auto"/>
              <w:rPr>
                <w:rFonts w:ascii="Times New Roman" w:hAnsi="Times New Roman"/>
                <w:color w:val="000000"/>
              </w:rPr>
            </w:pPr>
          </w:p>
          <w:p w:rsidR="00AB1C62" w:rsidRDefault="00AB1C62" w:rsidP="00AB1C6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rsidR="00AB1C62" w:rsidRPr="008B4FE6" w:rsidRDefault="00AB1C62" w:rsidP="00AB1C6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57E42">
              <w:rPr>
                <w:rFonts w:ascii="Times New Roman" w:hAnsi="Times New Roman"/>
                <w:color w:val="000000"/>
              </w:rPr>
            </w:r>
            <w:r w:rsidR="00F57E4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AB1C62" w:rsidRPr="008B4FE6" w:rsidTr="00222F94">
        <w:trPr>
          <w:gridAfter w:val="2"/>
          <w:wAfter w:w="63" w:type="dxa"/>
          <w:trHeight w:val="437"/>
        </w:trPr>
        <w:tc>
          <w:tcPr>
            <w:tcW w:w="2226" w:type="dxa"/>
            <w:gridSpan w:val="2"/>
            <w:shd w:val="clear" w:color="auto" w:fill="auto"/>
          </w:tcPr>
          <w:p w:rsidR="00AB1C62" w:rsidRPr="008B4FE6" w:rsidRDefault="00AB1C62" w:rsidP="00AB1C62">
            <w:pPr>
              <w:spacing w:line="240" w:lineRule="auto"/>
              <w:rPr>
                <w:rFonts w:ascii="Times New Roman" w:hAnsi="Times New Roman"/>
                <w:color w:val="000000"/>
              </w:rPr>
            </w:pPr>
            <w:r w:rsidRPr="008B4FE6">
              <w:rPr>
                <w:rFonts w:ascii="Times New Roman" w:hAnsi="Times New Roman"/>
                <w:color w:val="000000"/>
              </w:rPr>
              <w:t>Omówienie wpływu</w:t>
            </w:r>
          </w:p>
        </w:tc>
        <w:tc>
          <w:tcPr>
            <w:tcW w:w="8648" w:type="dxa"/>
            <w:gridSpan w:val="27"/>
            <w:shd w:val="clear" w:color="auto" w:fill="auto"/>
          </w:tcPr>
          <w:p w:rsidR="00AB1C62" w:rsidRPr="008B4FE6" w:rsidRDefault="00F975E2" w:rsidP="00AB1C62">
            <w:pPr>
              <w:spacing w:line="240" w:lineRule="auto"/>
              <w:rPr>
                <w:rFonts w:ascii="Times New Roman" w:hAnsi="Times New Roman"/>
                <w:color w:val="000000"/>
                <w:spacing w:val="-2"/>
              </w:rPr>
            </w:pPr>
            <w:r>
              <w:rPr>
                <w:rFonts w:ascii="Times New Roman" w:hAnsi="Times New Roman"/>
                <w:color w:val="000000"/>
              </w:rPr>
              <w:t>Projektowane r</w:t>
            </w:r>
            <w:bookmarkStart w:id="3" w:name="_GoBack"/>
            <w:bookmarkEnd w:id="3"/>
            <w:r w:rsidR="00AB1C62">
              <w:rPr>
                <w:rFonts w:ascii="Times New Roman" w:hAnsi="Times New Roman"/>
                <w:color w:val="000000"/>
              </w:rPr>
              <w:t>ozporządzenie</w:t>
            </w:r>
            <w:r w:rsidR="00AB1C62" w:rsidRPr="009C5EF0">
              <w:rPr>
                <w:rFonts w:ascii="Times New Roman" w:hAnsi="Times New Roman"/>
                <w:color w:val="000000"/>
              </w:rPr>
              <w:t xml:space="preserve"> nie wpłynie na </w:t>
            </w:r>
            <w:r w:rsidR="00AB1C62">
              <w:rPr>
                <w:rFonts w:ascii="Times New Roman" w:hAnsi="Times New Roman"/>
                <w:color w:val="000000"/>
              </w:rPr>
              <w:t>wymienione obszary.</w:t>
            </w:r>
          </w:p>
        </w:tc>
      </w:tr>
      <w:tr w:rsidR="00AB1C62" w:rsidRPr="008B4FE6" w:rsidTr="00222F94">
        <w:trPr>
          <w:gridAfter w:val="2"/>
          <w:wAfter w:w="63" w:type="dxa"/>
          <w:trHeight w:val="142"/>
        </w:trPr>
        <w:tc>
          <w:tcPr>
            <w:tcW w:w="10874" w:type="dxa"/>
            <w:gridSpan w:val="29"/>
            <w:shd w:val="clear" w:color="auto" w:fill="99CCFF"/>
          </w:tcPr>
          <w:p w:rsidR="00AB1C62" w:rsidRPr="00627221" w:rsidRDefault="00AB1C62" w:rsidP="00AB1C6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AB1C62" w:rsidRPr="008B4FE6" w:rsidTr="00C2021A">
        <w:trPr>
          <w:trHeight w:val="142"/>
        </w:trPr>
        <w:tc>
          <w:tcPr>
            <w:tcW w:w="10937" w:type="dxa"/>
            <w:gridSpan w:val="31"/>
            <w:shd w:val="clear" w:color="auto" w:fill="auto"/>
          </w:tcPr>
          <w:p w:rsidR="00AB1C62" w:rsidRDefault="00F759AB" w:rsidP="00F759AB">
            <w:pPr>
              <w:spacing w:line="240" w:lineRule="auto"/>
              <w:jc w:val="both"/>
              <w:rPr>
                <w:rFonts w:ascii="Times New Roman" w:hAnsi="Times New Roman"/>
                <w:spacing w:val="-2"/>
              </w:rPr>
            </w:pPr>
            <w:r w:rsidRPr="00B214D2">
              <w:rPr>
                <w:rFonts w:ascii="Times New Roman" w:hAnsi="Times New Roman"/>
                <w:spacing w:val="-2"/>
              </w:rPr>
              <w:t>Planuje się, że projektowane rozporządzenie wejdzie w życie po upływie 14 dni od dnia ogłoszenia.</w:t>
            </w:r>
          </w:p>
          <w:p w:rsidR="00F759AB" w:rsidRPr="00F9368F" w:rsidRDefault="00F759AB" w:rsidP="00F759AB">
            <w:pPr>
              <w:spacing w:line="240" w:lineRule="auto"/>
              <w:jc w:val="both"/>
              <w:rPr>
                <w:rFonts w:ascii="Times New Roman" w:hAnsi="Times New Roman"/>
                <w:spacing w:val="-2"/>
              </w:rPr>
            </w:pPr>
          </w:p>
        </w:tc>
      </w:tr>
      <w:tr w:rsidR="00AB1C62" w:rsidRPr="008B4FE6" w:rsidTr="00222F94">
        <w:trPr>
          <w:gridAfter w:val="2"/>
          <w:wAfter w:w="63" w:type="dxa"/>
          <w:trHeight w:val="142"/>
        </w:trPr>
        <w:tc>
          <w:tcPr>
            <w:tcW w:w="10874" w:type="dxa"/>
            <w:gridSpan w:val="29"/>
            <w:shd w:val="clear" w:color="auto" w:fill="99CCFF"/>
          </w:tcPr>
          <w:p w:rsidR="00AB1C62" w:rsidRPr="008B4FE6" w:rsidRDefault="00AB1C62" w:rsidP="00AB1C62">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AB1C62" w:rsidRPr="008B4FE6" w:rsidTr="00222F94">
        <w:trPr>
          <w:gridAfter w:val="2"/>
          <w:wAfter w:w="63" w:type="dxa"/>
          <w:trHeight w:val="142"/>
        </w:trPr>
        <w:tc>
          <w:tcPr>
            <w:tcW w:w="10874" w:type="dxa"/>
            <w:gridSpan w:val="29"/>
            <w:shd w:val="clear" w:color="auto" w:fill="FFFFFF" w:themeFill="background1"/>
          </w:tcPr>
          <w:p w:rsidR="00AB1C62" w:rsidRDefault="00F759AB" w:rsidP="00F759AB">
            <w:pPr>
              <w:spacing w:line="240" w:lineRule="auto"/>
              <w:jc w:val="both"/>
              <w:rPr>
                <w:rFonts w:ascii="Times New Roman" w:hAnsi="Times New Roman"/>
                <w:color w:val="000000"/>
                <w:spacing w:val="-2"/>
              </w:rPr>
            </w:pPr>
            <w:r w:rsidRPr="00B214D2">
              <w:rPr>
                <w:rFonts w:ascii="Times New Roman" w:hAnsi="Times New Roman"/>
                <w:color w:val="000000"/>
                <w:spacing w:val="-2"/>
              </w:rPr>
              <w:t xml:space="preserve">Ewaluacja efektów projektu będzie dokonywana na bieżąco, </w:t>
            </w:r>
            <w:r w:rsidRPr="008E02D2">
              <w:rPr>
                <w:rFonts w:ascii="Times New Roman" w:hAnsi="Times New Roman"/>
                <w:color w:val="000000"/>
                <w:spacing w:val="-2"/>
              </w:rPr>
              <w:t>na podstawie wniosków wynikających z działań nadzorczych Komisji Nadzoru Finansowego</w:t>
            </w:r>
            <w:r w:rsidRPr="00B214D2">
              <w:rPr>
                <w:rFonts w:ascii="Times New Roman" w:hAnsi="Times New Roman"/>
                <w:color w:val="000000"/>
                <w:spacing w:val="-2"/>
              </w:rPr>
              <w:t>.</w:t>
            </w:r>
          </w:p>
          <w:p w:rsidR="00F759AB" w:rsidRPr="00B37C80" w:rsidRDefault="00F759AB" w:rsidP="00F759AB">
            <w:pPr>
              <w:spacing w:line="240" w:lineRule="auto"/>
              <w:jc w:val="both"/>
              <w:rPr>
                <w:rFonts w:ascii="Times New Roman" w:hAnsi="Times New Roman"/>
                <w:color w:val="000000"/>
                <w:spacing w:val="-2"/>
              </w:rPr>
            </w:pPr>
          </w:p>
        </w:tc>
      </w:tr>
      <w:tr w:rsidR="00AB1C62" w:rsidRPr="008B4FE6" w:rsidTr="00222F94">
        <w:trPr>
          <w:gridAfter w:val="2"/>
          <w:wAfter w:w="63" w:type="dxa"/>
          <w:trHeight w:val="142"/>
        </w:trPr>
        <w:tc>
          <w:tcPr>
            <w:tcW w:w="10874" w:type="dxa"/>
            <w:gridSpan w:val="29"/>
            <w:shd w:val="clear" w:color="auto" w:fill="99CCFF"/>
          </w:tcPr>
          <w:p w:rsidR="00AB1C62" w:rsidRPr="008B4FE6" w:rsidRDefault="00AB1C62" w:rsidP="00AB1C62">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AB1C62" w:rsidRPr="008B4FE6" w:rsidTr="00222F94">
        <w:trPr>
          <w:gridAfter w:val="2"/>
          <w:wAfter w:w="63" w:type="dxa"/>
          <w:trHeight w:val="293"/>
        </w:trPr>
        <w:tc>
          <w:tcPr>
            <w:tcW w:w="10874" w:type="dxa"/>
            <w:gridSpan w:val="29"/>
            <w:shd w:val="clear" w:color="auto" w:fill="FFFFFF"/>
          </w:tcPr>
          <w:p w:rsidR="00AB1C62" w:rsidRPr="00B37C80" w:rsidRDefault="00AB1C62" w:rsidP="00AB1C62">
            <w:pPr>
              <w:tabs>
                <w:tab w:val="left" w:pos="2025"/>
              </w:tabs>
              <w:spacing w:before="120" w:after="120" w:line="240" w:lineRule="auto"/>
              <w:rPr>
                <w:rFonts w:ascii="Times New Roman" w:hAnsi="Times New Roman"/>
                <w:color w:val="000000"/>
                <w:spacing w:val="-2"/>
              </w:rPr>
            </w:pPr>
            <w:r>
              <w:rPr>
                <w:rFonts w:ascii="Times New Roman" w:hAnsi="Times New Roman"/>
                <w:color w:val="000000"/>
                <w:spacing w:val="-2"/>
              </w:rPr>
              <w:t>Brak.</w:t>
            </w:r>
          </w:p>
        </w:tc>
      </w:tr>
    </w:tbl>
    <w:p w:rsidR="006176ED" w:rsidRPr="00522D94" w:rsidRDefault="00C04964" w:rsidP="003C2F29">
      <w:pPr>
        <w:pStyle w:val="Nagwek1"/>
        <w:tabs>
          <w:tab w:val="left" w:pos="2505"/>
        </w:tabs>
        <w:rPr>
          <w:rFonts w:ascii="Times New Roman" w:hAnsi="Times New Roman"/>
          <w:sz w:val="20"/>
          <w:szCs w:val="20"/>
        </w:rPr>
      </w:pPr>
      <w:r>
        <w:rPr>
          <w:rFonts w:ascii="Times New Roman" w:hAnsi="Times New Roman"/>
          <w:sz w:val="20"/>
          <w:szCs w:val="20"/>
        </w:rPr>
        <w:tab/>
      </w: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42" w:rsidRDefault="00F57E42" w:rsidP="00044739">
      <w:pPr>
        <w:spacing w:line="240" w:lineRule="auto"/>
      </w:pPr>
      <w:r>
        <w:separator/>
      </w:r>
    </w:p>
  </w:endnote>
  <w:endnote w:type="continuationSeparator" w:id="0">
    <w:p w:rsidR="00F57E42" w:rsidRDefault="00F57E42"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42" w:rsidRDefault="00F57E42" w:rsidP="00044739">
      <w:pPr>
        <w:spacing w:line="240" w:lineRule="auto"/>
      </w:pPr>
      <w:r>
        <w:separator/>
      </w:r>
    </w:p>
  </w:footnote>
  <w:footnote w:type="continuationSeparator" w:id="0">
    <w:p w:rsidR="00F57E42" w:rsidRDefault="00F57E42"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BC70B5"/>
    <w:multiLevelType w:val="hybridMultilevel"/>
    <w:tmpl w:val="F7041A1E"/>
    <w:lvl w:ilvl="0" w:tplc="365E2892">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nsid w:val="14AA61F8"/>
    <w:multiLevelType w:val="hybridMultilevel"/>
    <w:tmpl w:val="52CA8002"/>
    <w:lvl w:ilvl="0" w:tplc="04150001">
      <w:start w:val="1"/>
      <w:numFmt w:val="bullet"/>
      <w:lvlText w:val=""/>
      <w:lvlJc w:val="left"/>
      <w:pPr>
        <w:ind w:left="385" w:hanging="360"/>
      </w:pPr>
      <w:rPr>
        <w:rFonts w:ascii="Symbol" w:hAnsi="Symbol" w:hint="default"/>
      </w:rPr>
    </w:lvl>
    <w:lvl w:ilvl="1" w:tplc="04150003">
      <w:start w:val="1"/>
      <w:numFmt w:val="bullet"/>
      <w:lvlText w:val="o"/>
      <w:lvlJc w:val="left"/>
      <w:pPr>
        <w:ind w:left="1105" w:hanging="360"/>
      </w:pPr>
      <w:rPr>
        <w:rFonts w:ascii="Courier New" w:hAnsi="Courier New" w:cs="Courier New" w:hint="default"/>
      </w:rPr>
    </w:lvl>
    <w:lvl w:ilvl="2" w:tplc="04150005" w:tentative="1">
      <w:start w:val="1"/>
      <w:numFmt w:val="bullet"/>
      <w:lvlText w:val=""/>
      <w:lvlJc w:val="left"/>
      <w:pPr>
        <w:ind w:left="1825" w:hanging="360"/>
      </w:pPr>
      <w:rPr>
        <w:rFonts w:ascii="Wingdings" w:hAnsi="Wingdings" w:hint="default"/>
      </w:rPr>
    </w:lvl>
    <w:lvl w:ilvl="3" w:tplc="04150001" w:tentative="1">
      <w:start w:val="1"/>
      <w:numFmt w:val="bullet"/>
      <w:lvlText w:val=""/>
      <w:lvlJc w:val="left"/>
      <w:pPr>
        <w:ind w:left="2545" w:hanging="360"/>
      </w:pPr>
      <w:rPr>
        <w:rFonts w:ascii="Symbol" w:hAnsi="Symbol" w:hint="default"/>
      </w:rPr>
    </w:lvl>
    <w:lvl w:ilvl="4" w:tplc="04150003" w:tentative="1">
      <w:start w:val="1"/>
      <w:numFmt w:val="bullet"/>
      <w:lvlText w:val="o"/>
      <w:lvlJc w:val="left"/>
      <w:pPr>
        <w:ind w:left="3265" w:hanging="360"/>
      </w:pPr>
      <w:rPr>
        <w:rFonts w:ascii="Courier New" w:hAnsi="Courier New" w:cs="Courier New" w:hint="default"/>
      </w:rPr>
    </w:lvl>
    <w:lvl w:ilvl="5" w:tplc="04150005" w:tentative="1">
      <w:start w:val="1"/>
      <w:numFmt w:val="bullet"/>
      <w:lvlText w:val=""/>
      <w:lvlJc w:val="left"/>
      <w:pPr>
        <w:ind w:left="3985" w:hanging="360"/>
      </w:pPr>
      <w:rPr>
        <w:rFonts w:ascii="Wingdings" w:hAnsi="Wingdings" w:hint="default"/>
      </w:rPr>
    </w:lvl>
    <w:lvl w:ilvl="6" w:tplc="04150001" w:tentative="1">
      <w:start w:val="1"/>
      <w:numFmt w:val="bullet"/>
      <w:lvlText w:val=""/>
      <w:lvlJc w:val="left"/>
      <w:pPr>
        <w:ind w:left="4705" w:hanging="360"/>
      </w:pPr>
      <w:rPr>
        <w:rFonts w:ascii="Symbol" w:hAnsi="Symbol" w:hint="default"/>
      </w:rPr>
    </w:lvl>
    <w:lvl w:ilvl="7" w:tplc="04150003" w:tentative="1">
      <w:start w:val="1"/>
      <w:numFmt w:val="bullet"/>
      <w:lvlText w:val="o"/>
      <w:lvlJc w:val="left"/>
      <w:pPr>
        <w:ind w:left="5425" w:hanging="360"/>
      </w:pPr>
      <w:rPr>
        <w:rFonts w:ascii="Courier New" w:hAnsi="Courier New" w:cs="Courier New" w:hint="default"/>
      </w:rPr>
    </w:lvl>
    <w:lvl w:ilvl="8" w:tplc="04150005" w:tentative="1">
      <w:start w:val="1"/>
      <w:numFmt w:val="bullet"/>
      <w:lvlText w:val=""/>
      <w:lvlJc w:val="left"/>
      <w:pPr>
        <w:ind w:left="6145" w:hanging="360"/>
      </w:pPr>
      <w:rPr>
        <w:rFonts w:ascii="Wingdings" w:hAnsi="Wingdings" w:hint="default"/>
      </w:rPr>
    </w:lvl>
  </w:abstractNum>
  <w:abstractNum w:abstractNumId="5">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1376EB7"/>
    <w:multiLevelType w:val="hybridMultilevel"/>
    <w:tmpl w:val="16FADAAA"/>
    <w:lvl w:ilvl="0" w:tplc="BE62355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D55855"/>
    <w:multiLevelType w:val="hybridMultilevel"/>
    <w:tmpl w:val="FA485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EA59F4"/>
    <w:multiLevelType w:val="hybridMultilevel"/>
    <w:tmpl w:val="22F69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1B6334"/>
    <w:multiLevelType w:val="hybridMultilevel"/>
    <w:tmpl w:val="11566C6E"/>
    <w:lvl w:ilvl="0" w:tplc="04150001">
      <w:start w:val="1"/>
      <w:numFmt w:val="bullet"/>
      <w:lvlText w:val=""/>
      <w:lvlJc w:val="left"/>
      <w:pPr>
        <w:ind w:left="686" w:hanging="360"/>
      </w:pPr>
      <w:rPr>
        <w:rFonts w:ascii="Symbol" w:hAnsi="Symbol" w:hint="default"/>
      </w:rPr>
    </w:lvl>
    <w:lvl w:ilvl="1" w:tplc="04150003" w:tentative="1">
      <w:start w:val="1"/>
      <w:numFmt w:val="bullet"/>
      <w:lvlText w:val="o"/>
      <w:lvlJc w:val="left"/>
      <w:pPr>
        <w:ind w:left="1406" w:hanging="360"/>
      </w:pPr>
      <w:rPr>
        <w:rFonts w:ascii="Courier New" w:hAnsi="Courier New" w:cs="Courier New" w:hint="default"/>
      </w:rPr>
    </w:lvl>
    <w:lvl w:ilvl="2" w:tplc="04150005" w:tentative="1">
      <w:start w:val="1"/>
      <w:numFmt w:val="bullet"/>
      <w:lvlText w:val=""/>
      <w:lvlJc w:val="left"/>
      <w:pPr>
        <w:ind w:left="2126" w:hanging="360"/>
      </w:pPr>
      <w:rPr>
        <w:rFonts w:ascii="Wingdings" w:hAnsi="Wingdings" w:hint="default"/>
      </w:rPr>
    </w:lvl>
    <w:lvl w:ilvl="3" w:tplc="04150001" w:tentative="1">
      <w:start w:val="1"/>
      <w:numFmt w:val="bullet"/>
      <w:lvlText w:val=""/>
      <w:lvlJc w:val="left"/>
      <w:pPr>
        <w:ind w:left="2846" w:hanging="360"/>
      </w:pPr>
      <w:rPr>
        <w:rFonts w:ascii="Symbol" w:hAnsi="Symbol" w:hint="default"/>
      </w:rPr>
    </w:lvl>
    <w:lvl w:ilvl="4" w:tplc="04150003" w:tentative="1">
      <w:start w:val="1"/>
      <w:numFmt w:val="bullet"/>
      <w:lvlText w:val="o"/>
      <w:lvlJc w:val="left"/>
      <w:pPr>
        <w:ind w:left="3566" w:hanging="360"/>
      </w:pPr>
      <w:rPr>
        <w:rFonts w:ascii="Courier New" w:hAnsi="Courier New" w:cs="Courier New" w:hint="default"/>
      </w:rPr>
    </w:lvl>
    <w:lvl w:ilvl="5" w:tplc="04150005" w:tentative="1">
      <w:start w:val="1"/>
      <w:numFmt w:val="bullet"/>
      <w:lvlText w:val=""/>
      <w:lvlJc w:val="left"/>
      <w:pPr>
        <w:ind w:left="4286" w:hanging="360"/>
      </w:pPr>
      <w:rPr>
        <w:rFonts w:ascii="Wingdings" w:hAnsi="Wingdings" w:hint="default"/>
      </w:rPr>
    </w:lvl>
    <w:lvl w:ilvl="6" w:tplc="04150001" w:tentative="1">
      <w:start w:val="1"/>
      <w:numFmt w:val="bullet"/>
      <w:lvlText w:val=""/>
      <w:lvlJc w:val="left"/>
      <w:pPr>
        <w:ind w:left="5006" w:hanging="360"/>
      </w:pPr>
      <w:rPr>
        <w:rFonts w:ascii="Symbol" w:hAnsi="Symbol" w:hint="default"/>
      </w:rPr>
    </w:lvl>
    <w:lvl w:ilvl="7" w:tplc="04150003" w:tentative="1">
      <w:start w:val="1"/>
      <w:numFmt w:val="bullet"/>
      <w:lvlText w:val="o"/>
      <w:lvlJc w:val="left"/>
      <w:pPr>
        <w:ind w:left="5726" w:hanging="360"/>
      </w:pPr>
      <w:rPr>
        <w:rFonts w:ascii="Courier New" w:hAnsi="Courier New" w:cs="Courier New" w:hint="default"/>
      </w:rPr>
    </w:lvl>
    <w:lvl w:ilvl="8" w:tplc="04150005" w:tentative="1">
      <w:start w:val="1"/>
      <w:numFmt w:val="bullet"/>
      <w:lvlText w:val=""/>
      <w:lvlJc w:val="left"/>
      <w:pPr>
        <w:ind w:left="6446" w:hanging="360"/>
      </w:pPr>
      <w:rPr>
        <w:rFonts w:ascii="Wingdings" w:hAnsi="Wingdings" w:hint="default"/>
      </w:rPr>
    </w:lvl>
  </w:abstractNum>
  <w:abstractNum w:abstractNumId="14">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6">
    <w:nsid w:val="3AB60C4C"/>
    <w:multiLevelType w:val="hybridMultilevel"/>
    <w:tmpl w:val="7340CF6A"/>
    <w:lvl w:ilvl="0" w:tplc="FD4271C0">
      <w:start w:val="1"/>
      <w:numFmt w:val="lowerRoman"/>
      <w:lvlText w:val="%1."/>
      <w:lvlJc w:val="right"/>
      <w:pPr>
        <w:ind w:left="649" w:hanging="17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nsid w:val="3B736089"/>
    <w:multiLevelType w:val="hybridMultilevel"/>
    <w:tmpl w:val="15804A64"/>
    <w:lvl w:ilvl="0" w:tplc="120CB1F2">
      <w:start w:val="1"/>
      <w:numFmt w:val="decimal"/>
      <w:lvlText w:val="%1)"/>
      <w:lvlJc w:val="left"/>
      <w:pPr>
        <w:ind w:left="326" w:hanging="360"/>
      </w:pPr>
      <w:rPr>
        <w:rFonts w:hint="default"/>
      </w:rPr>
    </w:lvl>
    <w:lvl w:ilvl="1" w:tplc="04150019" w:tentative="1">
      <w:start w:val="1"/>
      <w:numFmt w:val="lowerLetter"/>
      <w:lvlText w:val="%2."/>
      <w:lvlJc w:val="left"/>
      <w:pPr>
        <w:ind w:left="1046" w:hanging="360"/>
      </w:pPr>
    </w:lvl>
    <w:lvl w:ilvl="2" w:tplc="0415001B" w:tentative="1">
      <w:start w:val="1"/>
      <w:numFmt w:val="lowerRoman"/>
      <w:lvlText w:val="%3."/>
      <w:lvlJc w:val="right"/>
      <w:pPr>
        <w:ind w:left="1766" w:hanging="180"/>
      </w:pPr>
    </w:lvl>
    <w:lvl w:ilvl="3" w:tplc="0415000F" w:tentative="1">
      <w:start w:val="1"/>
      <w:numFmt w:val="decimal"/>
      <w:lvlText w:val="%4."/>
      <w:lvlJc w:val="left"/>
      <w:pPr>
        <w:ind w:left="2486" w:hanging="360"/>
      </w:pPr>
    </w:lvl>
    <w:lvl w:ilvl="4" w:tplc="04150019" w:tentative="1">
      <w:start w:val="1"/>
      <w:numFmt w:val="lowerLetter"/>
      <w:lvlText w:val="%5."/>
      <w:lvlJc w:val="left"/>
      <w:pPr>
        <w:ind w:left="3206" w:hanging="360"/>
      </w:pPr>
    </w:lvl>
    <w:lvl w:ilvl="5" w:tplc="0415001B" w:tentative="1">
      <w:start w:val="1"/>
      <w:numFmt w:val="lowerRoman"/>
      <w:lvlText w:val="%6."/>
      <w:lvlJc w:val="right"/>
      <w:pPr>
        <w:ind w:left="3926" w:hanging="180"/>
      </w:pPr>
    </w:lvl>
    <w:lvl w:ilvl="6" w:tplc="0415000F" w:tentative="1">
      <w:start w:val="1"/>
      <w:numFmt w:val="decimal"/>
      <w:lvlText w:val="%7."/>
      <w:lvlJc w:val="left"/>
      <w:pPr>
        <w:ind w:left="4646" w:hanging="360"/>
      </w:pPr>
    </w:lvl>
    <w:lvl w:ilvl="7" w:tplc="04150019" w:tentative="1">
      <w:start w:val="1"/>
      <w:numFmt w:val="lowerLetter"/>
      <w:lvlText w:val="%8."/>
      <w:lvlJc w:val="left"/>
      <w:pPr>
        <w:ind w:left="5366" w:hanging="360"/>
      </w:pPr>
    </w:lvl>
    <w:lvl w:ilvl="8" w:tplc="0415001B" w:tentative="1">
      <w:start w:val="1"/>
      <w:numFmt w:val="lowerRoman"/>
      <w:lvlText w:val="%9."/>
      <w:lvlJc w:val="right"/>
      <w:pPr>
        <w:ind w:left="6086" w:hanging="180"/>
      </w:pPr>
    </w:lvl>
  </w:abstractNum>
  <w:abstractNum w:abstractNumId="19">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1">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2">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3">
    <w:nsid w:val="5C4E6684"/>
    <w:multiLevelType w:val="hybridMultilevel"/>
    <w:tmpl w:val="64B039CA"/>
    <w:lvl w:ilvl="0" w:tplc="0415000F">
      <w:start w:val="1"/>
      <w:numFmt w:val="decimal"/>
      <w:lvlText w:val="%1."/>
      <w:lvlJc w:val="left"/>
      <w:pPr>
        <w:ind w:left="804" w:hanging="360"/>
      </w:p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24">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6">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8">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4"/>
  </w:num>
  <w:num w:numId="4">
    <w:abstractNumId w:val="26"/>
  </w:num>
  <w:num w:numId="5">
    <w:abstractNumId w:val="2"/>
  </w:num>
  <w:num w:numId="6">
    <w:abstractNumId w:val="10"/>
  </w:num>
  <w:num w:numId="7">
    <w:abstractNumId w:val="19"/>
  </w:num>
  <w:num w:numId="8">
    <w:abstractNumId w:val="6"/>
  </w:num>
  <w:num w:numId="9">
    <w:abstractNumId w:val="21"/>
  </w:num>
  <w:num w:numId="10">
    <w:abstractNumId w:val="17"/>
  </w:num>
  <w:num w:numId="11">
    <w:abstractNumId w:val="20"/>
  </w:num>
  <w:num w:numId="12">
    <w:abstractNumId w:val="3"/>
  </w:num>
  <w:num w:numId="13">
    <w:abstractNumId w:val="15"/>
  </w:num>
  <w:num w:numId="14">
    <w:abstractNumId w:val="27"/>
  </w:num>
  <w:num w:numId="15">
    <w:abstractNumId w:val="22"/>
  </w:num>
  <w:num w:numId="16">
    <w:abstractNumId w:val="25"/>
  </w:num>
  <w:num w:numId="17">
    <w:abstractNumId w:val="8"/>
  </w:num>
  <w:num w:numId="18">
    <w:abstractNumId w:val="28"/>
  </w:num>
  <w:num w:numId="19">
    <w:abstractNumId w:val="29"/>
  </w:num>
  <w:num w:numId="20">
    <w:abstractNumId w:val="24"/>
  </w:num>
  <w:num w:numId="21">
    <w:abstractNumId w:val="9"/>
  </w:num>
  <w:num w:numId="22">
    <w:abstractNumId w:val="11"/>
  </w:num>
  <w:num w:numId="23">
    <w:abstractNumId w:val="13"/>
  </w:num>
  <w:num w:numId="24">
    <w:abstractNumId w:val="23"/>
  </w:num>
  <w:num w:numId="25">
    <w:abstractNumId w:val="16"/>
  </w:num>
  <w:num w:numId="26">
    <w:abstractNumId w:val="4"/>
  </w:num>
  <w:num w:numId="27">
    <w:abstractNumId w:val="18"/>
  </w:num>
  <w:num w:numId="28">
    <w:abstractNumId w:val="1"/>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AFA"/>
    <w:rsid w:val="00004C6A"/>
    <w:rsid w:val="00012D11"/>
    <w:rsid w:val="00013607"/>
    <w:rsid w:val="00013EB5"/>
    <w:rsid w:val="000141F5"/>
    <w:rsid w:val="00015966"/>
    <w:rsid w:val="00015E07"/>
    <w:rsid w:val="00016F37"/>
    <w:rsid w:val="00017D97"/>
    <w:rsid w:val="00017E88"/>
    <w:rsid w:val="0002108E"/>
    <w:rsid w:val="00022002"/>
    <w:rsid w:val="00022CE8"/>
    <w:rsid w:val="00023836"/>
    <w:rsid w:val="000266AB"/>
    <w:rsid w:val="000356A9"/>
    <w:rsid w:val="00044138"/>
    <w:rsid w:val="00044739"/>
    <w:rsid w:val="00051637"/>
    <w:rsid w:val="00056681"/>
    <w:rsid w:val="000639B6"/>
    <w:rsid w:val="000648A7"/>
    <w:rsid w:val="0006618B"/>
    <w:rsid w:val="000670C0"/>
    <w:rsid w:val="000673A1"/>
    <w:rsid w:val="00071B99"/>
    <w:rsid w:val="000756E5"/>
    <w:rsid w:val="0007704E"/>
    <w:rsid w:val="00080EC8"/>
    <w:rsid w:val="0008262C"/>
    <w:rsid w:val="00086FC8"/>
    <w:rsid w:val="00092704"/>
    <w:rsid w:val="000944AC"/>
    <w:rsid w:val="00094CB9"/>
    <w:rsid w:val="000956B2"/>
    <w:rsid w:val="000969E7"/>
    <w:rsid w:val="000A1340"/>
    <w:rsid w:val="000A23DE"/>
    <w:rsid w:val="000A4020"/>
    <w:rsid w:val="000A53EA"/>
    <w:rsid w:val="000B3E3C"/>
    <w:rsid w:val="000B4DE5"/>
    <w:rsid w:val="000B54FB"/>
    <w:rsid w:val="000B6D41"/>
    <w:rsid w:val="000C1BE7"/>
    <w:rsid w:val="000C29B0"/>
    <w:rsid w:val="000C6284"/>
    <w:rsid w:val="000C75EF"/>
    <w:rsid w:val="000C76FC"/>
    <w:rsid w:val="000D38FC"/>
    <w:rsid w:val="000D4163"/>
    <w:rsid w:val="000D4D90"/>
    <w:rsid w:val="000E1480"/>
    <w:rsid w:val="000E2D10"/>
    <w:rsid w:val="000E3236"/>
    <w:rsid w:val="000E3ED7"/>
    <w:rsid w:val="000E6B8F"/>
    <w:rsid w:val="000F3204"/>
    <w:rsid w:val="000F48BD"/>
    <w:rsid w:val="001003AE"/>
    <w:rsid w:val="0010170A"/>
    <w:rsid w:val="0010548B"/>
    <w:rsid w:val="001072D1"/>
    <w:rsid w:val="00110D4A"/>
    <w:rsid w:val="00117017"/>
    <w:rsid w:val="00117FE6"/>
    <w:rsid w:val="00122E78"/>
    <w:rsid w:val="00124167"/>
    <w:rsid w:val="00125863"/>
    <w:rsid w:val="00127259"/>
    <w:rsid w:val="00130E8E"/>
    <w:rsid w:val="0013216E"/>
    <w:rsid w:val="0013520D"/>
    <w:rsid w:val="001401B5"/>
    <w:rsid w:val="001422B9"/>
    <w:rsid w:val="001438A1"/>
    <w:rsid w:val="001442DB"/>
    <w:rsid w:val="00144B34"/>
    <w:rsid w:val="00145310"/>
    <w:rsid w:val="0014665F"/>
    <w:rsid w:val="00153464"/>
    <w:rsid w:val="00153D28"/>
    <w:rsid w:val="001541B3"/>
    <w:rsid w:val="00155B15"/>
    <w:rsid w:val="00156E0A"/>
    <w:rsid w:val="00156FC6"/>
    <w:rsid w:val="00161EC3"/>
    <w:rsid w:val="001625BE"/>
    <w:rsid w:val="001643A4"/>
    <w:rsid w:val="00172703"/>
    <w:rsid w:val="001727BB"/>
    <w:rsid w:val="001771B5"/>
    <w:rsid w:val="00180AA6"/>
    <w:rsid w:val="00180D25"/>
    <w:rsid w:val="0018318D"/>
    <w:rsid w:val="00183B00"/>
    <w:rsid w:val="0018572C"/>
    <w:rsid w:val="00185D34"/>
    <w:rsid w:val="00187E79"/>
    <w:rsid w:val="00187F0D"/>
    <w:rsid w:val="00191099"/>
    <w:rsid w:val="00191BC1"/>
    <w:rsid w:val="00192CC5"/>
    <w:rsid w:val="00194AA4"/>
    <w:rsid w:val="001956A7"/>
    <w:rsid w:val="0019662C"/>
    <w:rsid w:val="001A0014"/>
    <w:rsid w:val="001A118A"/>
    <w:rsid w:val="001A27F4"/>
    <w:rsid w:val="001A2D95"/>
    <w:rsid w:val="001B3460"/>
    <w:rsid w:val="001B4AF6"/>
    <w:rsid w:val="001B4CA1"/>
    <w:rsid w:val="001B75D8"/>
    <w:rsid w:val="001B7CE7"/>
    <w:rsid w:val="001C1060"/>
    <w:rsid w:val="001C3C63"/>
    <w:rsid w:val="001C4E9F"/>
    <w:rsid w:val="001D038E"/>
    <w:rsid w:val="001D4732"/>
    <w:rsid w:val="001D503E"/>
    <w:rsid w:val="001D6999"/>
    <w:rsid w:val="001D6A3C"/>
    <w:rsid w:val="001D6D23"/>
    <w:rsid w:val="001D6D51"/>
    <w:rsid w:val="001E790F"/>
    <w:rsid w:val="001F32E7"/>
    <w:rsid w:val="001F653A"/>
    <w:rsid w:val="001F6979"/>
    <w:rsid w:val="001F6CCC"/>
    <w:rsid w:val="001F715A"/>
    <w:rsid w:val="00202BC6"/>
    <w:rsid w:val="00205141"/>
    <w:rsid w:val="0020516B"/>
    <w:rsid w:val="00213559"/>
    <w:rsid w:val="00213EFD"/>
    <w:rsid w:val="002172F1"/>
    <w:rsid w:val="00222F94"/>
    <w:rsid w:val="002230F3"/>
    <w:rsid w:val="00223113"/>
    <w:rsid w:val="0022331B"/>
    <w:rsid w:val="00223C7B"/>
    <w:rsid w:val="00224AB1"/>
    <w:rsid w:val="0022687A"/>
    <w:rsid w:val="00230728"/>
    <w:rsid w:val="0023280D"/>
    <w:rsid w:val="00234040"/>
    <w:rsid w:val="002350C0"/>
    <w:rsid w:val="002357C5"/>
    <w:rsid w:val="00235CD2"/>
    <w:rsid w:val="00240241"/>
    <w:rsid w:val="00241CB9"/>
    <w:rsid w:val="00243055"/>
    <w:rsid w:val="00246DF8"/>
    <w:rsid w:val="00246E84"/>
    <w:rsid w:val="00254DED"/>
    <w:rsid w:val="00255619"/>
    <w:rsid w:val="00255DAD"/>
    <w:rsid w:val="00256108"/>
    <w:rsid w:val="00260F33"/>
    <w:rsid w:val="002613BD"/>
    <w:rsid w:val="002624F1"/>
    <w:rsid w:val="00266458"/>
    <w:rsid w:val="00266C76"/>
    <w:rsid w:val="00270C81"/>
    <w:rsid w:val="00271558"/>
    <w:rsid w:val="002745E1"/>
    <w:rsid w:val="00274862"/>
    <w:rsid w:val="00281CFC"/>
    <w:rsid w:val="00282D72"/>
    <w:rsid w:val="00283402"/>
    <w:rsid w:val="002837B5"/>
    <w:rsid w:val="00284863"/>
    <w:rsid w:val="00290FD6"/>
    <w:rsid w:val="002932AC"/>
    <w:rsid w:val="00294259"/>
    <w:rsid w:val="00296CE4"/>
    <w:rsid w:val="002A2C81"/>
    <w:rsid w:val="002A5448"/>
    <w:rsid w:val="002A5FC6"/>
    <w:rsid w:val="002A7430"/>
    <w:rsid w:val="002B3D1A"/>
    <w:rsid w:val="002C27D0"/>
    <w:rsid w:val="002C2C9B"/>
    <w:rsid w:val="002D17D6"/>
    <w:rsid w:val="002D18D7"/>
    <w:rsid w:val="002D21CE"/>
    <w:rsid w:val="002D3A3B"/>
    <w:rsid w:val="002E01B4"/>
    <w:rsid w:val="002E05FB"/>
    <w:rsid w:val="002E3DA3"/>
    <w:rsid w:val="002E4033"/>
    <w:rsid w:val="002E450F"/>
    <w:rsid w:val="002E6B38"/>
    <w:rsid w:val="002E6D63"/>
    <w:rsid w:val="002E6E2B"/>
    <w:rsid w:val="002F267B"/>
    <w:rsid w:val="002F3CC2"/>
    <w:rsid w:val="002F500B"/>
    <w:rsid w:val="002F5A07"/>
    <w:rsid w:val="002F6037"/>
    <w:rsid w:val="00300991"/>
    <w:rsid w:val="00301959"/>
    <w:rsid w:val="00304311"/>
    <w:rsid w:val="00305B8A"/>
    <w:rsid w:val="003114D5"/>
    <w:rsid w:val="00320A4E"/>
    <w:rsid w:val="00321212"/>
    <w:rsid w:val="003256DF"/>
    <w:rsid w:val="00331007"/>
    <w:rsid w:val="0033161F"/>
    <w:rsid w:val="00331BF9"/>
    <w:rsid w:val="003347B9"/>
    <w:rsid w:val="0033495E"/>
    <w:rsid w:val="00334A79"/>
    <w:rsid w:val="00334D8D"/>
    <w:rsid w:val="00337345"/>
    <w:rsid w:val="00337DD2"/>
    <w:rsid w:val="003404D1"/>
    <w:rsid w:val="00340FFE"/>
    <w:rsid w:val="00343DD2"/>
    <w:rsid w:val="003443FF"/>
    <w:rsid w:val="00353B32"/>
    <w:rsid w:val="00355808"/>
    <w:rsid w:val="00357219"/>
    <w:rsid w:val="00357337"/>
    <w:rsid w:val="0035773E"/>
    <w:rsid w:val="00362C7E"/>
    <w:rsid w:val="00363309"/>
    <w:rsid w:val="00363601"/>
    <w:rsid w:val="003676D9"/>
    <w:rsid w:val="00371B65"/>
    <w:rsid w:val="003726A8"/>
    <w:rsid w:val="00374E00"/>
    <w:rsid w:val="0037538F"/>
    <w:rsid w:val="00376AC9"/>
    <w:rsid w:val="0039071C"/>
    <w:rsid w:val="00393032"/>
    <w:rsid w:val="00394B69"/>
    <w:rsid w:val="00394E5E"/>
    <w:rsid w:val="00397078"/>
    <w:rsid w:val="003A6151"/>
    <w:rsid w:val="003A6953"/>
    <w:rsid w:val="003B6083"/>
    <w:rsid w:val="003B60A7"/>
    <w:rsid w:val="003C0A7E"/>
    <w:rsid w:val="003C2F29"/>
    <w:rsid w:val="003C3838"/>
    <w:rsid w:val="003C5847"/>
    <w:rsid w:val="003C5F4D"/>
    <w:rsid w:val="003D0681"/>
    <w:rsid w:val="003D12F6"/>
    <w:rsid w:val="003D1426"/>
    <w:rsid w:val="003D7C5B"/>
    <w:rsid w:val="003E2F4E"/>
    <w:rsid w:val="003E720A"/>
    <w:rsid w:val="003E7F4E"/>
    <w:rsid w:val="003F4084"/>
    <w:rsid w:val="00403E6E"/>
    <w:rsid w:val="00406602"/>
    <w:rsid w:val="004100AD"/>
    <w:rsid w:val="004129B4"/>
    <w:rsid w:val="004142EB"/>
    <w:rsid w:val="004168BD"/>
    <w:rsid w:val="00417EF0"/>
    <w:rsid w:val="0042007F"/>
    <w:rsid w:val="00420CFD"/>
    <w:rsid w:val="0042157A"/>
    <w:rsid w:val="00422181"/>
    <w:rsid w:val="004244A8"/>
    <w:rsid w:val="00424E5D"/>
    <w:rsid w:val="00425F72"/>
    <w:rsid w:val="00427736"/>
    <w:rsid w:val="00430586"/>
    <w:rsid w:val="00432868"/>
    <w:rsid w:val="004338B9"/>
    <w:rsid w:val="004363BC"/>
    <w:rsid w:val="00441787"/>
    <w:rsid w:val="00444507"/>
    <w:rsid w:val="00444F2D"/>
    <w:rsid w:val="00452034"/>
    <w:rsid w:val="00455FA6"/>
    <w:rsid w:val="00463704"/>
    <w:rsid w:val="00465123"/>
    <w:rsid w:val="00466C70"/>
    <w:rsid w:val="004702C9"/>
    <w:rsid w:val="004716F4"/>
    <w:rsid w:val="00472E45"/>
    <w:rsid w:val="00473E5F"/>
    <w:rsid w:val="00473FEA"/>
    <w:rsid w:val="0047579D"/>
    <w:rsid w:val="0047785D"/>
    <w:rsid w:val="00482D5E"/>
    <w:rsid w:val="00483262"/>
    <w:rsid w:val="00484107"/>
    <w:rsid w:val="00485CC5"/>
    <w:rsid w:val="0049343F"/>
    <w:rsid w:val="004964FC"/>
    <w:rsid w:val="004967D1"/>
    <w:rsid w:val="00497D3D"/>
    <w:rsid w:val="004A145E"/>
    <w:rsid w:val="004A1F15"/>
    <w:rsid w:val="004A293C"/>
    <w:rsid w:val="004A2A81"/>
    <w:rsid w:val="004A7BD7"/>
    <w:rsid w:val="004B053B"/>
    <w:rsid w:val="004B0F13"/>
    <w:rsid w:val="004B1660"/>
    <w:rsid w:val="004C0A58"/>
    <w:rsid w:val="004C15C2"/>
    <w:rsid w:val="004C1AF7"/>
    <w:rsid w:val="004C36D8"/>
    <w:rsid w:val="004D1248"/>
    <w:rsid w:val="004D1E3C"/>
    <w:rsid w:val="004D4169"/>
    <w:rsid w:val="004D58F9"/>
    <w:rsid w:val="004D6E14"/>
    <w:rsid w:val="004D71BB"/>
    <w:rsid w:val="004E02D8"/>
    <w:rsid w:val="004E477D"/>
    <w:rsid w:val="004F4E17"/>
    <w:rsid w:val="004F5008"/>
    <w:rsid w:val="004F7F6D"/>
    <w:rsid w:val="0050082F"/>
    <w:rsid w:val="00500C56"/>
    <w:rsid w:val="005010D4"/>
    <w:rsid w:val="00501713"/>
    <w:rsid w:val="00506568"/>
    <w:rsid w:val="005068F4"/>
    <w:rsid w:val="005128E4"/>
    <w:rsid w:val="0051551B"/>
    <w:rsid w:val="00520C57"/>
    <w:rsid w:val="00522D94"/>
    <w:rsid w:val="00525687"/>
    <w:rsid w:val="00526D76"/>
    <w:rsid w:val="00530C19"/>
    <w:rsid w:val="00533479"/>
    <w:rsid w:val="00533D89"/>
    <w:rsid w:val="00536564"/>
    <w:rsid w:val="00543CEE"/>
    <w:rsid w:val="00544597"/>
    <w:rsid w:val="00544FFE"/>
    <w:rsid w:val="005466EE"/>
    <w:rsid w:val="005473F5"/>
    <w:rsid w:val="005477E7"/>
    <w:rsid w:val="00552794"/>
    <w:rsid w:val="00553B01"/>
    <w:rsid w:val="00556E32"/>
    <w:rsid w:val="005622F5"/>
    <w:rsid w:val="00563199"/>
    <w:rsid w:val="00564874"/>
    <w:rsid w:val="00566A66"/>
    <w:rsid w:val="00567963"/>
    <w:rsid w:val="0057009A"/>
    <w:rsid w:val="00571260"/>
    <w:rsid w:val="0057189C"/>
    <w:rsid w:val="00572643"/>
    <w:rsid w:val="00573425"/>
    <w:rsid w:val="00573FC1"/>
    <w:rsid w:val="005741EE"/>
    <w:rsid w:val="0057668E"/>
    <w:rsid w:val="00576C33"/>
    <w:rsid w:val="00582FE2"/>
    <w:rsid w:val="00586A4E"/>
    <w:rsid w:val="005876B7"/>
    <w:rsid w:val="00594654"/>
    <w:rsid w:val="00595E83"/>
    <w:rsid w:val="00596530"/>
    <w:rsid w:val="005967F3"/>
    <w:rsid w:val="005A06DF"/>
    <w:rsid w:val="005A4AE7"/>
    <w:rsid w:val="005A5527"/>
    <w:rsid w:val="005A5AE6"/>
    <w:rsid w:val="005A72BE"/>
    <w:rsid w:val="005B01D3"/>
    <w:rsid w:val="005B1206"/>
    <w:rsid w:val="005B37E8"/>
    <w:rsid w:val="005B3C83"/>
    <w:rsid w:val="005C0056"/>
    <w:rsid w:val="005C1C61"/>
    <w:rsid w:val="005C374B"/>
    <w:rsid w:val="005C4779"/>
    <w:rsid w:val="005D61D6"/>
    <w:rsid w:val="005E0340"/>
    <w:rsid w:val="005E0D13"/>
    <w:rsid w:val="005E3FAF"/>
    <w:rsid w:val="005E5047"/>
    <w:rsid w:val="005E5981"/>
    <w:rsid w:val="005E717D"/>
    <w:rsid w:val="005E7205"/>
    <w:rsid w:val="005E7371"/>
    <w:rsid w:val="005F116C"/>
    <w:rsid w:val="005F1222"/>
    <w:rsid w:val="005F2131"/>
    <w:rsid w:val="005F616B"/>
    <w:rsid w:val="005F75CF"/>
    <w:rsid w:val="00605EF6"/>
    <w:rsid w:val="00606455"/>
    <w:rsid w:val="00611C1F"/>
    <w:rsid w:val="00612170"/>
    <w:rsid w:val="00613B19"/>
    <w:rsid w:val="00614929"/>
    <w:rsid w:val="00614B44"/>
    <w:rsid w:val="00616511"/>
    <w:rsid w:val="006176ED"/>
    <w:rsid w:val="006202F3"/>
    <w:rsid w:val="0062097A"/>
    <w:rsid w:val="00621DA6"/>
    <w:rsid w:val="00623CFE"/>
    <w:rsid w:val="0062440A"/>
    <w:rsid w:val="00624FC0"/>
    <w:rsid w:val="00626BE0"/>
    <w:rsid w:val="00627163"/>
    <w:rsid w:val="00627221"/>
    <w:rsid w:val="00627EE8"/>
    <w:rsid w:val="006316FA"/>
    <w:rsid w:val="006370D2"/>
    <w:rsid w:val="006372B5"/>
    <w:rsid w:val="0064074F"/>
    <w:rsid w:val="00641F55"/>
    <w:rsid w:val="00643932"/>
    <w:rsid w:val="00644AFD"/>
    <w:rsid w:val="00645E4A"/>
    <w:rsid w:val="00653688"/>
    <w:rsid w:val="00656BCD"/>
    <w:rsid w:val="00657148"/>
    <w:rsid w:val="0066091B"/>
    <w:rsid w:val="00660FF6"/>
    <w:rsid w:val="006660E9"/>
    <w:rsid w:val="00667249"/>
    <w:rsid w:val="00667558"/>
    <w:rsid w:val="00671523"/>
    <w:rsid w:val="0067349E"/>
    <w:rsid w:val="006751B5"/>
    <w:rsid w:val="006754EF"/>
    <w:rsid w:val="00676C8D"/>
    <w:rsid w:val="00676F1F"/>
    <w:rsid w:val="00677381"/>
    <w:rsid w:val="00677414"/>
    <w:rsid w:val="006832CF"/>
    <w:rsid w:val="00683A21"/>
    <w:rsid w:val="0068521C"/>
    <w:rsid w:val="0068601E"/>
    <w:rsid w:val="0069486B"/>
    <w:rsid w:val="00697E59"/>
    <w:rsid w:val="006A0CB6"/>
    <w:rsid w:val="006A1B41"/>
    <w:rsid w:val="006A4904"/>
    <w:rsid w:val="006A548F"/>
    <w:rsid w:val="006A6744"/>
    <w:rsid w:val="006A701A"/>
    <w:rsid w:val="006A7631"/>
    <w:rsid w:val="006A7635"/>
    <w:rsid w:val="006B64DC"/>
    <w:rsid w:val="006B7A91"/>
    <w:rsid w:val="006C6A97"/>
    <w:rsid w:val="006D1740"/>
    <w:rsid w:val="006D4704"/>
    <w:rsid w:val="006D6A2D"/>
    <w:rsid w:val="006E0A45"/>
    <w:rsid w:val="006E11E6"/>
    <w:rsid w:val="006E1E18"/>
    <w:rsid w:val="006E2258"/>
    <w:rsid w:val="006E31CE"/>
    <w:rsid w:val="006E34D3"/>
    <w:rsid w:val="006E61FD"/>
    <w:rsid w:val="006F1435"/>
    <w:rsid w:val="006F42A8"/>
    <w:rsid w:val="006F78C4"/>
    <w:rsid w:val="007031A0"/>
    <w:rsid w:val="00703F77"/>
    <w:rsid w:val="00705A29"/>
    <w:rsid w:val="00707498"/>
    <w:rsid w:val="00711A65"/>
    <w:rsid w:val="00711D08"/>
    <w:rsid w:val="00714133"/>
    <w:rsid w:val="00714DA4"/>
    <w:rsid w:val="007158B2"/>
    <w:rsid w:val="00716081"/>
    <w:rsid w:val="007170E5"/>
    <w:rsid w:val="00722B48"/>
    <w:rsid w:val="00724164"/>
    <w:rsid w:val="00725DE7"/>
    <w:rsid w:val="00725FE8"/>
    <w:rsid w:val="0072636A"/>
    <w:rsid w:val="00726B44"/>
    <w:rsid w:val="007273AF"/>
    <w:rsid w:val="007318DD"/>
    <w:rsid w:val="007329C7"/>
    <w:rsid w:val="00733167"/>
    <w:rsid w:val="00740D2C"/>
    <w:rsid w:val="00742CA6"/>
    <w:rsid w:val="00744BF9"/>
    <w:rsid w:val="00746901"/>
    <w:rsid w:val="00751DE8"/>
    <w:rsid w:val="00752623"/>
    <w:rsid w:val="007560C7"/>
    <w:rsid w:val="00760F1F"/>
    <w:rsid w:val="00762BB7"/>
    <w:rsid w:val="0076423E"/>
    <w:rsid w:val="007646CB"/>
    <w:rsid w:val="0076658F"/>
    <w:rsid w:val="00767426"/>
    <w:rsid w:val="0077040A"/>
    <w:rsid w:val="00772D64"/>
    <w:rsid w:val="00773941"/>
    <w:rsid w:val="0077627C"/>
    <w:rsid w:val="00781B42"/>
    <w:rsid w:val="00786F1E"/>
    <w:rsid w:val="00790DB9"/>
    <w:rsid w:val="00791221"/>
    <w:rsid w:val="007919FF"/>
    <w:rsid w:val="00792609"/>
    <w:rsid w:val="00792887"/>
    <w:rsid w:val="00792A1B"/>
    <w:rsid w:val="0079348E"/>
    <w:rsid w:val="007943E2"/>
    <w:rsid w:val="00794F2C"/>
    <w:rsid w:val="007973ED"/>
    <w:rsid w:val="007A020A"/>
    <w:rsid w:val="007A1125"/>
    <w:rsid w:val="007A3BC7"/>
    <w:rsid w:val="007A449D"/>
    <w:rsid w:val="007A5AC4"/>
    <w:rsid w:val="007A6984"/>
    <w:rsid w:val="007A73AC"/>
    <w:rsid w:val="007B0FDD"/>
    <w:rsid w:val="007B30D2"/>
    <w:rsid w:val="007B4802"/>
    <w:rsid w:val="007B6668"/>
    <w:rsid w:val="007B6B33"/>
    <w:rsid w:val="007B70F4"/>
    <w:rsid w:val="007C16D3"/>
    <w:rsid w:val="007C2701"/>
    <w:rsid w:val="007C2C07"/>
    <w:rsid w:val="007C52F2"/>
    <w:rsid w:val="007D0D59"/>
    <w:rsid w:val="007D18D1"/>
    <w:rsid w:val="007D2192"/>
    <w:rsid w:val="007D658A"/>
    <w:rsid w:val="007D68F9"/>
    <w:rsid w:val="007E2047"/>
    <w:rsid w:val="007E346C"/>
    <w:rsid w:val="007F0021"/>
    <w:rsid w:val="007F2F52"/>
    <w:rsid w:val="007F6F4C"/>
    <w:rsid w:val="00801F71"/>
    <w:rsid w:val="0080269E"/>
    <w:rsid w:val="00805F28"/>
    <w:rsid w:val="0080749F"/>
    <w:rsid w:val="00811D46"/>
    <w:rsid w:val="008125B0"/>
    <w:rsid w:val="00813667"/>
    <w:rsid w:val="008144CB"/>
    <w:rsid w:val="00821717"/>
    <w:rsid w:val="00824210"/>
    <w:rsid w:val="008263C0"/>
    <w:rsid w:val="00827522"/>
    <w:rsid w:val="00837F3B"/>
    <w:rsid w:val="00841422"/>
    <w:rsid w:val="00841D3B"/>
    <w:rsid w:val="0084314C"/>
    <w:rsid w:val="00843171"/>
    <w:rsid w:val="00847B99"/>
    <w:rsid w:val="00851D0B"/>
    <w:rsid w:val="008575C3"/>
    <w:rsid w:val="00863D28"/>
    <w:rsid w:val="008648C3"/>
    <w:rsid w:val="00880F26"/>
    <w:rsid w:val="00883134"/>
    <w:rsid w:val="00887F48"/>
    <w:rsid w:val="00892591"/>
    <w:rsid w:val="00894944"/>
    <w:rsid w:val="00896C2E"/>
    <w:rsid w:val="008A408B"/>
    <w:rsid w:val="008A5095"/>
    <w:rsid w:val="008A608F"/>
    <w:rsid w:val="008A6A24"/>
    <w:rsid w:val="008A6D56"/>
    <w:rsid w:val="008B0DE9"/>
    <w:rsid w:val="008B1A9A"/>
    <w:rsid w:val="008B4FE6"/>
    <w:rsid w:val="008B5F63"/>
    <w:rsid w:val="008B65FE"/>
    <w:rsid w:val="008B6C37"/>
    <w:rsid w:val="008C3CEE"/>
    <w:rsid w:val="008C7922"/>
    <w:rsid w:val="008D03A4"/>
    <w:rsid w:val="008E0A33"/>
    <w:rsid w:val="008E18F7"/>
    <w:rsid w:val="008E1E10"/>
    <w:rsid w:val="008E212C"/>
    <w:rsid w:val="008E23BF"/>
    <w:rsid w:val="008E291B"/>
    <w:rsid w:val="008E4F2F"/>
    <w:rsid w:val="008E60F5"/>
    <w:rsid w:val="008E74B0"/>
    <w:rsid w:val="008F7757"/>
    <w:rsid w:val="008F7DE7"/>
    <w:rsid w:val="009004F8"/>
    <w:rsid w:val="009008A8"/>
    <w:rsid w:val="00900930"/>
    <w:rsid w:val="00905AA0"/>
    <w:rsid w:val="009063B0"/>
    <w:rsid w:val="00907106"/>
    <w:rsid w:val="009107FD"/>
    <w:rsid w:val="0091137C"/>
    <w:rsid w:val="00911567"/>
    <w:rsid w:val="00911907"/>
    <w:rsid w:val="00911F52"/>
    <w:rsid w:val="00913EA2"/>
    <w:rsid w:val="00914FD7"/>
    <w:rsid w:val="00917AAE"/>
    <w:rsid w:val="00920A05"/>
    <w:rsid w:val="00920CA0"/>
    <w:rsid w:val="00924BFF"/>
    <w:rsid w:val="009251A9"/>
    <w:rsid w:val="009301FB"/>
    <w:rsid w:val="00930699"/>
    <w:rsid w:val="00931F69"/>
    <w:rsid w:val="00932306"/>
    <w:rsid w:val="00934035"/>
    <w:rsid w:val="00934123"/>
    <w:rsid w:val="0093456B"/>
    <w:rsid w:val="009412FC"/>
    <w:rsid w:val="0094236F"/>
    <w:rsid w:val="00945124"/>
    <w:rsid w:val="00945179"/>
    <w:rsid w:val="00950CA7"/>
    <w:rsid w:val="00955774"/>
    <w:rsid w:val="0095600B"/>
    <w:rsid w:val="009560B5"/>
    <w:rsid w:val="00956104"/>
    <w:rsid w:val="0095700F"/>
    <w:rsid w:val="00957EE5"/>
    <w:rsid w:val="00962E83"/>
    <w:rsid w:val="0096446A"/>
    <w:rsid w:val="00966570"/>
    <w:rsid w:val="009703D6"/>
    <w:rsid w:val="00970DEA"/>
    <w:rsid w:val="0097181B"/>
    <w:rsid w:val="00976DC5"/>
    <w:rsid w:val="009777F7"/>
    <w:rsid w:val="009818C7"/>
    <w:rsid w:val="00982DD4"/>
    <w:rsid w:val="009841E5"/>
    <w:rsid w:val="0098479F"/>
    <w:rsid w:val="00984A8A"/>
    <w:rsid w:val="009857B6"/>
    <w:rsid w:val="00985A8D"/>
    <w:rsid w:val="00986610"/>
    <w:rsid w:val="009877DC"/>
    <w:rsid w:val="00987D72"/>
    <w:rsid w:val="00991F96"/>
    <w:rsid w:val="00993215"/>
    <w:rsid w:val="009949ED"/>
    <w:rsid w:val="00996F0A"/>
    <w:rsid w:val="009A1D86"/>
    <w:rsid w:val="009A77E2"/>
    <w:rsid w:val="009B0159"/>
    <w:rsid w:val="009B049C"/>
    <w:rsid w:val="009B11C8"/>
    <w:rsid w:val="009B140E"/>
    <w:rsid w:val="009B2BCF"/>
    <w:rsid w:val="009B2FF8"/>
    <w:rsid w:val="009B5BA3"/>
    <w:rsid w:val="009B6CB1"/>
    <w:rsid w:val="009C0373"/>
    <w:rsid w:val="009D0027"/>
    <w:rsid w:val="009D0655"/>
    <w:rsid w:val="009D2BAE"/>
    <w:rsid w:val="009D5D76"/>
    <w:rsid w:val="009E1C69"/>
    <w:rsid w:val="009E1E98"/>
    <w:rsid w:val="009E3ABE"/>
    <w:rsid w:val="009E3C4B"/>
    <w:rsid w:val="009E3E50"/>
    <w:rsid w:val="009F0637"/>
    <w:rsid w:val="009F310E"/>
    <w:rsid w:val="009F408E"/>
    <w:rsid w:val="009F500A"/>
    <w:rsid w:val="009F62A6"/>
    <w:rsid w:val="009F66D1"/>
    <w:rsid w:val="009F674F"/>
    <w:rsid w:val="009F799E"/>
    <w:rsid w:val="009F7F25"/>
    <w:rsid w:val="00A02020"/>
    <w:rsid w:val="00A02DEB"/>
    <w:rsid w:val="00A056CB"/>
    <w:rsid w:val="00A07699"/>
    <w:rsid w:val="00A0791A"/>
    <w:rsid w:val="00A07A29"/>
    <w:rsid w:val="00A10FF1"/>
    <w:rsid w:val="00A14B7B"/>
    <w:rsid w:val="00A1506B"/>
    <w:rsid w:val="00A17CB2"/>
    <w:rsid w:val="00A22779"/>
    <w:rsid w:val="00A23191"/>
    <w:rsid w:val="00A25BBB"/>
    <w:rsid w:val="00A319C0"/>
    <w:rsid w:val="00A33560"/>
    <w:rsid w:val="00A35429"/>
    <w:rsid w:val="00A364E4"/>
    <w:rsid w:val="00A371A5"/>
    <w:rsid w:val="00A42680"/>
    <w:rsid w:val="00A460B2"/>
    <w:rsid w:val="00A473AF"/>
    <w:rsid w:val="00A47BDF"/>
    <w:rsid w:val="00A51CD7"/>
    <w:rsid w:val="00A52002"/>
    <w:rsid w:val="00A52ADB"/>
    <w:rsid w:val="00A533E8"/>
    <w:rsid w:val="00A542D9"/>
    <w:rsid w:val="00A56E64"/>
    <w:rsid w:val="00A57047"/>
    <w:rsid w:val="00A6227C"/>
    <w:rsid w:val="00A624C3"/>
    <w:rsid w:val="00A6641C"/>
    <w:rsid w:val="00A702DE"/>
    <w:rsid w:val="00A7360E"/>
    <w:rsid w:val="00A767D2"/>
    <w:rsid w:val="00A77616"/>
    <w:rsid w:val="00A805DA"/>
    <w:rsid w:val="00A811B4"/>
    <w:rsid w:val="00A84B81"/>
    <w:rsid w:val="00A872E3"/>
    <w:rsid w:val="00A874E8"/>
    <w:rsid w:val="00A87762"/>
    <w:rsid w:val="00A87CDE"/>
    <w:rsid w:val="00A91CED"/>
    <w:rsid w:val="00A91F02"/>
    <w:rsid w:val="00A92BAF"/>
    <w:rsid w:val="00A94737"/>
    <w:rsid w:val="00A94BA3"/>
    <w:rsid w:val="00A960C8"/>
    <w:rsid w:val="00A96B46"/>
    <w:rsid w:val="00A96CBA"/>
    <w:rsid w:val="00AA6A60"/>
    <w:rsid w:val="00AB1518"/>
    <w:rsid w:val="00AB1ACD"/>
    <w:rsid w:val="00AB1C62"/>
    <w:rsid w:val="00AB277F"/>
    <w:rsid w:val="00AB3025"/>
    <w:rsid w:val="00AB4099"/>
    <w:rsid w:val="00AB449A"/>
    <w:rsid w:val="00AB54E5"/>
    <w:rsid w:val="00AB75E9"/>
    <w:rsid w:val="00AC0374"/>
    <w:rsid w:val="00AC18C1"/>
    <w:rsid w:val="00AC24FC"/>
    <w:rsid w:val="00AC318F"/>
    <w:rsid w:val="00AC5D21"/>
    <w:rsid w:val="00AC75F9"/>
    <w:rsid w:val="00AD14F9"/>
    <w:rsid w:val="00AD35D6"/>
    <w:rsid w:val="00AD48D1"/>
    <w:rsid w:val="00AD58C5"/>
    <w:rsid w:val="00AD78E3"/>
    <w:rsid w:val="00AE36C4"/>
    <w:rsid w:val="00AE470B"/>
    <w:rsid w:val="00AE472C"/>
    <w:rsid w:val="00AE5375"/>
    <w:rsid w:val="00AE6CF8"/>
    <w:rsid w:val="00AE7739"/>
    <w:rsid w:val="00AE7A13"/>
    <w:rsid w:val="00AE7D4A"/>
    <w:rsid w:val="00AF0099"/>
    <w:rsid w:val="00AF212D"/>
    <w:rsid w:val="00AF4CAC"/>
    <w:rsid w:val="00AF5B23"/>
    <w:rsid w:val="00B01473"/>
    <w:rsid w:val="00B03E0D"/>
    <w:rsid w:val="00B04D1F"/>
    <w:rsid w:val="00B054F8"/>
    <w:rsid w:val="00B05869"/>
    <w:rsid w:val="00B07E52"/>
    <w:rsid w:val="00B16458"/>
    <w:rsid w:val="00B16785"/>
    <w:rsid w:val="00B2219A"/>
    <w:rsid w:val="00B22D18"/>
    <w:rsid w:val="00B237F2"/>
    <w:rsid w:val="00B264EE"/>
    <w:rsid w:val="00B3581B"/>
    <w:rsid w:val="00B36B81"/>
    <w:rsid w:val="00B36FE4"/>
    <w:rsid w:val="00B36FEE"/>
    <w:rsid w:val="00B37C80"/>
    <w:rsid w:val="00B44A19"/>
    <w:rsid w:val="00B46E8B"/>
    <w:rsid w:val="00B47BAE"/>
    <w:rsid w:val="00B5092B"/>
    <w:rsid w:val="00B5194E"/>
    <w:rsid w:val="00B51968"/>
    <w:rsid w:val="00B51AF5"/>
    <w:rsid w:val="00B531FC"/>
    <w:rsid w:val="00B55347"/>
    <w:rsid w:val="00B55EE3"/>
    <w:rsid w:val="00B57E5E"/>
    <w:rsid w:val="00B60221"/>
    <w:rsid w:val="00B61F37"/>
    <w:rsid w:val="00B62935"/>
    <w:rsid w:val="00B62FEB"/>
    <w:rsid w:val="00B6433D"/>
    <w:rsid w:val="00B67045"/>
    <w:rsid w:val="00B70F7D"/>
    <w:rsid w:val="00B72830"/>
    <w:rsid w:val="00B76377"/>
    <w:rsid w:val="00B7770F"/>
    <w:rsid w:val="00B77A89"/>
    <w:rsid w:val="00B77B27"/>
    <w:rsid w:val="00B77D5B"/>
    <w:rsid w:val="00B8134E"/>
    <w:rsid w:val="00B81B55"/>
    <w:rsid w:val="00B84095"/>
    <w:rsid w:val="00B84613"/>
    <w:rsid w:val="00B87AF0"/>
    <w:rsid w:val="00B9037B"/>
    <w:rsid w:val="00B910BD"/>
    <w:rsid w:val="00B93834"/>
    <w:rsid w:val="00B93BBA"/>
    <w:rsid w:val="00B94F0B"/>
    <w:rsid w:val="00B957A7"/>
    <w:rsid w:val="00B96469"/>
    <w:rsid w:val="00BA0DA2"/>
    <w:rsid w:val="00BA2981"/>
    <w:rsid w:val="00BA42EE"/>
    <w:rsid w:val="00BA48F9"/>
    <w:rsid w:val="00BA542A"/>
    <w:rsid w:val="00BA6BCE"/>
    <w:rsid w:val="00BB0DCA"/>
    <w:rsid w:val="00BB1404"/>
    <w:rsid w:val="00BB2666"/>
    <w:rsid w:val="00BB4874"/>
    <w:rsid w:val="00BB6B80"/>
    <w:rsid w:val="00BC3773"/>
    <w:rsid w:val="00BC381A"/>
    <w:rsid w:val="00BC3BF2"/>
    <w:rsid w:val="00BC665C"/>
    <w:rsid w:val="00BC6763"/>
    <w:rsid w:val="00BD044C"/>
    <w:rsid w:val="00BD0962"/>
    <w:rsid w:val="00BD1A7F"/>
    <w:rsid w:val="00BD1EED"/>
    <w:rsid w:val="00BD3F35"/>
    <w:rsid w:val="00BD66CB"/>
    <w:rsid w:val="00BD6A74"/>
    <w:rsid w:val="00BE2636"/>
    <w:rsid w:val="00BE389A"/>
    <w:rsid w:val="00BE5A0D"/>
    <w:rsid w:val="00BF0DA2"/>
    <w:rsid w:val="00BF109C"/>
    <w:rsid w:val="00BF2B48"/>
    <w:rsid w:val="00BF34FA"/>
    <w:rsid w:val="00C004B6"/>
    <w:rsid w:val="00C046A4"/>
    <w:rsid w:val="00C047A7"/>
    <w:rsid w:val="00C04964"/>
    <w:rsid w:val="00C04A6C"/>
    <w:rsid w:val="00C05DE5"/>
    <w:rsid w:val="00C069D9"/>
    <w:rsid w:val="00C127A7"/>
    <w:rsid w:val="00C16355"/>
    <w:rsid w:val="00C2021A"/>
    <w:rsid w:val="00C246FF"/>
    <w:rsid w:val="00C24F17"/>
    <w:rsid w:val="00C255FB"/>
    <w:rsid w:val="00C27BD1"/>
    <w:rsid w:val="00C30D93"/>
    <w:rsid w:val="00C33027"/>
    <w:rsid w:val="00C35C19"/>
    <w:rsid w:val="00C35C54"/>
    <w:rsid w:val="00C37667"/>
    <w:rsid w:val="00C435DB"/>
    <w:rsid w:val="00C44D73"/>
    <w:rsid w:val="00C44E40"/>
    <w:rsid w:val="00C50B42"/>
    <w:rsid w:val="00C516FF"/>
    <w:rsid w:val="00C52BFA"/>
    <w:rsid w:val="00C53D1D"/>
    <w:rsid w:val="00C53F26"/>
    <w:rsid w:val="00C540BC"/>
    <w:rsid w:val="00C545DC"/>
    <w:rsid w:val="00C620C4"/>
    <w:rsid w:val="00C64D7A"/>
    <w:rsid w:val="00C64F7D"/>
    <w:rsid w:val="00C671B6"/>
    <w:rsid w:val="00C67309"/>
    <w:rsid w:val="00C73355"/>
    <w:rsid w:val="00C74407"/>
    <w:rsid w:val="00C7614E"/>
    <w:rsid w:val="00C77BF1"/>
    <w:rsid w:val="00C77E3F"/>
    <w:rsid w:val="00C80D60"/>
    <w:rsid w:val="00C81E78"/>
    <w:rsid w:val="00C82FBD"/>
    <w:rsid w:val="00C84BBA"/>
    <w:rsid w:val="00C84F65"/>
    <w:rsid w:val="00C85267"/>
    <w:rsid w:val="00C8721B"/>
    <w:rsid w:val="00C87875"/>
    <w:rsid w:val="00C90F50"/>
    <w:rsid w:val="00C916F0"/>
    <w:rsid w:val="00C91CC6"/>
    <w:rsid w:val="00C9372C"/>
    <w:rsid w:val="00C9470E"/>
    <w:rsid w:val="00C95CEB"/>
    <w:rsid w:val="00CA1054"/>
    <w:rsid w:val="00CA63EB"/>
    <w:rsid w:val="00CA69F1"/>
    <w:rsid w:val="00CB5B25"/>
    <w:rsid w:val="00CB5ED5"/>
    <w:rsid w:val="00CB6991"/>
    <w:rsid w:val="00CB7263"/>
    <w:rsid w:val="00CC2329"/>
    <w:rsid w:val="00CC45D4"/>
    <w:rsid w:val="00CC6194"/>
    <w:rsid w:val="00CC6305"/>
    <w:rsid w:val="00CC78A5"/>
    <w:rsid w:val="00CD0516"/>
    <w:rsid w:val="00CD0FA2"/>
    <w:rsid w:val="00CD756B"/>
    <w:rsid w:val="00CD7600"/>
    <w:rsid w:val="00CE1543"/>
    <w:rsid w:val="00CE3E1A"/>
    <w:rsid w:val="00CE44F6"/>
    <w:rsid w:val="00CE734F"/>
    <w:rsid w:val="00CF112E"/>
    <w:rsid w:val="00CF5F4F"/>
    <w:rsid w:val="00D0002F"/>
    <w:rsid w:val="00D01BDA"/>
    <w:rsid w:val="00D01EEE"/>
    <w:rsid w:val="00D030CA"/>
    <w:rsid w:val="00D05E0E"/>
    <w:rsid w:val="00D06421"/>
    <w:rsid w:val="00D0784F"/>
    <w:rsid w:val="00D12FFD"/>
    <w:rsid w:val="00D218D3"/>
    <w:rsid w:val="00D218DC"/>
    <w:rsid w:val="00D23153"/>
    <w:rsid w:val="00D24E56"/>
    <w:rsid w:val="00D26F6A"/>
    <w:rsid w:val="00D2709F"/>
    <w:rsid w:val="00D27AD2"/>
    <w:rsid w:val="00D31643"/>
    <w:rsid w:val="00D31AEB"/>
    <w:rsid w:val="00D32ECD"/>
    <w:rsid w:val="00D361E4"/>
    <w:rsid w:val="00D42A8F"/>
    <w:rsid w:val="00D42E35"/>
    <w:rsid w:val="00D42F43"/>
    <w:rsid w:val="00D439F6"/>
    <w:rsid w:val="00D43A4A"/>
    <w:rsid w:val="00D459C6"/>
    <w:rsid w:val="00D50729"/>
    <w:rsid w:val="00D50C19"/>
    <w:rsid w:val="00D5379E"/>
    <w:rsid w:val="00D55CD0"/>
    <w:rsid w:val="00D62643"/>
    <w:rsid w:val="00D64C0F"/>
    <w:rsid w:val="00D64E0F"/>
    <w:rsid w:val="00D65825"/>
    <w:rsid w:val="00D66502"/>
    <w:rsid w:val="00D72E18"/>
    <w:rsid w:val="00D72EFE"/>
    <w:rsid w:val="00D751E6"/>
    <w:rsid w:val="00D76227"/>
    <w:rsid w:val="00D77198"/>
    <w:rsid w:val="00D77DF1"/>
    <w:rsid w:val="00D8640C"/>
    <w:rsid w:val="00D86AFF"/>
    <w:rsid w:val="00D8783D"/>
    <w:rsid w:val="00D91409"/>
    <w:rsid w:val="00D95A44"/>
    <w:rsid w:val="00D95D16"/>
    <w:rsid w:val="00D97C76"/>
    <w:rsid w:val="00DA1797"/>
    <w:rsid w:val="00DA7136"/>
    <w:rsid w:val="00DB02B4"/>
    <w:rsid w:val="00DB05EE"/>
    <w:rsid w:val="00DB0CB4"/>
    <w:rsid w:val="00DB538D"/>
    <w:rsid w:val="00DB72DF"/>
    <w:rsid w:val="00DC275C"/>
    <w:rsid w:val="00DC4B0D"/>
    <w:rsid w:val="00DC54E6"/>
    <w:rsid w:val="00DC7FE1"/>
    <w:rsid w:val="00DD2533"/>
    <w:rsid w:val="00DD3F3F"/>
    <w:rsid w:val="00DD5572"/>
    <w:rsid w:val="00DE0A42"/>
    <w:rsid w:val="00DE5D80"/>
    <w:rsid w:val="00DF06B3"/>
    <w:rsid w:val="00DF58CD"/>
    <w:rsid w:val="00DF65DE"/>
    <w:rsid w:val="00DF6E06"/>
    <w:rsid w:val="00DF7310"/>
    <w:rsid w:val="00DF7B39"/>
    <w:rsid w:val="00E00D33"/>
    <w:rsid w:val="00E019A5"/>
    <w:rsid w:val="00E01AE9"/>
    <w:rsid w:val="00E02683"/>
    <w:rsid w:val="00E02EC8"/>
    <w:rsid w:val="00E037F5"/>
    <w:rsid w:val="00E048A7"/>
    <w:rsid w:val="00E04ECB"/>
    <w:rsid w:val="00E05A09"/>
    <w:rsid w:val="00E067DD"/>
    <w:rsid w:val="00E06CA1"/>
    <w:rsid w:val="00E13EF6"/>
    <w:rsid w:val="00E15ED4"/>
    <w:rsid w:val="00E172B8"/>
    <w:rsid w:val="00E17FB4"/>
    <w:rsid w:val="00E20B75"/>
    <w:rsid w:val="00E214F2"/>
    <w:rsid w:val="00E2371E"/>
    <w:rsid w:val="00E24BD7"/>
    <w:rsid w:val="00E26523"/>
    <w:rsid w:val="00E26809"/>
    <w:rsid w:val="00E26851"/>
    <w:rsid w:val="00E26A1B"/>
    <w:rsid w:val="00E3412D"/>
    <w:rsid w:val="00E42419"/>
    <w:rsid w:val="00E44127"/>
    <w:rsid w:val="00E50D83"/>
    <w:rsid w:val="00E55B1C"/>
    <w:rsid w:val="00E57322"/>
    <w:rsid w:val="00E628CB"/>
    <w:rsid w:val="00E62AD9"/>
    <w:rsid w:val="00E638C8"/>
    <w:rsid w:val="00E715BD"/>
    <w:rsid w:val="00E7509B"/>
    <w:rsid w:val="00E75D29"/>
    <w:rsid w:val="00E80BAF"/>
    <w:rsid w:val="00E85C6F"/>
    <w:rsid w:val="00E85E2D"/>
    <w:rsid w:val="00E86590"/>
    <w:rsid w:val="00E907FF"/>
    <w:rsid w:val="00E95ABE"/>
    <w:rsid w:val="00EA0217"/>
    <w:rsid w:val="00EA0A8C"/>
    <w:rsid w:val="00EA2C65"/>
    <w:rsid w:val="00EA42D1"/>
    <w:rsid w:val="00EA42EF"/>
    <w:rsid w:val="00EA7390"/>
    <w:rsid w:val="00EA7631"/>
    <w:rsid w:val="00EB142F"/>
    <w:rsid w:val="00EB2D36"/>
    <w:rsid w:val="00EB2DD1"/>
    <w:rsid w:val="00EB3E6F"/>
    <w:rsid w:val="00EB3FAF"/>
    <w:rsid w:val="00EB6B37"/>
    <w:rsid w:val="00EC2763"/>
    <w:rsid w:val="00EC29FE"/>
    <w:rsid w:val="00EC3C70"/>
    <w:rsid w:val="00EC465F"/>
    <w:rsid w:val="00EC52CE"/>
    <w:rsid w:val="00ED08C0"/>
    <w:rsid w:val="00ED2861"/>
    <w:rsid w:val="00ED3A3D"/>
    <w:rsid w:val="00ED538A"/>
    <w:rsid w:val="00ED6FBC"/>
    <w:rsid w:val="00EE2F16"/>
    <w:rsid w:val="00EE3861"/>
    <w:rsid w:val="00EE3F71"/>
    <w:rsid w:val="00EE6A1B"/>
    <w:rsid w:val="00EF2E73"/>
    <w:rsid w:val="00EF63A3"/>
    <w:rsid w:val="00EF7683"/>
    <w:rsid w:val="00EF7A2D"/>
    <w:rsid w:val="00F02521"/>
    <w:rsid w:val="00F02889"/>
    <w:rsid w:val="00F04F8D"/>
    <w:rsid w:val="00F05DA3"/>
    <w:rsid w:val="00F10AD0"/>
    <w:rsid w:val="00F116CC"/>
    <w:rsid w:val="00F12BD1"/>
    <w:rsid w:val="00F15327"/>
    <w:rsid w:val="00F16191"/>
    <w:rsid w:val="00F168CF"/>
    <w:rsid w:val="00F2555C"/>
    <w:rsid w:val="00F31485"/>
    <w:rsid w:val="00F31DF3"/>
    <w:rsid w:val="00F33AE5"/>
    <w:rsid w:val="00F3597D"/>
    <w:rsid w:val="00F37EFF"/>
    <w:rsid w:val="00F4040E"/>
    <w:rsid w:val="00F411CE"/>
    <w:rsid w:val="00F4376D"/>
    <w:rsid w:val="00F43ADF"/>
    <w:rsid w:val="00F45399"/>
    <w:rsid w:val="00F465EA"/>
    <w:rsid w:val="00F53521"/>
    <w:rsid w:val="00F54E7B"/>
    <w:rsid w:val="00F55A88"/>
    <w:rsid w:val="00F57982"/>
    <w:rsid w:val="00F57E42"/>
    <w:rsid w:val="00F6509F"/>
    <w:rsid w:val="00F650CE"/>
    <w:rsid w:val="00F668E5"/>
    <w:rsid w:val="00F74005"/>
    <w:rsid w:val="00F759AB"/>
    <w:rsid w:val="00F75E8F"/>
    <w:rsid w:val="00F76884"/>
    <w:rsid w:val="00F82230"/>
    <w:rsid w:val="00F83D24"/>
    <w:rsid w:val="00F83DD9"/>
    <w:rsid w:val="00F83F40"/>
    <w:rsid w:val="00F90C1F"/>
    <w:rsid w:val="00F9368F"/>
    <w:rsid w:val="00F95EBD"/>
    <w:rsid w:val="00F975E2"/>
    <w:rsid w:val="00F979C2"/>
    <w:rsid w:val="00FA117A"/>
    <w:rsid w:val="00FA25E8"/>
    <w:rsid w:val="00FA2AC9"/>
    <w:rsid w:val="00FA2CBE"/>
    <w:rsid w:val="00FA4030"/>
    <w:rsid w:val="00FA5274"/>
    <w:rsid w:val="00FA6BC0"/>
    <w:rsid w:val="00FB386A"/>
    <w:rsid w:val="00FB4FE2"/>
    <w:rsid w:val="00FC0786"/>
    <w:rsid w:val="00FC0D58"/>
    <w:rsid w:val="00FC49EF"/>
    <w:rsid w:val="00FD09D0"/>
    <w:rsid w:val="00FD700C"/>
    <w:rsid w:val="00FE0DD1"/>
    <w:rsid w:val="00FE104C"/>
    <w:rsid w:val="00FE2E53"/>
    <w:rsid w:val="00FE36E2"/>
    <w:rsid w:val="00FF11AD"/>
    <w:rsid w:val="00FF2971"/>
    <w:rsid w:val="00FF34D4"/>
    <w:rsid w:val="00FF5943"/>
    <w:rsid w:val="00FF7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aliases w:val="OZNAKA OPOMBE,FZ,number,SUPERS,Footnote Reference Superscript,BVI fnr,Footnote symbol,Footnote,(Footnote Reference),Footnote reference number,note TESI,EN Footnote Reference,Voetnootverwijzing,Times 10 Point,Exposant 3 Point"/>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NIEARTTEKSTtekstnieartykuowanynppodstprawnarozplubpreambua">
    <w:name w:val="NIEART_TEKST – tekst nieartykułowany (np. podst. prawna rozp. lub preambuła)"/>
    <w:basedOn w:val="Normalny"/>
    <w:next w:val="Normalny"/>
    <w:uiPriority w:val="7"/>
    <w:qFormat/>
    <w:rsid w:val="00246DF8"/>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10170A"/>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Kkursywa">
    <w:name w:val="_K_ – kursywa"/>
    <w:uiPriority w:val="1"/>
    <w:qFormat/>
    <w:rsid w:val="0010170A"/>
    <w:rPr>
      <w:i/>
    </w:rPr>
  </w:style>
  <w:style w:type="character" w:customStyle="1" w:styleId="IGindeksgrny">
    <w:name w:val="_IG_ – indeks górny"/>
    <w:uiPriority w:val="2"/>
    <w:qFormat/>
    <w:rsid w:val="0010170A"/>
    <w:rPr>
      <w:b w:val="0"/>
      <w:i w:val="0"/>
      <w:vanish w:val="0"/>
      <w:spacing w:val="0"/>
      <w:vertAlign w:val="superscript"/>
    </w:rPr>
  </w:style>
  <w:style w:type="character" w:customStyle="1" w:styleId="IDindeksdolny">
    <w:name w:val="_ID_ – indeks dolny"/>
    <w:uiPriority w:val="3"/>
    <w:qFormat/>
    <w:rsid w:val="0010170A"/>
    <w:rPr>
      <w:b w:val="0"/>
      <w:i w:val="0"/>
      <w:vanish w:val="0"/>
      <w:spacing w:val="0"/>
      <w:vertAlign w:val="subscript"/>
    </w:rPr>
  </w:style>
  <w:style w:type="character" w:customStyle="1" w:styleId="Ppogrubienie">
    <w:name w:val="_P_ – pogrubienie"/>
    <w:uiPriority w:val="1"/>
    <w:qFormat/>
    <w:rsid w:val="00DB05EE"/>
    <w:rPr>
      <w:b/>
    </w:rPr>
  </w:style>
  <w:style w:type="character" w:customStyle="1" w:styleId="TEKSTOZNACZONYWDOKUMENCIERDOWYMJAKOUKRYTY">
    <w:name w:val="_TEKST_OZNACZONY_W_DOKUMENCIE_ŹRÓDŁOWYM_JAKO_UKRYTY_"/>
    <w:uiPriority w:val="4"/>
    <w:unhideWhenUsed/>
    <w:qFormat/>
    <w:rsid w:val="00DF7310"/>
    <w:rPr>
      <w:vanish w:val="0"/>
      <w:color w:val="FF0000"/>
      <w:u w:val="single" w:color="FF0000"/>
    </w:rPr>
  </w:style>
  <w:style w:type="paragraph" w:customStyle="1" w:styleId="TYTUAKTUprzedmiotregulacjiustawylubrozporzdzenia">
    <w:name w:val="TYTUŁ_AKTU – przedmiot regulacji ustawy lub rozporządzenia"/>
    <w:next w:val="ARTartustawynprozporzdzenia"/>
    <w:uiPriority w:val="3"/>
    <w:qFormat/>
    <w:rsid w:val="00156FC6"/>
    <w:pPr>
      <w:keepNext/>
      <w:suppressAutoHyphens/>
      <w:spacing w:before="120" w:after="360" w:line="360" w:lineRule="auto"/>
      <w:jc w:val="center"/>
    </w:pPr>
    <w:rPr>
      <w:rFonts w:ascii="Times" w:eastAsia="Times New Roman" w:hAnsi="Times" w:cs="Arial"/>
      <w:b/>
      <w:bCs/>
      <w:sz w:val="24"/>
      <w:szCs w:val="24"/>
    </w:rPr>
  </w:style>
  <w:style w:type="paragraph" w:customStyle="1" w:styleId="USTustnpkodeksu">
    <w:name w:val="UST(§) – ust. (§ np. kodeksu)"/>
    <w:basedOn w:val="ARTartustawynprozporzdzenia"/>
    <w:uiPriority w:val="12"/>
    <w:qFormat/>
    <w:rsid w:val="001771B5"/>
    <w:pPr>
      <w:spacing w:before="0"/>
    </w:pPr>
    <w:rPr>
      <w:rFonts w:eastAsiaTheme="minorEastAsia"/>
      <w:bCs/>
    </w:rPr>
  </w:style>
  <w:style w:type="paragraph" w:customStyle="1" w:styleId="PKTpunkt">
    <w:name w:val="PKT – punkt"/>
    <w:uiPriority w:val="13"/>
    <w:qFormat/>
    <w:rsid w:val="001771B5"/>
    <w:pPr>
      <w:spacing w:line="360" w:lineRule="auto"/>
      <w:ind w:left="510" w:hanging="510"/>
      <w:jc w:val="both"/>
    </w:pPr>
    <w:rPr>
      <w:rFonts w:ascii="Times" w:eastAsiaTheme="minorEastAsia" w:hAnsi="Times" w:cs="Arial"/>
      <w:bCs/>
      <w:sz w:val="24"/>
    </w:rPr>
  </w:style>
  <w:style w:type="paragraph" w:customStyle="1" w:styleId="ROZDZODDZPRZEDMprzedmiotregulacjirozdziauluboddziau">
    <w:name w:val="ROZDZ(ODDZ)_PRZEDM – przedmiot regulacji rozdziału lub oddziału"/>
    <w:next w:val="ARTartustawynprozporzdzenia"/>
    <w:uiPriority w:val="10"/>
    <w:qFormat/>
    <w:rsid w:val="001771B5"/>
    <w:pPr>
      <w:keepNext/>
      <w:suppressAutoHyphens/>
      <w:spacing w:before="120" w:line="360" w:lineRule="auto"/>
      <w:jc w:val="center"/>
    </w:pPr>
    <w:rPr>
      <w:rFonts w:ascii="Times" w:eastAsiaTheme="minorEastAsia" w:hAnsi="Times"/>
      <w:b/>
      <w:bCs/>
      <w:sz w:val="24"/>
      <w:szCs w:val="24"/>
    </w:rPr>
  </w:style>
  <w:style w:type="paragraph" w:customStyle="1" w:styleId="ODNONIKtreodnonika">
    <w:name w:val="ODNOŚNIK – treść odnośnika"/>
    <w:uiPriority w:val="19"/>
    <w:qFormat/>
    <w:rsid w:val="00E85E2D"/>
    <w:pPr>
      <w:ind w:left="284" w:hanging="284"/>
      <w:jc w:val="both"/>
    </w:pPr>
    <w:rPr>
      <w:rFonts w:ascii="Times New Roman" w:eastAsiaTheme="minorEastAsia" w:hAnsi="Times New Roman" w:cs="Arial"/>
    </w:rPr>
  </w:style>
  <w:style w:type="paragraph" w:customStyle="1" w:styleId="LITODNONIKAliteraodnonika">
    <w:name w:val="LIT_ODNOŚNIKA – litera odnośnika"/>
    <w:basedOn w:val="Normalny"/>
    <w:uiPriority w:val="20"/>
    <w:qFormat/>
    <w:rsid w:val="00E85E2D"/>
    <w:pPr>
      <w:spacing w:line="240" w:lineRule="auto"/>
      <w:ind w:left="851" w:hanging="284"/>
      <w:jc w:val="both"/>
    </w:pPr>
    <w:rPr>
      <w:rFonts w:ascii="Times New Roman" w:eastAsiaTheme="minorEastAsia" w:hAnsi="Times New Roman"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64018725">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46347941">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0250076">
      <w:bodyDiv w:val="1"/>
      <w:marLeft w:val="0"/>
      <w:marRight w:val="0"/>
      <w:marTop w:val="0"/>
      <w:marBottom w:val="0"/>
      <w:divBdr>
        <w:top w:val="none" w:sz="0" w:space="0" w:color="auto"/>
        <w:left w:val="none" w:sz="0" w:space="0" w:color="auto"/>
        <w:bottom w:val="none" w:sz="0" w:space="0" w:color="auto"/>
        <w:right w:val="none" w:sz="0" w:space="0" w:color="auto"/>
      </w:divBdr>
      <w:divsChild>
        <w:div w:id="483470763">
          <w:marLeft w:val="0"/>
          <w:marRight w:val="0"/>
          <w:marTop w:val="0"/>
          <w:marBottom w:val="0"/>
          <w:divBdr>
            <w:top w:val="none" w:sz="0" w:space="0" w:color="auto"/>
            <w:left w:val="none" w:sz="0" w:space="0" w:color="auto"/>
            <w:bottom w:val="none" w:sz="0" w:space="0" w:color="auto"/>
            <w:right w:val="none" w:sz="0" w:space="0" w:color="auto"/>
          </w:divBdr>
        </w:div>
        <w:div w:id="571426744">
          <w:marLeft w:val="0"/>
          <w:marRight w:val="0"/>
          <w:marTop w:val="0"/>
          <w:marBottom w:val="0"/>
          <w:divBdr>
            <w:top w:val="none" w:sz="0" w:space="0" w:color="auto"/>
            <w:left w:val="none" w:sz="0" w:space="0" w:color="auto"/>
            <w:bottom w:val="none" w:sz="0" w:space="0" w:color="auto"/>
            <w:right w:val="none" w:sz="0" w:space="0" w:color="auto"/>
          </w:divBdr>
        </w:div>
        <w:div w:id="806630649">
          <w:marLeft w:val="0"/>
          <w:marRight w:val="0"/>
          <w:marTop w:val="0"/>
          <w:marBottom w:val="0"/>
          <w:divBdr>
            <w:top w:val="none" w:sz="0" w:space="0" w:color="auto"/>
            <w:left w:val="none" w:sz="0" w:space="0" w:color="auto"/>
            <w:bottom w:val="none" w:sz="0" w:space="0" w:color="auto"/>
            <w:right w:val="none" w:sz="0" w:space="0" w:color="auto"/>
          </w:divBdr>
        </w:div>
        <w:div w:id="1095905876">
          <w:marLeft w:val="0"/>
          <w:marRight w:val="0"/>
          <w:marTop w:val="0"/>
          <w:marBottom w:val="0"/>
          <w:divBdr>
            <w:top w:val="none" w:sz="0" w:space="0" w:color="auto"/>
            <w:left w:val="none" w:sz="0" w:space="0" w:color="auto"/>
            <w:bottom w:val="none" w:sz="0" w:space="0" w:color="auto"/>
            <w:right w:val="none" w:sz="0" w:space="0" w:color="auto"/>
          </w:divBdr>
        </w:div>
        <w:div w:id="1106538862">
          <w:marLeft w:val="0"/>
          <w:marRight w:val="0"/>
          <w:marTop w:val="0"/>
          <w:marBottom w:val="0"/>
          <w:divBdr>
            <w:top w:val="none" w:sz="0" w:space="0" w:color="auto"/>
            <w:left w:val="none" w:sz="0" w:space="0" w:color="auto"/>
            <w:bottom w:val="none" w:sz="0" w:space="0" w:color="auto"/>
            <w:right w:val="none" w:sz="0" w:space="0" w:color="auto"/>
          </w:divBdr>
        </w:div>
        <w:div w:id="1126391813">
          <w:marLeft w:val="0"/>
          <w:marRight w:val="0"/>
          <w:marTop w:val="0"/>
          <w:marBottom w:val="0"/>
          <w:divBdr>
            <w:top w:val="none" w:sz="0" w:space="0" w:color="auto"/>
            <w:left w:val="none" w:sz="0" w:space="0" w:color="auto"/>
            <w:bottom w:val="none" w:sz="0" w:space="0" w:color="auto"/>
            <w:right w:val="none" w:sz="0" w:space="0" w:color="auto"/>
          </w:divBdr>
        </w:div>
        <w:div w:id="1151679219">
          <w:marLeft w:val="0"/>
          <w:marRight w:val="0"/>
          <w:marTop w:val="0"/>
          <w:marBottom w:val="0"/>
          <w:divBdr>
            <w:top w:val="none" w:sz="0" w:space="0" w:color="auto"/>
            <w:left w:val="none" w:sz="0" w:space="0" w:color="auto"/>
            <w:bottom w:val="none" w:sz="0" w:space="0" w:color="auto"/>
            <w:right w:val="none" w:sz="0" w:space="0" w:color="auto"/>
          </w:divBdr>
        </w:div>
        <w:div w:id="1415205245">
          <w:marLeft w:val="0"/>
          <w:marRight w:val="0"/>
          <w:marTop w:val="0"/>
          <w:marBottom w:val="0"/>
          <w:divBdr>
            <w:top w:val="none" w:sz="0" w:space="0" w:color="auto"/>
            <w:left w:val="none" w:sz="0" w:space="0" w:color="auto"/>
            <w:bottom w:val="none" w:sz="0" w:space="0" w:color="auto"/>
            <w:right w:val="none" w:sz="0" w:space="0" w:color="auto"/>
          </w:divBdr>
        </w:div>
        <w:div w:id="1422986246">
          <w:marLeft w:val="0"/>
          <w:marRight w:val="0"/>
          <w:marTop w:val="0"/>
          <w:marBottom w:val="0"/>
          <w:divBdr>
            <w:top w:val="none" w:sz="0" w:space="0" w:color="auto"/>
            <w:left w:val="none" w:sz="0" w:space="0" w:color="auto"/>
            <w:bottom w:val="none" w:sz="0" w:space="0" w:color="auto"/>
            <w:right w:val="none" w:sz="0" w:space="0" w:color="auto"/>
          </w:divBdr>
        </w:div>
        <w:div w:id="1828128265">
          <w:marLeft w:val="0"/>
          <w:marRight w:val="0"/>
          <w:marTop w:val="0"/>
          <w:marBottom w:val="0"/>
          <w:divBdr>
            <w:top w:val="none" w:sz="0" w:space="0" w:color="auto"/>
            <w:left w:val="none" w:sz="0" w:space="0" w:color="auto"/>
            <w:bottom w:val="none" w:sz="0" w:space="0" w:color="auto"/>
            <w:right w:val="none" w:sz="0" w:space="0" w:color="auto"/>
          </w:divBdr>
        </w:div>
        <w:div w:id="2073578155">
          <w:marLeft w:val="0"/>
          <w:marRight w:val="0"/>
          <w:marTop w:val="0"/>
          <w:marBottom w:val="0"/>
          <w:divBdr>
            <w:top w:val="none" w:sz="0" w:space="0" w:color="auto"/>
            <w:left w:val="none" w:sz="0" w:space="0" w:color="auto"/>
            <w:bottom w:val="none" w:sz="0" w:space="0" w:color="auto"/>
            <w:right w:val="none" w:sz="0" w:space="0" w:color="auto"/>
          </w:divBdr>
        </w:div>
      </w:divsChild>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63423592">
      <w:bodyDiv w:val="1"/>
      <w:marLeft w:val="0"/>
      <w:marRight w:val="0"/>
      <w:marTop w:val="0"/>
      <w:marBottom w:val="0"/>
      <w:divBdr>
        <w:top w:val="none" w:sz="0" w:space="0" w:color="auto"/>
        <w:left w:val="none" w:sz="0" w:space="0" w:color="auto"/>
        <w:bottom w:val="none" w:sz="0" w:space="0" w:color="auto"/>
        <w:right w:val="none" w:sz="0" w:space="0" w:color="auto"/>
      </w:divBdr>
      <w:divsChild>
        <w:div w:id="393967024">
          <w:marLeft w:val="0"/>
          <w:marRight w:val="0"/>
          <w:marTop w:val="0"/>
          <w:marBottom w:val="0"/>
          <w:divBdr>
            <w:top w:val="none" w:sz="0" w:space="0" w:color="auto"/>
            <w:left w:val="none" w:sz="0" w:space="0" w:color="auto"/>
            <w:bottom w:val="none" w:sz="0" w:space="0" w:color="auto"/>
            <w:right w:val="none" w:sz="0" w:space="0" w:color="auto"/>
          </w:divBdr>
        </w:div>
        <w:div w:id="1815179231">
          <w:marLeft w:val="0"/>
          <w:marRight w:val="0"/>
          <w:marTop w:val="0"/>
          <w:marBottom w:val="0"/>
          <w:divBdr>
            <w:top w:val="none" w:sz="0" w:space="0" w:color="auto"/>
            <w:left w:val="none" w:sz="0" w:space="0" w:color="auto"/>
            <w:bottom w:val="none" w:sz="0" w:space="0" w:color="auto"/>
            <w:right w:val="none" w:sz="0" w:space="0" w:color="auto"/>
          </w:divBdr>
        </w:div>
        <w:div w:id="2095008699">
          <w:marLeft w:val="0"/>
          <w:marRight w:val="0"/>
          <w:marTop w:val="0"/>
          <w:marBottom w:val="0"/>
          <w:divBdr>
            <w:top w:val="none" w:sz="0" w:space="0" w:color="auto"/>
            <w:left w:val="none" w:sz="0" w:space="0" w:color="auto"/>
            <w:bottom w:val="none" w:sz="0" w:space="0" w:color="auto"/>
            <w:right w:val="none" w:sz="0" w:space="0" w:color="auto"/>
          </w:divBdr>
        </w:div>
      </w:divsChild>
    </w:div>
    <w:div w:id="1503427175">
      <w:bodyDiv w:val="1"/>
      <w:marLeft w:val="0"/>
      <w:marRight w:val="0"/>
      <w:marTop w:val="0"/>
      <w:marBottom w:val="0"/>
      <w:divBdr>
        <w:top w:val="none" w:sz="0" w:space="0" w:color="auto"/>
        <w:left w:val="none" w:sz="0" w:space="0" w:color="auto"/>
        <w:bottom w:val="none" w:sz="0" w:space="0" w:color="auto"/>
        <w:right w:val="none" w:sz="0" w:space="0" w:color="auto"/>
      </w:divBdr>
      <w:divsChild>
        <w:div w:id="1774283802">
          <w:marLeft w:val="0"/>
          <w:marRight w:val="0"/>
          <w:marTop w:val="0"/>
          <w:marBottom w:val="0"/>
          <w:divBdr>
            <w:top w:val="none" w:sz="0" w:space="0" w:color="auto"/>
            <w:left w:val="none" w:sz="0" w:space="0" w:color="auto"/>
            <w:bottom w:val="none" w:sz="0" w:space="0" w:color="auto"/>
            <w:right w:val="none" w:sz="0" w:space="0" w:color="auto"/>
          </w:divBdr>
          <w:divsChild>
            <w:div w:id="86661241">
              <w:marLeft w:val="0"/>
              <w:marRight w:val="0"/>
              <w:marTop w:val="0"/>
              <w:marBottom w:val="0"/>
              <w:divBdr>
                <w:top w:val="none" w:sz="0" w:space="0" w:color="auto"/>
                <w:left w:val="none" w:sz="0" w:space="0" w:color="auto"/>
                <w:bottom w:val="none" w:sz="0" w:space="0" w:color="auto"/>
                <w:right w:val="none" w:sz="0" w:space="0" w:color="auto"/>
              </w:divBdr>
            </w:div>
            <w:div w:id="98641744">
              <w:marLeft w:val="0"/>
              <w:marRight w:val="0"/>
              <w:marTop w:val="0"/>
              <w:marBottom w:val="0"/>
              <w:divBdr>
                <w:top w:val="none" w:sz="0" w:space="0" w:color="auto"/>
                <w:left w:val="none" w:sz="0" w:space="0" w:color="auto"/>
                <w:bottom w:val="none" w:sz="0" w:space="0" w:color="auto"/>
                <w:right w:val="none" w:sz="0" w:space="0" w:color="auto"/>
              </w:divBdr>
            </w:div>
            <w:div w:id="116067978">
              <w:marLeft w:val="0"/>
              <w:marRight w:val="0"/>
              <w:marTop w:val="0"/>
              <w:marBottom w:val="0"/>
              <w:divBdr>
                <w:top w:val="none" w:sz="0" w:space="0" w:color="auto"/>
                <w:left w:val="none" w:sz="0" w:space="0" w:color="auto"/>
                <w:bottom w:val="none" w:sz="0" w:space="0" w:color="auto"/>
                <w:right w:val="none" w:sz="0" w:space="0" w:color="auto"/>
              </w:divBdr>
            </w:div>
            <w:div w:id="135150424">
              <w:marLeft w:val="0"/>
              <w:marRight w:val="0"/>
              <w:marTop w:val="0"/>
              <w:marBottom w:val="0"/>
              <w:divBdr>
                <w:top w:val="none" w:sz="0" w:space="0" w:color="auto"/>
                <w:left w:val="none" w:sz="0" w:space="0" w:color="auto"/>
                <w:bottom w:val="none" w:sz="0" w:space="0" w:color="auto"/>
                <w:right w:val="none" w:sz="0" w:space="0" w:color="auto"/>
              </w:divBdr>
            </w:div>
            <w:div w:id="144050432">
              <w:marLeft w:val="0"/>
              <w:marRight w:val="0"/>
              <w:marTop w:val="0"/>
              <w:marBottom w:val="0"/>
              <w:divBdr>
                <w:top w:val="none" w:sz="0" w:space="0" w:color="auto"/>
                <w:left w:val="none" w:sz="0" w:space="0" w:color="auto"/>
                <w:bottom w:val="none" w:sz="0" w:space="0" w:color="auto"/>
                <w:right w:val="none" w:sz="0" w:space="0" w:color="auto"/>
              </w:divBdr>
            </w:div>
            <w:div w:id="150488260">
              <w:marLeft w:val="0"/>
              <w:marRight w:val="0"/>
              <w:marTop w:val="0"/>
              <w:marBottom w:val="0"/>
              <w:divBdr>
                <w:top w:val="none" w:sz="0" w:space="0" w:color="auto"/>
                <w:left w:val="none" w:sz="0" w:space="0" w:color="auto"/>
                <w:bottom w:val="none" w:sz="0" w:space="0" w:color="auto"/>
                <w:right w:val="none" w:sz="0" w:space="0" w:color="auto"/>
              </w:divBdr>
            </w:div>
            <w:div w:id="159152247">
              <w:marLeft w:val="0"/>
              <w:marRight w:val="0"/>
              <w:marTop w:val="0"/>
              <w:marBottom w:val="0"/>
              <w:divBdr>
                <w:top w:val="none" w:sz="0" w:space="0" w:color="auto"/>
                <w:left w:val="none" w:sz="0" w:space="0" w:color="auto"/>
                <w:bottom w:val="none" w:sz="0" w:space="0" w:color="auto"/>
                <w:right w:val="none" w:sz="0" w:space="0" w:color="auto"/>
              </w:divBdr>
            </w:div>
            <w:div w:id="201866152">
              <w:marLeft w:val="0"/>
              <w:marRight w:val="0"/>
              <w:marTop w:val="0"/>
              <w:marBottom w:val="0"/>
              <w:divBdr>
                <w:top w:val="none" w:sz="0" w:space="0" w:color="auto"/>
                <w:left w:val="none" w:sz="0" w:space="0" w:color="auto"/>
                <w:bottom w:val="none" w:sz="0" w:space="0" w:color="auto"/>
                <w:right w:val="none" w:sz="0" w:space="0" w:color="auto"/>
              </w:divBdr>
            </w:div>
            <w:div w:id="205262902">
              <w:marLeft w:val="0"/>
              <w:marRight w:val="0"/>
              <w:marTop w:val="0"/>
              <w:marBottom w:val="0"/>
              <w:divBdr>
                <w:top w:val="none" w:sz="0" w:space="0" w:color="auto"/>
                <w:left w:val="none" w:sz="0" w:space="0" w:color="auto"/>
                <w:bottom w:val="none" w:sz="0" w:space="0" w:color="auto"/>
                <w:right w:val="none" w:sz="0" w:space="0" w:color="auto"/>
              </w:divBdr>
            </w:div>
            <w:div w:id="222763804">
              <w:marLeft w:val="0"/>
              <w:marRight w:val="0"/>
              <w:marTop w:val="0"/>
              <w:marBottom w:val="0"/>
              <w:divBdr>
                <w:top w:val="none" w:sz="0" w:space="0" w:color="auto"/>
                <w:left w:val="none" w:sz="0" w:space="0" w:color="auto"/>
                <w:bottom w:val="none" w:sz="0" w:space="0" w:color="auto"/>
                <w:right w:val="none" w:sz="0" w:space="0" w:color="auto"/>
              </w:divBdr>
            </w:div>
            <w:div w:id="238945702">
              <w:marLeft w:val="0"/>
              <w:marRight w:val="0"/>
              <w:marTop w:val="0"/>
              <w:marBottom w:val="0"/>
              <w:divBdr>
                <w:top w:val="none" w:sz="0" w:space="0" w:color="auto"/>
                <w:left w:val="none" w:sz="0" w:space="0" w:color="auto"/>
                <w:bottom w:val="none" w:sz="0" w:space="0" w:color="auto"/>
                <w:right w:val="none" w:sz="0" w:space="0" w:color="auto"/>
              </w:divBdr>
            </w:div>
            <w:div w:id="247886202">
              <w:marLeft w:val="0"/>
              <w:marRight w:val="0"/>
              <w:marTop w:val="0"/>
              <w:marBottom w:val="0"/>
              <w:divBdr>
                <w:top w:val="none" w:sz="0" w:space="0" w:color="auto"/>
                <w:left w:val="none" w:sz="0" w:space="0" w:color="auto"/>
                <w:bottom w:val="none" w:sz="0" w:space="0" w:color="auto"/>
                <w:right w:val="none" w:sz="0" w:space="0" w:color="auto"/>
              </w:divBdr>
            </w:div>
            <w:div w:id="260842079">
              <w:marLeft w:val="0"/>
              <w:marRight w:val="0"/>
              <w:marTop w:val="0"/>
              <w:marBottom w:val="0"/>
              <w:divBdr>
                <w:top w:val="none" w:sz="0" w:space="0" w:color="auto"/>
                <w:left w:val="none" w:sz="0" w:space="0" w:color="auto"/>
                <w:bottom w:val="none" w:sz="0" w:space="0" w:color="auto"/>
                <w:right w:val="none" w:sz="0" w:space="0" w:color="auto"/>
              </w:divBdr>
            </w:div>
            <w:div w:id="302344991">
              <w:marLeft w:val="0"/>
              <w:marRight w:val="0"/>
              <w:marTop w:val="0"/>
              <w:marBottom w:val="0"/>
              <w:divBdr>
                <w:top w:val="none" w:sz="0" w:space="0" w:color="auto"/>
                <w:left w:val="none" w:sz="0" w:space="0" w:color="auto"/>
                <w:bottom w:val="none" w:sz="0" w:space="0" w:color="auto"/>
                <w:right w:val="none" w:sz="0" w:space="0" w:color="auto"/>
              </w:divBdr>
            </w:div>
            <w:div w:id="360978942">
              <w:marLeft w:val="0"/>
              <w:marRight w:val="0"/>
              <w:marTop w:val="0"/>
              <w:marBottom w:val="0"/>
              <w:divBdr>
                <w:top w:val="none" w:sz="0" w:space="0" w:color="auto"/>
                <w:left w:val="none" w:sz="0" w:space="0" w:color="auto"/>
                <w:bottom w:val="none" w:sz="0" w:space="0" w:color="auto"/>
                <w:right w:val="none" w:sz="0" w:space="0" w:color="auto"/>
              </w:divBdr>
            </w:div>
            <w:div w:id="379978387">
              <w:marLeft w:val="0"/>
              <w:marRight w:val="0"/>
              <w:marTop w:val="0"/>
              <w:marBottom w:val="0"/>
              <w:divBdr>
                <w:top w:val="none" w:sz="0" w:space="0" w:color="auto"/>
                <w:left w:val="none" w:sz="0" w:space="0" w:color="auto"/>
                <w:bottom w:val="none" w:sz="0" w:space="0" w:color="auto"/>
                <w:right w:val="none" w:sz="0" w:space="0" w:color="auto"/>
              </w:divBdr>
            </w:div>
            <w:div w:id="449126233">
              <w:marLeft w:val="0"/>
              <w:marRight w:val="0"/>
              <w:marTop w:val="0"/>
              <w:marBottom w:val="0"/>
              <w:divBdr>
                <w:top w:val="none" w:sz="0" w:space="0" w:color="auto"/>
                <w:left w:val="none" w:sz="0" w:space="0" w:color="auto"/>
                <w:bottom w:val="none" w:sz="0" w:space="0" w:color="auto"/>
                <w:right w:val="none" w:sz="0" w:space="0" w:color="auto"/>
              </w:divBdr>
            </w:div>
            <w:div w:id="457189915">
              <w:marLeft w:val="0"/>
              <w:marRight w:val="0"/>
              <w:marTop w:val="0"/>
              <w:marBottom w:val="0"/>
              <w:divBdr>
                <w:top w:val="none" w:sz="0" w:space="0" w:color="auto"/>
                <w:left w:val="none" w:sz="0" w:space="0" w:color="auto"/>
                <w:bottom w:val="none" w:sz="0" w:space="0" w:color="auto"/>
                <w:right w:val="none" w:sz="0" w:space="0" w:color="auto"/>
              </w:divBdr>
            </w:div>
            <w:div w:id="463892010">
              <w:marLeft w:val="0"/>
              <w:marRight w:val="0"/>
              <w:marTop w:val="0"/>
              <w:marBottom w:val="0"/>
              <w:divBdr>
                <w:top w:val="none" w:sz="0" w:space="0" w:color="auto"/>
                <w:left w:val="none" w:sz="0" w:space="0" w:color="auto"/>
                <w:bottom w:val="none" w:sz="0" w:space="0" w:color="auto"/>
                <w:right w:val="none" w:sz="0" w:space="0" w:color="auto"/>
              </w:divBdr>
            </w:div>
            <w:div w:id="518355761">
              <w:marLeft w:val="0"/>
              <w:marRight w:val="0"/>
              <w:marTop w:val="0"/>
              <w:marBottom w:val="0"/>
              <w:divBdr>
                <w:top w:val="none" w:sz="0" w:space="0" w:color="auto"/>
                <w:left w:val="none" w:sz="0" w:space="0" w:color="auto"/>
                <w:bottom w:val="none" w:sz="0" w:space="0" w:color="auto"/>
                <w:right w:val="none" w:sz="0" w:space="0" w:color="auto"/>
              </w:divBdr>
            </w:div>
            <w:div w:id="543518020">
              <w:marLeft w:val="0"/>
              <w:marRight w:val="0"/>
              <w:marTop w:val="0"/>
              <w:marBottom w:val="0"/>
              <w:divBdr>
                <w:top w:val="none" w:sz="0" w:space="0" w:color="auto"/>
                <w:left w:val="none" w:sz="0" w:space="0" w:color="auto"/>
                <w:bottom w:val="none" w:sz="0" w:space="0" w:color="auto"/>
                <w:right w:val="none" w:sz="0" w:space="0" w:color="auto"/>
              </w:divBdr>
            </w:div>
            <w:div w:id="570428198">
              <w:marLeft w:val="0"/>
              <w:marRight w:val="0"/>
              <w:marTop w:val="0"/>
              <w:marBottom w:val="0"/>
              <w:divBdr>
                <w:top w:val="none" w:sz="0" w:space="0" w:color="auto"/>
                <w:left w:val="none" w:sz="0" w:space="0" w:color="auto"/>
                <w:bottom w:val="none" w:sz="0" w:space="0" w:color="auto"/>
                <w:right w:val="none" w:sz="0" w:space="0" w:color="auto"/>
              </w:divBdr>
            </w:div>
            <w:div w:id="574897574">
              <w:marLeft w:val="0"/>
              <w:marRight w:val="0"/>
              <w:marTop w:val="0"/>
              <w:marBottom w:val="0"/>
              <w:divBdr>
                <w:top w:val="none" w:sz="0" w:space="0" w:color="auto"/>
                <w:left w:val="none" w:sz="0" w:space="0" w:color="auto"/>
                <w:bottom w:val="none" w:sz="0" w:space="0" w:color="auto"/>
                <w:right w:val="none" w:sz="0" w:space="0" w:color="auto"/>
              </w:divBdr>
            </w:div>
            <w:div w:id="595406757">
              <w:marLeft w:val="0"/>
              <w:marRight w:val="0"/>
              <w:marTop w:val="0"/>
              <w:marBottom w:val="0"/>
              <w:divBdr>
                <w:top w:val="none" w:sz="0" w:space="0" w:color="auto"/>
                <w:left w:val="none" w:sz="0" w:space="0" w:color="auto"/>
                <w:bottom w:val="none" w:sz="0" w:space="0" w:color="auto"/>
                <w:right w:val="none" w:sz="0" w:space="0" w:color="auto"/>
              </w:divBdr>
            </w:div>
            <w:div w:id="598099126">
              <w:marLeft w:val="0"/>
              <w:marRight w:val="0"/>
              <w:marTop w:val="0"/>
              <w:marBottom w:val="0"/>
              <w:divBdr>
                <w:top w:val="none" w:sz="0" w:space="0" w:color="auto"/>
                <w:left w:val="none" w:sz="0" w:space="0" w:color="auto"/>
                <w:bottom w:val="none" w:sz="0" w:space="0" w:color="auto"/>
                <w:right w:val="none" w:sz="0" w:space="0" w:color="auto"/>
              </w:divBdr>
            </w:div>
            <w:div w:id="639455711">
              <w:marLeft w:val="0"/>
              <w:marRight w:val="0"/>
              <w:marTop w:val="0"/>
              <w:marBottom w:val="0"/>
              <w:divBdr>
                <w:top w:val="none" w:sz="0" w:space="0" w:color="auto"/>
                <w:left w:val="none" w:sz="0" w:space="0" w:color="auto"/>
                <w:bottom w:val="none" w:sz="0" w:space="0" w:color="auto"/>
                <w:right w:val="none" w:sz="0" w:space="0" w:color="auto"/>
              </w:divBdr>
            </w:div>
            <w:div w:id="651106079">
              <w:marLeft w:val="0"/>
              <w:marRight w:val="0"/>
              <w:marTop w:val="0"/>
              <w:marBottom w:val="0"/>
              <w:divBdr>
                <w:top w:val="none" w:sz="0" w:space="0" w:color="auto"/>
                <w:left w:val="none" w:sz="0" w:space="0" w:color="auto"/>
                <w:bottom w:val="none" w:sz="0" w:space="0" w:color="auto"/>
                <w:right w:val="none" w:sz="0" w:space="0" w:color="auto"/>
              </w:divBdr>
            </w:div>
            <w:div w:id="670525394">
              <w:marLeft w:val="0"/>
              <w:marRight w:val="0"/>
              <w:marTop w:val="0"/>
              <w:marBottom w:val="0"/>
              <w:divBdr>
                <w:top w:val="none" w:sz="0" w:space="0" w:color="auto"/>
                <w:left w:val="none" w:sz="0" w:space="0" w:color="auto"/>
                <w:bottom w:val="none" w:sz="0" w:space="0" w:color="auto"/>
                <w:right w:val="none" w:sz="0" w:space="0" w:color="auto"/>
              </w:divBdr>
            </w:div>
            <w:div w:id="684943360">
              <w:marLeft w:val="0"/>
              <w:marRight w:val="0"/>
              <w:marTop w:val="0"/>
              <w:marBottom w:val="0"/>
              <w:divBdr>
                <w:top w:val="none" w:sz="0" w:space="0" w:color="auto"/>
                <w:left w:val="none" w:sz="0" w:space="0" w:color="auto"/>
                <w:bottom w:val="none" w:sz="0" w:space="0" w:color="auto"/>
                <w:right w:val="none" w:sz="0" w:space="0" w:color="auto"/>
              </w:divBdr>
            </w:div>
            <w:div w:id="701707248">
              <w:marLeft w:val="0"/>
              <w:marRight w:val="0"/>
              <w:marTop w:val="0"/>
              <w:marBottom w:val="0"/>
              <w:divBdr>
                <w:top w:val="none" w:sz="0" w:space="0" w:color="auto"/>
                <w:left w:val="none" w:sz="0" w:space="0" w:color="auto"/>
                <w:bottom w:val="none" w:sz="0" w:space="0" w:color="auto"/>
                <w:right w:val="none" w:sz="0" w:space="0" w:color="auto"/>
              </w:divBdr>
            </w:div>
            <w:div w:id="716969713">
              <w:marLeft w:val="0"/>
              <w:marRight w:val="0"/>
              <w:marTop w:val="0"/>
              <w:marBottom w:val="0"/>
              <w:divBdr>
                <w:top w:val="none" w:sz="0" w:space="0" w:color="auto"/>
                <w:left w:val="none" w:sz="0" w:space="0" w:color="auto"/>
                <w:bottom w:val="none" w:sz="0" w:space="0" w:color="auto"/>
                <w:right w:val="none" w:sz="0" w:space="0" w:color="auto"/>
              </w:divBdr>
            </w:div>
            <w:div w:id="734737526">
              <w:marLeft w:val="0"/>
              <w:marRight w:val="0"/>
              <w:marTop w:val="0"/>
              <w:marBottom w:val="0"/>
              <w:divBdr>
                <w:top w:val="none" w:sz="0" w:space="0" w:color="auto"/>
                <w:left w:val="none" w:sz="0" w:space="0" w:color="auto"/>
                <w:bottom w:val="none" w:sz="0" w:space="0" w:color="auto"/>
                <w:right w:val="none" w:sz="0" w:space="0" w:color="auto"/>
              </w:divBdr>
            </w:div>
            <w:div w:id="742140416">
              <w:marLeft w:val="0"/>
              <w:marRight w:val="0"/>
              <w:marTop w:val="0"/>
              <w:marBottom w:val="0"/>
              <w:divBdr>
                <w:top w:val="none" w:sz="0" w:space="0" w:color="auto"/>
                <w:left w:val="none" w:sz="0" w:space="0" w:color="auto"/>
                <w:bottom w:val="none" w:sz="0" w:space="0" w:color="auto"/>
                <w:right w:val="none" w:sz="0" w:space="0" w:color="auto"/>
              </w:divBdr>
            </w:div>
            <w:div w:id="758135097">
              <w:marLeft w:val="0"/>
              <w:marRight w:val="0"/>
              <w:marTop w:val="0"/>
              <w:marBottom w:val="0"/>
              <w:divBdr>
                <w:top w:val="none" w:sz="0" w:space="0" w:color="auto"/>
                <w:left w:val="none" w:sz="0" w:space="0" w:color="auto"/>
                <w:bottom w:val="none" w:sz="0" w:space="0" w:color="auto"/>
                <w:right w:val="none" w:sz="0" w:space="0" w:color="auto"/>
              </w:divBdr>
            </w:div>
            <w:div w:id="785924774">
              <w:marLeft w:val="0"/>
              <w:marRight w:val="0"/>
              <w:marTop w:val="0"/>
              <w:marBottom w:val="0"/>
              <w:divBdr>
                <w:top w:val="none" w:sz="0" w:space="0" w:color="auto"/>
                <w:left w:val="none" w:sz="0" w:space="0" w:color="auto"/>
                <w:bottom w:val="none" w:sz="0" w:space="0" w:color="auto"/>
                <w:right w:val="none" w:sz="0" w:space="0" w:color="auto"/>
              </w:divBdr>
            </w:div>
            <w:div w:id="820270864">
              <w:marLeft w:val="0"/>
              <w:marRight w:val="0"/>
              <w:marTop w:val="0"/>
              <w:marBottom w:val="0"/>
              <w:divBdr>
                <w:top w:val="none" w:sz="0" w:space="0" w:color="auto"/>
                <w:left w:val="none" w:sz="0" w:space="0" w:color="auto"/>
                <w:bottom w:val="none" w:sz="0" w:space="0" w:color="auto"/>
                <w:right w:val="none" w:sz="0" w:space="0" w:color="auto"/>
              </w:divBdr>
            </w:div>
            <w:div w:id="842663691">
              <w:marLeft w:val="0"/>
              <w:marRight w:val="0"/>
              <w:marTop w:val="0"/>
              <w:marBottom w:val="0"/>
              <w:divBdr>
                <w:top w:val="none" w:sz="0" w:space="0" w:color="auto"/>
                <w:left w:val="none" w:sz="0" w:space="0" w:color="auto"/>
                <w:bottom w:val="none" w:sz="0" w:space="0" w:color="auto"/>
                <w:right w:val="none" w:sz="0" w:space="0" w:color="auto"/>
              </w:divBdr>
            </w:div>
            <w:div w:id="852915088">
              <w:marLeft w:val="0"/>
              <w:marRight w:val="0"/>
              <w:marTop w:val="0"/>
              <w:marBottom w:val="0"/>
              <w:divBdr>
                <w:top w:val="none" w:sz="0" w:space="0" w:color="auto"/>
                <w:left w:val="none" w:sz="0" w:space="0" w:color="auto"/>
                <w:bottom w:val="none" w:sz="0" w:space="0" w:color="auto"/>
                <w:right w:val="none" w:sz="0" w:space="0" w:color="auto"/>
              </w:divBdr>
            </w:div>
            <w:div w:id="863439378">
              <w:marLeft w:val="0"/>
              <w:marRight w:val="0"/>
              <w:marTop w:val="0"/>
              <w:marBottom w:val="0"/>
              <w:divBdr>
                <w:top w:val="none" w:sz="0" w:space="0" w:color="auto"/>
                <w:left w:val="none" w:sz="0" w:space="0" w:color="auto"/>
                <w:bottom w:val="none" w:sz="0" w:space="0" w:color="auto"/>
                <w:right w:val="none" w:sz="0" w:space="0" w:color="auto"/>
              </w:divBdr>
            </w:div>
            <w:div w:id="949818177">
              <w:marLeft w:val="0"/>
              <w:marRight w:val="0"/>
              <w:marTop w:val="0"/>
              <w:marBottom w:val="0"/>
              <w:divBdr>
                <w:top w:val="none" w:sz="0" w:space="0" w:color="auto"/>
                <w:left w:val="none" w:sz="0" w:space="0" w:color="auto"/>
                <w:bottom w:val="none" w:sz="0" w:space="0" w:color="auto"/>
                <w:right w:val="none" w:sz="0" w:space="0" w:color="auto"/>
              </w:divBdr>
            </w:div>
            <w:div w:id="958535554">
              <w:marLeft w:val="0"/>
              <w:marRight w:val="0"/>
              <w:marTop w:val="0"/>
              <w:marBottom w:val="0"/>
              <w:divBdr>
                <w:top w:val="none" w:sz="0" w:space="0" w:color="auto"/>
                <w:left w:val="none" w:sz="0" w:space="0" w:color="auto"/>
                <w:bottom w:val="none" w:sz="0" w:space="0" w:color="auto"/>
                <w:right w:val="none" w:sz="0" w:space="0" w:color="auto"/>
              </w:divBdr>
            </w:div>
            <w:div w:id="972901845">
              <w:marLeft w:val="0"/>
              <w:marRight w:val="0"/>
              <w:marTop w:val="0"/>
              <w:marBottom w:val="0"/>
              <w:divBdr>
                <w:top w:val="none" w:sz="0" w:space="0" w:color="auto"/>
                <w:left w:val="none" w:sz="0" w:space="0" w:color="auto"/>
                <w:bottom w:val="none" w:sz="0" w:space="0" w:color="auto"/>
                <w:right w:val="none" w:sz="0" w:space="0" w:color="auto"/>
              </w:divBdr>
            </w:div>
            <w:div w:id="1001084107">
              <w:marLeft w:val="0"/>
              <w:marRight w:val="0"/>
              <w:marTop w:val="0"/>
              <w:marBottom w:val="0"/>
              <w:divBdr>
                <w:top w:val="none" w:sz="0" w:space="0" w:color="auto"/>
                <w:left w:val="none" w:sz="0" w:space="0" w:color="auto"/>
                <w:bottom w:val="none" w:sz="0" w:space="0" w:color="auto"/>
                <w:right w:val="none" w:sz="0" w:space="0" w:color="auto"/>
              </w:divBdr>
            </w:div>
            <w:div w:id="1002972011">
              <w:marLeft w:val="0"/>
              <w:marRight w:val="0"/>
              <w:marTop w:val="0"/>
              <w:marBottom w:val="0"/>
              <w:divBdr>
                <w:top w:val="none" w:sz="0" w:space="0" w:color="auto"/>
                <w:left w:val="none" w:sz="0" w:space="0" w:color="auto"/>
                <w:bottom w:val="none" w:sz="0" w:space="0" w:color="auto"/>
                <w:right w:val="none" w:sz="0" w:space="0" w:color="auto"/>
              </w:divBdr>
            </w:div>
            <w:div w:id="1011957080">
              <w:marLeft w:val="0"/>
              <w:marRight w:val="0"/>
              <w:marTop w:val="0"/>
              <w:marBottom w:val="0"/>
              <w:divBdr>
                <w:top w:val="none" w:sz="0" w:space="0" w:color="auto"/>
                <w:left w:val="none" w:sz="0" w:space="0" w:color="auto"/>
                <w:bottom w:val="none" w:sz="0" w:space="0" w:color="auto"/>
                <w:right w:val="none" w:sz="0" w:space="0" w:color="auto"/>
              </w:divBdr>
            </w:div>
            <w:div w:id="1042897415">
              <w:marLeft w:val="0"/>
              <w:marRight w:val="0"/>
              <w:marTop w:val="0"/>
              <w:marBottom w:val="0"/>
              <w:divBdr>
                <w:top w:val="none" w:sz="0" w:space="0" w:color="auto"/>
                <w:left w:val="none" w:sz="0" w:space="0" w:color="auto"/>
                <w:bottom w:val="none" w:sz="0" w:space="0" w:color="auto"/>
                <w:right w:val="none" w:sz="0" w:space="0" w:color="auto"/>
              </w:divBdr>
            </w:div>
            <w:div w:id="1043747484">
              <w:marLeft w:val="0"/>
              <w:marRight w:val="0"/>
              <w:marTop w:val="0"/>
              <w:marBottom w:val="0"/>
              <w:divBdr>
                <w:top w:val="none" w:sz="0" w:space="0" w:color="auto"/>
                <w:left w:val="none" w:sz="0" w:space="0" w:color="auto"/>
                <w:bottom w:val="none" w:sz="0" w:space="0" w:color="auto"/>
                <w:right w:val="none" w:sz="0" w:space="0" w:color="auto"/>
              </w:divBdr>
            </w:div>
            <w:div w:id="1052536739">
              <w:marLeft w:val="0"/>
              <w:marRight w:val="0"/>
              <w:marTop w:val="0"/>
              <w:marBottom w:val="0"/>
              <w:divBdr>
                <w:top w:val="none" w:sz="0" w:space="0" w:color="auto"/>
                <w:left w:val="none" w:sz="0" w:space="0" w:color="auto"/>
                <w:bottom w:val="none" w:sz="0" w:space="0" w:color="auto"/>
                <w:right w:val="none" w:sz="0" w:space="0" w:color="auto"/>
              </w:divBdr>
            </w:div>
            <w:div w:id="1060521720">
              <w:marLeft w:val="0"/>
              <w:marRight w:val="0"/>
              <w:marTop w:val="0"/>
              <w:marBottom w:val="0"/>
              <w:divBdr>
                <w:top w:val="none" w:sz="0" w:space="0" w:color="auto"/>
                <w:left w:val="none" w:sz="0" w:space="0" w:color="auto"/>
                <w:bottom w:val="none" w:sz="0" w:space="0" w:color="auto"/>
                <w:right w:val="none" w:sz="0" w:space="0" w:color="auto"/>
              </w:divBdr>
            </w:div>
            <w:div w:id="1099333416">
              <w:marLeft w:val="0"/>
              <w:marRight w:val="0"/>
              <w:marTop w:val="0"/>
              <w:marBottom w:val="0"/>
              <w:divBdr>
                <w:top w:val="none" w:sz="0" w:space="0" w:color="auto"/>
                <w:left w:val="none" w:sz="0" w:space="0" w:color="auto"/>
                <w:bottom w:val="none" w:sz="0" w:space="0" w:color="auto"/>
                <w:right w:val="none" w:sz="0" w:space="0" w:color="auto"/>
              </w:divBdr>
            </w:div>
            <w:div w:id="1100174814">
              <w:marLeft w:val="0"/>
              <w:marRight w:val="0"/>
              <w:marTop w:val="0"/>
              <w:marBottom w:val="0"/>
              <w:divBdr>
                <w:top w:val="none" w:sz="0" w:space="0" w:color="auto"/>
                <w:left w:val="none" w:sz="0" w:space="0" w:color="auto"/>
                <w:bottom w:val="none" w:sz="0" w:space="0" w:color="auto"/>
                <w:right w:val="none" w:sz="0" w:space="0" w:color="auto"/>
              </w:divBdr>
            </w:div>
            <w:div w:id="1104614415">
              <w:marLeft w:val="0"/>
              <w:marRight w:val="0"/>
              <w:marTop w:val="0"/>
              <w:marBottom w:val="0"/>
              <w:divBdr>
                <w:top w:val="none" w:sz="0" w:space="0" w:color="auto"/>
                <w:left w:val="none" w:sz="0" w:space="0" w:color="auto"/>
                <w:bottom w:val="none" w:sz="0" w:space="0" w:color="auto"/>
                <w:right w:val="none" w:sz="0" w:space="0" w:color="auto"/>
              </w:divBdr>
            </w:div>
            <w:div w:id="1177114288">
              <w:marLeft w:val="0"/>
              <w:marRight w:val="0"/>
              <w:marTop w:val="0"/>
              <w:marBottom w:val="0"/>
              <w:divBdr>
                <w:top w:val="none" w:sz="0" w:space="0" w:color="auto"/>
                <w:left w:val="none" w:sz="0" w:space="0" w:color="auto"/>
                <w:bottom w:val="none" w:sz="0" w:space="0" w:color="auto"/>
                <w:right w:val="none" w:sz="0" w:space="0" w:color="auto"/>
              </w:divBdr>
            </w:div>
            <w:div w:id="1199204320">
              <w:marLeft w:val="0"/>
              <w:marRight w:val="0"/>
              <w:marTop w:val="0"/>
              <w:marBottom w:val="0"/>
              <w:divBdr>
                <w:top w:val="none" w:sz="0" w:space="0" w:color="auto"/>
                <w:left w:val="none" w:sz="0" w:space="0" w:color="auto"/>
                <w:bottom w:val="none" w:sz="0" w:space="0" w:color="auto"/>
                <w:right w:val="none" w:sz="0" w:space="0" w:color="auto"/>
              </w:divBdr>
            </w:div>
            <w:div w:id="1223711040">
              <w:marLeft w:val="0"/>
              <w:marRight w:val="0"/>
              <w:marTop w:val="0"/>
              <w:marBottom w:val="0"/>
              <w:divBdr>
                <w:top w:val="none" w:sz="0" w:space="0" w:color="auto"/>
                <w:left w:val="none" w:sz="0" w:space="0" w:color="auto"/>
                <w:bottom w:val="none" w:sz="0" w:space="0" w:color="auto"/>
                <w:right w:val="none" w:sz="0" w:space="0" w:color="auto"/>
              </w:divBdr>
            </w:div>
            <w:div w:id="1260333862">
              <w:marLeft w:val="0"/>
              <w:marRight w:val="0"/>
              <w:marTop w:val="0"/>
              <w:marBottom w:val="0"/>
              <w:divBdr>
                <w:top w:val="none" w:sz="0" w:space="0" w:color="auto"/>
                <w:left w:val="none" w:sz="0" w:space="0" w:color="auto"/>
                <w:bottom w:val="none" w:sz="0" w:space="0" w:color="auto"/>
                <w:right w:val="none" w:sz="0" w:space="0" w:color="auto"/>
              </w:divBdr>
            </w:div>
            <w:div w:id="1407726585">
              <w:marLeft w:val="0"/>
              <w:marRight w:val="0"/>
              <w:marTop w:val="0"/>
              <w:marBottom w:val="0"/>
              <w:divBdr>
                <w:top w:val="none" w:sz="0" w:space="0" w:color="auto"/>
                <w:left w:val="none" w:sz="0" w:space="0" w:color="auto"/>
                <w:bottom w:val="none" w:sz="0" w:space="0" w:color="auto"/>
                <w:right w:val="none" w:sz="0" w:space="0" w:color="auto"/>
              </w:divBdr>
            </w:div>
            <w:div w:id="1423338249">
              <w:marLeft w:val="0"/>
              <w:marRight w:val="0"/>
              <w:marTop w:val="0"/>
              <w:marBottom w:val="0"/>
              <w:divBdr>
                <w:top w:val="none" w:sz="0" w:space="0" w:color="auto"/>
                <w:left w:val="none" w:sz="0" w:space="0" w:color="auto"/>
                <w:bottom w:val="none" w:sz="0" w:space="0" w:color="auto"/>
                <w:right w:val="none" w:sz="0" w:space="0" w:color="auto"/>
              </w:divBdr>
            </w:div>
            <w:div w:id="1444685537">
              <w:marLeft w:val="0"/>
              <w:marRight w:val="0"/>
              <w:marTop w:val="0"/>
              <w:marBottom w:val="0"/>
              <w:divBdr>
                <w:top w:val="none" w:sz="0" w:space="0" w:color="auto"/>
                <w:left w:val="none" w:sz="0" w:space="0" w:color="auto"/>
                <w:bottom w:val="none" w:sz="0" w:space="0" w:color="auto"/>
                <w:right w:val="none" w:sz="0" w:space="0" w:color="auto"/>
              </w:divBdr>
            </w:div>
            <w:div w:id="1454134612">
              <w:marLeft w:val="0"/>
              <w:marRight w:val="0"/>
              <w:marTop w:val="0"/>
              <w:marBottom w:val="0"/>
              <w:divBdr>
                <w:top w:val="none" w:sz="0" w:space="0" w:color="auto"/>
                <w:left w:val="none" w:sz="0" w:space="0" w:color="auto"/>
                <w:bottom w:val="none" w:sz="0" w:space="0" w:color="auto"/>
                <w:right w:val="none" w:sz="0" w:space="0" w:color="auto"/>
              </w:divBdr>
            </w:div>
            <w:div w:id="1479037240">
              <w:marLeft w:val="0"/>
              <w:marRight w:val="0"/>
              <w:marTop w:val="0"/>
              <w:marBottom w:val="0"/>
              <w:divBdr>
                <w:top w:val="none" w:sz="0" w:space="0" w:color="auto"/>
                <w:left w:val="none" w:sz="0" w:space="0" w:color="auto"/>
                <w:bottom w:val="none" w:sz="0" w:space="0" w:color="auto"/>
                <w:right w:val="none" w:sz="0" w:space="0" w:color="auto"/>
              </w:divBdr>
            </w:div>
            <w:div w:id="1482387459">
              <w:marLeft w:val="0"/>
              <w:marRight w:val="0"/>
              <w:marTop w:val="0"/>
              <w:marBottom w:val="0"/>
              <w:divBdr>
                <w:top w:val="none" w:sz="0" w:space="0" w:color="auto"/>
                <w:left w:val="none" w:sz="0" w:space="0" w:color="auto"/>
                <w:bottom w:val="none" w:sz="0" w:space="0" w:color="auto"/>
                <w:right w:val="none" w:sz="0" w:space="0" w:color="auto"/>
              </w:divBdr>
            </w:div>
            <w:div w:id="1487936270">
              <w:marLeft w:val="0"/>
              <w:marRight w:val="0"/>
              <w:marTop w:val="0"/>
              <w:marBottom w:val="0"/>
              <w:divBdr>
                <w:top w:val="none" w:sz="0" w:space="0" w:color="auto"/>
                <w:left w:val="none" w:sz="0" w:space="0" w:color="auto"/>
                <w:bottom w:val="none" w:sz="0" w:space="0" w:color="auto"/>
                <w:right w:val="none" w:sz="0" w:space="0" w:color="auto"/>
              </w:divBdr>
            </w:div>
            <w:div w:id="1535654420">
              <w:marLeft w:val="0"/>
              <w:marRight w:val="0"/>
              <w:marTop w:val="0"/>
              <w:marBottom w:val="0"/>
              <w:divBdr>
                <w:top w:val="none" w:sz="0" w:space="0" w:color="auto"/>
                <w:left w:val="none" w:sz="0" w:space="0" w:color="auto"/>
                <w:bottom w:val="none" w:sz="0" w:space="0" w:color="auto"/>
                <w:right w:val="none" w:sz="0" w:space="0" w:color="auto"/>
              </w:divBdr>
            </w:div>
            <w:div w:id="1542129718">
              <w:marLeft w:val="0"/>
              <w:marRight w:val="0"/>
              <w:marTop w:val="0"/>
              <w:marBottom w:val="0"/>
              <w:divBdr>
                <w:top w:val="none" w:sz="0" w:space="0" w:color="auto"/>
                <w:left w:val="none" w:sz="0" w:space="0" w:color="auto"/>
                <w:bottom w:val="none" w:sz="0" w:space="0" w:color="auto"/>
                <w:right w:val="none" w:sz="0" w:space="0" w:color="auto"/>
              </w:divBdr>
            </w:div>
            <w:div w:id="1545368596">
              <w:marLeft w:val="0"/>
              <w:marRight w:val="0"/>
              <w:marTop w:val="0"/>
              <w:marBottom w:val="0"/>
              <w:divBdr>
                <w:top w:val="none" w:sz="0" w:space="0" w:color="auto"/>
                <w:left w:val="none" w:sz="0" w:space="0" w:color="auto"/>
                <w:bottom w:val="none" w:sz="0" w:space="0" w:color="auto"/>
                <w:right w:val="none" w:sz="0" w:space="0" w:color="auto"/>
              </w:divBdr>
            </w:div>
            <w:div w:id="1550066302">
              <w:marLeft w:val="0"/>
              <w:marRight w:val="0"/>
              <w:marTop w:val="0"/>
              <w:marBottom w:val="0"/>
              <w:divBdr>
                <w:top w:val="none" w:sz="0" w:space="0" w:color="auto"/>
                <w:left w:val="none" w:sz="0" w:space="0" w:color="auto"/>
                <w:bottom w:val="none" w:sz="0" w:space="0" w:color="auto"/>
                <w:right w:val="none" w:sz="0" w:space="0" w:color="auto"/>
              </w:divBdr>
            </w:div>
            <w:div w:id="1554972996">
              <w:marLeft w:val="0"/>
              <w:marRight w:val="0"/>
              <w:marTop w:val="0"/>
              <w:marBottom w:val="0"/>
              <w:divBdr>
                <w:top w:val="none" w:sz="0" w:space="0" w:color="auto"/>
                <w:left w:val="none" w:sz="0" w:space="0" w:color="auto"/>
                <w:bottom w:val="none" w:sz="0" w:space="0" w:color="auto"/>
                <w:right w:val="none" w:sz="0" w:space="0" w:color="auto"/>
              </w:divBdr>
            </w:div>
            <w:div w:id="1558007041">
              <w:marLeft w:val="0"/>
              <w:marRight w:val="0"/>
              <w:marTop w:val="0"/>
              <w:marBottom w:val="0"/>
              <w:divBdr>
                <w:top w:val="none" w:sz="0" w:space="0" w:color="auto"/>
                <w:left w:val="none" w:sz="0" w:space="0" w:color="auto"/>
                <w:bottom w:val="none" w:sz="0" w:space="0" w:color="auto"/>
                <w:right w:val="none" w:sz="0" w:space="0" w:color="auto"/>
              </w:divBdr>
            </w:div>
            <w:div w:id="1577738936">
              <w:marLeft w:val="0"/>
              <w:marRight w:val="0"/>
              <w:marTop w:val="0"/>
              <w:marBottom w:val="0"/>
              <w:divBdr>
                <w:top w:val="none" w:sz="0" w:space="0" w:color="auto"/>
                <w:left w:val="none" w:sz="0" w:space="0" w:color="auto"/>
                <w:bottom w:val="none" w:sz="0" w:space="0" w:color="auto"/>
                <w:right w:val="none" w:sz="0" w:space="0" w:color="auto"/>
              </w:divBdr>
            </w:div>
            <w:div w:id="1621688376">
              <w:marLeft w:val="0"/>
              <w:marRight w:val="0"/>
              <w:marTop w:val="0"/>
              <w:marBottom w:val="0"/>
              <w:divBdr>
                <w:top w:val="none" w:sz="0" w:space="0" w:color="auto"/>
                <w:left w:val="none" w:sz="0" w:space="0" w:color="auto"/>
                <w:bottom w:val="none" w:sz="0" w:space="0" w:color="auto"/>
                <w:right w:val="none" w:sz="0" w:space="0" w:color="auto"/>
              </w:divBdr>
            </w:div>
            <w:div w:id="1640064872">
              <w:marLeft w:val="0"/>
              <w:marRight w:val="0"/>
              <w:marTop w:val="0"/>
              <w:marBottom w:val="0"/>
              <w:divBdr>
                <w:top w:val="none" w:sz="0" w:space="0" w:color="auto"/>
                <w:left w:val="none" w:sz="0" w:space="0" w:color="auto"/>
                <w:bottom w:val="none" w:sz="0" w:space="0" w:color="auto"/>
                <w:right w:val="none" w:sz="0" w:space="0" w:color="auto"/>
              </w:divBdr>
            </w:div>
            <w:div w:id="1645508622">
              <w:marLeft w:val="0"/>
              <w:marRight w:val="0"/>
              <w:marTop w:val="0"/>
              <w:marBottom w:val="0"/>
              <w:divBdr>
                <w:top w:val="none" w:sz="0" w:space="0" w:color="auto"/>
                <w:left w:val="none" w:sz="0" w:space="0" w:color="auto"/>
                <w:bottom w:val="none" w:sz="0" w:space="0" w:color="auto"/>
                <w:right w:val="none" w:sz="0" w:space="0" w:color="auto"/>
              </w:divBdr>
            </w:div>
            <w:div w:id="1646423803">
              <w:marLeft w:val="0"/>
              <w:marRight w:val="0"/>
              <w:marTop w:val="0"/>
              <w:marBottom w:val="0"/>
              <w:divBdr>
                <w:top w:val="none" w:sz="0" w:space="0" w:color="auto"/>
                <w:left w:val="none" w:sz="0" w:space="0" w:color="auto"/>
                <w:bottom w:val="none" w:sz="0" w:space="0" w:color="auto"/>
                <w:right w:val="none" w:sz="0" w:space="0" w:color="auto"/>
              </w:divBdr>
            </w:div>
            <w:div w:id="1697847445">
              <w:marLeft w:val="0"/>
              <w:marRight w:val="0"/>
              <w:marTop w:val="0"/>
              <w:marBottom w:val="0"/>
              <w:divBdr>
                <w:top w:val="none" w:sz="0" w:space="0" w:color="auto"/>
                <w:left w:val="none" w:sz="0" w:space="0" w:color="auto"/>
                <w:bottom w:val="none" w:sz="0" w:space="0" w:color="auto"/>
                <w:right w:val="none" w:sz="0" w:space="0" w:color="auto"/>
              </w:divBdr>
            </w:div>
            <w:div w:id="1702240772">
              <w:marLeft w:val="0"/>
              <w:marRight w:val="0"/>
              <w:marTop w:val="0"/>
              <w:marBottom w:val="0"/>
              <w:divBdr>
                <w:top w:val="none" w:sz="0" w:space="0" w:color="auto"/>
                <w:left w:val="none" w:sz="0" w:space="0" w:color="auto"/>
                <w:bottom w:val="none" w:sz="0" w:space="0" w:color="auto"/>
                <w:right w:val="none" w:sz="0" w:space="0" w:color="auto"/>
              </w:divBdr>
            </w:div>
            <w:div w:id="1704866897">
              <w:marLeft w:val="0"/>
              <w:marRight w:val="0"/>
              <w:marTop w:val="0"/>
              <w:marBottom w:val="0"/>
              <w:divBdr>
                <w:top w:val="none" w:sz="0" w:space="0" w:color="auto"/>
                <w:left w:val="none" w:sz="0" w:space="0" w:color="auto"/>
                <w:bottom w:val="none" w:sz="0" w:space="0" w:color="auto"/>
                <w:right w:val="none" w:sz="0" w:space="0" w:color="auto"/>
              </w:divBdr>
            </w:div>
            <w:div w:id="1764496883">
              <w:marLeft w:val="0"/>
              <w:marRight w:val="0"/>
              <w:marTop w:val="0"/>
              <w:marBottom w:val="0"/>
              <w:divBdr>
                <w:top w:val="none" w:sz="0" w:space="0" w:color="auto"/>
                <w:left w:val="none" w:sz="0" w:space="0" w:color="auto"/>
                <w:bottom w:val="none" w:sz="0" w:space="0" w:color="auto"/>
                <w:right w:val="none" w:sz="0" w:space="0" w:color="auto"/>
              </w:divBdr>
            </w:div>
            <w:div w:id="1767771150">
              <w:marLeft w:val="0"/>
              <w:marRight w:val="0"/>
              <w:marTop w:val="0"/>
              <w:marBottom w:val="0"/>
              <w:divBdr>
                <w:top w:val="none" w:sz="0" w:space="0" w:color="auto"/>
                <w:left w:val="none" w:sz="0" w:space="0" w:color="auto"/>
                <w:bottom w:val="none" w:sz="0" w:space="0" w:color="auto"/>
                <w:right w:val="none" w:sz="0" w:space="0" w:color="auto"/>
              </w:divBdr>
            </w:div>
            <w:div w:id="1815759592">
              <w:marLeft w:val="0"/>
              <w:marRight w:val="0"/>
              <w:marTop w:val="0"/>
              <w:marBottom w:val="0"/>
              <w:divBdr>
                <w:top w:val="none" w:sz="0" w:space="0" w:color="auto"/>
                <w:left w:val="none" w:sz="0" w:space="0" w:color="auto"/>
                <w:bottom w:val="none" w:sz="0" w:space="0" w:color="auto"/>
                <w:right w:val="none" w:sz="0" w:space="0" w:color="auto"/>
              </w:divBdr>
            </w:div>
            <w:div w:id="1954745931">
              <w:marLeft w:val="0"/>
              <w:marRight w:val="0"/>
              <w:marTop w:val="0"/>
              <w:marBottom w:val="0"/>
              <w:divBdr>
                <w:top w:val="none" w:sz="0" w:space="0" w:color="auto"/>
                <w:left w:val="none" w:sz="0" w:space="0" w:color="auto"/>
                <w:bottom w:val="none" w:sz="0" w:space="0" w:color="auto"/>
                <w:right w:val="none" w:sz="0" w:space="0" w:color="auto"/>
              </w:divBdr>
            </w:div>
            <w:div w:id="1968197163">
              <w:marLeft w:val="0"/>
              <w:marRight w:val="0"/>
              <w:marTop w:val="0"/>
              <w:marBottom w:val="0"/>
              <w:divBdr>
                <w:top w:val="none" w:sz="0" w:space="0" w:color="auto"/>
                <w:left w:val="none" w:sz="0" w:space="0" w:color="auto"/>
                <w:bottom w:val="none" w:sz="0" w:space="0" w:color="auto"/>
                <w:right w:val="none" w:sz="0" w:space="0" w:color="auto"/>
              </w:divBdr>
            </w:div>
            <w:div w:id="1991207590">
              <w:marLeft w:val="0"/>
              <w:marRight w:val="0"/>
              <w:marTop w:val="0"/>
              <w:marBottom w:val="0"/>
              <w:divBdr>
                <w:top w:val="none" w:sz="0" w:space="0" w:color="auto"/>
                <w:left w:val="none" w:sz="0" w:space="0" w:color="auto"/>
                <w:bottom w:val="none" w:sz="0" w:space="0" w:color="auto"/>
                <w:right w:val="none" w:sz="0" w:space="0" w:color="auto"/>
              </w:divBdr>
            </w:div>
            <w:div w:id="2114395050">
              <w:marLeft w:val="0"/>
              <w:marRight w:val="0"/>
              <w:marTop w:val="0"/>
              <w:marBottom w:val="0"/>
              <w:divBdr>
                <w:top w:val="none" w:sz="0" w:space="0" w:color="auto"/>
                <w:left w:val="none" w:sz="0" w:space="0" w:color="auto"/>
                <w:bottom w:val="none" w:sz="0" w:space="0" w:color="auto"/>
                <w:right w:val="none" w:sz="0" w:space="0" w:color="auto"/>
              </w:divBdr>
            </w:div>
            <w:div w:id="2117674806">
              <w:marLeft w:val="0"/>
              <w:marRight w:val="0"/>
              <w:marTop w:val="0"/>
              <w:marBottom w:val="0"/>
              <w:divBdr>
                <w:top w:val="none" w:sz="0" w:space="0" w:color="auto"/>
                <w:left w:val="none" w:sz="0" w:space="0" w:color="auto"/>
                <w:bottom w:val="none" w:sz="0" w:space="0" w:color="auto"/>
                <w:right w:val="none" w:sz="0" w:space="0" w:color="auto"/>
              </w:divBdr>
            </w:div>
            <w:div w:id="21208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8286">
      <w:bodyDiv w:val="1"/>
      <w:marLeft w:val="0"/>
      <w:marRight w:val="0"/>
      <w:marTop w:val="0"/>
      <w:marBottom w:val="0"/>
      <w:divBdr>
        <w:top w:val="none" w:sz="0" w:space="0" w:color="auto"/>
        <w:left w:val="none" w:sz="0" w:space="0" w:color="auto"/>
        <w:bottom w:val="none" w:sz="0" w:space="0" w:color="auto"/>
        <w:right w:val="none" w:sz="0" w:space="0" w:color="auto"/>
      </w:divBdr>
      <w:divsChild>
        <w:div w:id="989674185">
          <w:marLeft w:val="0"/>
          <w:marRight w:val="0"/>
          <w:marTop w:val="0"/>
          <w:marBottom w:val="0"/>
          <w:divBdr>
            <w:top w:val="none" w:sz="0" w:space="0" w:color="auto"/>
            <w:left w:val="none" w:sz="0" w:space="0" w:color="auto"/>
            <w:bottom w:val="none" w:sz="0" w:space="0" w:color="auto"/>
            <w:right w:val="none" w:sz="0" w:space="0" w:color="auto"/>
          </w:divBdr>
        </w:div>
        <w:div w:id="1075934515">
          <w:marLeft w:val="0"/>
          <w:marRight w:val="0"/>
          <w:marTop w:val="0"/>
          <w:marBottom w:val="0"/>
          <w:divBdr>
            <w:top w:val="none" w:sz="0" w:space="0" w:color="auto"/>
            <w:left w:val="none" w:sz="0" w:space="0" w:color="auto"/>
            <w:bottom w:val="none" w:sz="0" w:space="0" w:color="auto"/>
            <w:right w:val="none" w:sz="0" w:space="0" w:color="auto"/>
          </w:divBdr>
        </w:div>
      </w:divsChild>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1178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zary.ulanicki@mf.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3D4E-E82F-4327-8758-2B536378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14985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17448</CharactersWithSpaces>
  <SharedDoc>false</SharedDoc>
  <HLinks>
    <vt:vector size="6" baseType="variant">
      <vt:variant>
        <vt:i4>6291523</vt:i4>
      </vt:variant>
      <vt:variant>
        <vt:i4>0</vt:i4>
      </vt:variant>
      <vt:variant>
        <vt:i4>0</vt:i4>
      </vt:variant>
      <vt:variant>
        <vt:i4>5</vt:i4>
      </vt:variant>
      <vt:variant>
        <vt:lpwstr>mailto:pawel.wendler@mf.gov.pl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2022-08-02T12:39:00Z</dcterms:created>
  <dcterms:modified xsi:type="dcterms:W3CDTF">2022-08-02T14:02:00Z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MF\HNAG;Rokita-Marzec Joanna</vt:lpwstr>
  </property>
  <property fmtid="{D5CDD505-2E9C-101B-9397-08002B2CF9AE}" pid="4" name="MFClassificationDate">
    <vt:lpwstr>2021-12-16T12:32:09.4257189+01:00</vt:lpwstr>
  </property>
  <property fmtid="{D5CDD505-2E9C-101B-9397-08002B2CF9AE}" pid="5" name="MFClassifiedBySID">
    <vt:lpwstr>MF\S-1-5-21-1525952054-1005573771-2909822258-466272</vt:lpwstr>
  </property>
  <property fmtid="{D5CDD505-2E9C-101B-9397-08002B2CF9AE}" pid="6" name="MFGRNItemId">
    <vt:lpwstr>GRN-ea32b88a-c968-42f7-8df1-9a6baf252e35</vt:lpwstr>
  </property>
  <property fmtid="{D5CDD505-2E9C-101B-9397-08002B2CF9AE}" pid="7" name="MFHash">
    <vt:lpwstr>Hd/00vLXFDpj7mGzNkNKtF0G6tei6lSYITQTzFrtwTc=</vt:lpwstr>
  </property>
  <property fmtid="{D5CDD505-2E9C-101B-9397-08002B2CF9AE}" pid="8" name="DLPManualFileClassification">
    <vt:lpwstr>{5fdfc941-3fcf-4a5b-87be-4848800d39d0}</vt:lpwstr>
  </property>
  <property fmtid="{D5CDD505-2E9C-101B-9397-08002B2CF9AE}" pid="9" name="MFRefresh">
    <vt:lpwstr>False</vt:lpwstr>
  </property>
</Properties>
</file>