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31" w:tblpY="30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6"/>
        <w:gridCol w:w="29"/>
        <w:gridCol w:w="403"/>
        <w:gridCol w:w="836"/>
        <w:gridCol w:w="787"/>
        <w:gridCol w:w="681"/>
        <w:gridCol w:w="90"/>
        <w:gridCol w:w="420"/>
        <w:gridCol w:w="363"/>
        <w:gridCol w:w="629"/>
        <w:gridCol w:w="141"/>
        <w:gridCol w:w="770"/>
        <w:gridCol w:w="81"/>
        <w:gridCol w:w="689"/>
        <w:gridCol w:w="304"/>
        <w:gridCol w:w="467"/>
        <w:gridCol w:w="218"/>
        <w:gridCol w:w="307"/>
        <w:gridCol w:w="246"/>
        <w:gridCol w:w="745"/>
        <w:gridCol w:w="25"/>
        <w:gridCol w:w="973"/>
      </w:tblGrid>
      <w:tr w:rsidR="008636EE" w:rsidRPr="00CE0D38" w14:paraId="58214BB1" w14:textId="77777777" w:rsidTr="00F412F0">
        <w:trPr>
          <w:trHeight w:val="1611"/>
        </w:trPr>
        <w:tc>
          <w:tcPr>
            <w:tcW w:w="6515" w:type="dxa"/>
            <w:gridSpan w:val="11"/>
          </w:tcPr>
          <w:p w14:paraId="44363290" w14:textId="77777777" w:rsidR="00B26FE9" w:rsidRDefault="006A701A" w:rsidP="00F412F0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E0D38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CE0D3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E3E9647" w14:textId="77777777" w:rsidR="00B26FE9" w:rsidRPr="00B26FE9" w:rsidRDefault="00B26FE9" w:rsidP="00F412F0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B26FE9">
              <w:rPr>
                <w:rFonts w:ascii="Times New Roman" w:hAnsi="Times New Roman"/>
                <w:color w:val="000000"/>
                <w:szCs w:val="24"/>
              </w:rPr>
              <w:t>Rozporządzenie Rady Ministrów w sprawie wysokości minimalnego wynagrodzenia za pracę oraz wysokości minimalnej stawki godzinowej w 2023 r.</w:t>
            </w:r>
          </w:p>
          <w:p w14:paraId="72180512" w14:textId="77777777" w:rsidR="00C25AB1" w:rsidRPr="00CE0D38" w:rsidRDefault="006A701A" w:rsidP="00F412F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E87774E" w14:textId="77777777" w:rsidR="006A701A" w:rsidRPr="00CE0D38" w:rsidRDefault="00DB547D" w:rsidP="00F412F0">
            <w:pPr>
              <w:spacing w:before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Ministerstwo Rodziny i Polityki Społecznej</w:t>
            </w:r>
          </w:p>
          <w:p w14:paraId="4DF8B73D" w14:textId="77777777" w:rsidR="00C25AB1" w:rsidRPr="00CE0D38" w:rsidRDefault="00C25AB1" w:rsidP="00F412F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99A7913" w14:textId="77777777" w:rsidR="001B3460" w:rsidRPr="00CE0D38" w:rsidRDefault="001B3460" w:rsidP="00F412F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E0D3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623A68C" w14:textId="77777777" w:rsidR="009A6064" w:rsidRDefault="009A6064" w:rsidP="00F412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Marlena </w:t>
            </w:r>
            <w:proofErr w:type="spellStart"/>
            <w:r>
              <w:rPr>
                <w:rFonts w:ascii="Times New Roman" w:hAnsi="Times New Roman"/>
              </w:rPr>
              <w:t>Maląg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14:paraId="70B8F7C3" w14:textId="77777777" w:rsidR="001B3460" w:rsidRPr="00CE0D38" w:rsidRDefault="009A6064" w:rsidP="00F412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 Rodziny i Polityki Społecznej</w:t>
            </w:r>
          </w:p>
          <w:p w14:paraId="0305E8CF" w14:textId="77777777" w:rsidR="006A701A" w:rsidRPr="00CE0D38" w:rsidRDefault="006A701A" w:rsidP="00F412F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4C0EF25" w14:textId="77777777" w:rsidR="00752C09" w:rsidRDefault="00752C09" w:rsidP="00F412F0">
            <w:pPr>
              <w:spacing w:before="120" w:line="240" w:lineRule="auto"/>
              <w:rPr>
                <w:rFonts w:ascii="Times New Roman" w:hAnsi="Times New Roman"/>
                <w:u w:val="single"/>
              </w:rPr>
            </w:pPr>
            <w:r w:rsidRPr="00CE0D38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Agnieszka Dylewska – Naczelnik Wydziału w Departamencie Prawa Pracy, tel. </w:t>
            </w:r>
            <w:r w:rsidR="008E1AB8">
              <w:rPr>
                <w:rStyle w:val="Hipercze"/>
                <w:rFonts w:ascii="Times New Roman" w:hAnsi="Times New Roman"/>
                <w:color w:val="auto"/>
                <w:u w:val="none"/>
              </w:rPr>
              <w:t>538117352</w:t>
            </w:r>
            <w:r w:rsidRPr="00CE0D38">
              <w:rPr>
                <w:rFonts w:ascii="Times New Roman" w:hAnsi="Times New Roman"/>
              </w:rPr>
              <w:t xml:space="preserve">, e-mail: </w:t>
            </w:r>
            <w:hyperlink r:id="rId9" w:history="1">
              <w:r w:rsidR="00CE0D38" w:rsidRPr="003E44DE">
                <w:rPr>
                  <w:rStyle w:val="Hipercze"/>
                  <w:rFonts w:ascii="Times New Roman" w:hAnsi="Times New Roman"/>
                </w:rPr>
                <w:t>Agnieszka.Dylewska@mrips.gov.pl</w:t>
              </w:r>
            </w:hyperlink>
          </w:p>
          <w:p w14:paraId="48A31CC9" w14:textId="77777777" w:rsidR="006A701A" w:rsidRPr="00CE0D38" w:rsidRDefault="00752C09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</w:rPr>
              <w:t xml:space="preserve">Agnieszka Grochala-Stec – Główny Specjalista w Departamencie Prawa Pracy, tel. </w:t>
            </w:r>
            <w:r w:rsidR="008E1AB8">
              <w:rPr>
                <w:rFonts w:ascii="Times New Roman" w:hAnsi="Times New Roman"/>
              </w:rPr>
              <w:t>538117353</w:t>
            </w:r>
            <w:r w:rsidRPr="00CE0D38">
              <w:rPr>
                <w:rFonts w:ascii="Times New Roman" w:hAnsi="Times New Roman"/>
              </w:rPr>
              <w:t xml:space="preserve">, e-mail: </w:t>
            </w:r>
            <w:hyperlink r:id="rId10" w:history="1">
              <w:r w:rsidR="00AC771B" w:rsidRPr="00CE0D38">
                <w:rPr>
                  <w:rStyle w:val="Hipercze"/>
                  <w:rFonts w:ascii="Times New Roman" w:hAnsi="Times New Roman"/>
                </w:rPr>
                <w:t>Agnieszka.Grochala-Stec@mrips.gov.pl</w:t>
              </w:r>
            </w:hyperlink>
          </w:p>
        </w:tc>
        <w:tc>
          <w:tcPr>
            <w:tcW w:w="4825" w:type="dxa"/>
            <w:gridSpan w:val="11"/>
            <w:shd w:val="clear" w:color="auto" w:fill="FFFFFF"/>
          </w:tcPr>
          <w:p w14:paraId="34941A4B" w14:textId="76F0F8BF" w:rsidR="001B3460" w:rsidRPr="00CE0D38" w:rsidRDefault="001B3460" w:rsidP="00F412F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E0D38">
              <w:rPr>
                <w:rFonts w:ascii="Times New Roman" w:hAnsi="Times New Roman"/>
                <w:b/>
              </w:rPr>
              <w:t>Data sporządzenia</w:t>
            </w:r>
            <w:r w:rsidRPr="00CE0D38">
              <w:rPr>
                <w:rFonts w:ascii="Times New Roman" w:hAnsi="Times New Roman"/>
                <w:b/>
              </w:rPr>
              <w:br/>
            </w:r>
            <w:r w:rsidR="00741B64">
              <w:rPr>
                <w:rFonts w:ascii="Times New Roman" w:hAnsi="Times New Roman"/>
              </w:rPr>
              <w:t>27</w:t>
            </w:r>
            <w:r w:rsidR="009A6064">
              <w:rPr>
                <w:rFonts w:ascii="Times New Roman" w:hAnsi="Times New Roman"/>
              </w:rPr>
              <w:t>.</w:t>
            </w:r>
            <w:r w:rsidR="006B6714">
              <w:rPr>
                <w:rFonts w:ascii="Times New Roman" w:hAnsi="Times New Roman"/>
              </w:rPr>
              <w:t>0</w:t>
            </w:r>
            <w:r w:rsidR="00B26FE9">
              <w:rPr>
                <w:rFonts w:ascii="Times New Roman" w:hAnsi="Times New Roman"/>
              </w:rPr>
              <w:t>7</w:t>
            </w:r>
            <w:r w:rsidR="009A6064">
              <w:rPr>
                <w:rFonts w:ascii="Times New Roman" w:hAnsi="Times New Roman"/>
              </w:rPr>
              <w:t>.2022 r.</w:t>
            </w:r>
          </w:p>
          <w:p w14:paraId="30C18FD4" w14:textId="77777777" w:rsidR="00F76884" w:rsidRPr="00CE0D38" w:rsidRDefault="00F76884" w:rsidP="00F412F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CB79707" w14:textId="77777777" w:rsidR="00F76884" w:rsidRPr="00CE0D38" w:rsidRDefault="00F76884" w:rsidP="00F412F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E0D38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A29A74E" w14:textId="77777777" w:rsidR="00F76884" w:rsidRPr="00CE0D38" w:rsidRDefault="00B26FE9" w:rsidP="00F412F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</w:p>
          <w:p w14:paraId="2B044B48" w14:textId="3604C8DB" w:rsidR="006A701A" w:rsidRDefault="006A701A" w:rsidP="00F412F0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CE0D38">
              <w:rPr>
                <w:rFonts w:ascii="Times New Roman" w:hAnsi="Times New Roman"/>
                <w:b/>
                <w:color w:val="000000"/>
              </w:rPr>
              <w:t>w</w:t>
            </w:r>
            <w:r w:rsidRPr="00CE0D38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CE0D38">
              <w:rPr>
                <w:rFonts w:ascii="Times New Roman" w:hAnsi="Times New Roman"/>
                <w:b/>
                <w:color w:val="000000"/>
              </w:rPr>
              <w:t>ie</w:t>
            </w:r>
            <w:r w:rsidRPr="00CE0D38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5EC8CB04" w14:textId="783AEE0B" w:rsidR="006A701A" w:rsidRPr="00CE0D38" w:rsidRDefault="00741B64" w:rsidP="001E431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RD585</w:t>
            </w:r>
          </w:p>
        </w:tc>
      </w:tr>
      <w:tr w:rsidR="006A701A" w:rsidRPr="00CE0D38" w14:paraId="0E39A1B3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99CCFF"/>
          </w:tcPr>
          <w:p w14:paraId="1061AD14" w14:textId="77777777" w:rsidR="006A701A" w:rsidRPr="00CE0D38" w:rsidRDefault="006A701A" w:rsidP="00F412F0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CE0D38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CE0D38" w14:paraId="2C87BD05" w14:textId="77777777" w:rsidTr="00F412F0">
        <w:trPr>
          <w:trHeight w:val="333"/>
        </w:trPr>
        <w:tc>
          <w:tcPr>
            <w:tcW w:w="11340" w:type="dxa"/>
            <w:gridSpan w:val="22"/>
            <w:shd w:val="clear" w:color="auto" w:fill="99CCFF"/>
            <w:vAlign w:val="center"/>
          </w:tcPr>
          <w:p w14:paraId="53FD03CD" w14:textId="77777777" w:rsidR="006A701A" w:rsidRPr="00CE0D38" w:rsidRDefault="003D12F6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CE0D38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CE0D38" w14:paraId="7CB93075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FFFFFF"/>
          </w:tcPr>
          <w:p w14:paraId="6E6B31B8" w14:textId="77777777" w:rsidR="00B26FE9" w:rsidRPr="005A1CCB" w:rsidRDefault="00B26FE9" w:rsidP="00F412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>Projektowane rozporządzenie ustala wysokość minimalnego wynagrodzenia za pracę ora</w:t>
            </w:r>
            <w:r w:rsidR="005A1CCB"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z minimalnej stawki godzinowej </w:t>
            </w:r>
            <w:r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na 2023 r. Projekt stanowi realizację upoważnienia zawartego w art. 2 ust. 5 ustawy </w:t>
            </w:r>
            <w:r w:rsidR="005A1CCB"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z dnia 10 października 2002 r. </w:t>
            </w:r>
            <w:r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o minimalnym wynagrodzeniu za pracę </w:t>
            </w:r>
            <w:r w:rsidRPr="005A1CCB">
              <w:rPr>
                <w:rFonts w:ascii="Times New Roman" w:hAnsi="Times New Roman"/>
                <w:szCs w:val="24"/>
              </w:rPr>
              <w:t>(Dz. U. z 2020 r. poz. 2207)</w:t>
            </w:r>
            <w:r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>.</w:t>
            </w:r>
          </w:p>
          <w:p w14:paraId="215F55EF" w14:textId="77777777" w:rsidR="00B26FE9" w:rsidRPr="005A1CCB" w:rsidRDefault="00B26FE9" w:rsidP="00F412F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Stosownie do ww. przepisu, jeżeli Rada Dialogu Społecznego nie uzgodni w terminie 30 dni od dnia otrzymania propozycji  wysokości minimalnego wynagrodzenia za pracę oraz wysokości minimalnej stawki godzinowej dla określonych umów cywilnoprawnych w roku następnym </w:t>
            </w:r>
            <w:r w:rsidRPr="005A1CCB">
              <w:rPr>
                <w:rFonts w:ascii="Times New Roman" w:hAnsi="Times New Roman"/>
                <w:szCs w:val="24"/>
              </w:rPr>
              <w:t>–</w:t>
            </w:r>
            <w:r w:rsidRPr="005A1CC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>Rada Ministrów zobowiązana jest do ustalenia tych wysokości, w drodze rozporządzenia, w terminie do dnia 15 września. Ustalone przez Radę Ministrów wysok</w:t>
            </w:r>
            <w:r w:rsidR="005A1CCB"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ości minimalnego wynagrodzenia </w:t>
            </w:r>
            <w:r w:rsidRPr="005A1CCB">
              <w:rPr>
                <w:rFonts w:ascii="Times New Roman" w:hAnsi="Times New Roman"/>
                <w:color w:val="000000"/>
                <w:spacing w:val="-2"/>
                <w:szCs w:val="24"/>
              </w:rPr>
              <w:t>za pracę oraz minimalnej stawki godzinowej nie mogą być niższe od wysokości zaproponowanych Radzie Dialogu Społecznego do negocjacji.</w:t>
            </w:r>
          </w:p>
          <w:p w14:paraId="61706F7D" w14:textId="77777777" w:rsidR="00621E9F" w:rsidRPr="005A1CCB" w:rsidRDefault="00B26FE9" w:rsidP="00F412F0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4"/>
              </w:rPr>
            </w:pPr>
            <w:r w:rsidRPr="005A1CCB">
              <w:rPr>
                <w:rFonts w:ascii="Times New Roman" w:hAnsi="Times New Roman" w:cs="Times New Roman"/>
                <w:color w:val="000000"/>
                <w:spacing w:val="-2"/>
                <w:sz w:val="22"/>
                <w:szCs w:val="24"/>
              </w:rPr>
              <w:t>Z uwagi na fakt, że w ustawowym terminie na forum Rady Dialogu Społecznego nie uzyskano porozumienia co do przyszłorocznych wysokości minimalnego wynagrodzenia za pracę oraz minimalnej stawki godzinowej, konieczne jest podjęcie prac nad ich ustaleniem w drodze rozporządzenia Rady Ministrów.</w:t>
            </w:r>
          </w:p>
          <w:p w14:paraId="3171FB0F" w14:textId="77777777" w:rsidR="005A1CCB" w:rsidRPr="005A1CCB" w:rsidRDefault="005A1CCB" w:rsidP="00F412F0">
            <w:pPr>
              <w:widowControl w:val="0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5A1CCB">
              <w:rPr>
                <w:rFonts w:ascii="Times New Roman" w:hAnsi="Times New Roman"/>
                <w:szCs w:val="24"/>
              </w:rPr>
              <w:t xml:space="preserve">Należy również mieć na uwadze, że </w:t>
            </w:r>
            <w:r w:rsidRPr="005A1CCB">
              <w:rPr>
                <w:rFonts w:ascii="Times New Roman" w:hAnsi="Times New Roman"/>
                <w:bCs/>
                <w:szCs w:val="24"/>
              </w:rPr>
              <w:t>w myśl art. 3 ustawy  j</w:t>
            </w:r>
            <w:r w:rsidRPr="005A1CCB">
              <w:rPr>
                <w:rFonts w:ascii="Times New Roman" w:hAnsi="Times New Roman"/>
                <w:szCs w:val="24"/>
              </w:rPr>
              <w:t>eżeli prognozowany na rok następny wskaźnik cen, o którym mowa w art. 2 ust. 2 pkt 3 ustawy (przyjęty do opracowania projektu ustawy budżetowej średnioroczny wskaźnik cen towarów i usług konsumpcyjnych ogółem, tj. inflacja), wynosi co najmniej 105% – ustala się dwa terminy zmiany wysokości minimalnego wynagrodzenia oraz wysokości minimalnej stawki godzinowej: od dnia 1 stycznia i od dnia 1 lipca.</w:t>
            </w:r>
          </w:p>
        </w:tc>
      </w:tr>
      <w:tr w:rsidR="006A701A" w:rsidRPr="00CE0D38" w14:paraId="736B67BE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99CCFF"/>
            <w:vAlign w:val="center"/>
          </w:tcPr>
          <w:p w14:paraId="6784F9AE" w14:textId="77777777" w:rsidR="006A701A" w:rsidRPr="00CE0D38" w:rsidRDefault="0013216E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CE0D38" w14:paraId="0EC6F952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auto"/>
          </w:tcPr>
          <w:p w14:paraId="7A77D490" w14:textId="77777777" w:rsidR="00C36D0A" w:rsidRPr="005A1CCB" w:rsidRDefault="00B26FE9" w:rsidP="00F412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1CCB">
              <w:rPr>
                <w:rFonts w:ascii="Times New Roman" w:hAnsi="Times New Roman"/>
                <w:color w:val="000000"/>
                <w:spacing w:val="-2"/>
              </w:rPr>
              <w:t xml:space="preserve">Nie jest możliwe rozwiązanie problemu poprzez działanie </w:t>
            </w:r>
            <w:proofErr w:type="spellStart"/>
            <w:r w:rsidRPr="005A1CCB">
              <w:rPr>
                <w:rFonts w:ascii="Times New Roman" w:hAnsi="Times New Roman"/>
                <w:color w:val="000000"/>
                <w:spacing w:val="-2"/>
              </w:rPr>
              <w:t>pozalegislacyjne</w:t>
            </w:r>
            <w:proofErr w:type="spellEnd"/>
            <w:r w:rsidRPr="005A1CCB">
              <w:rPr>
                <w:rFonts w:ascii="Times New Roman" w:hAnsi="Times New Roman"/>
                <w:color w:val="000000"/>
                <w:spacing w:val="-2"/>
              </w:rPr>
              <w:t xml:space="preserve">. W świetle przepisów ustawy o minimalnym wynagrodzeniu za pracę, w przypadku gdy wysokość minimalnego wynagrodzenia za pracę oraz minimalnej stawki godzinowej na rok następny nie zostaną uzgodnione w ramach  Rady Dialogu Społecznego, decyzję w tym zakresie podejmuje Rada Ministrów w drodze rozporządzenia. </w:t>
            </w:r>
          </w:p>
          <w:p w14:paraId="622291EB" w14:textId="77777777" w:rsidR="00A52F95" w:rsidRPr="00A52F95" w:rsidRDefault="00A52F95" w:rsidP="00F412F0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  <w:color w:val="000000"/>
                <w:spacing w:val="-2"/>
              </w:rPr>
              <w:t xml:space="preserve">Projekt przewiduje następujące </w:t>
            </w:r>
            <w:r w:rsidRPr="00A52F95">
              <w:rPr>
                <w:rFonts w:ascii="Times New Roman" w:hAnsi="Times New Roman"/>
              </w:rPr>
              <w:t>wysokości:</w:t>
            </w:r>
          </w:p>
          <w:p w14:paraId="6344DD14" w14:textId="77777777" w:rsidR="00A52F95" w:rsidRPr="00A52F95" w:rsidRDefault="00A52F95" w:rsidP="00F412F0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</w:rPr>
              <w:t xml:space="preserve"> minimalnego wynagrodzenie za pracę:</w:t>
            </w:r>
          </w:p>
          <w:p w14:paraId="63E23A01" w14:textId="77777777" w:rsidR="00A52F95" w:rsidRPr="00A52F95" w:rsidRDefault="00A52F95" w:rsidP="00F412F0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</w:rPr>
              <w:t>od dnia 1 stycznia 2023 r. w kwocie 3383 zł,</w:t>
            </w:r>
          </w:p>
          <w:p w14:paraId="78D82E39" w14:textId="77777777" w:rsidR="00A52F95" w:rsidRPr="00A52F95" w:rsidRDefault="00A52F95" w:rsidP="00F412F0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</w:rPr>
              <w:t>od dnia 1 lipca 2023 r. w kwocie 3450 zł;</w:t>
            </w:r>
          </w:p>
          <w:p w14:paraId="18723633" w14:textId="77777777" w:rsidR="00A52F95" w:rsidRPr="00A52F95" w:rsidRDefault="00A52F95" w:rsidP="00F412F0">
            <w:pPr>
              <w:pStyle w:val="Akapitzlist"/>
              <w:widowControl w:val="0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</w:rPr>
              <w:t>minimalnej stawki godzinowej:</w:t>
            </w:r>
          </w:p>
          <w:p w14:paraId="7095EECF" w14:textId="712BAEA7" w:rsidR="00A52F95" w:rsidRPr="00A52F95" w:rsidRDefault="00A52F95" w:rsidP="00F412F0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</w:rPr>
              <w:t>od</w:t>
            </w:r>
            <w:r w:rsidRPr="00A52F95">
              <w:rPr>
                <w:rFonts w:ascii="Times New Roman" w:hAnsi="Times New Roman"/>
                <w:color w:val="000000"/>
              </w:rPr>
              <w:t xml:space="preserve"> dnia 1 stycznia 2023 r.  w kwocie 22,10 </w:t>
            </w:r>
            <w:r w:rsidRPr="00A52F95">
              <w:rPr>
                <w:rFonts w:ascii="Times New Roman" w:hAnsi="Times New Roman"/>
              </w:rPr>
              <w:t>zł</w:t>
            </w:r>
            <w:r w:rsidR="00CB422E">
              <w:rPr>
                <w:rFonts w:ascii="Times New Roman" w:hAnsi="Times New Roman"/>
              </w:rPr>
              <w:t>,</w:t>
            </w:r>
          </w:p>
          <w:p w14:paraId="42F76273" w14:textId="5D1F9222" w:rsidR="00A52F95" w:rsidRPr="00C36D0A" w:rsidRDefault="00A52F95" w:rsidP="00F412F0">
            <w:pPr>
              <w:pStyle w:val="Akapitzlist"/>
              <w:widowControl w:val="0"/>
              <w:numPr>
                <w:ilvl w:val="0"/>
                <w:numId w:val="24"/>
              </w:numPr>
              <w:spacing w:line="240" w:lineRule="auto"/>
              <w:ind w:left="1723" w:hanging="357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</w:rPr>
              <w:t>od</w:t>
            </w:r>
            <w:r w:rsidRPr="00A52F95">
              <w:rPr>
                <w:rFonts w:ascii="Times New Roman" w:hAnsi="Times New Roman"/>
                <w:color w:val="000000"/>
              </w:rPr>
              <w:t xml:space="preserve"> dnia 1 lipca 2023 r. w kwocie 22,50 zł.</w:t>
            </w:r>
          </w:p>
          <w:p w14:paraId="43867DE5" w14:textId="36D7A92B" w:rsidR="00A52F95" w:rsidRDefault="00A52F95" w:rsidP="00F412F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2F95">
              <w:rPr>
                <w:rFonts w:ascii="Times New Roman" w:hAnsi="Times New Roman"/>
              </w:rPr>
              <w:t>W związku z tym, że przeciętne minimalne wynagrodzenie za pracę w 2023 r. nie powinno być niższe niż ustawowe minimum</w:t>
            </w:r>
            <w:r w:rsidR="00CB422E">
              <w:rPr>
                <w:rFonts w:ascii="Times New Roman" w:hAnsi="Times New Roman"/>
              </w:rPr>
              <w:t>,</w:t>
            </w:r>
            <w:r w:rsidRPr="00A52F95">
              <w:rPr>
                <w:rFonts w:ascii="Times New Roman" w:hAnsi="Times New Roman"/>
              </w:rPr>
              <w:t xml:space="preserve"> tj. 3416,30 zł, w projekcie zaproponowano powyższe kwoty minimalnego wynagrodzenia, tj. </w:t>
            </w:r>
            <w:r w:rsidR="00C36D0A" w:rsidRPr="00A52F95">
              <w:rPr>
                <w:rFonts w:ascii="Times New Roman" w:hAnsi="Times New Roman"/>
              </w:rPr>
              <w:t>3383</w:t>
            </w:r>
            <w:r w:rsidR="00C36D0A">
              <w:rPr>
                <w:rFonts w:ascii="Times New Roman" w:hAnsi="Times New Roman"/>
              </w:rPr>
              <w:t xml:space="preserve"> zł </w:t>
            </w:r>
            <w:r w:rsidRPr="00A52F95">
              <w:rPr>
                <w:rFonts w:ascii="Times New Roman" w:hAnsi="Times New Roman"/>
              </w:rPr>
              <w:t xml:space="preserve">od dnia 1 stycznia oraz </w:t>
            </w:r>
            <w:r w:rsidR="00C36D0A" w:rsidRPr="00A52F95">
              <w:rPr>
                <w:rFonts w:ascii="Times New Roman" w:hAnsi="Times New Roman"/>
              </w:rPr>
              <w:t xml:space="preserve">3450 zł </w:t>
            </w:r>
            <w:r w:rsidRPr="00A52F95">
              <w:rPr>
                <w:rFonts w:ascii="Times New Roman" w:hAnsi="Times New Roman"/>
              </w:rPr>
              <w:t>od dnia 1 lipca. Biorąc pod uwagę proponowane kwoty, przeciętna wysokość minimalnego wy</w:t>
            </w:r>
            <w:r w:rsidR="006A2A98">
              <w:rPr>
                <w:rFonts w:ascii="Times New Roman" w:hAnsi="Times New Roman"/>
              </w:rPr>
              <w:t xml:space="preserve">nagrodzenie za pracę w 2023 r. </w:t>
            </w:r>
            <w:r w:rsidRPr="00A52F95">
              <w:rPr>
                <w:rFonts w:ascii="Times New Roman" w:hAnsi="Times New Roman"/>
              </w:rPr>
              <w:t xml:space="preserve">wyniesie </w:t>
            </w:r>
            <w:r w:rsidR="00C36D0A" w:rsidRPr="00C36D0A">
              <w:rPr>
                <w:rFonts w:ascii="Times New Roman" w:hAnsi="Times New Roman"/>
                <w:szCs w:val="24"/>
              </w:rPr>
              <w:t>3416,50 zł.</w:t>
            </w:r>
            <w:r w:rsidRPr="00C36D0A">
              <w:rPr>
                <w:rFonts w:ascii="Times New Roman" w:hAnsi="Times New Roman"/>
                <w:sz w:val="20"/>
              </w:rPr>
              <w:t xml:space="preserve"> </w:t>
            </w:r>
          </w:p>
          <w:p w14:paraId="19989CE0" w14:textId="77777777" w:rsidR="005D6E59" w:rsidRPr="00C36D0A" w:rsidRDefault="00C36D0A" w:rsidP="00F412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36D0A">
              <w:rPr>
                <w:rFonts w:ascii="Times New Roman" w:hAnsi="Times New Roman"/>
                <w:color w:val="000000"/>
                <w:szCs w:val="24"/>
              </w:rPr>
              <w:t xml:space="preserve">Podwyższenie płacy minimalnej od 1 lipca 2023 r. do </w:t>
            </w:r>
            <w:r w:rsidRPr="00C36D0A">
              <w:rPr>
                <w:rFonts w:ascii="Times New Roman" w:hAnsi="Times New Roman"/>
                <w:szCs w:val="24"/>
              </w:rPr>
              <w:t xml:space="preserve">3450 zł oznacza </w:t>
            </w:r>
            <w:r w:rsidRPr="00C36D0A">
              <w:rPr>
                <w:rFonts w:ascii="Times New Roman" w:hAnsi="Times New Roman"/>
                <w:color w:val="000000"/>
                <w:szCs w:val="24"/>
              </w:rPr>
              <w:t>wzrost o 440 zł w stosunku do 2022 r., czyli o 14,6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% </w:t>
            </w:r>
            <w:r w:rsidR="00B26FE9" w:rsidRPr="00C36D0A">
              <w:rPr>
                <w:rFonts w:ascii="Times New Roman" w:hAnsi="Times New Roman"/>
                <w:color w:val="000000"/>
                <w:spacing w:val="-2"/>
              </w:rPr>
              <w:t>oraz relację do prognozowanego na 202</w:t>
            </w:r>
            <w:r w:rsidRPr="00C36D0A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B26FE9" w:rsidRPr="00C36D0A">
              <w:rPr>
                <w:rFonts w:ascii="Times New Roman" w:hAnsi="Times New Roman"/>
                <w:color w:val="000000"/>
                <w:spacing w:val="-2"/>
              </w:rPr>
              <w:t> r. przeciętnego wynagrodzenia w gospodarce narodowej na poziomie 5</w:t>
            </w:r>
            <w:r w:rsidRPr="00C36D0A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="00B26FE9" w:rsidRPr="00C36D0A">
              <w:rPr>
                <w:rFonts w:ascii="Times New Roman" w:hAnsi="Times New Roman"/>
                <w:color w:val="000000"/>
                <w:spacing w:val="-2"/>
              </w:rPr>
              <w:t>,4%</w:t>
            </w:r>
            <w:r w:rsidRPr="00C36D0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CE0D38" w14:paraId="719357AE" w14:textId="77777777" w:rsidTr="00F412F0">
        <w:trPr>
          <w:trHeight w:val="307"/>
        </w:trPr>
        <w:tc>
          <w:tcPr>
            <w:tcW w:w="11340" w:type="dxa"/>
            <w:gridSpan w:val="22"/>
            <w:shd w:val="clear" w:color="auto" w:fill="99CCFF"/>
            <w:vAlign w:val="center"/>
          </w:tcPr>
          <w:p w14:paraId="02577E42" w14:textId="77777777" w:rsidR="006A701A" w:rsidRPr="00CE0D38" w:rsidRDefault="009E3C4B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CE0D38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CE0D3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CE0D38" w14:paraId="20E5CE60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auto"/>
          </w:tcPr>
          <w:p w14:paraId="3C97A6C6" w14:textId="77777777" w:rsidR="006A701A" w:rsidRPr="00CE0D38" w:rsidRDefault="00B26FE9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37A9F">
              <w:rPr>
                <w:rFonts w:ascii="Times New Roman" w:hAnsi="Times New Roman"/>
                <w:color w:val="000000"/>
                <w:spacing w:val="-2"/>
              </w:rPr>
              <w:t xml:space="preserve">Problematyka regulowana przez projekt rozporządzenia nie jest objęta przepisami prawa Unii Europejskiej. </w:t>
            </w:r>
            <w:r w:rsidRPr="00A37A9F">
              <w:rPr>
                <w:rFonts w:ascii="Times New Roman" w:hAnsi="Times New Roman"/>
                <w:color w:val="000000"/>
                <w:spacing w:val="-2"/>
              </w:rPr>
              <w:br/>
              <w:t>W poszczególnych państwach funkcjonują zróżnicowane mechanizmy usta</w:t>
            </w:r>
            <w:r>
              <w:rPr>
                <w:rFonts w:ascii="Times New Roman" w:hAnsi="Times New Roman"/>
                <w:color w:val="000000"/>
                <w:spacing w:val="-2"/>
              </w:rPr>
              <w:t>lania minimalnego wynagrodzenia,</w:t>
            </w:r>
            <w:r w:rsidRPr="00A37A9F">
              <w:rPr>
                <w:rFonts w:ascii="Times New Roman" w:hAnsi="Times New Roman"/>
                <w:color w:val="000000"/>
                <w:spacing w:val="-2"/>
              </w:rPr>
              <w:t xml:space="preserve"> np. minimalne wynagrodzenie m</w:t>
            </w:r>
            <w:r>
              <w:rPr>
                <w:rFonts w:ascii="Times New Roman" w:hAnsi="Times New Roman"/>
                <w:color w:val="000000"/>
                <w:spacing w:val="-2"/>
              </w:rPr>
              <w:t>oże być ustalane w drodze ustawy</w:t>
            </w:r>
            <w:r w:rsidRPr="00A37A9F">
              <w:rPr>
                <w:rFonts w:ascii="Times New Roman" w:hAnsi="Times New Roman"/>
                <w:color w:val="000000"/>
                <w:spacing w:val="-2"/>
              </w:rPr>
              <w:t xml:space="preserve"> albo w ramach negocjacji prowadzonych przez partnerów społecznych.</w:t>
            </w:r>
          </w:p>
        </w:tc>
      </w:tr>
      <w:tr w:rsidR="006A701A" w:rsidRPr="00CE0D38" w14:paraId="2CCD7B6C" w14:textId="77777777" w:rsidTr="00F412F0">
        <w:trPr>
          <w:trHeight w:val="359"/>
        </w:trPr>
        <w:tc>
          <w:tcPr>
            <w:tcW w:w="11340" w:type="dxa"/>
            <w:gridSpan w:val="22"/>
            <w:shd w:val="clear" w:color="auto" w:fill="99CCFF"/>
            <w:vAlign w:val="center"/>
          </w:tcPr>
          <w:p w14:paraId="2B2B078D" w14:textId="77777777" w:rsidR="006A701A" w:rsidRPr="00CE0D38" w:rsidRDefault="006A701A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36C2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6F6D7A" w:rsidRPr="008B4FE6" w14:paraId="479F3DEE" w14:textId="77777777" w:rsidTr="00F412F0">
        <w:trPr>
          <w:trHeight w:val="142"/>
        </w:trPr>
        <w:tc>
          <w:tcPr>
            <w:tcW w:w="2136" w:type="dxa"/>
            <w:shd w:val="clear" w:color="auto" w:fill="auto"/>
          </w:tcPr>
          <w:p w14:paraId="2EBBC78C" w14:textId="77777777" w:rsidR="007C19E3" w:rsidRPr="008B4FE6" w:rsidRDefault="007C19E3" w:rsidP="00F412F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268" w:type="dxa"/>
            <w:gridSpan w:val="3"/>
            <w:shd w:val="clear" w:color="auto" w:fill="auto"/>
          </w:tcPr>
          <w:p w14:paraId="74E30C84" w14:textId="77777777" w:rsidR="007C19E3" w:rsidRPr="008B4FE6" w:rsidRDefault="007C19E3" w:rsidP="00F412F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4651" w:type="dxa"/>
            <w:gridSpan w:val="10"/>
            <w:shd w:val="clear" w:color="auto" w:fill="auto"/>
          </w:tcPr>
          <w:p w14:paraId="456408CE" w14:textId="77777777" w:rsidR="007C19E3" w:rsidRPr="008B4FE6" w:rsidRDefault="007C19E3" w:rsidP="00F412F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85" w:type="dxa"/>
            <w:gridSpan w:val="8"/>
            <w:shd w:val="clear" w:color="auto" w:fill="auto"/>
          </w:tcPr>
          <w:p w14:paraId="29B2B38F" w14:textId="77777777" w:rsidR="007C19E3" w:rsidRPr="008B4FE6" w:rsidRDefault="007C19E3" w:rsidP="00F412F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F6D7A" w:rsidRPr="002E02AA" w14:paraId="4261611C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4317AA27" w14:textId="77777777" w:rsidR="007C19E3" w:rsidRPr="007C19E3" w:rsidRDefault="007C19E3" w:rsidP="00F412F0">
            <w:pPr>
              <w:spacing w:before="120" w:line="240" w:lineRule="auto"/>
              <w:rPr>
                <w:rFonts w:ascii="Times New Roman" w:hAnsi="Times New Roman"/>
              </w:rPr>
            </w:pPr>
            <w:r w:rsidRPr="007C19E3">
              <w:rPr>
                <w:rFonts w:ascii="Times New Roman" w:hAnsi="Times New Roman"/>
              </w:rPr>
              <w:t>Pracownicy otrzymujący wynagrodzenie na poziomie minimalnego wynagrodzenia za pracę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7DE77A13" w14:textId="4974FB1C" w:rsidR="007C19E3" w:rsidRPr="007C19E3" w:rsidRDefault="007C19E3" w:rsidP="00F412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19E3">
              <w:rPr>
                <w:rFonts w:ascii="Times New Roman" w:hAnsi="Times New Roman"/>
              </w:rPr>
              <w:t>ok. 2,7 mln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344317ED" w14:textId="77777777" w:rsidR="007C19E3" w:rsidRPr="007C19E3" w:rsidRDefault="007C19E3" w:rsidP="00F412F0">
            <w:pPr>
              <w:spacing w:before="120" w:line="240" w:lineRule="auto"/>
              <w:rPr>
                <w:rFonts w:ascii="Times New Roman" w:hAnsi="Times New Roman"/>
              </w:rPr>
            </w:pPr>
            <w:r w:rsidRPr="007C19E3">
              <w:rPr>
                <w:rFonts w:ascii="Times New Roman" w:hAnsi="Times New Roman"/>
              </w:rPr>
              <w:t>Dane z Ministerstwa Finansów dotyczące liczby osób świadczących pracę w oparciu o umowę o pracę pobierających wynagrodzenie pomiędzy obecnym a projektowanym minimalnym wynagrodzeniem za pracę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0CF99DAB" w14:textId="77777777" w:rsidR="007C19E3" w:rsidRPr="007C19E3" w:rsidRDefault="007C19E3" w:rsidP="00F412F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C19E3">
              <w:rPr>
                <w:rFonts w:ascii="Times New Roman" w:hAnsi="Times New Roman"/>
                <w:spacing w:val="-2"/>
              </w:rPr>
              <w:t>Wzrost wysokości dochodów rozporządzalnych. uzyskiwanych z pracy najemnej.</w:t>
            </w:r>
          </w:p>
          <w:p w14:paraId="5F224FEF" w14:textId="77777777" w:rsidR="007C19E3" w:rsidRPr="007C19E3" w:rsidRDefault="007C19E3" w:rsidP="00F412F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C19E3">
              <w:rPr>
                <w:rFonts w:ascii="Times New Roman" w:hAnsi="Times New Roman"/>
                <w:spacing w:val="-2"/>
              </w:rPr>
              <w:t xml:space="preserve">Dodatkowo, podniesienie wysokości świadczeń z ZUS </w:t>
            </w:r>
            <w:r w:rsidRPr="007C19E3">
              <w:rPr>
                <w:rFonts w:ascii="Times New Roman" w:hAnsi="Times New Roman"/>
                <w:spacing w:val="-2"/>
              </w:rPr>
              <w:br/>
              <w:t xml:space="preserve">w wyniku wzrostu wysokości składek odprowadzanych na ubezpieczenie emerytalne </w:t>
            </w:r>
            <w:r w:rsidRPr="007C19E3">
              <w:rPr>
                <w:rFonts w:ascii="Times New Roman" w:hAnsi="Times New Roman"/>
                <w:spacing w:val="-2"/>
              </w:rPr>
              <w:br/>
              <w:t>oraz chorobowe.</w:t>
            </w:r>
          </w:p>
        </w:tc>
      </w:tr>
      <w:tr w:rsidR="006F6D7A" w:rsidRPr="006861F4" w14:paraId="28348929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2CD74E7B" w14:textId="77777777" w:rsidR="007C19E3" w:rsidRPr="00942414" w:rsidRDefault="007C19E3" w:rsidP="00F412F0">
            <w:pPr>
              <w:rPr>
                <w:rFonts w:ascii="Times New Roman" w:hAnsi="Times New Roman"/>
              </w:rPr>
            </w:pPr>
            <w:r w:rsidRPr="00942414">
              <w:rPr>
                <w:rFonts w:ascii="Times New Roman" w:hAnsi="Times New Roman"/>
              </w:rPr>
              <w:t>Pracodawcy (podmioty gospodarki narodowej zarejestrowane w rejestrze REGON, deklarujące prowadzenie działalności (z wyłączeniem liczby mikroprzedsiębiorstw do 1 osoby pracującej)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5AEAA052" w14:textId="77777777" w:rsidR="007C19E3" w:rsidRPr="00942414" w:rsidRDefault="007C19E3" w:rsidP="00F412F0">
            <w:pPr>
              <w:jc w:val="center"/>
              <w:rPr>
                <w:rFonts w:ascii="Times New Roman" w:hAnsi="Times New Roman"/>
              </w:rPr>
            </w:pPr>
            <w:r w:rsidRPr="00942414">
              <w:rPr>
                <w:rFonts w:ascii="Times New Roman" w:hAnsi="Times New Roman"/>
              </w:rPr>
              <w:t>ok. 2,5 mln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7615493F" w14:textId="40079E98" w:rsidR="007C19E3" w:rsidRPr="00942414" w:rsidRDefault="007C19E3" w:rsidP="00F412F0">
            <w:pPr>
              <w:rPr>
                <w:rFonts w:ascii="Times New Roman" w:hAnsi="Times New Roman"/>
              </w:rPr>
            </w:pPr>
            <w:r w:rsidRPr="00942414">
              <w:rPr>
                <w:rFonts w:ascii="Times New Roman" w:hAnsi="Times New Roman"/>
              </w:rPr>
              <w:t>Dane REGON (za I kwartał 2022 r.) oraz dane GUS z publikacji Działalność przedsiębiorstw o liczbie pracujących do 9 osób w 20</w:t>
            </w:r>
            <w:r w:rsidR="00786128" w:rsidRPr="00942414">
              <w:rPr>
                <w:rFonts w:ascii="Times New Roman" w:hAnsi="Times New Roman"/>
              </w:rPr>
              <w:t>20</w:t>
            </w:r>
            <w:r w:rsidRPr="00942414">
              <w:rPr>
                <w:rFonts w:ascii="Times New Roman" w:hAnsi="Times New Roman"/>
              </w:rPr>
              <w:t xml:space="preserve"> roku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29A7DF76" w14:textId="77777777" w:rsidR="007C19E3" w:rsidRPr="00942414" w:rsidRDefault="007C19E3" w:rsidP="00F412F0">
            <w:pPr>
              <w:rPr>
                <w:rFonts w:ascii="Times New Roman" w:hAnsi="Times New Roman"/>
              </w:rPr>
            </w:pPr>
            <w:r w:rsidRPr="00942414">
              <w:rPr>
                <w:rFonts w:ascii="Times New Roman" w:hAnsi="Times New Roman"/>
              </w:rPr>
              <w:t>Zwiększone całkowite koszty pracy ponoszone z tytułu wypłaty wynagrodzeń pracownikom otrzymującym wynagrodzenie na poziomie minimalnego wynagrodzenia za pracę.</w:t>
            </w:r>
          </w:p>
        </w:tc>
      </w:tr>
      <w:tr w:rsidR="006F6D7A" w:rsidRPr="006861F4" w14:paraId="7C7DCD0C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027EB4D4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Osoby duchowne objęte składką na ubezpieczenie społeczne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51EBCEB4" w14:textId="3641DC83" w:rsidR="007C19E3" w:rsidRPr="00E32E50" w:rsidRDefault="007C19E3" w:rsidP="00F41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23,</w:t>
            </w:r>
            <w:r w:rsidR="00E32E50" w:rsidRPr="00E32E50">
              <w:rPr>
                <w:rFonts w:ascii="Times New Roman" w:hAnsi="Times New Roman"/>
                <w:color w:val="000000"/>
              </w:rPr>
              <w:t>7</w:t>
            </w:r>
            <w:r w:rsidRPr="00E32E50">
              <w:rPr>
                <w:rFonts w:ascii="Times New Roman" w:hAnsi="Times New Roman"/>
                <w:color w:val="000000"/>
              </w:rPr>
              <w:t xml:space="preserve"> tys.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5E65B73E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Informacja z Ministerstwa Spraw Wewnętrznych i Administracji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7F33ACEC" w14:textId="599AF511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spacing w:val="-2"/>
              </w:rPr>
              <w:t>Podniesi</w:t>
            </w:r>
            <w:r w:rsidR="00BD276F">
              <w:rPr>
                <w:rFonts w:ascii="Times New Roman" w:hAnsi="Times New Roman"/>
                <w:spacing w:val="-2"/>
              </w:rPr>
              <w:t xml:space="preserve">enie wysokości świadczeń z ZUS </w:t>
            </w:r>
            <w:r w:rsidRPr="00E32E50">
              <w:rPr>
                <w:rFonts w:ascii="Times New Roman" w:hAnsi="Times New Roman"/>
                <w:spacing w:val="-2"/>
              </w:rPr>
              <w:t>w wyniku wzrostu wysokości składek odprowadzanych na ubezpieczenie społeczne.</w:t>
            </w:r>
          </w:p>
        </w:tc>
      </w:tr>
      <w:tr w:rsidR="006F6D7A" w:rsidRPr="006861F4" w14:paraId="01FC6802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0130342F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Strażacy Państwowej Straży Pożarnej w służbie kandydackiej objęte składką na ubezpieczenie zdrowotne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314E9510" w14:textId="0E63736E" w:rsidR="007C19E3" w:rsidRPr="00E32E50" w:rsidRDefault="00E32E50" w:rsidP="00F41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2EB9642D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Informacja z Ministerstwa Spraw Wewnętrznych i Administracji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1944DDC4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spacing w:val="-2"/>
              </w:rPr>
              <w:t>Podniesienie wysokości składek odprowadzanych na ubezpieczenie zdrowotne.</w:t>
            </w:r>
          </w:p>
        </w:tc>
      </w:tr>
      <w:tr w:rsidR="006F6D7A" w:rsidRPr="006861F4" w14:paraId="129862B1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4B2ECE9C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Funkcjonariusze Służby Więziennej w służbie kandydackiej objęci składką na ubezpieczenie zdrowotne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5DB90982" w14:textId="7D2021A1" w:rsidR="007C19E3" w:rsidRPr="00E32E50" w:rsidRDefault="00E32E50" w:rsidP="00F41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1EAE9652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Informacja z Ministerstwa Sprawiedliwości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2AC99651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spacing w:val="-2"/>
              </w:rPr>
              <w:t>Podniesienie wysokości składek odprowadzanych na ubezpieczenie zdrowotne.</w:t>
            </w:r>
          </w:p>
        </w:tc>
      </w:tr>
      <w:tr w:rsidR="006F6D7A" w:rsidRPr="006861F4" w14:paraId="6BE86F6D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7B0EDBCA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Skazani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0412DD22" w14:textId="2D4FC58C" w:rsidR="007C19E3" w:rsidRPr="00E32E50" w:rsidRDefault="007C19E3" w:rsidP="005A0A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3</w:t>
            </w:r>
            <w:r w:rsidR="005A0A69">
              <w:rPr>
                <w:rFonts w:ascii="Times New Roman" w:hAnsi="Times New Roman"/>
                <w:color w:val="000000"/>
              </w:rPr>
              <w:t>,</w:t>
            </w:r>
            <w:r w:rsidRPr="00E32E50">
              <w:rPr>
                <w:rFonts w:ascii="Times New Roman" w:hAnsi="Times New Roman"/>
                <w:color w:val="000000"/>
              </w:rPr>
              <w:t>8</w:t>
            </w:r>
            <w:r w:rsidR="005A0A69">
              <w:rPr>
                <w:rFonts w:ascii="Times New Roman" w:hAnsi="Times New Roman"/>
                <w:color w:val="000000"/>
              </w:rPr>
              <w:t xml:space="preserve"> tys.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62BA017E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Informacja z Ministerstwa Sprawiedliwości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14D83C0E" w14:textId="77777777" w:rsidR="007C19E3" w:rsidRPr="00E32E50" w:rsidRDefault="007C19E3" w:rsidP="00F412F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32E50">
              <w:rPr>
                <w:rFonts w:ascii="Times New Roman" w:hAnsi="Times New Roman"/>
                <w:color w:val="000000"/>
              </w:rPr>
              <w:t xml:space="preserve">Podniesienie </w:t>
            </w:r>
            <w:r w:rsidRPr="00E32E50">
              <w:rPr>
                <w:rFonts w:ascii="Times New Roman" w:hAnsi="Times New Roman"/>
                <w:spacing w:val="-2"/>
              </w:rPr>
              <w:t>wysokości dochodów rozporządzalnych uzyskiwanych z pracy skazanych.</w:t>
            </w:r>
          </w:p>
          <w:p w14:paraId="4684B389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spacing w:val="-2"/>
              </w:rPr>
              <w:t xml:space="preserve">Dodatkowo, podniesienie wysokości świadczeń z ZUS w wyniku wzrostu wysokości składek odprowadzanych na ubezpieczenie społeczne. A także </w:t>
            </w:r>
            <w:r w:rsidRPr="00E32E50">
              <w:rPr>
                <w:rFonts w:ascii="Times New Roman" w:hAnsi="Times New Roman"/>
                <w:spacing w:val="-2"/>
              </w:rPr>
              <w:lastRenderedPageBreak/>
              <w:t>poniesienie wysokości składek zasilających Fundusz Pomocy Pokrzywdzonym oraz Pomocy Postpenitencjarnej oraz Fundusz Aktywizacji Zawodowej Skazanych oraz Rozwoju Przywięziennych Zakładów Pracy.</w:t>
            </w:r>
          </w:p>
        </w:tc>
      </w:tr>
      <w:tr w:rsidR="006F6D7A" w:rsidRPr="006861F4" w14:paraId="6605761D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4F078E93" w14:textId="77777777" w:rsidR="007C19E3" w:rsidRPr="00EC46D5" w:rsidRDefault="007C19E3" w:rsidP="00F412F0">
            <w:pPr>
              <w:pStyle w:val="Tekstpodstawowy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</w:rPr>
              <w:lastRenderedPageBreak/>
              <w:t>Osoby wykonujące pracę na podstawie umowy uaktywniającej objęte składkami na ubezpieczenie społeczne oraz zdrowotne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6FF57F7B" w14:textId="685A603A" w:rsidR="007C19E3" w:rsidRPr="00EC46D5" w:rsidRDefault="00EC46D5" w:rsidP="005A0A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  <w:color w:val="000000"/>
              </w:rPr>
              <w:t>4</w:t>
            </w:r>
            <w:r w:rsidR="005A0A69">
              <w:rPr>
                <w:rFonts w:ascii="Times New Roman" w:hAnsi="Times New Roman"/>
                <w:color w:val="000000"/>
              </w:rPr>
              <w:t>,</w:t>
            </w:r>
            <w:r w:rsidRPr="00EC46D5">
              <w:rPr>
                <w:rFonts w:ascii="Times New Roman" w:hAnsi="Times New Roman"/>
                <w:color w:val="000000"/>
              </w:rPr>
              <w:t>9</w:t>
            </w:r>
            <w:r w:rsidR="005A0A69">
              <w:rPr>
                <w:rFonts w:ascii="Times New Roman" w:hAnsi="Times New Roman"/>
                <w:color w:val="000000"/>
              </w:rPr>
              <w:t xml:space="preserve"> tys.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382888F8" w14:textId="77777777" w:rsidR="007C19E3" w:rsidRPr="00EC46D5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  <w:color w:val="000000"/>
              </w:rPr>
              <w:t>Informacja z Ministerstwa Rodziny i Polityki Społecznej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061B7288" w14:textId="55138732" w:rsidR="007C19E3" w:rsidRPr="00EC46D5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  <w:spacing w:val="-2"/>
              </w:rPr>
              <w:t>Podniesi</w:t>
            </w:r>
            <w:r w:rsidR="00BD276F">
              <w:rPr>
                <w:rFonts w:ascii="Times New Roman" w:hAnsi="Times New Roman"/>
                <w:spacing w:val="-2"/>
              </w:rPr>
              <w:t xml:space="preserve">enie wysokości świadczeń z ZUS </w:t>
            </w:r>
            <w:r w:rsidRPr="00EC46D5">
              <w:rPr>
                <w:rFonts w:ascii="Times New Roman" w:hAnsi="Times New Roman"/>
                <w:spacing w:val="-2"/>
              </w:rPr>
              <w:t>w wyniku wzrostu wysokości składek odprowadzanych na ubezpieczenie społeczne.</w:t>
            </w:r>
          </w:p>
        </w:tc>
      </w:tr>
      <w:tr w:rsidR="006F6D7A" w:rsidRPr="006861F4" w14:paraId="5C623A3E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7A9124E7" w14:textId="77777777" w:rsidR="007C19E3" w:rsidRPr="00EC46D5" w:rsidRDefault="007C19E3" w:rsidP="00F412F0">
            <w:pPr>
              <w:pStyle w:val="Tekstpodstawowy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</w:rPr>
              <w:t>Osoby pobierające świadczenia pielęgnacyjne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2D41A11D" w14:textId="2F4B2753" w:rsidR="007C19E3" w:rsidRPr="00EC46D5" w:rsidRDefault="00E32E50" w:rsidP="00F41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  <w:color w:val="000000"/>
              </w:rPr>
              <w:t>246</w:t>
            </w:r>
            <w:r w:rsidR="007C19E3" w:rsidRPr="00EC46D5">
              <w:rPr>
                <w:rFonts w:ascii="Times New Roman" w:hAnsi="Times New Roman"/>
                <w:color w:val="000000"/>
              </w:rPr>
              <w:t xml:space="preserve"> tys.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49CE9E4A" w14:textId="77777777" w:rsidR="007C19E3" w:rsidRPr="00EC46D5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  <w:color w:val="000000"/>
              </w:rPr>
              <w:t>Informacja z Ministerstwa Rodziny i Polityki Społecznej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169B6509" w14:textId="77777777" w:rsidR="007C19E3" w:rsidRPr="00EC46D5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  <w:color w:val="000000"/>
              </w:rPr>
              <w:t>Podniesienie wysokości dochodów rozporządzalnych uzyskiwanych ze świadczeń pielęgnacyjnych.</w:t>
            </w:r>
          </w:p>
          <w:p w14:paraId="627FD02D" w14:textId="77777777" w:rsidR="007C19E3" w:rsidRPr="00EC46D5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C46D5">
              <w:rPr>
                <w:rFonts w:ascii="Times New Roman" w:hAnsi="Times New Roman"/>
                <w:color w:val="000000"/>
              </w:rPr>
              <w:t xml:space="preserve">Ponadto, </w:t>
            </w:r>
            <w:r w:rsidRPr="00EC46D5">
              <w:rPr>
                <w:rFonts w:ascii="Times New Roman" w:hAnsi="Times New Roman"/>
                <w:spacing w:val="-2"/>
              </w:rPr>
              <w:t xml:space="preserve">podniesienie wysokości świadczeń z ZUS </w:t>
            </w:r>
            <w:r w:rsidRPr="00EC46D5">
              <w:rPr>
                <w:rFonts w:ascii="Times New Roman" w:hAnsi="Times New Roman"/>
                <w:spacing w:val="-2"/>
              </w:rPr>
              <w:br/>
              <w:t>w wyniku wzrostu wysokości składek odprowadzanych na ubezpieczenie społeczne.</w:t>
            </w:r>
          </w:p>
        </w:tc>
      </w:tr>
      <w:tr w:rsidR="006F6D7A" w14:paraId="22A365E5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3F614BF1" w14:textId="77777777" w:rsidR="007C19E3" w:rsidRPr="00E32E50" w:rsidRDefault="007C19E3" w:rsidP="00F412F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E32E50">
              <w:rPr>
                <w:rFonts w:ascii="Times New Roman" w:hAnsi="Times New Roman"/>
              </w:rPr>
              <w:t>Osoby na urlopach wychowawczych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12AB3A37" w14:textId="0CF883B6" w:rsidR="007C19E3" w:rsidRPr="00E32E50" w:rsidRDefault="007C19E3" w:rsidP="00F41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7,</w:t>
            </w:r>
            <w:r w:rsidR="00E32E50" w:rsidRPr="00E32E50">
              <w:rPr>
                <w:rFonts w:ascii="Times New Roman" w:hAnsi="Times New Roman"/>
                <w:color w:val="000000"/>
              </w:rPr>
              <w:t>5</w:t>
            </w:r>
            <w:r w:rsidRPr="00E32E50">
              <w:rPr>
                <w:rFonts w:ascii="Times New Roman" w:hAnsi="Times New Roman"/>
                <w:color w:val="000000"/>
              </w:rPr>
              <w:t xml:space="preserve"> tys.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4DE50567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Informacja z Zakładu Ubezpieczeń Społecznych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660D2DD0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Podniesienie wysokości świadczeń z ZUS w wyniku wzrostu wysokości składek odprowadzanych na ubezpieczenie społeczne.</w:t>
            </w:r>
          </w:p>
        </w:tc>
      </w:tr>
      <w:tr w:rsidR="006F6D7A" w14:paraId="6F288AE4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7188DA28" w14:textId="77777777" w:rsidR="007C19E3" w:rsidRPr="00E32E50" w:rsidRDefault="007C19E3" w:rsidP="00F412F0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 w:rsidRPr="00E32E50">
              <w:rPr>
                <w:rFonts w:ascii="Times New Roman" w:hAnsi="Times New Roman"/>
              </w:rPr>
              <w:t xml:space="preserve">Osoby sprawujące osobistą opiekę nad dzieckiem podlegające wyłącznie ubezpieczeniu emerytalnemu 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2A2613D0" w14:textId="4C388B9B" w:rsidR="007C19E3" w:rsidRPr="00E32E50" w:rsidRDefault="007C19E3" w:rsidP="00F412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2,</w:t>
            </w:r>
            <w:r w:rsidR="00E32E50" w:rsidRPr="00E32E50">
              <w:rPr>
                <w:rFonts w:ascii="Times New Roman" w:hAnsi="Times New Roman"/>
                <w:color w:val="000000"/>
              </w:rPr>
              <w:t>4</w:t>
            </w:r>
            <w:r w:rsidRPr="00E32E50">
              <w:rPr>
                <w:rFonts w:ascii="Times New Roman" w:hAnsi="Times New Roman"/>
                <w:color w:val="000000"/>
              </w:rPr>
              <w:t xml:space="preserve"> tys.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11D2DFF7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Informacja z Zakładu Ubezpieczeń Społecznych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61E6D28E" w14:textId="77777777" w:rsidR="007C19E3" w:rsidRPr="00E32E50" w:rsidRDefault="007C19E3" w:rsidP="00F412F0">
            <w:pPr>
              <w:rPr>
                <w:rFonts w:ascii="Times New Roman" w:hAnsi="Times New Roman"/>
                <w:color w:val="000000"/>
              </w:rPr>
            </w:pPr>
            <w:r w:rsidRPr="00E32E50">
              <w:rPr>
                <w:rFonts w:ascii="Times New Roman" w:hAnsi="Times New Roman"/>
                <w:color w:val="000000"/>
              </w:rPr>
              <w:t>Podniesienie wysokości świadczenia emerytalnego z ZUS w wyniku wzrostu wysokości składki odprowadzanej na ubezpieczenie emerytalne.</w:t>
            </w:r>
          </w:p>
        </w:tc>
      </w:tr>
      <w:tr w:rsidR="00577030" w14:paraId="2C3D6224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30451238" w14:textId="28C7B63D" w:rsidR="00577030" w:rsidRDefault="00577030" w:rsidP="00F412F0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PFRON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64D8B885" w14:textId="2FC45733" w:rsidR="00577030" w:rsidRPr="007B2813" w:rsidRDefault="00577030" w:rsidP="00F41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 150 mln</w:t>
            </w:r>
            <w:r w:rsidR="00DB4A5A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Do 150 mln</w:t>
            </w:r>
            <w:r w:rsidR="00DB4A5A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 xml:space="preserve"> – dotacja z budżetu państwa. 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692BBFC6" w14:textId="77777777" w:rsidR="00577030" w:rsidRPr="00061B1B" w:rsidRDefault="00577030" w:rsidP="00F412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4E68F9A1" w14:textId="741EE642" w:rsidR="00577030" w:rsidRDefault="00577030" w:rsidP="00F412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Podniesienie wysokości </w:t>
            </w:r>
            <w:r w:rsidRPr="00577030">
              <w:rPr>
                <w:rFonts w:ascii="Times New Roman" w:hAnsi="Times New Roman"/>
                <w:color w:val="000000"/>
              </w:rPr>
              <w:t>środków (4% kwoty najniższego wynagrodzenia) przekazywanych na wniosek  dysponenta zakładowego funduszu aktywności albo funduszu rehabilitacji</w:t>
            </w:r>
            <w:r>
              <w:rPr>
                <w:rFonts w:ascii="Times New Roman" w:hAnsi="Times New Roman"/>
                <w:color w:val="000000"/>
              </w:rPr>
              <w:t xml:space="preserve"> może spowodować przekroczenie dotacji z budżetu państwa w wysokości 150 mln.  W takim przypadku nadwyżkę pokrywa PFRON ze środków własnych.  </w:t>
            </w:r>
          </w:p>
        </w:tc>
      </w:tr>
      <w:tr w:rsidR="006F6D7A" w14:paraId="7471940C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4199E3D9" w14:textId="1A51FFF8" w:rsidR="00E32E50" w:rsidRPr="00E32E50" w:rsidRDefault="00061B1B" w:rsidP="00F412F0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Zakłady pracy chronionej i aktywności zawodowej (d</w:t>
            </w:r>
            <w:r w:rsidR="007E7870">
              <w:rPr>
                <w:rFonts w:ascii="Times New Roman" w:hAnsi="Times New Roman"/>
              </w:rPr>
              <w:t xml:space="preserve">ysponenci </w:t>
            </w:r>
            <w:r w:rsidR="007E7870" w:rsidRPr="007E7870">
              <w:rPr>
                <w:rFonts w:ascii="Times New Roman" w:hAnsi="Times New Roman"/>
              </w:rPr>
              <w:t xml:space="preserve">zakładowego funduszu aktywności </w:t>
            </w:r>
            <w:r w:rsidR="007E7870" w:rsidRPr="007E7870">
              <w:rPr>
                <w:rFonts w:ascii="Times New Roman" w:hAnsi="Times New Roman"/>
              </w:rPr>
              <w:lastRenderedPageBreak/>
              <w:t>albo funduszu rehabilitacji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42404E0F" w14:textId="1605DBEA" w:rsidR="00E32E50" w:rsidRPr="007B2813" w:rsidRDefault="00061B1B" w:rsidP="00F412F0">
            <w:pPr>
              <w:jc w:val="center"/>
              <w:rPr>
                <w:rFonts w:ascii="Times New Roman" w:hAnsi="Times New Roman"/>
              </w:rPr>
            </w:pPr>
            <w:r w:rsidRPr="007B2813">
              <w:rPr>
                <w:rFonts w:ascii="Times New Roman" w:hAnsi="Times New Roman"/>
              </w:rPr>
              <w:lastRenderedPageBreak/>
              <w:t>7</w:t>
            </w:r>
            <w:r w:rsidR="00BD276F">
              <w:rPr>
                <w:rFonts w:ascii="Times New Roman" w:hAnsi="Times New Roman"/>
              </w:rPr>
              <w:t>50</w:t>
            </w:r>
            <w:r w:rsidRPr="007B2813">
              <w:rPr>
                <w:rFonts w:ascii="Times New Roman" w:hAnsi="Times New Roman"/>
              </w:rPr>
              <w:t xml:space="preserve"> – zakłady pracy chronionej</w:t>
            </w:r>
          </w:p>
          <w:p w14:paraId="26DE5955" w14:textId="145B1369" w:rsidR="00DB4A5A" w:rsidRPr="007B2813" w:rsidRDefault="00BD276F" w:rsidP="00F41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="00061B1B" w:rsidRPr="007B2813">
              <w:rPr>
                <w:rFonts w:ascii="Times New Roman" w:hAnsi="Times New Roman"/>
              </w:rPr>
              <w:t xml:space="preserve"> – zakłady </w:t>
            </w:r>
            <w:r w:rsidR="00061B1B" w:rsidRPr="007B2813">
              <w:rPr>
                <w:rFonts w:ascii="Times New Roman" w:hAnsi="Times New Roman"/>
              </w:rPr>
              <w:lastRenderedPageBreak/>
              <w:t>aktywności zawodowej</w:t>
            </w:r>
            <w:r w:rsidR="00DB4A5A">
              <w:rPr>
                <w:rFonts w:ascii="Times New Roman" w:hAnsi="Times New Roman"/>
              </w:rPr>
              <w:t xml:space="preserve"> </w:t>
            </w:r>
          </w:p>
          <w:p w14:paraId="47C6C27D" w14:textId="00D08BD6" w:rsidR="00061B1B" w:rsidRPr="00DB4A5A" w:rsidRDefault="00061B1B" w:rsidP="00F412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2F201A44" w14:textId="653EFD85" w:rsidR="00E32E50" w:rsidRPr="00E32E50" w:rsidRDefault="00061B1B" w:rsidP="00BD276F">
            <w:pPr>
              <w:rPr>
                <w:rFonts w:ascii="Times New Roman" w:hAnsi="Times New Roman"/>
                <w:color w:val="000000"/>
              </w:rPr>
            </w:pPr>
            <w:r w:rsidRPr="00061B1B">
              <w:rPr>
                <w:rFonts w:ascii="Times New Roman" w:hAnsi="Times New Roman"/>
                <w:color w:val="000000"/>
              </w:rPr>
              <w:lastRenderedPageBreak/>
              <w:t xml:space="preserve">Dane pochodzące od </w:t>
            </w:r>
            <w:r w:rsidRPr="009D0ABB">
              <w:rPr>
                <w:rFonts w:ascii="Times New Roman" w:hAnsi="Times New Roman"/>
                <w:color w:val="000000"/>
              </w:rPr>
              <w:t xml:space="preserve">wojewodów </w:t>
            </w:r>
            <w:r w:rsidR="00DB4A5A" w:rsidRPr="009D0ABB">
              <w:rPr>
                <w:rFonts w:ascii="Times New Roman" w:hAnsi="Times New Roman"/>
              </w:rPr>
              <w:t xml:space="preserve">(koniec </w:t>
            </w:r>
            <w:r w:rsidR="00BD276F">
              <w:rPr>
                <w:rFonts w:ascii="Times New Roman" w:hAnsi="Times New Roman"/>
              </w:rPr>
              <w:t>grudnia</w:t>
            </w:r>
            <w:r w:rsidR="00DB4A5A" w:rsidRPr="009D0ABB">
              <w:rPr>
                <w:rFonts w:ascii="Times New Roman" w:hAnsi="Times New Roman"/>
              </w:rPr>
              <w:t xml:space="preserve"> 2021 r.)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7D9C68E8" w14:textId="452B314B" w:rsidR="00E32E50" w:rsidRPr="00E32E50" w:rsidRDefault="00D56C71" w:rsidP="00F412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Podniesienie wysokości </w:t>
            </w:r>
            <w:r w:rsidR="0021497D">
              <w:rPr>
                <w:rFonts w:ascii="Times New Roman" w:hAnsi="Times New Roman"/>
                <w:color w:val="000000"/>
              </w:rPr>
              <w:t>środków (</w:t>
            </w:r>
            <w:r w:rsidR="0021497D" w:rsidRPr="0021497D">
              <w:rPr>
                <w:rFonts w:ascii="Times New Roman" w:hAnsi="Times New Roman"/>
                <w:color w:val="000000"/>
              </w:rPr>
              <w:t>4% kwoty najniższego wynagrodzenia</w:t>
            </w:r>
            <w:r w:rsidR="0021497D">
              <w:rPr>
                <w:rFonts w:ascii="Times New Roman" w:hAnsi="Times New Roman"/>
                <w:color w:val="000000"/>
              </w:rPr>
              <w:t xml:space="preserve">) przekazywanych na wniosek </w:t>
            </w:r>
            <w:r w:rsidR="0021497D" w:rsidRPr="0021497D">
              <w:rPr>
                <w:rFonts w:ascii="Times New Roman" w:hAnsi="Times New Roman"/>
                <w:color w:val="000000"/>
              </w:rPr>
              <w:t xml:space="preserve">dysponenta zakładowego funduszu aktywności albo funduszu </w:t>
            </w:r>
            <w:r w:rsidR="0021497D" w:rsidRPr="0021497D">
              <w:rPr>
                <w:rFonts w:ascii="Times New Roman" w:hAnsi="Times New Roman"/>
                <w:color w:val="000000"/>
              </w:rPr>
              <w:lastRenderedPageBreak/>
              <w:t xml:space="preserve">rehabilitacji </w:t>
            </w:r>
            <w:r w:rsidR="00E925E3">
              <w:rPr>
                <w:rFonts w:ascii="Times New Roman" w:hAnsi="Times New Roman"/>
                <w:color w:val="000000"/>
              </w:rPr>
              <w:t xml:space="preserve">będzie miało pozytywny wpływ na utrzymanie miejsc pracy osób </w:t>
            </w:r>
            <w:r w:rsidR="0021497D">
              <w:rPr>
                <w:rFonts w:ascii="Times New Roman" w:hAnsi="Times New Roman"/>
                <w:color w:val="000000"/>
              </w:rPr>
              <w:t>niepełnosprawnych</w:t>
            </w:r>
            <w:r w:rsidR="00061B1B">
              <w:rPr>
                <w:rFonts w:ascii="Times New Roman" w:hAnsi="Times New Roman"/>
                <w:color w:val="000000"/>
              </w:rPr>
              <w:t>, wsparcie pracowników, zmniejszenie kosztów działalności.</w:t>
            </w:r>
          </w:p>
        </w:tc>
      </w:tr>
      <w:tr w:rsidR="00061B1B" w14:paraId="0789FF84" w14:textId="77777777" w:rsidTr="00F412F0">
        <w:trPr>
          <w:trHeight w:val="142"/>
        </w:trPr>
        <w:tc>
          <w:tcPr>
            <w:tcW w:w="2136" w:type="dxa"/>
            <w:shd w:val="clear" w:color="auto" w:fill="auto"/>
            <w:vAlign w:val="center"/>
          </w:tcPr>
          <w:p w14:paraId="2753B4CB" w14:textId="4422637B" w:rsidR="00061B1B" w:rsidRDefault="00061B1B" w:rsidP="00F412F0">
            <w:pPr>
              <w:pStyle w:val="Tekstpodstawow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Osoby niepełnosprawne zatrudnione w zakładach pracy chronionej i zakładach aktywności zawodowej 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514B9368" w14:textId="169DB3D8" w:rsidR="00061B1B" w:rsidRDefault="00BD276F" w:rsidP="00F412F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102,28</w:t>
            </w:r>
            <w:r w:rsidR="00950BE3">
              <w:rPr>
                <w:rFonts w:ascii="Times New Roman" w:hAnsi="Times New Roman"/>
              </w:rPr>
              <w:t xml:space="preserve"> tys.</w:t>
            </w:r>
            <w:r w:rsidR="00061B1B" w:rsidRPr="007B28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1" w:type="dxa"/>
            <w:gridSpan w:val="10"/>
            <w:shd w:val="clear" w:color="auto" w:fill="auto"/>
            <w:vAlign w:val="center"/>
          </w:tcPr>
          <w:p w14:paraId="5B62D771" w14:textId="0055A2DE" w:rsidR="00061B1B" w:rsidRPr="00061B1B" w:rsidRDefault="00061B1B" w:rsidP="00F412F0">
            <w:pPr>
              <w:rPr>
                <w:rFonts w:ascii="Times New Roman" w:hAnsi="Times New Roman"/>
                <w:color w:val="000000"/>
              </w:rPr>
            </w:pPr>
            <w:r w:rsidRPr="00061B1B">
              <w:rPr>
                <w:rFonts w:ascii="Times New Roman" w:hAnsi="Times New Roman"/>
                <w:color w:val="000000"/>
              </w:rPr>
              <w:t>Dane pochodzące od wojewodów za I</w:t>
            </w:r>
            <w:r w:rsidR="00467F62">
              <w:rPr>
                <w:rFonts w:ascii="Times New Roman" w:hAnsi="Times New Roman"/>
                <w:color w:val="000000"/>
              </w:rPr>
              <w:t>I</w:t>
            </w:r>
            <w:r w:rsidRPr="00061B1B">
              <w:rPr>
                <w:rFonts w:ascii="Times New Roman" w:hAnsi="Times New Roman"/>
                <w:color w:val="000000"/>
              </w:rPr>
              <w:t xml:space="preserve"> półrocze 2021 r</w:t>
            </w:r>
            <w:r w:rsidR="006701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14:paraId="79F00202" w14:textId="650352B1" w:rsidR="00061B1B" w:rsidRDefault="00061B1B" w:rsidP="00F412F0">
            <w:pPr>
              <w:rPr>
                <w:rFonts w:ascii="Times New Roman" w:hAnsi="Times New Roman"/>
                <w:color w:val="000000"/>
              </w:rPr>
            </w:pPr>
            <w:r w:rsidRPr="00061B1B">
              <w:rPr>
                <w:rFonts w:ascii="Times New Roman" w:hAnsi="Times New Roman"/>
                <w:color w:val="000000"/>
              </w:rPr>
              <w:t xml:space="preserve">Podniesienie wysokości środków (4% kwoty najniższego wynagrodzenia) przekazywanych na wniosek  dysponenta </w:t>
            </w:r>
            <w:r w:rsidR="00BC228B">
              <w:rPr>
                <w:rFonts w:ascii="Times New Roman" w:hAnsi="Times New Roman"/>
                <w:color w:val="000000"/>
              </w:rPr>
              <w:t>z</w:t>
            </w:r>
            <w:r w:rsidRPr="00061B1B">
              <w:rPr>
                <w:rFonts w:ascii="Times New Roman" w:hAnsi="Times New Roman"/>
                <w:color w:val="000000"/>
              </w:rPr>
              <w:t xml:space="preserve">akładowego </w:t>
            </w:r>
            <w:r w:rsidR="00BC228B">
              <w:rPr>
                <w:rFonts w:ascii="Times New Roman" w:hAnsi="Times New Roman"/>
                <w:color w:val="000000"/>
              </w:rPr>
              <w:t>f</w:t>
            </w:r>
            <w:r w:rsidRPr="00061B1B">
              <w:rPr>
                <w:rFonts w:ascii="Times New Roman" w:hAnsi="Times New Roman"/>
                <w:color w:val="000000"/>
              </w:rPr>
              <w:t xml:space="preserve">unduszu </w:t>
            </w:r>
            <w:r w:rsidR="00BC228B">
              <w:rPr>
                <w:rFonts w:ascii="Times New Roman" w:hAnsi="Times New Roman"/>
                <w:color w:val="000000"/>
              </w:rPr>
              <w:t>a</w:t>
            </w:r>
            <w:r w:rsidRPr="00061B1B">
              <w:rPr>
                <w:rFonts w:ascii="Times New Roman" w:hAnsi="Times New Roman"/>
                <w:color w:val="000000"/>
              </w:rPr>
              <w:t xml:space="preserve">ktywności albo funduszu rehabilitacji </w:t>
            </w:r>
            <w:r>
              <w:rPr>
                <w:rFonts w:ascii="Times New Roman" w:hAnsi="Times New Roman"/>
                <w:color w:val="000000"/>
              </w:rPr>
              <w:t xml:space="preserve">przyczyni się do  utrzymania miejsc pracy oraz stanowi wsparcie w leczeniu, rehabilitacji leczniczej, społecznej, zawodowej. </w:t>
            </w:r>
            <w:r w:rsidR="007B2813">
              <w:rPr>
                <w:rFonts w:ascii="Times New Roman" w:hAnsi="Times New Roman"/>
                <w:color w:val="000000"/>
              </w:rPr>
              <w:t>Przyczyni się również do zwiększenia udziału osób niepełnosprawnych w rynku pracy.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CE0D38" w14:paraId="22AE3486" w14:textId="77777777" w:rsidTr="00F412F0">
        <w:trPr>
          <w:trHeight w:val="302"/>
        </w:trPr>
        <w:tc>
          <w:tcPr>
            <w:tcW w:w="11340" w:type="dxa"/>
            <w:gridSpan w:val="22"/>
            <w:shd w:val="clear" w:color="auto" w:fill="99CCFF"/>
            <w:vAlign w:val="center"/>
          </w:tcPr>
          <w:p w14:paraId="0F64A22C" w14:textId="77777777" w:rsidR="006A701A" w:rsidRPr="00CE0D38" w:rsidRDefault="001B3460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CE0D38">
              <w:rPr>
                <w:rFonts w:ascii="Times New Roman" w:hAnsi="Times New Roman"/>
                <w:b/>
                <w:color w:val="000000"/>
              </w:rPr>
              <w:t>,</w:t>
            </w:r>
            <w:r w:rsidRPr="00CE0D38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CE0D38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CE0D38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CE0D38" w14:paraId="21EEB065" w14:textId="77777777" w:rsidTr="00F412F0">
        <w:trPr>
          <w:trHeight w:val="342"/>
        </w:trPr>
        <w:tc>
          <w:tcPr>
            <w:tcW w:w="11340" w:type="dxa"/>
            <w:gridSpan w:val="22"/>
            <w:shd w:val="clear" w:color="auto" w:fill="FFFFFF"/>
          </w:tcPr>
          <w:p w14:paraId="1021CE8D" w14:textId="77777777" w:rsidR="006B1749" w:rsidRPr="00CE0D38" w:rsidRDefault="006B1749" w:rsidP="00F412F0">
            <w:pPr>
              <w:spacing w:before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CE0D38">
              <w:rPr>
                <w:rFonts w:ascii="Times New Roman" w:eastAsia="Times New Roman" w:hAnsi="Times New Roman"/>
              </w:rPr>
              <w:t>Projekt rozporządzenia będzie przedmiotem opiniowania w trybie przepisów:</w:t>
            </w:r>
          </w:p>
          <w:p w14:paraId="7BFDB0D7" w14:textId="17B446A4" w:rsidR="006B1749" w:rsidRPr="00CE0D38" w:rsidRDefault="006B1749" w:rsidP="00F412F0">
            <w:pPr>
              <w:numPr>
                <w:ilvl w:val="0"/>
                <w:numId w:val="22"/>
              </w:numPr>
              <w:spacing w:line="240" w:lineRule="auto"/>
              <w:ind w:left="285" w:hanging="285"/>
              <w:jc w:val="both"/>
              <w:rPr>
                <w:rFonts w:ascii="Times New Roman" w:eastAsia="Times New Roman" w:hAnsi="Times New Roman"/>
              </w:rPr>
            </w:pPr>
            <w:r w:rsidRPr="00CE0D38">
              <w:rPr>
                <w:rFonts w:ascii="Times New Roman" w:eastAsia="Times New Roman" w:hAnsi="Times New Roman"/>
              </w:rPr>
              <w:t>ustawy z dnia 23 maja 1991 r. o związkach zawodowych (Dz. U. z 20</w:t>
            </w:r>
            <w:r w:rsidR="00D841AF">
              <w:rPr>
                <w:rFonts w:ascii="Times New Roman" w:eastAsia="Times New Roman" w:hAnsi="Times New Roman"/>
              </w:rPr>
              <w:t xml:space="preserve">22 </w:t>
            </w:r>
            <w:r w:rsidRPr="00CE0D38">
              <w:rPr>
                <w:rFonts w:ascii="Times New Roman" w:eastAsia="Times New Roman" w:hAnsi="Times New Roman"/>
              </w:rPr>
              <w:t xml:space="preserve">r. poz. </w:t>
            </w:r>
            <w:r w:rsidR="00D841AF">
              <w:rPr>
                <w:rFonts w:ascii="Times New Roman" w:eastAsia="Times New Roman" w:hAnsi="Times New Roman"/>
              </w:rPr>
              <w:t>854</w:t>
            </w:r>
            <w:r w:rsidRPr="00CE0D38">
              <w:rPr>
                <w:rFonts w:ascii="Times New Roman" w:eastAsia="Times New Roman" w:hAnsi="Times New Roman"/>
              </w:rPr>
              <w:t>) z organizacjami: NSZZ „Solidarność”, Ogólnopolskim Porozumieniem Związków Zawodowych i Forum Związków Zawodowych;</w:t>
            </w:r>
          </w:p>
          <w:p w14:paraId="4E761C18" w14:textId="77777777" w:rsidR="006B1749" w:rsidRPr="00CE0D38" w:rsidRDefault="006B1749" w:rsidP="00F412F0">
            <w:pPr>
              <w:numPr>
                <w:ilvl w:val="0"/>
                <w:numId w:val="22"/>
              </w:numPr>
              <w:spacing w:line="240" w:lineRule="auto"/>
              <w:ind w:left="285" w:hanging="285"/>
              <w:jc w:val="both"/>
              <w:rPr>
                <w:rFonts w:ascii="Times New Roman" w:eastAsia="Times New Roman" w:hAnsi="Times New Roman"/>
              </w:rPr>
            </w:pPr>
            <w:r w:rsidRPr="00CE0D38">
              <w:rPr>
                <w:rFonts w:ascii="Times New Roman" w:eastAsia="Times New Roman" w:hAnsi="Times New Roman"/>
              </w:rPr>
              <w:t xml:space="preserve"> ustawy z dnia 23 maja 1991 r. o organiza</w:t>
            </w:r>
            <w:r w:rsidR="007131F2">
              <w:rPr>
                <w:rFonts w:ascii="Times New Roman" w:eastAsia="Times New Roman" w:hAnsi="Times New Roman"/>
              </w:rPr>
              <w:t xml:space="preserve">cjach pracodawców (Dz. U. z 2022 r. poz. </w:t>
            </w:r>
            <w:r w:rsidRPr="00CE0D38">
              <w:rPr>
                <w:rFonts w:ascii="Times New Roman" w:eastAsia="Times New Roman" w:hAnsi="Times New Roman"/>
              </w:rPr>
              <w:t>9</w:t>
            </w:r>
            <w:r w:rsidR="007131F2">
              <w:rPr>
                <w:rFonts w:ascii="Times New Roman" w:eastAsia="Times New Roman" w:hAnsi="Times New Roman"/>
              </w:rPr>
              <w:t>7</w:t>
            </w:r>
            <w:r w:rsidRPr="00CE0D38">
              <w:rPr>
                <w:rFonts w:ascii="Times New Roman" w:eastAsia="Times New Roman" w:hAnsi="Times New Roman"/>
              </w:rPr>
              <w:t>)</w:t>
            </w:r>
            <w:r w:rsidR="007131F2">
              <w:rPr>
                <w:rFonts w:ascii="Times New Roman" w:eastAsia="Times New Roman" w:hAnsi="Times New Roman"/>
              </w:rPr>
              <w:t xml:space="preserve"> </w:t>
            </w:r>
            <w:r w:rsidRPr="00CE0D38">
              <w:rPr>
                <w:rFonts w:ascii="Times New Roman" w:eastAsia="Times New Roman" w:hAnsi="Times New Roman"/>
              </w:rPr>
              <w:t>z organizacjami: Business Centre Club, Pracodawcami Rzeczypospolitej Polskiej, Konfederacją „Lewiatan”, Związkiem Rzemiosła Polskiego, Związkiem Przedsiębiorców i Pracodawców oraz Federacją Przedsiębiorców Polskich;</w:t>
            </w:r>
          </w:p>
          <w:p w14:paraId="2420A574" w14:textId="77777777" w:rsidR="00C540BC" w:rsidRDefault="006B1749" w:rsidP="00F412F0">
            <w:pPr>
              <w:numPr>
                <w:ilvl w:val="0"/>
                <w:numId w:val="22"/>
              </w:numPr>
              <w:spacing w:line="240" w:lineRule="auto"/>
              <w:ind w:left="285" w:hanging="285"/>
              <w:jc w:val="both"/>
              <w:rPr>
                <w:rFonts w:ascii="Times New Roman" w:eastAsia="Times New Roman" w:hAnsi="Times New Roman"/>
              </w:rPr>
            </w:pPr>
            <w:r w:rsidRPr="00CE0D38">
              <w:rPr>
                <w:rFonts w:ascii="Times New Roman" w:eastAsia="Times New Roman" w:hAnsi="Times New Roman"/>
              </w:rPr>
              <w:t xml:space="preserve">ustawy z dnia 24 lipca 2015 r. o Radzie Dialogu Społecznego i innych instytucjach dialogu społecznego (Dz. U. </w:t>
            </w:r>
            <w:r w:rsidRPr="00CE0D38">
              <w:rPr>
                <w:rFonts w:ascii="Times New Roman" w:eastAsia="Times New Roman" w:hAnsi="Times New Roman"/>
              </w:rPr>
              <w:br/>
              <w:t>z 2018 r. poz. 2232,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 xml:space="preserve"> z </w:t>
            </w:r>
            <w:proofErr w:type="spellStart"/>
            <w:r w:rsidRPr="00CE0D38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CE0D38">
              <w:rPr>
                <w:rFonts w:ascii="Times New Roman" w:hAnsi="Times New Roman"/>
                <w:color w:val="000000"/>
                <w:spacing w:val="-2"/>
              </w:rPr>
              <w:t>. zm.</w:t>
            </w:r>
            <w:r w:rsidRPr="00CE0D38">
              <w:rPr>
                <w:rFonts w:ascii="Times New Roman" w:eastAsia="Times New Roman" w:hAnsi="Times New Roman"/>
              </w:rPr>
              <w:t>) z Radą Dialogu Społecznego</w:t>
            </w:r>
            <w:r w:rsidR="000D0205">
              <w:rPr>
                <w:rFonts w:ascii="Times New Roman" w:eastAsia="Times New Roman" w:hAnsi="Times New Roman"/>
              </w:rPr>
              <w:t>;</w:t>
            </w:r>
          </w:p>
          <w:p w14:paraId="017FAC19" w14:textId="295EFFF3" w:rsidR="00A52F95" w:rsidRPr="0068583E" w:rsidRDefault="000D0205" w:rsidP="00F412F0">
            <w:pPr>
              <w:numPr>
                <w:ilvl w:val="0"/>
                <w:numId w:val="22"/>
              </w:numPr>
              <w:spacing w:line="240" w:lineRule="auto"/>
              <w:ind w:left="285" w:hanging="285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C66E1">
              <w:rPr>
                <w:rFonts w:ascii="Times New Roman" w:hAnsi="Times New Roman"/>
                <w:color w:val="000000"/>
                <w:spacing w:val="-2"/>
              </w:rPr>
              <w:t>ustawy z dnia 6 maja 2005 r. o Komisji Wspólnej Rządu i Samorządu Terytorialnego</w:t>
            </w:r>
            <w:r w:rsidR="007131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C66E1">
              <w:rPr>
                <w:rFonts w:ascii="Times New Roman" w:hAnsi="Times New Roman"/>
                <w:color w:val="000000"/>
                <w:spacing w:val="-2"/>
              </w:rPr>
              <w:t>oraz o przedstawicielach Rzeczypospolitej Polskiej w Komitecie Regionów Unii Europejskiej (Dz. U. poz. 759)</w:t>
            </w:r>
            <w:r w:rsidR="007131F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C66E1">
              <w:rPr>
                <w:rFonts w:ascii="Times New Roman" w:hAnsi="Times New Roman"/>
                <w:color w:val="000000"/>
                <w:spacing w:val="-2"/>
              </w:rPr>
              <w:t>z Komisją Wspólną Rządu i</w:t>
            </w:r>
            <w:r w:rsidR="007131F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66E1">
              <w:rPr>
                <w:rFonts w:ascii="Times New Roman" w:hAnsi="Times New Roman"/>
                <w:color w:val="000000"/>
                <w:spacing w:val="-2"/>
              </w:rPr>
              <w:t>Samorządu Terytorialnego.</w:t>
            </w:r>
          </w:p>
          <w:p w14:paraId="19F9DF0D" w14:textId="77777777" w:rsidR="006A701A" w:rsidRPr="00CE0D38" w:rsidRDefault="00752C09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</w:rPr>
              <w:t>Zgodnie z art. 5 ustawy z dnia 7 lipca 2005 r. o działalności lobbingowej w procesie stanowienia prawa (Dz. U. z 2017 r. poz. 248) oraz § 52 ust. 1 uchwały nr 190 Rady Ministrów z dnia 29 października 2013 r. – Regulamin p</w:t>
            </w:r>
            <w:r w:rsidR="007131F2">
              <w:rPr>
                <w:rFonts w:ascii="Times New Roman" w:hAnsi="Times New Roman"/>
              </w:rPr>
              <w:t>racy Rady Ministrów (M.P. z 2022 r. poz. 348</w:t>
            </w:r>
            <w:r w:rsidRPr="00CE0D38">
              <w:rPr>
                <w:rFonts w:ascii="Times New Roman" w:hAnsi="Times New Roman"/>
              </w:rPr>
              <w:t>) projekt rozporządzenia zostanie udostępniony na stronie podmiotowej Rządowego Centrum Legislacji w zakładce Rządowy Proces Legislacyjny.</w:t>
            </w:r>
          </w:p>
        </w:tc>
      </w:tr>
      <w:tr w:rsidR="006A701A" w:rsidRPr="00CE0D38" w14:paraId="454FFE92" w14:textId="77777777" w:rsidTr="00F412F0">
        <w:trPr>
          <w:trHeight w:val="363"/>
        </w:trPr>
        <w:tc>
          <w:tcPr>
            <w:tcW w:w="11340" w:type="dxa"/>
            <w:gridSpan w:val="22"/>
            <w:shd w:val="clear" w:color="auto" w:fill="99CCFF"/>
            <w:vAlign w:val="center"/>
          </w:tcPr>
          <w:p w14:paraId="5CF1DA49" w14:textId="77777777" w:rsidR="006A701A" w:rsidRPr="00CE0D38" w:rsidRDefault="006A701A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636C2">
              <w:rPr>
                <w:rFonts w:ascii="Times New Roman" w:hAnsi="Times New Roman"/>
                <w:b/>
              </w:rPr>
              <w:t>Wpływ na sektor finansów publicznych</w:t>
            </w:r>
          </w:p>
        </w:tc>
      </w:tr>
      <w:tr w:rsidR="008636EE" w:rsidRPr="00CE0D38" w14:paraId="56277C53" w14:textId="77777777" w:rsidTr="00F412F0">
        <w:trPr>
          <w:trHeight w:val="142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</w:tcPr>
          <w:p w14:paraId="28E5F351" w14:textId="5B12CD62" w:rsidR="00260F33" w:rsidRPr="003C3465" w:rsidRDefault="00821717" w:rsidP="00F412F0">
            <w:pPr>
              <w:spacing w:before="40" w:after="4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(ceny </w:t>
            </w:r>
            <w:r w:rsidR="00CF5F4F"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stałe</w:t>
            </w: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 </w:t>
            </w:r>
            <w:r w:rsidR="00347199"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r.)</w:t>
            </w:r>
          </w:p>
        </w:tc>
        <w:tc>
          <w:tcPr>
            <w:tcW w:w="9204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18B440D2" w14:textId="77777777" w:rsidR="00260F33" w:rsidRPr="003C3465" w:rsidRDefault="00260F33" w:rsidP="00F412F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Skutki w okresie 10 lat od wejścia w życie zmian [</w:t>
            </w:r>
            <w:r w:rsidR="00A056CB"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mln </w:t>
            </w: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zł]</w:t>
            </w:r>
          </w:p>
        </w:tc>
      </w:tr>
      <w:tr w:rsidR="008636EE" w:rsidRPr="00CE0D38" w14:paraId="5C45E1EC" w14:textId="77777777" w:rsidTr="00F412F0">
        <w:trPr>
          <w:trHeight w:val="142"/>
        </w:trPr>
        <w:tc>
          <w:tcPr>
            <w:tcW w:w="2136" w:type="dxa"/>
            <w:shd w:val="clear" w:color="auto" w:fill="FFFFFF"/>
          </w:tcPr>
          <w:p w14:paraId="43D9534B" w14:textId="77777777" w:rsidR="0057668E" w:rsidRPr="003C3465" w:rsidRDefault="0057668E" w:rsidP="00F412F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5D479B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14:paraId="2C90B33E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14:paraId="46391243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7E6BC9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F9B086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F5C87E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/>
          </w:tcPr>
          <w:p w14:paraId="1B194C03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85D872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DCD6096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FF25CC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59CBA4" w14:textId="77777777" w:rsidR="0057668E" w:rsidRPr="003C3465" w:rsidRDefault="0057668E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14:paraId="14E625D4" w14:textId="77777777" w:rsidR="0057668E" w:rsidRPr="003C3465" w:rsidRDefault="0057668E" w:rsidP="00F412F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  <w:t>Łącznie</w:t>
            </w:r>
            <w:r w:rsidR="00CF5F4F" w:rsidRPr="003C3465"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  <w:t xml:space="preserve"> (0-10)</w:t>
            </w:r>
          </w:p>
        </w:tc>
      </w:tr>
      <w:tr w:rsidR="00B529A1" w:rsidRPr="00CE0D38" w14:paraId="60D63241" w14:textId="77777777" w:rsidTr="00F412F0">
        <w:trPr>
          <w:trHeight w:val="321"/>
        </w:trPr>
        <w:tc>
          <w:tcPr>
            <w:tcW w:w="2136" w:type="dxa"/>
            <w:shd w:val="clear" w:color="auto" w:fill="FFFFFF"/>
            <w:vAlign w:val="center"/>
          </w:tcPr>
          <w:p w14:paraId="7FF90581" w14:textId="7777777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1FDA" w14:textId="26E1B8E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9695" w14:textId="1D31717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6 835,5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A84C" w14:textId="307BB0D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7 616,4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411A" w14:textId="53F9DC1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7 712,1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365F4" w14:textId="0C14AFD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7 787,3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AFD82" w14:textId="28DE366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7 787,3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C4316" w14:textId="007ED30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7 787,3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67B2F" w14:textId="50DD33E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7 787,3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8BE5" w14:textId="65EAFA9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7 787,3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B785" w14:textId="70D2F5FE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7 787,3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2F4E" w14:textId="2DCC3DD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7 787,3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376979" w14:textId="3F82CD8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76 675,1</w:t>
            </w:r>
          </w:p>
        </w:tc>
      </w:tr>
      <w:tr w:rsidR="00B529A1" w:rsidRPr="00CE0D38" w14:paraId="7258A539" w14:textId="77777777" w:rsidTr="00F412F0">
        <w:trPr>
          <w:trHeight w:val="321"/>
        </w:trPr>
        <w:tc>
          <w:tcPr>
            <w:tcW w:w="2136" w:type="dxa"/>
            <w:shd w:val="clear" w:color="auto" w:fill="FFFFFF"/>
            <w:vAlign w:val="center"/>
          </w:tcPr>
          <w:p w14:paraId="1452C5A7" w14:textId="7777777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4992" w14:textId="7584146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3ED5" w14:textId="4DEFB63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431,4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B2E38" w14:textId="376C86C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0711" w14:textId="41DA729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E03B" w14:textId="68834BD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1518" w14:textId="0C8B296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1582" w14:textId="3B948D5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E343" w14:textId="6FB9ECB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3C4F" w14:textId="6251D1C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7AAA" w14:textId="3517ACF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9AF09" w14:textId="5828A93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506,1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ECDFF6" w14:textId="7259D29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4 970,1</w:t>
            </w:r>
          </w:p>
        </w:tc>
      </w:tr>
      <w:tr w:rsidR="00B529A1" w:rsidRPr="00CE0D38" w14:paraId="1433DE8B" w14:textId="77777777" w:rsidTr="00F412F0">
        <w:trPr>
          <w:trHeight w:val="344"/>
        </w:trPr>
        <w:tc>
          <w:tcPr>
            <w:tcW w:w="2136" w:type="dxa"/>
            <w:shd w:val="clear" w:color="auto" w:fill="FFFFFF"/>
            <w:vAlign w:val="center"/>
          </w:tcPr>
          <w:p w14:paraId="4DC77923" w14:textId="7777777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1040" w14:textId="7AEC111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4D9A" w14:textId="5E5809C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EB95" w14:textId="26888E2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531,5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766A" w14:textId="1152AA1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538,2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9EB2" w14:textId="3FFC7D4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D281" w14:textId="6E7CA0C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6F69" w14:textId="6316673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F31A" w14:textId="6579D58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9EBC3" w14:textId="4C77FA4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5DF8" w14:textId="2E04D45E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F3E6" w14:textId="4F12219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9C7B52" w14:textId="7E6A76E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5 340,2</w:t>
            </w:r>
          </w:p>
        </w:tc>
      </w:tr>
      <w:tr w:rsidR="00B529A1" w:rsidRPr="00CE0D38" w14:paraId="567B460A" w14:textId="77777777" w:rsidTr="00F412F0">
        <w:trPr>
          <w:trHeight w:val="344"/>
        </w:trPr>
        <w:tc>
          <w:tcPr>
            <w:tcW w:w="2136" w:type="dxa"/>
            <w:shd w:val="clear" w:color="auto" w:fill="FFFFFF"/>
          </w:tcPr>
          <w:p w14:paraId="726342EC" w14:textId="5A436DA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NFZ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53D0" w14:textId="067CD99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B4AF8" w14:textId="4759E8C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0854" w14:textId="2E32908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1 205,5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3849" w14:textId="492AD47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1 220,7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2415" w14:textId="58BF91E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121F" w14:textId="770333F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F698" w14:textId="43D2665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FC0F" w14:textId="68056B6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B94C" w14:textId="38D2411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572D" w14:textId="33765C8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2687" w14:textId="461A7F7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2BFF8" w14:textId="376D531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12 139,7</w:t>
            </w:r>
          </w:p>
        </w:tc>
      </w:tr>
      <w:tr w:rsidR="00B529A1" w:rsidRPr="00CE0D38" w14:paraId="717C1B32" w14:textId="77777777" w:rsidTr="00F412F0">
        <w:trPr>
          <w:trHeight w:val="344"/>
        </w:trPr>
        <w:tc>
          <w:tcPr>
            <w:tcW w:w="2136" w:type="dxa"/>
            <w:shd w:val="clear" w:color="auto" w:fill="FFFFFF"/>
          </w:tcPr>
          <w:p w14:paraId="523AC945" w14:textId="67D1B0E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FUS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83B87" w14:textId="33F5267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6D41" w14:textId="212C4B5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4 497,1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2DD4" w14:textId="6D888E7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4 989,7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0858" w14:textId="384A75E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5 052,3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C1C7" w14:textId="0609F30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D6C6" w14:textId="43C75C3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177C" w14:textId="4034338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6DAAC" w14:textId="751D9DC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BE2B" w14:textId="68DE59E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F4E9C" w14:textId="79308C5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B274" w14:textId="2D9FE32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C5E8AE" w14:textId="6FB7B6A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50 250,6</w:t>
            </w:r>
          </w:p>
        </w:tc>
      </w:tr>
      <w:tr w:rsidR="00B529A1" w:rsidRPr="00CE0D38" w14:paraId="5C739D2B" w14:textId="77777777" w:rsidTr="00F412F0">
        <w:trPr>
          <w:trHeight w:val="344"/>
        </w:trPr>
        <w:tc>
          <w:tcPr>
            <w:tcW w:w="2136" w:type="dxa"/>
            <w:shd w:val="clear" w:color="auto" w:fill="FFFFFF"/>
          </w:tcPr>
          <w:p w14:paraId="412C5203" w14:textId="727D3C1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FP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18E0" w14:textId="5BA7414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36C4" w14:textId="50B4EA6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04E7" w14:textId="504B52A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C398" w14:textId="01A9D33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8878" w14:textId="460BCAB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2CF3" w14:textId="69B68B5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53973" w14:textId="76F303A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BC15" w14:textId="260F5AF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3A29" w14:textId="4514119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0A23" w14:textId="7B775B2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D95A" w14:textId="40146A9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51642" w14:textId="57390E2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1 520,9</w:t>
            </w:r>
          </w:p>
        </w:tc>
      </w:tr>
      <w:tr w:rsidR="00B529A1" w:rsidRPr="00CE0D38" w14:paraId="14FD05BD" w14:textId="77777777" w:rsidTr="00F412F0">
        <w:trPr>
          <w:trHeight w:val="344"/>
        </w:trPr>
        <w:tc>
          <w:tcPr>
            <w:tcW w:w="2136" w:type="dxa"/>
            <w:shd w:val="clear" w:color="auto" w:fill="FFFFFF"/>
          </w:tcPr>
          <w:p w14:paraId="68977C69" w14:textId="4977A0A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FS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B924" w14:textId="1531762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4A42" w14:textId="64CAB14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97F3" w14:textId="5D7C8C9E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219,1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142D" w14:textId="362297F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E673" w14:textId="6EC0F6B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BD63" w14:textId="743E853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89A9" w14:textId="36AD49E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D444" w14:textId="5E5569F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ED32" w14:textId="0958273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95B7" w14:textId="092F860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B85BE" w14:textId="266D0BA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669207" w14:textId="5FE66F8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2 205,3</w:t>
            </w:r>
          </w:p>
        </w:tc>
      </w:tr>
      <w:tr w:rsidR="00B529A1" w:rsidRPr="00CE0D38" w14:paraId="22E5906F" w14:textId="77777777" w:rsidTr="00F412F0">
        <w:trPr>
          <w:trHeight w:val="344"/>
        </w:trPr>
        <w:tc>
          <w:tcPr>
            <w:tcW w:w="2136" w:type="dxa"/>
            <w:shd w:val="clear" w:color="auto" w:fill="FFFFFF"/>
          </w:tcPr>
          <w:p w14:paraId="243CAF30" w14:textId="0D5A7C5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FGŚP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8F5E" w14:textId="65C48CD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D534" w14:textId="0FF0663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ED61" w14:textId="02D9187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772A2" w14:textId="3E015C1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AD3B" w14:textId="301CBE2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39E5A" w14:textId="60B763C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ECE72" w14:textId="0A3ACD4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2A688" w14:textId="52DF409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954E" w14:textId="7D8B2CF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BD2BE" w14:textId="709FDE5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6AD0" w14:textId="7615209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2E7259" w14:textId="61027C3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137,8</w:t>
            </w:r>
          </w:p>
        </w:tc>
      </w:tr>
      <w:tr w:rsidR="00B529A1" w:rsidRPr="00CE0D38" w14:paraId="0780722D" w14:textId="77777777" w:rsidTr="00F412F0">
        <w:trPr>
          <w:trHeight w:val="344"/>
        </w:trPr>
        <w:tc>
          <w:tcPr>
            <w:tcW w:w="2136" w:type="dxa"/>
            <w:shd w:val="clear" w:color="auto" w:fill="FFFFFF"/>
          </w:tcPr>
          <w:p w14:paraId="24ED4799" w14:textId="2EB6EB9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Fundusz Pomocy Pokrzywdzonym oraz Pomocy Postpenitencjarnej (Fundusz Sprawiedliwości)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8EE6" w14:textId="271E381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F0FB" w14:textId="16CAABF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CECF" w14:textId="6CDD5D7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BE55" w14:textId="5029FF5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8244" w14:textId="5C933B4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5E2C" w14:textId="3FDD97F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6E04" w14:textId="3542F40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537E" w14:textId="387AB8A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B98D" w14:textId="5E2D90F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53994" w14:textId="51B4CE1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CE0F" w14:textId="451F3A5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A419D9" w14:textId="4DCE2E1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14,9</w:t>
            </w:r>
          </w:p>
        </w:tc>
      </w:tr>
      <w:tr w:rsidR="00B529A1" w:rsidRPr="00CE0D38" w14:paraId="5298C645" w14:textId="77777777" w:rsidTr="00F412F0">
        <w:trPr>
          <w:trHeight w:val="344"/>
        </w:trPr>
        <w:tc>
          <w:tcPr>
            <w:tcW w:w="2136" w:type="dxa"/>
            <w:shd w:val="clear" w:color="auto" w:fill="FFFFFF"/>
          </w:tcPr>
          <w:p w14:paraId="27B9A29F" w14:textId="3B00E48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 xml:space="preserve">Fundusz Aktywizacji </w:t>
            </w:r>
            <w:r w:rsidRPr="003C3465">
              <w:rPr>
                <w:rFonts w:ascii="Times New Roman" w:hAnsi="Times New Roman"/>
                <w:sz w:val="16"/>
                <w:szCs w:val="16"/>
              </w:rPr>
              <w:lastRenderedPageBreak/>
              <w:t>Zawodowej Skazanych oraz Rozwoju Przywięziennych Zakładów Pracy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7A7E" w14:textId="2CFDE96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E741" w14:textId="0B375C0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53EC" w14:textId="48BC26D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5E20" w14:textId="035D97F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D6DB" w14:textId="3B5D27F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5251" w14:textId="6742EFE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E78F" w14:textId="408F3DF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735C9" w14:textId="2D35FCE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73BE1" w14:textId="5178E1D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1B1B" w14:textId="6637F4A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991A8" w14:textId="367FA68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05B260" w14:textId="30204B8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95,7</w:t>
            </w:r>
          </w:p>
        </w:tc>
      </w:tr>
      <w:tr w:rsidR="00E22F8F" w:rsidRPr="00CE0D38" w14:paraId="757FEA5A" w14:textId="77777777" w:rsidTr="00F412F0">
        <w:trPr>
          <w:trHeight w:val="330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A8E1BE" w14:textId="7777777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Wydatki ogółem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151C" w14:textId="3D6081B5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B99E7" w14:textId="3AEEF31B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2 701,7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1EBD" w14:textId="6C22C6CE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2 920,4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212F" w14:textId="486063BA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2 957,1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0D3" w14:textId="5F6D0EF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2 986,0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A5F2" w14:textId="262BBCF9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2 986,0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FFD8" w14:textId="6F635052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2 986,0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CD85" w14:textId="2981CB32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2 986,0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4F2B" w14:textId="54DDF7D2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2 986,0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505" w14:textId="58C5BEFD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2 986,0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96D6" w14:textId="77A1A198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2 986,0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6574D" w14:textId="234EA45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29 481,5</w:t>
            </w:r>
          </w:p>
        </w:tc>
      </w:tr>
      <w:tr w:rsidR="00E22F8F" w:rsidRPr="00CE0D38" w14:paraId="4B3F474A" w14:textId="77777777" w:rsidTr="00F412F0">
        <w:trPr>
          <w:trHeight w:val="330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4E868A" w14:textId="7777777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C421D" w14:textId="3E36889F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10E2D" w14:textId="4997B163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1 424,8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C4AB" w14:textId="665CCC99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1 488,5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924F" w14:textId="6093A490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1 507,2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D7C4" w14:textId="44DF6D35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1F71" w14:textId="62BC91D8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1675" w14:textId="203553BD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4943" w14:textId="29357905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8979" w14:textId="0F09A11F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C3A5" w14:textId="0EAD316B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D5EDF" w14:textId="2D2A4F85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CD40E4" w14:textId="7450E09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15 074,5</w:t>
            </w:r>
          </w:p>
        </w:tc>
      </w:tr>
      <w:tr w:rsidR="00E22F8F" w:rsidRPr="00CE0D38" w14:paraId="362F7FA4" w14:textId="77777777" w:rsidTr="00F412F0">
        <w:trPr>
          <w:trHeight w:val="35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EC144" w14:textId="7777777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304F" w14:textId="3F1C2A26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2209" w14:textId="45930F24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1 265,5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9D37" w14:textId="0C6B551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1 409,1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4109" w14:textId="1F7D30E6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1 426,8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25A" w14:textId="7297E4B4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1 440,7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38BF" w14:textId="1E1B8A14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1 440,7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A6E5" w14:textId="333A69A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1 440,7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58CF" w14:textId="455C0B38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1 440,7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F131" w14:textId="37B0A24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1 440,7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9F2C" w14:textId="4C8A7ADD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1 440,7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2191" w14:textId="28A57C32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1 440,7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0D9590" w14:textId="0D9CF2D6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14 186,3</w:t>
            </w:r>
          </w:p>
        </w:tc>
      </w:tr>
      <w:tr w:rsidR="00E22F8F" w:rsidRPr="00CE0D38" w14:paraId="58B6F9F8" w14:textId="77777777" w:rsidTr="00F412F0">
        <w:trPr>
          <w:trHeight w:val="35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55B5E" w14:textId="3403C5C5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PFRON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F12EB" w14:textId="7777777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59F2E" w14:textId="3DBCBA88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916F" w14:textId="792B7E6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347A" w14:textId="6A64917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0E66" w14:textId="5C7EE64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75658" w14:textId="595B6FA2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280A" w14:textId="77A2222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D8B4" w14:textId="1A1CA34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5FC2" w14:textId="2C3D5401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884AC" w14:textId="0C62EBC8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6833E" w14:textId="6558081E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5A34F" w14:textId="0CE834B0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220,7</w:t>
            </w:r>
          </w:p>
        </w:tc>
      </w:tr>
      <w:tr w:rsidR="00E22F8F" w:rsidRPr="00CE0D38" w14:paraId="1507CDC9" w14:textId="77777777" w:rsidTr="00F412F0">
        <w:trPr>
          <w:trHeight w:val="360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A3A25" w14:textId="7777777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Saldo ogółem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56633" w14:textId="2B6B89CC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7E7450" w14:textId="21C9EFB3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4 133,8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410D56" w14:textId="46C69FDC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4 696,0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A96D63" w14:textId="1E2ACE84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4 754,9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D6644E" w14:textId="43CC7B69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4 801,3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D2C90B" w14:textId="27F1E189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4 801,3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779A7D" w14:textId="34FF8E67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4 801,3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6E920A" w14:textId="610EBFE4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4 801,3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E5614D" w14:textId="0E6F9C8A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4 801,3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D28E61" w14:textId="092A7A59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4 801,3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ACFD0C" w14:textId="67FDC7DE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4 801,3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0749F16" w14:textId="4EE26DAF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47 193,6</w:t>
            </w:r>
          </w:p>
        </w:tc>
      </w:tr>
      <w:tr w:rsidR="00F9052C" w:rsidRPr="00CE0D38" w14:paraId="1520DED4" w14:textId="77777777" w:rsidTr="00F412F0">
        <w:trPr>
          <w:trHeight w:val="360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6E53BD" w14:textId="77777777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5616" w14:textId="7A784DEB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52AD" w14:textId="2866C4E5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-1 003,6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71AB" w14:textId="4D7558E8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-999,8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7726" w14:textId="2A1F5B96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-1 012,3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D855" w14:textId="52D2C9F2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-1 022,3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DB18" w14:textId="66E2ED5D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-1 022,3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F39F" w14:textId="1636339F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-1 022,3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002E" w14:textId="66603766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-1 022,3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8A599" w14:textId="14B0AAD5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-1 022,3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C3F6" w14:textId="1CCC3AB3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-1 022,3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B8510" w14:textId="7EF5E542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-1 022,3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CA8B4" w14:textId="69EBB3A6" w:rsidR="00F9052C" w:rsidRPr="003C3465" w:rsidRDefault="00F9052C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-10 171,8</w:t>
            </w:r>
          </w:p>
        </w:tc>
      </w:tr>
      <w:tr w:rsidR="00B529A1" w:rsidRPr="00CE0D38" w14:paraId="7DCFF948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1131E6" w14:textId="7777777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17F4" w14:textId="42B0533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7A57B" w14:textId="29327B2E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-799,0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6893" w14:textId="3F3BEB3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-877,6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CA36" w14:textId="2834B64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-888,6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484A" w14:textId="3FA16CE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-897,3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3472" w14:textId="5B2AD5F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-897,3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D31A" w14:textId="222FC54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-897,3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768B" w14:textId="14654AC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-897,3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9421" w14:textId="6CF6B57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-897,3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8377" w14:textId="41EB589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-897,3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63F07" w14:textId="02B0F13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-897,3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CBE5F" w14:textId="3DD892E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-8 846,1</w:t>
            </w:r>
          </w:p>
        </w:tc>
      </w:tr>
      <w:tr w:rsidR="00B529A1" w:rsidRPr="00CE0D38" w14:paraId="4811DD11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14:paraId="545C6A9C" w14:textId="459C99D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NFZ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D323" w14:textId="21511BA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D834" w14:textId="5449031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1 085,3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31B5" w14:textId="1F56022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1 205,5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DF65" w14:textId="5507F80E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1 220,7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FC16" w14:textId="54349FA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9C06" w14:textId="37B27DD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B8FB0" w14:textId="0D98442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1000" w14:textId="6198FDF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D1A1" w14:textId="43C5EFAE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CA42" w14:textId="68D1FDA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055F" w14:textId="481A6E6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1 232,6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EAB43F" w14:textId="529AE42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12 139,7</w:t>
            </w:r>
          </w:p>
        </w:tc>
      </w:tr>
      <w:tr w:rsidR="00B529A1" w:rsidRPr="00CE0D38" w14:paraId="78EC8DB9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14:paraId="705AB05C" w14:textId="23C5F83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FUS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BBCC" w14:textId="2181F37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5D0B" w14:textId="2A1B117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4 497,1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76A55" w14:textId="49E05BB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4 989,7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F19C" w14:textId="2890007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5 052,3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A007" w14:textId="323292A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AE26B" w14:textId="5BF0C26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ED59" w14:textId="6B57C51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5E4E" w14:textId="5F7F193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8A44" w14:textId="77B63E5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50176" w14:textId="7E63087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CC89" w14:textId="608B6D1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5 101,6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C44DE2" w14:textId="7027680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50 250,6</w:t>
            </w:r>
          </w:p>
        </w:tc>
      </w:tr>
      <w:tr w:rsidR="00B529A1" w:rsidRPr="00CE0D38" w14:paraId="6380AD8A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14:paraId="2605DC02" w14:textId="7CD0112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FP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FE7C" w14:textId="06DB1498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B902" w14:textId="70C84E9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5307" w14:textId="5DED985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BEA18" w14:textId="09DFC58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572F" w14:textId="54CE216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9652" w14:textId="0C6D8C6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7F03" w14:textId="0D94A66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6AE8" w14:textId="49B39E8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37CB" w14:textId="232F724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6E11" w14:textId="0F8716C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75DCF" w14:textId="3132E43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6D406" w14:textId="7AA7132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1 520,9</w:t>
            </w:r>
          </w:p>
        </w:tc>
      </w:tr>
      <w:tr w:rsidR="00B529A1" w:rsidRPr="00CE0D38" w14:paraId="7103663D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14:paraId="42F450BB" w14:textId="552FB1D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FS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A014F" w14:textId="150A7DA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F257" w14:textId="22E1DA5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C7C1" w14:textId="73A82B3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219,1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E9E9" w14:textId="1EDA6A1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95B2" w14:textId="0162445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17F7E" w14:textId="35B6164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D698" w14:textId="7FE3282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9780B" w14:textId="099F49A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F391B" w14:textId="40E515F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E84FF" w14:textId="342D0C3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E95A" w14:textId="6F5B150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4FCCF" w14:textId="54738D4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2 205,3</w:t>
            </w:r>
          </w:p>
        </w:tc>
      </w:tr>
      <w:tr w:rsidR="00B529A1" w:rsidRPr="00CE0D38" w14:paraId="3C3C1E94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14:paraId="3F9FD56C" w14:textId="21C6F58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FGŚP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B71DD" w14:textId="01AD3A7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1F20" w14:textId="1A008CD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2E192" w14:textId="43217D7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47ACD" w14:textId="2CDB974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7DF5F" w14:textId="502DF4F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EB44" w14:textId="33CCD7A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92E7" w14:textId="114C513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8F66" w14:textId="0E2F567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E99D" w14:textId="16E4D76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F04B" w14:textId="6DDFB35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594B" w14:textId="2C95B6F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2693D" w14:textId="096CC2C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137,8</w:t>
            </w:r>
          </w:p>
        </w:tc>
      </w:tr>
      <w:tr w:rsidR="00B529A1" w:rsidRPr="00CE0D38" w14:paraId="70A90235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14:paraId="7F96585A" w14:textId="2127950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Fundusz Pomocy Pokrzywdzonym oraz Pomocy Postpenitencjarnej (Fundusz Sprawiedliwości)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127" w14:textId="0E5DF20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CAB2" w14:textId="117B611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ED39" w14:textId="7851495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8664" w14:textId="1D363C95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6646" w14:textId="6C7D1CC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4AE5" w14:textId="55E0BA9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0743" w14:textId="5325314C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678A" w14:textId="5C0C64E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D693" w14:textId="0C985A8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9D24" w14:textId="0DF511B1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62D0" w14:textId="5E44C18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BC59E" w14:textId="37DF7F3D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14,9</w:t>
            </w:r>
          </w:p>
        </w:tc>
      </w:tr>
      <w:tr w:rsidR="00B529A1" w:rsidRPr="00CE0D38" w14:paraId="0F939729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E7E63" w14:textId="1F5E773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Fundusz Aktywizacji Zawodowej Skazanych oraz Rozwoju Przywięziennych Zakładów Pracy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656" w14:textId="060F3832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E7D3" w14:textId="55D6705A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678A" w14:textId="24BACDF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E376" w14:textId="15121C39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06E6" w14:textId="6A0B1A67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8804" w14:textId="06BCEF5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A87E" w14:textId="09B3876F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B59A" w14:textId="2FFD7690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B587" w14:textId="67033423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DB0D" w14:textId="2DBC07C6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67D9" w14:textId="3941941B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6DFC7" w14:textId="3D852164" w:rsidR="00B529A1" w:rsidRPr="003C3465" w:rsidRDefault="00B529A1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95,7</w:t>
            </w:r>
          </w:p>
        </w:tc>
      </w:tr>
      <w:tr w:rsidR="00E22F8F" w:rsidRPr="00CE0D38" w14:paraId="0C33E1AE" w14:textId="77777777" w:rsidTr="00F412F0">
        <w:trPr>
          <w:trHeight w:val="357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BF9BEA" w14:textId="3780C74B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sz w:val="16"/>
                <w:szCs w:val="16"/>
              </w:rPr>
              <w:t>PFRON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4CCD" w14:textId="2F7BECAE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AC8" w14:textId="16AA4343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D3AA" w14:textId="515A084D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-22,8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0815" w14:textId="6146BCC0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A0D" w14:textId="0698F5DB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9845" w14:textId="224ED8F2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56D9" w14:textId="0DDDE1C8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9D1F" w14:textId="5E50A756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8361" w14:textId="7823F324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0743" w14:textId="56C41F25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C2E" w14:textId="38B4B78B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-23,3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7756" w14:textId="6EE98844" w:rsidR="00E22F8F" w:rsidRPr="003C3465" w:rsidRDefault="00E22F8F" w:rsidP="00F412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465">
              <w:rPr>
                <w:rFonts w:ascii="Times New Roman" w:hAnsi="Times New Roman"/>
                <w:color w:val="000000"/>
                <w:sz w:val="16"/>
                <w:szCs w:val="16"/>
              </w:rPr>
              <w:t>-220,7</w:t>
            </w:r>
          </w:p>
        </w:tc>
      </w:tr>
      <w:tr w:rsidR="008636EE" w:rsidRPr="00CE0D38" w14:paraId="742C5A04" w14:textId="77777777" w:rsidTr="00F412F0">
        <w:trPr>
          <w:trHeight w:val="1311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D19836" w14:textId="77777777" w:rsidR="006A701A" w:rsidRPr="00CE0D38" w:rsidRDefault="006A701A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204" w:type="dxa"/>
            <w:gridSpan w:val="2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C9075E" w14:textId="367D0639" w:rsidR="006A701A" w:rsidRPr="00961095" w:rsidRDefault="004409A7" w:rsidP="00F412F0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4409A7">
              <w:rPr>
                <w:color w:val="auto"/>
                <w:sz w:val="22"/>
                <w:szCs w:val="22"/>
              </w:rPr>
              <w:t>Wydatki związane z podwyższeniem minimalnego wynagrodzenia za pracę oraz minimalnej stawki godzinowej w państwowych i samorządowych jednostkach budżetowych zostaną sfinansowane w ramach środków na wynagrodzenia pozostających w dyspozycji pracodawców, bez konieczności ich dodatkowego zwiększania.</w:t>
            </w:r>
          </w:p>
        </w:tc>
      </w:tr>
      <w:tr w:rsidR="008636EE" w:rsidRPr="00CE0D38" w14:paraId="6C5B2BAB" w14:textId="77777777" w:rsidTr="00F412F0">
        <w:trPr>
          <w:trHeight w:val="1468"/>
        </w:trPr>
        <w:tc>
          <w:tcPr>
            <w:tcW w:w="2136" w:type="dxa"/>
            <w:shd w:val="clear" w:color="auto" w:fill="FFFFFF"/>
          </w:tcPr>
          <w:p w14:paraId="6486467C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204" w:type="dxa"/>
            <w:gridSpan w:val="21"/>
            <w:shd w:val="clear" w:color="auto" w:fill="FFFFFF"/>
          </w:tcPr>
          <w:p w14:paraId="0591CA8F" w14:textId="77777777" w:rsidR="004409A7" w:rsidRDefault="004409A7" w:rsidP="00F412F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02AA">
              <w:rPr>
                <w:rFonts w:ascii="Times New Roman" w:hAnsi="Times New Roman"/>
              </w:rPr>
              <w:t xml:space="preserve">W tabeli wskazano skutki finansowe podniesienia wysokości wynagrodzenia minimalnego, tj. wzrost dochodów jednostek sektora finansów publicznych z tytułu wzrostu wysokości odprowadzanych przez pracodawców i pracowników </w:t>
            </w:r>
            <w:r>
              <w:rPr>
                <w:rFonts w:ascii="Times New Roman" w:hAnsi="Times New Roman"/>
              </w:rPr>
              <w:t>obowiązkowych danin (podatków i </w:t>
            </w:r>
            <w:r w:rsidRPr="002E02AA">
              <w:rPr>
                <w:rFonts w:ascii="Times New Roman" w:hAnsi="Times New Roman"/>
              </w:rPr>
              <w:t>składek) oraz – po stronie wydatkowej – wzrost wydatków pracodawców z sektora publicznego zatrudniających pracowników otrzymujących wynagrodzenie na poziomie mi</w:t>
            </w:r>
            <w:r>
              <w:rPr>
                <w:rFonts w:ascii="Times New Roman" w:hAnsi="Times New Roman"/>
              </w:rPr>
              <w:t>nimalnego wynagrodzenia za pracę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5148466" w14:textId="06CAB15E" w:rsidR="004409A7" w:rsidRDefault="004409A7" w:rsidP="00F412F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kwocie rocznych dochodów uwzględnione są dochody wynikające ze</w:t>
            </w:r>
            <w:r w:rsidRPr="004977C0">
              <w:rPr>
                <w:rFonts w:ascii="Times New Roman" w:hAnsi="Times New Roman"/>
                <w:color w:val="000000"/>
              </w:rPr>
              <w:t xml:space="preserve"> zwiększenia wydatków budżetu państwa z tytułu finansowania niektórych wynagrodzeń i składek, których wysokość relacjonowana jest do wysokości minimalnego wynagrodzenia za pracę</w:t>
            </w:r>
            <w:r>
              <w:rPr>
                <w:rFonts w:ascii="Times New Roman" w:hAnsi="Times New Roman"/>
                <w:color w:val="000000"/>
              </w:rPr>
              <w:t xml:space="preserve">, w kwocie ok. </w:t>
            </w:r>
            <w:r w:rsidR="003936B5" w:rsidRPr="003936B5">
              <w:rPr>
                <w:rFonts w:ascii="Times New Roman" w:hAnsi="Times New Roman"/>
                <w:color w:val="000000"/>
              </w:rPr>
              <w:t>286</w:t>
            </w:r>
            <w:r w:rsidRPr="003936B5">
              <w:rPr>
                <w:rFonts w:ascii="Times New Roman" w:hAnsi="Times New Roman"/>
                <w:color w:val="000000"/>
              </w:rPr>
              <w:t xml:space="preserve"> mln zł.</w:t>
            </w:r>
            <w:r>
              <w:rPr>
                <w:rFonts w:ascii="Times New Roman" w:hAnsi="Times New Roman"/>
                <w:color w:val="000000"/>
              </w:rPr>
              <w:t xml:space="preserve"> Dodatkowo kwota dochodów uwzględnia również dochody wynikające z konieczności podniesienia wynagrodzenia minimalnego dla osób zatrudnionych w sektorze publicznym. Roczny dochód ogółem z tego tytułu to ok.</w:t>
            </w:r>
            <w:r w:rsidR="00CB6046" w:rsidRPr="00CB6046">
              <w:rPr>
                <w:rFonts w:ascii="Times New Roman" w:hAnsi="Times New Roman"/>
                <w:color w:val="000000"/>
              </w:rPr>
              <w:t>614</w:t>
            </w:r>
            <w:r w:rsidRPr="00CB6046">
              <w:rPr>
                <w:rFonts w:ascii="Times New Roman" w:hAnsi="Times New Roman"/>
                <w:color w:val="000000"/>
              </w:rPr>
              <w:t xml:space="preserve"> mln zł.</w:t>
            </w:r>
          </w:p>
          <w:p w14:paraId="3F281C97" w14:textId="77777777" w:rsidR="004409A7" w:rsidRDefault="004409A7" w:rsidP="00F412F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Ponadto, w tabeli uwzględniono skutki finansowe wzrostu kwoty świadczeń oraz składek finansowanych z budżetu państwa ustalonych w oparciu o minimalne wynagrodzenie za pracę. Wskazano także wzrost dochodów budżetu państwa z tytułu wzrostu wysokości składek odprowadzanych na </w:t>
            </w:r>
            <w:r w:rsidRPr="005E0488">
              <w:rPr>
                <w:rFonts w:ascii="Times New Roman" w:hAnsi="Times New Roman"/>
              </w:rPr>
              <w:t>Fundusz Pomocy Pokrzywdzonym oraz Pomocy Postpenitencjarnej</w:t>
            </w:r>
            <w:r>
              <w:rPr>
                <w:rFonts w:ascii="Times New Roman" w:hAnsi="Times New Roman"/>
              </w:rPr>
              <w:t xml:space="preserve"> i </w:t>
            </w:r>
            <w:r w:rsidRPr="005E0488">
              <w:rPr>
                <w:rFonts w:ascii="Times New Roman" w:hAnsi="Times New Roman"/>
              </w:rPr>
              <w:t>Fundusz Aktywizacji Zawodowej Skazanych oraz Rozwoju Przywięziennych Zakładów Pracy</w:t>
            </w:r>
            <w:r>
              <w:rPr>
                <w:rFonts w:ascii="Times New Roman" w:hAnsi="Times New Roman"/>
              </w:rPr>
              <w:t>.</w:t>
            </w:r>
          </w:p>
          <w:p w14:paraId="00DD970A" w14:textId="250EF0FA" w:rsidR="004409A7" w:rsidRPr="008B0508" w:rsidRDefault="004409A7" w:rsidP="00F412F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Szacuje się, że podwyższenie wysokości minimalnego wynagrodzenia za pracę do kwoty 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838 zł w I półroczu 2023 r. i 3450 zł w II półroczu 2023 r.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spowoduje wzrost wydatków budżetu państwa w 202</w:t>
            </w:r>
            <w:r w:rsidR="00CE3B40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 o ok. </w:t>
            </w:r>
            <w:r w:rsidR="00AE4A07" w:rsidRPr="00AE4A07">
              <w:rPr>
                <w:rFonts w:ascii="Times New Roman" w:eastAsia="Times New Roman" w:hAnsi="Times New Roman"/>
                <w:color w:val="000000"/>
                <w:lang w:eastAsia="pl-PL"/>
              </w:rPr>
              <w:t>1153,97</w:t>
            </w:r>
            <w:r w:rsidRPr="00AE4A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skali roku, z tytułu finansowania niektórych wynagrodzeń, składek i świadczeń, których wysokość relacjonowana jest do wysokości minimalnego wynagrodzenia za pracę, z tego:</w:t>
            </w:r>
            <w:r w:rsidRPr="008B05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14:paraId="4FF8075D" w14:textId="4AF8A853" w:rsidR="004409A7" w:rsidRPr="008B0508" w:rsidRDefault="004409A7" w:rsidP="00F412F0">
            <w:pPr>
              <w:numPr>
                <w:ilvl w:val="0"/>
                <w:numId w:val="26"/>
              </w:numPr>
              <w:spacing w:line="240" w:lineRule="auto"/>
              <w:ind w:left="714" w:hanging="357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składki na ubezpieczenia społeczne osób duchownych (ok. </w:t>
            </w:r>
            <w:r w:rsidR="00EC5A02"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="00D646B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zł),</w:t>
            </w:r>
          </w:p>
          <w:p w14:paraId="793F657B" w14:textId="6B9384CC" w:rsidR="004409A7" w:rsidRPr="008B0508" w:rsidRDefault="004409A7" w:rsidP="00F412F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składki na ubezpieczenie emerytalne osób sprawujących osobistą opiekę nad dzieckiem (ok.1</w:t>
            </w:r>
            <w:r w:rsidR="00EC5A02">
              <w:rPr>
                <w:rFonts w:ascii="Times New Roman" w:eastAsia="Times New Roman" w:hAnsi="Times New Roman"/>
                <w:color w:val="000000"/>
                <w:lang w:eastAsia="pl-PL"/>
              </w:rPr>
              <w:t>,7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zł),</w:t>
            </w:r>
          </w:p>
          <w:p w14:paraId="10251E2A" w14:textId="797BD04B" w:rsidR="004409A7" w:rsidRPr="008B0508" w:rsidRDefault="004409A7" w:rsidP="00F412F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składki na ubezpieczenie emerytalne i rentowe osób przebywających na urlopach wychowawczych (ok. </w:t>
            </w:r>
            <w:r w:rsidR="00EC5A02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="00EC5A02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mln. zł),</w:t>
            </w:r>
          </w:p>
          <w:p w14:paraId="7B02FC1C" w14:textId="2E934F5F" w:rsidR="004409A7" w:rsidRPr="008B0508" w:rsidRDefault="004409A7" w:rsidP="00F412F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wynagrodzenia za pracę skazanych (ok. </w:t>
            </w:r>
            <w:r w:rsidR="00EC5A02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="00EC5A02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zł),</w:t>
            </w:r>
          </w:p>
          <w:p w14:paraId="3C8EA99F" w14:textId="6995CE64" w:rsidR="004409A7" w:rsidRPr="008B0508" w:rsidRDefault="004409A7" w:rsidP="00F412F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składki na ubezpieczenie zdrowotne za strażaków Państwowej Straży Pożarnej w służbie kandydackiej  (ok. 0,</w:t>
            </w:r>
            <w:r w:rsidR="0010155C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zł),</w:t>
            </w:r>
          </w:p>
          <w:p w14:paraId="480DFE85" w14:textId="293101B3" w:rsidR="004409A7" w:rsidRPr="008B0508" w:rsidRDefault="004409A7" w:rsidP="00F412F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składki na ubezpieczenie zdrowotne za funkcjonariuszy Służby Więziennej w służbie kandydackiej (ok. 0,</w:t>
            </w:r>
            <w:r w:rsidR="0010155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zł),</w:t>
            </w:r>
          </w:p>
          <w:p w14:paraId="5BEA1246" w14:textId="101D41B7" w:rsidR="004409A7" w:rsidRPr="008B0508" w:rsidRDefault="004409A7" w:rsidP="00F412F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składki na ubezpieczenia emerytalne, rentowe i wy</w:t>
            </w:r>
            <w:r w:rsidR="00D64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padkowe oraz na ubezpieczenie 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zdrowotne osób wykonujących pracę na podstawie umowy uaktywniającej (ok. </w:t>
            </w:r>
            <w:r w:rsidR="0010155C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="0010155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zł),</w:t>
            </w:r>
          </w:p>
          <w:p w14:paraId="3DCBFF17" w14:textId="555B705B" w:rsidR="004409A7" w:rsidRPr="00122945" w:rsidRDefault="004409A7" w:rsidP="00F412F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świadczenia pielęgnacyjne wraz ze składkami emerytalno-rentowymi, zdrowotnymi oraz kosztami obsługi (ok. </w:t>
            </w:r>
            <w:r w:rsidR="0010155C">
              <w:rPr>
                <w:rFonts w:ascii="Times New Roman" w:eastAsia="Times New Roman" w:hAnsi="Times New Roman"/>
                <w:color w:val="000000"/>
                <w:lang w:eastAsia="pl-PL"/>
              </w:rPr>
              <w:t>1092,6</w:t>
            </w:r>
            <w:r w:rsidRPr="008B05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mln zł).</w:t>
            </w:r>
          </w:p>
          <w:p w14:paraId="5605F244" w14:textId="697739B9" w:rsidR="004409A7" w:rsidRDefault="004409A7" w:rsidP="00F412F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02AA">
              <w:rPr>
                <w:rFonts w:ascii="Times New Roman" w:hAnsi="Times New Roman"/>
              </w:rPr>
              <w:t>Powyższe</w:t>
            </w:r>
            <w:r w:rsidRPr="002E02AA">
              <w:rPr>
                <w:rFonts w:ascii="Times New Roman" w:hAnsi="Times New Roman"/>
                <w:color w:val="000000"/>
              </w:rPr>
              <w:t xml:space="preserve"> skutki finansowe zostały określone na podstawie informacji przekazanych przez właściwych ministrów oraz Prezesa Zakładu Ubezpieczeń Społecznych. </w:t>
            </w:r>
          </w:p>
          <w:p w14:paraId="48D06B5B" w14:textId="1EA30558" w:rsidR="002B2810" w:rsidRPr="002B2810" w:rsidRDefault="002B2810" w:rsidP="00F412F0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2B2810">
              <w:rPr>
                <w:rFonts w:ascii="Times New Roman" w:hAnsi="Times New Roman"/>
              </w:rPr>
              <w:t>Skutki finansowe związane z podwyższeniem w 2023 r. minimalnego wynagrodzenia uzupełniono o skutki wynikające z art. 33b ustawy o rehabilitacji zawodowej i społecznej oraz zatrudnianiu osób niepełnosprawnych. Zgodnie z ww. przepisem na wniosek dysponenta Zakładowego Funduszu Rehabilitacji Osób Niepełnosprawnych i Zakładowego Funduszu Aktywności, PFRON przekazuje miesięczne środki w wysokości równej iloczynowi stanu zatrudnienia pracowników niepełnosprawnych dysponenta oraz 4% kwoty najniższego wynagrodzenia. Zgodnie z definicją, określoną ww. ustawie, najniższe wynagrodzenie oznacza minimalne wynagrodzenie za pracę obowiązujące w grudniu roku poprzedniego. Od 2023 r. PFRON na realizację ww. zadania będzie otrzymywał dotację z budżetu państwa w wysokości nie większej niż 150 mln zł. Kwota ta jest wzięta pod uwagę przy szacunkach podwyższenia minimalnego wynagrodzenia w 2023 r. i w następnych latach. Kwota podwyższenia została uwzględniona po stronie Wydatków w OSR w zakresie wpływu na sektor finansów publicznych (PFRON).</w:t>
            </w:r>
          </w:p>
          <w:p w14:paraId="3D2BFD89" w14:textId="2A7B8E29" w:rsidR="004409A7" w:rsidRPr="0088129A" w:rsidRDefault="004409A7" w:rsidP="00F412F0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2E02AA">
              <w:rPr>
                <w:rFonts w:ascii="Times New Roman" w:hAnsi="Times New Roman"/>
              </w:rPr>
              <w:t>W oszacowaniu skutków finansowych wykorzystano najbardziej aktualne dostępne prognozy wskaźników makroekonomicznych Ministra Finansów, w zakre</w:t>
            </w:r>
            <w:r w:rsidR="00C669B3">
              <w:rPr>
                <w:rFonts w:ascii="Times New Roman" w:hAnsi="Times New Roman"/>
              </w:rPr>
              <w:t xml:space="preserve">sie wynagrodzenia przeciętnego </w:t>
            </w:r>
            <w:r w:rsidRPr="002E02AA">
              <w:rPr>
                <w:rFonts w:ascii="Times New Roman" w:hAnsi="Times New Roman"/>
              </w:rPr>
              <w:t xml:space="preserve">w gospodarce narodowej oraz wskaźnika inflacji, zawarte w załączniku do </w:t>
            </w:r>
            <w:r w:rsidRPr="002E02AA">
              <w:rPr>
                <w:rFonts w:ascii="Times New Roman" w:hAnsi="Times New Roman"/>
                <w:i/>
              </w:rPr>
              <w:t xml:space="preserve">Wytycznych dotyczących stosowania jednolitych wskaźników makroekonomicznych będących podstawą oszacowania skutków finansowych projektowanych ustaw (z </w:t>
            </w:r>
            <w:r w:rsidR="0010155C">
              <w:rPr>
                <w:rFonts w:ascii="Times New Roman" w:hAnsi="Times New Roman"/>
                <w:i/>
              </w:rPr>
              <w:t>kwietnia</w:t>
            </w:r>
            <w:r w:rsidRPr="002E02AA">
              <w:rPr>
                <w:rFonts w:ascii="Times New Roman" w:hAnsi="Times New Roman"/>
                <w:i/>
              </w:rPr>
              <w:t xml:space="preserve"> 202</w:t>
            </w:r>
            <w:r w:rsidR="0010155C">
              <w:rPr>
                <w:rFonts w:ascii="Times New Roman" w:hAnsi="Times New Roman"/>
                <w:i/>
              </w:rPr>
              <w:t>2</w:t>
            </w:r>
            <w:r w:rsidRPr="002E02AA">
              <w:rPr>
                <w:rFonts w:ascii="Times New Roman" w:hAnsi="Times New Roman"/>
                <w:i/>
              </w:rPr>
              <w:t xml:space="preserve"> r.)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88129A">
              <w:rPr>
                <w:rFonts w:ascii="Times New Roman" w:hAnsi="Times New Roman"/>
              </w:rPr>
              <w:t>a także</w:t>
            </w:r>
            <w:r>
              <w:rPr>
                <w:rFonts w:ascii="Times New Roman" w:hAnsi="Times New Roman"/>
              </w:rPr>
              <w:t xml:space="preserve"> informacje zawarte w opracowaniach Głównego Urzędu Statystycznego oraz dane pozyskane z Ministerstwa Finansów.</w:t>
            </w:r>
          </w:p>
          <w:p w14:paraId="5BAA3AA6" w14:textId="142B38BA" w:rsidR="004409A7" w:rsidRDefault="004409A7" w:rsidP="00F412F0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88129A">
              <w:rPr>
                <w:rFonts w:ascii="Times New Roman" w:hAnsi="Times New Roman"/>
              </w:rPr>
              <w:t>Podział składki pomiędzy Fundusz Pracy i Fundusz Solidarnościowy – przyjęto zgodnie z art. 2</w:t>
            </w:r>
            <w:r>
              <w:rPr>
                <w:rFonts w:ascii="Times New Roman" w:hAnsi="Times New Roman"/>
              </w:rPr>
              <w:t>6</w:t>
            </w:r>
            <w:r w:rsidRPr="0088129A">
              <w:rPr>
                <w:rFonts w:ascii="Times New Roman" w:hAnsi="Times New Roman"/>
              </w:rPr>
              <w:t xml:space="preserve"> i </w:t>
            </w:r>
            <w:r w:rsidR="00C87200">
              <w:rPr>
                <w:rFonts w:ascii="Times New Roman" w:hAnsi="Times New Roman"/>
              </w:rPr>
              <w:t xml:space="preserve">art. </w:t>
            </w:r>
            <w:r w:rsidRPr="008812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88129A">
              <w:rPr>
                <w:rFonts w:ascii="Times New Roman" w:hAnsi="Times New Roman"/>
              </w:rPr>
              <w:t xml:space="preserve"> ustawy budżetowej na 202</w:t>
            </w:r>
            <w:r w:rsidR="0010155C">
              <w:rPr>
                <w:rFonts w:ascii="Times New Roman" w:hAnsi="Times New Roman"/>
              </w:rPr>
              <w:t>2</w:t>
            </w:r>
            <w:r w:rsidRPr="0088129A">
              <w:rPr>
                <w:rFonts w:ascii="Times New Roman" w:hAnsi="Times New Roman"/>
              </w:rPr>
              <w:t xml:space="preserve"> r.</w:t>
            </w:r>
            <w:r w:rsidR="00C87200">
              <w:rPr>
                <w:rFonts w:ascii="Times New Roman" w:hAnsi="Times New Roman"/>
              </w:rPr>
              <w:t>,</w:t>
            </w:r>
            <w:r w:rsidRPr="0088129A">
              <w:rPr>
                <w:rFonts w:ascii="Times New Roman" w:hAnsi="Times New Roman"/>
              </w:rPr>
              <w:t xml:space="preserve"> tj. odpowiednio 1,0% podstawy wymiaru składek na ubezpieczenia emerytalne i rentowe na Fundusz Pracy oraz 1,</w:t>
            </w:r>
            <w:r>
              <w:rPr>
                <w:rFonts w:ascii="Times New Roman" w:hAnsi="Times New Roman"/>
              </w:rPr>
              <w:t>45% na Fundusz Solidarnościowy.</w:t>
            </w:r>
          </w:p>
          <w:p w14:paraId="2C98CFE4" w14:textId="77777777" w:rsidR="004409A7" w:rsidRPr="002E02AA" w:rsidRDefault="004409A7" w:rsidP="00F412F0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 finansowe dla</w:t>
            </w:r>
            <w:r w:rsidRPr="009540CA">
              <w:rPr>
                <w:rFonts w:ascii="Times New Roman" w:hAnsi="Times New Roman"/>
              </w:rPr>
              <w:t xml:space="preserve"> Funduszu Gwarantowanych Świadczeń P</w:t>
            </w:r>
            <w:r>
              <w:rPr>
                <w:rFonts w:ascii="Times New Roman" w:hAnsi="Times New Roman"/>
              </w:rPr>
              <w:t>racowniczych oszacowane zostały wyłącznie dla jednostek sektora prywatnego (z</w:t>
            </w:r>
            <w:r w:rsidRPr="009540CA">
              <w:rPr>
                <w:rFonts w:ascii="Times New Roman" w:hAnsi="Times New Roman"/>
              </w:rPr>
              <w:t>godnie z art. 9 ustawy z dnia 13 lipca 2006 r. o</w:t>
            </w:r>
            <w:r>
              <w:rPr>
                <w:rFonts w:ascii="Times New Roman" w:hAnsi="Times New Roman"/>
              </w:rPr>
              <w:t> </w:t>
            </w:r>
            <w:r w:rsidRPr="009540CA">
              <w:rPr>
                <w:rFonts w:ascii="Times New Roman" w:hAnsi="Times New Roman"/>
              </w:rPr>
              <w:t>ochronie roszczeń pracowniczych w ra</w:t>
            </w:r>
            <w:r>
              <w:rPr>
                <w:rFonts w:ascii="Times New Roman" w:hAnsi="Times New Roman"/>
              </w:rPr>
              <w:t>zie niewypłacalności pracodawcy).</w:t>
            </w:r>
          </w:p>
          <w:p w14:paraId="7D6C32A5" w14:textId="71121220" w:rsidR="004409A7" w:rsidRPr="002E02AA" w:rsidRDefault="004409A7" w:rsidP="00F412F0">
            <w:pPr>
              <w:pStyle w:val="Tekstpodstawowy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E02AA">
              <w:rPr>
                <w:rFonts w:ascii="Times New Roman" w:hAnsi="Times New Roman"/>
              </w:rPr>
              <w:t xml:space="preserve">Zgodnie z informacją Ministerstwa Finansów udział gmin we wpływach z podatku dochodowego od osób fizycznych (PIT), ustalony zgodnie z zasadami określonymi w art. 9 ust. 1 w związku z art. 89 ustawy z dnia 13 listopada 2003 r. o dochodach jednostek samorządu terytorialnego (Dz. U. z </w:t>
            </w:r>
            <w:r>
              <w:rPr>
                <w:rFonts w:ascii="Times New Roman" w:hAnsi="Times New Roman"/>
              </w:rPr>
              <w:t xml:space="preserve">2021 r. poz. </w:t>
            </w:r>
            <w:r w:rsidR="00C87200">
              <w:rPr>
                <w:rFonts w:ascii="Times New Roman" w:hAnsi="Times New Roman"/>
              </w:rPr>
              <w:t>1672</w:t>
            </w:r>
            <w:r w:rsidRPr="002E02AA">
              <w:rPr>
                <w:rFonts w:ascii="Times New Roman" w:hAnsi="Times New Roman"/>
              </w:rPr>
              <w:t xml:space="preserve">, z </w:t>
            </w:r>
            <w:proofErr w:type="spellStart"/>
            <w:r w:rsidRPr="002E02AA">
              <w:rPr>
                <w:rFonts w:ascii="Times New Roman" w:hAnsi="Times New Roman"/>
              </w:rPr>
              <w:t>późn</w:t>
            </w:r>
            <w:proofErr w:type="spellEnd"/>
            <w:r w:rsidRPr="002E02AA">
              <w:rPr>
                <w:rFonts w:ascii="Times New Roman" w:hAnsi="Times New Roman"/>
              </w:rPr>
              <w:t>. zm.), w 202</w:t>
            </w:r>
            <w:r w:rsidR="000537DA">
              <w:rPr>
                <w:rFonts w:ascii="Times New Roman" w:hAnsi="Times New Roman"/>
              </w:rPr>
              <w:t>2</w:t>
            </w:r>
            <w:r w:rsidRPr="002E02AA">
              <w:rPr>
                <w:rFonts w:ascii="Times New Roman" w:hAnsi="Times New Roman"/>
              </w:rPr>
              <w:t xml:space="preserve"> r. wyniesie </w:t>
            </w:r>
            <w:r w:rsidRPr="0088129A">
              <w:rPr>
                <w:rFonts w:ascii="Times New Roman" w:hAnsi="Times New Roman"/>
              </w:rPr>
              <w:t>38,3</w:t>
            </w:r>
            <w:r w:rsidR="000537DA">
              <w:rPr>
                <w:rFonts w:ascii="Times New Roman" w:hAnsi="Times New Roman"/>
              </w:rPr>
              <w:t>4</w:t>
            </w:r>
            <w:r w:rsidRPr="0088129A">
              <w:rPr>
                <w:rFonts w:ascii="Times New Roman" w:hAnsi="Times New Roman"/>
              </w:rPr>
              <w:t>%</w:t>
            </w:r>
            <w:r w:rsidRPr="002E02AA">
              <w:rPr>
                <w:rFonts w:ascii="Times New Roman" w:hAnsi="Times New Roman"/>
              </w:rPr>
              <w:t>, a więc będzie wyższy niż w 20</w:t>
            </w:r>
            <w:r>
              <w:rPr>
                <w:rFonts w:ascii="Times New Roman" w:hAnsi="Times New Roman"/>
              </w:rPr>
              <w:t>2</w:t>
            </w:r>
            <w:r w:rsidR="00175C14">
              <w:rPr>
                <w:rFonts w:ascii="Times New Roman" w:hAnsi="Times New Roman"/>
              </w:rPr>
              <w:t>1</w:t>
            </w:r>
            <w:r w:rsidRPr="002E02AA">
              <w:rPr>
                <w:rFonts w:ascii="Times New Roman" w:hAnsi="Times New Roman"/>
              </w:rPr>
              <w:t xml:space="preserve"> r. o 0,</w:t>
            </w:r>
            <w:r w:rsidR="000537DA">
              <w:rPr>
                <w:rFonts w:ascii="Times New Roman" w:hAnsi="Times New Roman"/>
              </w:rPr>
              <w:t>11</w:t>
            </w:r>
            <w:r w:rsidRPr="002E02AA">
              <w:rPr>
                <w:rFonts w:ascii="Times New Roman" w:hAnsi="Times New Roman"/>
              </w:rPr>
              <w:t xml:space="preserve"> pkt. proc</w:t>
            </w:r>
            <w:r w:rsidR="00C669B3">
              <w:rPr>
                <w:rFonts w:ascii="Times New Roman" w:hAnsi="Times New Roman"/>
              </w:rPr>
              <w:t>.</w:t>
            </w:r>
            <w:r w:rsidRPr="002E02AA">
              <w:rPr>
                <w:rFonts w:ascii="Times New Roman" w:hAnsi="Times New Roman"/>
              </w:rPr>
              <w:t xml:space="preserve"> W obliczeniach skutków finansowych dla jednostek sektora finansów publicznych (JSFP) przyjęto, że udział gmin, a w efekcie udział jednostek samorządu terytorialnego (JST) w dochodach z PIT, w kolejnych latach </w:t>
            </w:r>
            <w:r w:rsidR="008C5E42">
              <w:rPr>
                <w:rFonts w:ascii="Times New Roman" w:hAnsi="Times New Roman"/>
              </w:rPr>
              <w:t>pozostanie na stałym poziomie</w:t>
            </w:r>
            <w:r w:rsidR="00C669B3">
              <w:rPr>
                <w:rFonts w:ascii="Times New Roman" w:hAnsi="Times New Roman"/>
              </w:rPr>
              <w:t xml:space="preserve"> 50,19</w:t>
            </w:r>
            <w:r w:rsidR="004F7005">
              <w:rPr>
                <w:rFonts w:ascii="Times New Roman" w:hAnsi="Times New Roman"/>
              </w:rPr>
              <w:t>%</w:t>
            </w:r>
            <w:r w:rsidRPr="002E02AA">
              <w:rPr>
                <w:rFonts w:ascii="Times New Roman" w:hAnsi="Times New Roman"/>
              </w:rPr>
              <w:t>.</w:t>
            </w:r>
          </w:p>
          <w:p w14:paraId="6FF7FF58" w14:textId="5D4E395A" w:rsidR="004409A7" w:rsidRDefault="004409A7" w:rsidP="00F412F0">
            <w:pPr>
              <w:pStyle w:val="Tekstpodstawowy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 w danych dotyczących dochodów JST uwzględniono wpływy do budżetu z tytułu k</w:t>
            </w:r>
            <w:r w:rsidRPr="005E7C2E">
              <w:rPr>
                <w:rFonts w:ascii="Times New Roman" w:hAnsi="Times New Roman"/>
              </w:rPr>
              <w:t>oszt</w:t>
            </w:r>
            <w:r>
              <w:rPr>
                <w:rFonts w:ascii="Times New Roman" w:hAnsi="Times New Roman"/>
              </w:rPr>
              <w:t xml:space="preserve">ów </w:t>
            </w:r>
            <w:r w:rsidRPr="005E7C2E">
              <w:rPr>
                <w:rFonts w:ascii="Times New Roman" w:hAnsi="Times New Roman"/>
              </w:rPr>
              <w:t xml:space="preserve">obsługi </w:t>
            </w:r>
            <w:r>
              <w:rPr>
                <w:rFonts w:ascii="Times New Roman" w:hAnsi="Times New Roman"/>
              </w:rPr>
              <w:t>świadczenia pielęgnacyjnego (relacjonowanego do minimalnego wynagrodzenia).</w:t>
            </w:r>
          </w:p>
          <w:p w14:paraId="088F777B" w14:textId="127DE595" w:rsidR="007A7B31" w:rsidRDefault="004409A7" w:rsidP="00F412F0">
            <w:pPr>
              <w:pStyle w:val="Tekstpodstawowy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Obliczenia</w:t>
            </w:r>
            <w:r w:rsidRPr="002E02AA">
              <w:rPr>
                <w:rFonts w:ascii="Times New Roman" w:hAnsi="Times New Roman"/>
              </w:rPr>
              <w:t xml:space="preserve"> kosztów pracodawców w podziale według sektora własności (podział na sektor publiczny i prywatny)</w:t>
            </w:r>
            <w:r>
              <w:rPr>
                <w:rFonts w:ascii="Times New Roman" w:hAnsi="Times New Roman"/>
              </w:rPr>
              <w:t xml:space="preserve"> dokonano w oparciu o dane pozyskane z Ministerstwa Finansów </w:t>
            </w:r>
            <w:r w:rsidR="00C87200" w:rsidRPr="00BE6715">
              <w:rPr>
                <w:rFonts w:ascii="Times New Roman" w:hAnsi="Times New Roman"/>
              </w:rPr>
              <w:t>dot</w:t>
            </w:r>
            <w:r w:rsidR="00C87200">
              <w:rPr>
                <w:rFonts w:ascii="Times New Roman" w:hAnsi="Times New Roman"/>
              </w:rPr>
              <w:t>yczące</w:t>
            </w:r>
            <w:r w:rsidR="00C87200" w:rsidRPr="00BE6715">
              <w:rPr>
                <w:rFonts w:ascii="Times New Roman" w:hAnsi="Times New Roman"/>
              </w:rPr>
              <w:t xml:space="preserve"> </w:t>
            </w:r>
            <w:r w:rsidRPr="00BE6715">
              <w:rPr>
                <w:rFonts w:ascii="Times New Roman" w:hAnsi="Times New Roman"/>
              </w:rPr>
              <w:t xml:space="preserve">liczby osób świadczących pracę w oparciu o umowę o pracę pobierających wynagrodzenie pomiędzy obecnym a projektowanym minimalnym wynagrodzeniem za pracę </w:t>
            </w:r>
            <w:r w:rsidR="00C87200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podziale na jednostki sektora finansów publicznych oraz jednostki nieleżące do sektora finansów publicznych.</w:t>
            </w:r>
            <w:r w:rsidRPr="002E02AA">
              <w:rPr>
                <w:rFonts w:ascii="Times New Roman" w:hAnsi="Times New Roman"/>
              </w:rPr>
              <w:t xml:space="preserve"> Koszty dla poszczególnych kategorii podmiotów obliczono proporcjonalnie do </w:t>
            </w:r>
            <w:r>
              <w:rPr>
                <w:rFonts w:ascii="Times New Roman" w:hAnsi="Times New Roman"/>
              </w:rPr>
              <w:t>struktury zatrudnienia w tych jednostkach osób objętych regulacją.</w:t>
            </w:r>
          </w:p>
          <w:p w14:paraId="0DC9BFD5" w14:textId="77777777" w:rsidR="007A7B31" w:rsidRDefault="007A7B31" w:rsidP="00F412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3ACFDEE" w14:textId="33FE0789" w:rsidR="00673665" w:rsidRDefault="00673665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3665">
              <w:rPr>
                <w:rFonts w:ascii="Times New Roman" w:hAnsi="Times New Roman"/>
              </w:rPr>
              <w:t>Sku</w:t>
            </w:r>
            <w:r w:rsidRPr="00673665">
              <w:rPr>
                <w:rFonts w:ascii="Times New Roman" w:hAnsi="Times New Roman"/>
                <w:color w:val="000000"/>
              </w:rPr>
              <w:t>tki finansowe oszacowano przy minimalnym wynagrodzeniu w 2023 r. na poziomie średniej</w:t>
            </w:r>
            <w:r w:rsidR="00C87200">
              <w:rPr>
                <w:rFonts w:ascii="Times New Roman" w:hAnsi="Times New Roman"/>
                <w:color w:val="000000"/>
              </w:rPr>
              <w:t>,</w:t>
            </w:r>
            <w:r w:rsidRPr="00673665">
              <w:rPr>
                <w:rFonts w:ascii="Times New Roman" w:hAnsi="Times New Roman"/>
                <w:color w:val="000000"/>
              </w:rPr>
              <w:t xml:space="preserve"> tj. </w:t>
            </w:r>
            <w:bookmarkStart w:id="4" w:name="_Hlk104371905"/>
            <w:r w:rsidRPr="00673665">
              <w:rPr>
                <w:rFonts w:ascii="Times New Roman" w:hAnsi="Times New Roman"/>
                <w:color w:val="000000"/>
              </w:rPr>
              <w:t xml:space="preserve">3416,50 </w:t>
            </w:r>
            <w:bookmarkEnd w:id="4"/>
            <w:r w:rsidRPr="00673665">
              <w:rPr>
                <w:rFonts w:ascii="Times New Roman" w:hAnsi="Times New Roman"/>
                <w:color w:val="000000"/>
              </w:rPr>
              <w:t xml:space="preserve">zł (średnia z </w:t>
            </w:r>
            <w:bookmarkStart w:id="5" w:name="_Hlk104371887"/>
            <w:bookmarkStart w:id="6" w:name="_Hlk104372282"/>
            <w:r w:rsidRPr="00673665">
              <w:rPr>
                <w:rFonts w:ascii="Times New Roman" w:hAnsi="Times New Roman"/>
                <w:color w:val="000000"/>
              </w:rPr>
              <w:t>3383</w:t>
            </w:r>
            <w:bookmarkEnd w:id="5"/>
            <w:r w:rsidRPr="00673665">
              <w:rPr>
                <w:rFonts w:ascii="Times New Roman" w:hAnsi="Times New Roman"/>
                <w:color w:val="000000"/>
              </w:rPr>
              <w:t xml:space="preserve"> </w:t>
            </w:r>
            <w:bookmarkEnd w:id="6"/>
            <w:r w:rsidRPr="00673665">
              <w:rPr>
                <w:rFonts w:ascii="Times New Roman" w:hAnsi="Times New Roman"/>
                <w:color w:val="000000"/>
              </w:rPr>
              <w:t>zł i 3450 zł)</w:t>
            </w:r>
            <w:r w:rsidR="00C87200">
              <w:rPr>
                <w:rFonts w:ascii="Times New Roman" w:hAnsi="Times New Roman"/>
                <w:color w:val="000000"/>
              </w:rPr>
              <w:t>,</w:t>
            </w:r>
            <w:r w:rsidRPr="00673665">
              <w:rPr>
                <w:rFonts w:ascii="Times New Roman" w:hAnsi="Times New Roman"/>
                <w:color w:val="000000"/>
              </w:rPr>
              <w:t xml:space="preserve"> a w kolejnych latach na poziomie 3450 zł.</w:t>
            </w:r>
          </w:p>
          <w:p w14:paraId="06CD51DA" w14:textId="77777777" w:rsidR="007A7B31" w:rsidRPr="00673665" w:rsidRDefault="007A7B31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843110" w14:textId="7ED6A130" w:rsidR="004409A7" w:rsidRPr="008C5E42" w:rsidRDefault="004409A7" w:rsidP="00F412F0">
            <w:pPr>
              <w:pStyle w:val="Teksttreci"/>
              <w:tabs>
                <w:tab w:val="left" w:pos="622"/>
              </w:tabs>
              <w:ind w:right="40"/>
              <w:rPr>
                <w:bCs/>
                <w:sz w:val="22"/>
                <w:szCs w:val="22"/>
              </w:rPr>
            </w:pPr>
            <w:r w:rsidRPr="008C5E42">
              <w:rPr>
                <w:sz w:val="22"/>
                <w:szCs w:val="22"/>
              </w:rPr>
              <w:t xml:space="preserve">W </w:t>
            </w:r>
            <w:proofErr w:type="spellStart"/>
            <w:r w:rsidR="00E9636D">
              <w:rPr>
                <w:sz w:val="22"/>
                <w:szCs w:val="22"/>
              </w:rPr>
              <w:t>W</w:t>
            </w:r>
            <w:proofErr w:type="spellEnd"/>
            <w:r w:rsidR="00E9636D">
              <w:rPr>
                <w:sz w:val="22"/>
                <w:szCs w:val="22"/>
              </w:rPr>
              <w:t xml:space="preserve"> </w:t>
            </w:r>
            <w:r w:rsidRPr="008C5E42">
              <w:rPr>
                <w:sz w:val="22"/>
                <w:szCs w:val="22"/>
              </w:rPr>
              <w:t>odniesieniu do proponowan</w:t>
            </w:r>
            <w:r w:rsidR="00B51C01">
              <w:rPr>
                <w:sz w:val="22"/>
                <w:szCs w:val="22"/>
              </w:rPr>
              <w:t>ych</w:t>
            </w:r>
            <w:r w:rsidRPr="008C5E42">
              <w:rPr>
                <w:sz w:val="22"/>
                <w:szCs w:val="22"/>
              </w:rPr>
              <w:t xml:space="preserve"> wysokości minimalnej stawki godzinowej dla określonych umów </w:t>
            </w:r>
            <w:r w:rsidRPr="008C5E42">
              <w:rPr>
                <w:sz w:val="22"/>
                <w:szCs w:val="22"/>
              </w:rPr>
              <w:lastRenderedPageBreak/>
              <w:t>cywilnoprawnych (</w:t>
            </w:r>
            <w:r w:rsidR="00B51C01" w:rsidRPr="00B51C01">
              <w:rPr>
                <w:sz w:val="22"/>
                <w:szCs w:val="22"/>
              </w:rPr>
              <w:t>od dnia 1 stycznia 2023 r. w kwocie 22,10 zł</w:t>
            </w:r>
            <w:r w:rsidR="00B51C01">
              <w:rPr>
                <w:sz w:val="22"/>
                <w:szCs w:val="22"/>
              </w:rPr>
              <w:t xml:space="preserve"> i </w:t>
            </w:r>
            <w:r w:rsidR="004931D0">
              <w:rPr>
                <w:sz w:val="22"/>
                <w:szCs w:val="22"/>
              </w:rPr>
              <w:t xml:space="preserve">od dnia </w:t>
            </w:r>
            <w:r w:rsidR="00B51C01" w:rsidRPr="00B51C01">
              <w:rPr>
                <w:sz w:val="22"/>
                <w:szCs w:val="22"/>
              </w:rPr>
              <w:t>1 lipca 2023 r. w kwocie 22,50 zł.</w:t>
            </w:r>
            <w:r w:rsidRPr="008C5E42">
              <w:rPr>
                <w:sz w:val="22"/>
                <w:szCs w:val="22"/>
              </w:rPr>
              <w:t xml:space="preserve">) nie jest możliwe oszacowanie skutków finansowych wynikających </w:t>
            </w:r>
            <w:r w:rsidR="00774266">
              <w:rPr>
                <w:sz w:val="22"/>
                <w:szCs w:val="22"/>
              </w:rPr>
              <w:t>z podwyższenia tej stawki w 2023</w:t>
            </w:r>
            <w:r w:rsidRPr="008C5E42">
              <w:rPr>
                <w:sz w:val="22"/>
                <w:szCs w:val="22"/>
              </w:rPr>
              <w:t xml:space="preserve"> r., z uwagi na brak danych.</w:t>
            </w:r>
          </w:p>
        </w:tc>
      </w:tr>
      <w:tr w:rsidR="004409A7" w:rsidRPr="00CE0D38" w14:paraId="2B2105BB" w14:textId="77777777" w:rsidTr="00F412F0">
        <w:trPr>
          <w:trHeight w:val="345"/>
        </w:trPr>
        <w:tc>
          <w:tcPr>
            <w:tcW w:w="11340" w:type="dxa"/>
            <w:gridSpan w:val="22"/>
            <w:shd w:val="clear" w:color="auto" w:fill="99CCFF"/>
          </w:tcPr>
          <w:p w14:paraId="00A73ECE" w14:textId="77777777" w:rsidR="004409A7" w:rsidRPr="00CE0D38" w:rsidRDefault="004409A7" w:rsidP="00F412F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36C2">
              <w:rPr>
                <w:rFonts w:ascii="Times New Roman" w:hAnsi="Times New Roman"/>
                <w:b/>
                <w:spacing w:val="-2"/>
              </w:rPr>
              <w:lastRenderedPageBreak/>
              <w:t xml:space="preserve">Wpływ na </w:t>
            </w:r>
            <w:r w:rsidRPr="005636C2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409A7" w:rsidRPr="00CE0D38" w14:paraId="013D2A4F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FFFFFF"/>
          </w:tcPr>
          <w:p w14:paraId="2CE5A6CF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C3465" w:rsidRPr="00CE0D38" w14:paraId="7CC3D310" w14:textId="77777777" w:rsidTr="003C3465">
        <w:trPr>
          <w:trHeight w:val="142"/>
        </w:trPr>
        <w:tc>
          <w:tcPr>
            <w:tcW w:w="4872" w:type="dxa"/>
            <w:gridSpan w:val="6"/>
            <w:shd w:val="clear" w:color="auto" w:fill="FFFFFF"/>
          </w:tcPr>
          <w:p w14:paraId="228CBF07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0C8932B9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66B88E6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666FA10A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6381F364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0B633FB6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1" w:type="dxa"/>
            <w:gridSpan w:val="2"/>
            <w:shd w:val="clear" w:color="auto" w:fill="FFFFFF"/>
          </w:tcPr>
          <w:p w14:paraId="798FF0AC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2210E23C" w14:textId="77777777" w:rsidR="004409A7" w:rsidRPr="00CE0D38" w:rsidRDefault="004409A7" w:rsidP="00F412F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CE0D3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CE0D3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C3465" w:rsidRPr="00CE0D38" w14:paraId="7C939920" w14:textId="77777777" w:rsidTr="003C3465">
        <w:trPr>
          <w:trHeight w:val="142"/>
        </w:trPr>
        <w:tc>
          <w:tcPr>
            <w:tcW w:w="2165" w:type="dxa"/>
            <w:gridSpan w:val="2"/>
            <w:vMerge w:val="restart"/>
            <w:shd w:val="clear" w:color="auto" w:fill="FFFFFF"/>
          </w:tcPr>
          <w:p w14:paraId="7F8500A6" w14:textId="77777777" w:rsidR="00E7557D" w:rsidRPr="00CE0D38" w:rsidRDefault="00E7557D" w:rsidP="00F412F0">
            <w:pPr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76D99D" w14:textId="77777777" w:rsidR="00E7557D" w:rsidRPr="00CE0D38" w:rsidRDefault="00E7557D" w:rsidP="00F412F0">
            <w:pPr>
              <w:rPr>
                <w:rFonts w:ascii="Times New Roman" w:hAnsi="Times New Roman"/>
                <w:spacing w:val="-2"/>
              </w:rPr>
            </w:pPr>
            <w:r w:rsidRPr="00CE0D3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68738DF" w14:textId="76F371AC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2021</w:t>
            </w:r>
            <w:r w:rsidRPr="00CE0D38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707" w:type="dxa"/>
            <w:gridSpan w:val="4"/>
            <w:shd w:val="clear" w:color="auto" w:fill="FFFFFF"/>
          </w:tcPr>
          <w:p w14:paraId="6C9D9EDF" w14:textId="77777777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4C55F" w14:textId="15D530D2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D129" w14:textId="2EBE95FF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-2 313,0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F147" w14:textId="608D29D5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-2 575,3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D1366" w14:textId="228AB42F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-2 607,7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0B65" w14:textId="3E2F46D1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-2 633,1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7E548" w14:textId="36BC8E4D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-2 633,1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F3A87C" w14:textId="7AABF9A9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-25 927,8</w:t>
            </w:r>
          </w:p>
        </w:tc>
      </w:tr>
      <w:tr w:rsidR="003C3465" w:rsidRPr="00CE0D38" w14:paraId="24EDBB3A" w14:textId="77777777" w:rsidTr="003C3465">
        <w:trPr>
          <w:trHeight w:val="142"/>
        </w:trPr>
        <w:tc>
          <w:tcPr>
            <w:tcW w:w="2165" w:type="dxa"/>
            <w:gridSpan w:val="2"/>
            <w:vMerge/>
            <w:shd w:val="clear" w:color="auto" w:fill="FFFFFF"/>
          </w:tcPr>
          <w:p w14:paraId="45665909" w14:textId="77777777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02728437" w14:textId="77777777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F291" w14:textId="3295B27E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48D" w14:textId="33ED6D68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-12 541,5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909C" w14:textId="368AFC42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-13 963,9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6AAC" w14:textId="0CFC42C7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-14 139,2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033A" w14:textId="449A74C1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-14 277,2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4B17E" w14:textId="747DED3F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-14 277,2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7A1E6A" w14:textId="1E0381A0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-140 585,0</w:t>
            </w:r>
          </w:p>
        </w:tc>
      </w:tr>
      <w:tr w:rsidR="003C3465" w:rsidRPr="00CE0D38" w14:paraId="360B0D5D" w14:textId="77777777" w:rsidTr="003C3465">
        <w:trPr>
          <w:trHeight w:val="142"/>
        </w:trPr>
        <w:tc>
          <w:tcPr>
            <w:tcW w:w="2165" w:type="dxa"/>
            <w:gridSpan w:val="2"/>
            <w:vMerge/>
            <w:shd w:val="clear" w:color="auto" w:fill="FFFFFF"/>
          </w:tcPr>
          <w:p w14:paraId="4F345711" w14:textId="77777777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25FD0D74" w14:textId="77777777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F2A7" w14:textId="079094CB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F6DD" w14:textId="50A8F607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10 709,2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269" w14:textId="7CF352EA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11 820,4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4616" w14:textId="1DC0DC30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11 968,9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A211" w14:textId="0ACBD69D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12 085,6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4B7A" w14:textId="48F4E8DA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12 085,6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CC7756" w14:textId="7695C64A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7557D">
              <w:rPr>
                <w:rFonts w:ascii="Times New Roman" w:hAnsi="Times New Roman"/>
                <w:color w:val="000000"/>
                <w:sz w:val="18"/>
                <w:szCs w:val="18"/>
              </w:rPr>
              <w:t>119 097,8</w:t>
            </w:r>
          </w:p>
        </w:tc>
      </w:tr>
      <w:tr w:rsidR="003C3465" w:rsidRPr="00CE0D38" w14:paraId="3D0DB858" w14:textId="77777777" w:rsidTr="003C3465">
        <w:trPr>
          <w:trHeight w:val="142"/>
        </w:trPr>
        <w:tc>
          <w:tcPr>
            <w:tcW w:w="2165" w:type="dxa"/>
            <w:gridSpan w:val="2"/>
            <w:vMerge/>
            <w:shd w:val="clear" w:color="auto" w:fill="FFFFFF"/>
          </w:tcPr>
          <w:p w14:paraId="610C6A92" w14:textId="77777777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34614F50" w14:textId="77777777" w:rsidR="00E7557D" w:rsidRPr="00CE0D38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E0D38">
              <w:rPr>
                <w:rFonts w:ascii="Times New Roman" w:hAnsi="Times New Roman"/>
                <w:color w:val="000000"/>
              </w:rPr>
            </w:r>
            <w:r w:rsidRPr="00CE0D38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7599" w14:textId="3E84CF8A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37A4" w14:textId="60086E85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45E0" w14:textId="21EB6EDA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E2A" w14:textId="32CA9CBB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D84A" w14:textId="33DCA59F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E7036" w14:textId="1E54BCD3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43C5F2" w14:textId="47979C51" w:rsidR="00E7557D" w:rsidRPr="00E7557D" w:rsidRDefault="00E7557D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8636EE" w:rsidRPr="00CE0D38" w14:paraId="1ADB5080" w14:textId="77777777" w:rsidTr="00F412F0">
        <w:trPr>
          <w:trHeight w:val="142"/>
        </w:trPr>
        <w:tc>
          <w:tcPr>
            <w:tcW w:w="2165" w:type="dxa"/>
            <w:gridSpan w:val="2"/>
            <w:vMerge w:val="restart"/>
            <w:shd w:val="clear" w:color="auto" w:fill="FFFFFF"/>
          </w:tcPr>
          <w:p w14:paraId="5265E33B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707" w:type="dxa"/>
            <w:gridSpan w:val="4"/>
            <w:shd w:val="clear" w:color="auto" w:fill="FFFFFF"/>
          </w:tcPr>
          <w:p w14:paraId="29CB316A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468" w:type="dxa"/>
            <w:gridSpan w:val="16"/>
            <w:shd w:val="clear" w:color="auto" w:fill="FFFFFF"/>
          </w:tcPr>
          <w:p w14:paraId="73338752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636EE" w:rsidRPr="00CE0D38" w14:paraId="30F0BA21" w14:textId="77777777" w:rsidTr="00F412F0">
        <w:trPr>
          <w:trHeight w:val="142"/>
        </w:trPr>
        <w:tc>
          <w:tcPr>
            <w:tcW w:w="2165" w:type="dxa"/>
            <w:gridSpan w:val="2"/>
            <w:vMerge/>
            <w:shd w:val="clear" w:color="auto" w:fill="FFFFFF"/>
          </w:tcPr>
          <w:p w14:paraId="6AABEDC7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60CDDCBC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468" w:type="dxa"/>
            <w:gridSpan w:val="16"/>
            <w:shd w:val="clear" w:color="auto" w:fill="FFFFFF"/>
          </w:tcPr>
          <w:p w14:paraId="5499F249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636EE" w:rsidRPr="00CE0D38" w14:paraId="4549594B" w14:textId="77777777" w:rsidTr="00F412F0">
        <w:trPr>
          <w:trHeight w:val="596"/>
        </w:trPr>
        <w:tc>
          <w:tcPr>
            <w:tcW w:w="2165" w:type="dxa"/>
            <w:gridSpan w:val="2"/>
            <w:vMerge/>
            <w:shd w:val="clear" w:color="auto" w:fill="FFFFFF"/>
          </w:tcPr>
          <w:p w14:paraId="1E215523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7FCBEEB0" w14:textId="77777777" w:rsidR="004409A7" w:rsidRPr="00CE0D38" w:rsidRDefault="004409A7" w:rsidP="00F412F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</w:rPr>
              <w:t>rodzina, obywatele oraz gospodarstwa domowe</w:t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468" w:type="dxa"/>
            <w:gridSpan w:val="16"/>
            <w:shd w:val="clear" w:color="auto" w:fill="FFFFFF"/>
          </w:tcPr>
          <w:p w14:paraId="4D90C102" w14:textId="0598484E" w:rsidR="004409A7" w:rsidRPr="00CE0D38" w:rsidRDefault="00766B4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6B4F">
              <w:rPr>
                <w:rFonts w:ascii="Times New Roman" w:hAnsi="Times New Roman"/>
                <w:color w:val="000000"/>
                <w:spacing w:val="-2"/>
              </w:rPr>
              <w:t>Wprowadzenie projektowanej zmiany zwiększy dochody z pracy osób otrzymujących wynagrodzenie w wysokości minimalnego wynagrodzenia za pracę, co przyczyni się również do poprawy sytuacji finansowej gospodarstw domowych tych osób</w:t>
            </w:r>
            <w:r>
              <w:rPr>
                <w:rFonts w:ascii="Times New Roman" w:hAnsi="Times New Roman"/>
                <w:color w:val="000000"/>
                <w:spacing w:val="-2"/>
              </w:rPr>
              <w:t>. D</w:t>
            </w:r>
            <w:r w:rsidRPr="00766B4F">
              <w:rPr>
                <w:rFonts w:ascii="Times New Roman" w:hAnsi="Times New Roman"/>
                <w:color w:val="000000"/>
                <w:spacing w:val="-2"/>
              </w:rPr>
              <w:t xml:space="preserve">otyczy to także osób starszych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766B4F">
              <w:rPr>
                <w:rFonts w:ascii="Times New Roman" w:hAnsi="Times New Roman"/>
                <w:color w:val="000000"/>
                <w:spacing w:val="-2"/>
              </w:rPr>
              <w:t xml:space="preserve"> niepełnosprawnych.</w:t>
            </w:r>
          </w:p>
        </w:tc>
      </w:tr>
      <w:tr w:rsidR="008636EE" w:rsidRPr="00CE0D38" w14:paraId="0027C83D" w14:textId="77777777" w:rsidTr="00F412F0">
        <w:trPr>
          <w:trHeight w:val="240"/>
        </w:trPr>
        <w:tc>
          <w:tcPr>
            <w:tcW w:w="2165" w:type="dxa"/>
            <w:gridSpan w:val="2"/>
            <w:vMerge/>
            <w:shd w:val="clear" w:color="auto" w:fill="FFFFFF"/>
          </w:tcPr>
          <w:p w14:paraId="29F37DD8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7D2F9B03" w14:textId="77777777" w:rsidR="004409A7" w:rsidRPr="00CE0D38" w:rsidRDefault="004409A7" w:rsidP="00F412F0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E0D38">
              <w:rPr>
                <w:rFonts w:ascii="Times New Roman" w:hAnsi="Times New Roman"/>
                <w:color w:val="000000"/>
              </w:rPr>
            </w:r>
            <w:r w:rsidRPr="00CE0D38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468" w:type="dxa"/>
            <w:gridSpan w:val="16"/>
            <w:shd w:val="clear" w:color="auto" w:fill="FFFFFF"/>
          </w:tcPr>
          <w:p w14:paraId="265AB03D" w14:textId="77777777" w:rsidR="004409A7" w:rsidRPr="00CE0D38" w:rsidRDefault="004409A7" w:rsidP="00F412F0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636EE" w:rsidRPr="00CE0D38" w14:paraId="072EC9F3" w14:textId="77777777" w:rsidTr="00F412F0">
        <w:trPr>
          <w:trHeight w:val="142"/>
        </w:trPr>
        <w:tc>
          <w:tcPr>
            <w:tcW w:w="2165" w:type="dxa"/>
            <w:gridSpan w:val="2"/>
            <w:shd w:val="clear" w:color="auto" w:fill="FFFFFF"/>
          </w:tcPr>
          <w:p w14:paraId="113988DB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6743F1FB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68" w:type="dxa"/>
            <w:gridSpan w:val="16"/>
            <w:shd w:val="clear" w:color="auto" w:fill="FFFFFF"/>
          </w:tcPr>
          <w:p w14:paraId="34A709C6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636EE" w:rsidRPr="00CE0D38" w14:paraId="3B53DB79" w14:textId="77777777" w:rsidTr="00F412F0">
        <w:trPr>
          <w:trHeight w:val="142"/>
        </w:trPr>
        <w:tc>
          <w:tcPr>
            <w:tcW w:w="2165" w:type="dxa"/>
            <w:gridSpan w:val="2"/>
            <w:vMerge w:val="restart"/>
            <w:shd w:val="clear" w:color="auto" w:fill="FFFFFF"/>
          </w:tcPr>
          <w:p w14:paraId="29061AAA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707" w:type="dxa"/>
            <w:gridSpan w:val="4"/>
            <w:shd w:val="clear" w:color="auto" w:fill="FFFFFF"/>
          </w:tcPr>
          <w:p w14:paraId="6A39A5C0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468" w:type="dxa"/>
            <w:gridSpan w:val="16"/>
            <w:shd w:val="clear" w:color="auto" w:fill="FFFFFF"/>
          </w:tcPr>
          <w:p w14:paraId="4098A738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636EE" w:rsidRPr="00CE0D38" w14:paraId="3B0DA29E" w14:textId="77777777" w:rsidTr="00F412F0">
        <w:trPr>
          <w:trHeight w:val="142"/>
        </w:trPr>
        <w:tc>
          <w:tcPr>
            <w:tcW w:w="2165" w:type="dxa"/>
            <w:gridSpan w:val="2"/>
            <w:vMerge/>
            <w:shd w:val="clear" w:color="auto" w:fill="FFFFFF"/>
          </w:tcPr>
          <w:p w14:paraId="1B17796A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7" w:type="dxa"/>
            <w:gridSpan w:val="4"/>
            <w:shd w:val="clear" w:color="auto" w:fill="FFFFFF"/>
          </w:tcPr>
          <w:p w14:paraId="6E99A3C8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468" w:type="dxa"/>
            <w:gridSpan w:val="16"/>
            <w:shd w:val="clear" w:color="auto" w:fill="FFFFFF"/>
          </w:tcPr>
          <w:p w14:paraId="172D2C6A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MS Mincho" w:hAnsi="Times New Roman"/>
                <w:spacing w:val="-2"/>
              </w:rPr>
              <w:t xml:space="preserve"> </w:t>
            </w:r>
          </w:p>
        </w:tc>
      </w:tr>
      <w:tr w:rsidR="008636EE" w:rsidRPr="00CE0D38" w14:paraId="165F828A" w14:textId="77777777" w:rsidTr="00F412F0">
        <w:trPr>
          <w:trHeight w:val="557"/>
        </w:trPr>
        <w:tc>
          <w:tcPr>
            <w:tcW w:w="2165" w:type="dxa"/>
            <w:gridSpan w:val="2"/>
            <w:shd w:val="clear" w:color="auto" w:fill="FFFFFF"/>
          </w:tcPr>
          <w:p w14:paraId="15246583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175" w:type="dxa"/>
            <w:gridSpan w:val="20"/>
            <w:shd w:val="clear" w:color="auto" w:fill="FFFFFF"/>
            <w:vAlign w:val="center"/>
          </w:tcPr>
          <w:p w14:paraId="23B4BD38" w14:textId="070B27AD" w:rsidR="00766B4F" w:rsidRDefault="00E9636D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Oszacowanie</w:t>
            </w:r>
            <w:r w:rsidR="00766B4F" w:rsidRPr="00766B4F">
              <w:rPr>
                <w:rFonts w:ascii="Times New Roman" w:hAnsi="Times New Roman"/>
                <w:color w:val="000000"/>
              </w:rPr>
              <w:t xml:space="preserve"> kosztów pracodawców z sektora prywatnego w podziale według wielkości (duże przedsiębiorstwa oraz sektor mikro-, małych i średnich przedsiębiorstw) dokonano w oparciu o dane pozyskane z Ministerstwa Finansów dotyczące liczby osób świadczących pracę w oparciu o umowę o pracę pobierających wynagrodzenie pomiędzy obecnym a projektowanym minimalnym wynagrodzeniem za pracę. Koszty dla poszczególnych kategorii podmiotów obliczono proporcjonalnie do struktury zatrudnienia w tych jednostkach osób, których dotyczy podwyższenie minimalnego wynagrodzenia.</w:t>
            </w:r>
          </w:p>
          <w:p w14:paraId="0678798D" w14:textId="0AF2B22B" w:rsidR="00570765" w:rsidRPr="00F412F0" w:rsidRDefault="00766B4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6B4F">
              <w:rPr>
                <w:rFonts w:ascii="Times New Roman" w:hAnsi="Times New Roman"/>
                <w:color w:val="000000"/>
              </w:rPr>
              <w:t>Ponadto wzrost minimalnego wynagrodzenia za pracę oznacza wzrost wysokości składek na ubezpieczenie społeczne odprowadzanych przez przedsiębiorców korzystających z tzw. „preferencyjnego ZUS”, dla których podstawa wymiaru składek nie może być niższa niż 30% minimalnego wynagrodzenia za pracę.</w:t>
            </w:r>
            <w:r w:rsidR="00D80DD0">
              <w:rPr>
                <w:rFonts w:ascii="Times New Roman" w:hAnsi="Times New Roman"/>
                <w:color w:val="000000"/>
              </w:rPr>
              <w:t xml:space="preserve"> Według stanu na 31.12.2021 </w:t>
            </w:r>
            <w:r w:rsidR="00570765">
              <w:rPr>
                <w:rFonts w:ascii="Times New Roman" w:hAnsi="Times New Roman"/>
                <w:color w:val="000000"/>
              </w:rPr>
              <w:t xml:space="preserve">do ZUS </w:t>
            </w:r>
            <w:r w:rsidR="00D80DD0">
              <w:rPr>
                <w:rFonts w:ascii="Times New Roman" w:hAnsi="Times New Roman"/>
                <w:color w:val="000000"/>
              </w:rPr>
              <w:t xml:space="preserve">zgłoszonych </w:t>
            </w:r>
            <w:r w:rsidR="00D80DD0" w:rsidRPr="00F412F0">
              <w:rPr>
                <w:rFonts w:ascii="Times New Roman" w:hAnsi="Times New Roman"/>
                <w:color w:val="000000"/>
              </w:rPr>
              <w:t xml:space="preserve">było 277,5 tys. </w:t>
            </w:r>
            <w:r w:rsidR="00570765" w:rsidRPr="00F412F0">
              <w:rPr>
                <w:rFonts w:ascii="Times New Roman" w:hAnsi="Times New Roman"/>
                <w:color w:val="000000"/>
              </w:rPr>
              <w:t xml:space="preserve">osób prowadzących działalność gospodarczą i objętych tzw. „preferencyjnym ZUS”. </w:t>
            </w:r>
          </w:p>
          <w:p w14:paraId="2A5C7EDC" w14:textId="1A3FFC0E" w:rsidR="009A064B" w:rsidRDefault="00766B4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12F0">
              <w:rPr>
                <w:rFonts w:ascii="Times New Roman" w:hAnsi="Times New Roman"/>
                <w:color w:val="000000"/>
              </w:rPr>
              <w:t xml:space="preserve">Zgodnie z informacjami przekazanymi przez ZUS liczba ubezpieczonych, dla których </w:t>
            </w:r>
            <w:r w:rsidR="00684345" w:rsidRPr="00F412F0">
              <w:rPr>
                <w:rFonts w:ascii="Times New Roman" w:hAnsi="Times New Roman"/>
                <w:color w:val="000000"/>
              </w:rPr>
              <w:t xml:space="preserve">podstawa wymiaru składek na ubezpieczenie społeczne </w:t>
            </w:r>
            <w:r w:rsidRPr="00F412F0">
              <w:rPr>
                <w:rFonts w:ascii="Times New Roman" w:hAnsi="Times New Roman"/>
                <w:color w:val="000000"/>
              </w:rPr>
              <w:t xml:space="preserve">uzależniona jest od </w:t>
            </w:r>
            <w:r w:rsidR="00570765" w:rsidRPr="00F412F0">
              <w:rPr>
                <w:rFonts w:ascii="Times New Roman" w:hAnsi="Times New Roman"/>
                <w:color w:val="000000"/>
              </w:rPr>
              <w:t>dochodu</w:t>
            </w:r>
            <w:r w:rsidR="00C87200">
              <w:rPr>
                <w:rFonts w:ascii="Times New Roman" w:hAnsi="Times New Roman"/>
                <w:color w:val="000000"/>
              </w:rPr>
              <w:t>,</w:t>
            </w:r>
            <w:r w:rsidRPr="00F412F0">
              <w:rPr>
                <w:rFonts w:ascii="Times New Roman" w:hAnsi="Times New Roman"/>
                <w:color w:val="000000"/>
              </w:rPr>
              <w:t xml:space="preserve"> tzw. „mał</w:t>
            </w:r>
            <w:r w:rsidR="00684345" w:rsidRPr="00F412F0">
              <w:rPr>
                <w:rFonts w:ascii="Times New Roman" w:hAnsi="Times New Roman"/>
                <w:color w:val="000000"/>
              </w:rPr>
              <w:t>a działalność</w:t>
            </w:r>
            <w:r w:rsidRPr="00F412F0">
              <w:rPr>
                <w:rFonts w:ascii="Times New Roman" w:hAnsi="Times New Roman"/>
                <w:color w:val="000000"/>
              </w:rPr>
              <w:t xml:space="preserve"> </w:t>
            </w:r>
            <w:r w:rsidR="009A064B" w:rsidRPr="00F412F0">
              <w:rPr>
                <w:rFonts w:ascii="Times New Roman" w:hAnsi="Times New Roman"/>
                <w:color w:val="000000"/>
              </w:rPr>
              <w:t>gospodarcza plus</w:t>
            </w:r>
            <w:r w:rsidRPr="00F412F0">
              <w:rPr>
                <w:rFonts w:ascii="Times New Roman" w:hAnsi="Times New Roman"/>
                <w:color w:val="000000"/>
              </w:rPr>
              <w:t>”</w:t>
            </w:r>
            <w:r w:rsidR="00C87200">
              <w:rPr>
                <w:rFonts w:ascii="Times New Roman" w:hAnsi="Times New Roman"/>
                <w:color w:val="000000"/>
              </w:rPr>
              <w:t>,</w:t>
            </w:r>
            <w:r w:rsidRPr="00F412F0">
              <w:rPr>
                <w:rFonts w:ascii="Times New Roman" w:hAnsi="Times New Roman"/>
                <w:color w:val="000000"/>
              </w:rPr>
              <w:t xml:space="preserve"> według stanu na 31 </w:t>
            </w:r>
            <w:r w:rsidR="00684345" w:rsidRPr="00F412F0">
              <w:rPr>
                <w:rFonts w:ascii="Times New Roman" w:hAnsi="Times New Roman"/>
                <w:color w:val="000000"/>
              </w:rPr>
              <w:t>grudnia</w:t>
            </w:r>
            <w:r w:rsidRPr="00F412F0">
              <w:rPr>
                <w:rFonts w:ascii="Times New Roman" w:hAnsi="Times New Roman"/>
                <w:color w:val="000000"/>
              </w:rPr>
              <w:t xml:space="preserve"> 2021 r. wyniosła 3</w:t>
            </w:r>
            <w:r w:rsidR="00570765" w:rsidRPr="00F412F0">
              <w:rPr>
                <w:rFonts w:ascii="Times New Roman" w:hAnsi="Times New Roman"/>
                <w:color w:val="000000"/>
              </w:rPr>
              <w:t>28</w:t>
            </w:r>
            <w:r w:rsidRPr="00F412F0">
              <w:rPr>
                <w:rFonts w:ascii="Times New Roman" w:hAnsi="Times New Roman"/>
                <w:color w:val="000000"/>
              </w:rPr>
              <w:t>,</w:t>
            </w:r>
            <w:r w:rsidR="00570765" w:rsidRPr="00F412F0">
              <w:rPr>
                <w:rFonts w:ascii="Times New Roman" w:hAnsi="Times New Roman"/>
                <w:color w:val="000000"/>
              </w:rPr>
              <w:t>2</w:t>
            </w:r>
            <w:r w:rsidRPr="00F412F0">
              <w:rPr>
                <w:rFonts w:ascii="Times New Roman" w:hAnsi="Times New Roman"/>
                <w:color w:val="000000"/>
              </w:rPr>
              <w:t xml:space="preserve"> tys. osób.</w:t>
            </w:r>
          </w:p>
          <w:p w14:paraId="3B814D58" w14:textId="1BA9CC41" w:rsidR="00766B4F" w:rsidRPr="00766B4F" w:rsidRDefault="00766B4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6B4F">
              <w:rPr>
                <w:rFonts w:ascii="Times New Roman" w:hAnsi="Times New Roman"/>
                <w:color w:val="000000"/>
              </w:rPr>
              <w:t xml:space="preserve"> Wpływ na budżety gospodarstw domowych obliczono jako różnicę między całkowitymi kosztami ponoszonymi przez pracodawców z tytułu podniesienia wysokości wynagrodzenia minimalnego a wzrostem dochodów jednostek sektora finansów publicznych z tytułu wzrostu wysokości przekazywanych danin (podatki i składki). W efekcie w tabeli wskazano szacowany wzrost dochodów gospodarstw domowych. </w:t>
            </w:r>
          </w:p>
          <w:p w14:paraId="30570B76" w14:textId="049BDDF5" w:rsidR="004409A7" w:rsidRPr="00CE0D38" w:rsidRDefault="00766B4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6B4F">
              <w:rPr>
                <w:rFonts w:ascii="Times New Roman" w:hAnsi="Times New Roman"/>
                <w:color w:val="000000"/>
              </w:rPr>
              <w:t xml:space="preserve">W skutkach finansowych podniesienia kwoty minimalnego wynagrodzenia dla gospodarstw domowych uwzględniono także wpływy z tytułu </w:t>
            </w:r>
            <w:r w:rsidR="00D35107">
              <w:rPr>
                <w:rFonts w:ascii="Times New Roman" w:hAnsi="Times New Roman"/>
                <w:color w:val="000000"/>
              </w:rPr>
              <w:t xml:space="preserve">świadczeń pielęgnacyjnych, </w:t>
            </w:r>
            <w:r w:rsidR="00D35107" w:rsidRPr="00766B4F">
              <w:rPr>
                <w:rFonts w:ascii="Times New Roman" w:hAnsi="Times New Roman"/>
                <w:color w:val="000000"/>
              </w:rPr>
              <w:t>wynag</w:t>
            </w:r>
            <w:r w:rsidR="00D35107">
              <w:rPr>
                <w:rFonts w:ascii="Times New Roman" w:hAnsi="Times New Roman"/>
                <w:color w:val="000000"/>
              </w:rPr>
              <w:t xml:space="preserve">rodzenia za pracę dla skazanego oraz </w:t>
            </w:r>
            <w:r w:rsidRPr="00766B4F">
              <w:rPr>
                <w:rFonts w:ascii="Times New Roman" w:hAnsi="Times New Roman"/>
                <w:color w:val="000000"/>
              </w:rPr>
              <w:t xml:space="preserve">wpłat podstawowych pracownika (2% wynagrodzenia brutto) i pracodawcy (1,5% wynagrodzenia brutto) do Pracowniczych Planów Kapitałowych (przy założeniu że dotyczą one </w:t>
            </w:r>
            <w:r w:rsidR="00577030">
              <w:rPr>
                <w:rFonts w:ascii="Times New Roman" w:hAnsi="Times New Roman"/>
                <w:color w:val="000000"/>
              </w:rPr>
              <w:t>33</w:t>
            </w:r>
            <w:r w:rsidRPr="00766B4F">
              <w:rPr>
                <w:rFonts w:ascii="Times New Roman" w:hAnsi="Times New Roman"/>
                <w:color w:val="000000"/>
              </w:rPr>
              <w:t>,</w:t>
            </w:r>
            <w:r w:rsidR="00577030">
              <w:rPr>
                <w:rFonts w:ascii="Times New Roman" w:hAnsi="Times New Roman"/>
                <w:color w:val="000000"/>
              </w:rPr>
              <w:t>0</w:t>
            </w:r>
            <w:r w:rsidRPr="00766B4F">
              <w:rPr>
                <w:rFonts w:ascii="Times New Roman" w:hAnsi="Times New Roman"/>
                <w:color w:val="000000"/>
              </w:rPr>
              <w:t>% wszystkich pracowników</w:t>
            </w:r>
            <w:r w:rsidR="009A69BE">
              <w:rPr>
                <w:rFonts w:ascii="Times New Roman" w:hAnsi="Times New Roman"/>
                <w:color w:val="000000"/>
              </w:rPr>
              <w:t>)</w:t>
            </w:r>
            <w:r w:rsidR="00D35107">
              <w:rPr>
                <w:rFonts w:ascii="Times New Roman" w:hAnsi="Times New Roman"/>
                <w:color w:val="000000"/>
              </w:rPr>
              <w:t xml:space="preserve">. W szacunkach dot. udziału pracowników w PPK </w:t>
            </w:r>
            <w:r w:rsidR="00D35107" w:rsidRPr="00272684">
              <w:rPr>
                <w:rFonts w:ascii="Times New Roman" w:hAnsi="Times New Roman"/>
                <w:color w:val="000000"/>
              </w:rPr>
              <w:t>w 2023</w:t>
            </w:r>
            <w:r w:rsidR="00D35107">
              <w:rPr>
                <w:rFonts w:ascii="Times New Roman" w:hAnsi="Times New Roman"/>
                <w:color w:val="000000"/>
              </w:rPr>
              <w:t xml:space="preserve"> r. uwzględniony został wzrost</w:t>
            </w:r>
            <w:r w:rsidR="00D35107" w:rsidRPr="00272684">
              <w:rPr>
                <w:rFonts w:ascii="Times New Roman" w:hAnsi="Times New Roman"/>
                <w:color w:val="000000"/>
              </w:rPr>
              <w:t xml:space="preserve"> </w:t>
            </w:r>
            <w:r w:rsidR="00D35107">
              <w:rPr>
                <w:rFonts w:ascii="Times New Roman" w:hAnsi="Times New Roman"/>
                <w:color w:val="000000"/>
              </w:rPr>
              <w:t xml:space="preserve">liczby uczestników </w:t>
            </w:r>
            <w:r w:rsidR="00D35107" w:rsidRPr="00272684">
              <w:rPr>
                <w:rFonts w:ascii="Times New Roman" w:hAnsi="Times New Roman"/>
                <w:color w:val="000000"/>
              </w:rPr>
              <w:t xml:space="preserve">w związku z </w:t>
            </w:r>
            <w:proofErr w:type="spellStart"/>
            <w:r w:rsidR="00D35107" w:rsidRPr="00272684">
              <w:rPr>
                <w:rFonts w:ascii="Times New Roman" w:hAnsi="Times New Roman"/>
                <w:color w:val="000000"/>
              </w:rPr>
              <w:t>autozap</w:t>
            </w:r>
            <w:r w:rsidR="00D35107">
              <w:rPr>
                <w:rFonts w:ascii="Times New Roman" w:hAnsi="Times New Roman"/>
                <w:color w:val="000000"/>
              </w:rPr>
              <w:t>isem</w:t>
            </w:r>
            <w:proofErr w:type="spellEnd"/>
            <w:r w:rsidR="00D35107">
              <w:rPr>
                <w:rFonts w:ascii="Times New Roman" w:hAnsi="Times New Roman"/>
                <w:color w:val="000000"/>
              </w:rPr>
              <w:t xml:space="preserve"> wynikającym z ustawy o PPK.</w:t>
            </w:r>
          </w:p>
        </w:tc>
      </w:tr>
      <w:tr w:rsidR="004409A7" w:rsidRPr="00CE0D38" w14:paraId="7E173087" w14:textId="77777777" w:rsidTr="00F412F0">
        <w:trPr>
          <w:trHeight w:val="342"/>
        </w:trPr>
        <w:tc>
          <w:tcPr>
            <w:tcW w:w="11340" w:type="dxa"/>
            <w:gridSpan w:val="22"/>
            <w:shd w:val="clear" w:color="auto" w:fill="99CCFF"/>
            <w:vAlign w:val="center"/>
          </w:tcPr>
          <w:p w14:paraId="691FA559" w14:textId="77777777" w:rsidR="004409A7" w:rsidRPr="00CE0D38" w:rsidRDefault="004409A7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409A7" w:rsidRPr="00CE0D38" w14:paraId="53B1E015" w14:textId="77777777" w:rsidTr="00F412F0">
        <w:trPr>
          <w:trHeight w:val="151"/>
        </w:trPr>
        <w:tc>
          <w:tcPr>
            <w:tcW w:w="11340" w:type="dxa"/>
            <w:gridSpan w:val="22"/>
            <w:shd w:val="clear" w:color="auto" w:fill="FFFFFF"/>
          </w:tcPr>
          <w:p w14:paraId="5AADAC25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636EE" w:rsidRPr="00CE0D38" w14:paraId="5B063628" w14:textId="77777777" w:rsidTr="003C3465">
        <w:trPr>
          <w:trHeight w:val="946"/>
        </w:trPr>
        <w:tc>
          <w:tcPr>
            <w:tcW w:w="5382" w:type="dxa"/>
            <w:gridSpan w:val="8"/>
            <w:shd w:val="clear" w:color="auto" w:fill="FFFFFF"/>
          </w:tcPr>
          <w:p w14:paraId="69EE5AE5" w14:textId="77777777" w:rsidR="004409A7" w:rsidRPr="00CE0D38" w:rsidRDefault="004409A7" w:rsidP="00F412F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E0D38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58" w:type="dxa"/>
            <w:gridSpan w:val="14"/>
            <w:shd w:val="clear" w:color="auto" w:fill="FFFFFF"/>
          </w:tcPr>
          <w:p w14:paraId="7821F827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39DEC3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923BC94" w14:textId="77777777" w:rsidR="004409A7" w:rsidRPr="00CE0D38" w:rsidRDefault="004409A7" w:rsidP="00F412F0">
            <w:pPr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636EE" w:rsidRPr="00CE0D38" w14:paraId="76CC1312" w14:textId="77777777" w:rsidTr="003C3465">
        <w:trPr>
          <w:trHeight w:val="1245"/>
        </w:trPr>
        <w:tc>
          <w:tcPr>
            <w:tcW w:w="5382" w:type="dxa"/>
            <w:gridSpan w:val="8"/>
            <w:shd w:val="clear" w:color="auto" w:fill="FFFFFF"/>
          </w:tcPr>
          <w:p w14:paraId="185885CF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712118C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B37D5F1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8174D3A" w14:textId="77777777" w:rsidR="004409A7" w:rsidRPr="00CE0D38" w:rsidRDefault="004409A7" w:rsidP="00F412F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E0D38">
              <w:rPr>
                <w:rFonts w:ascii="Times New Roman" w:hAnsi="Times New Roman"/>
                <w:color w:val="000000"/>
              </w:rPr>
            </w:r>
            <w:r w:rsidRPr="00CE0D38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58" w:type="dxa"/>
            <w:gridSpan w:val="14"/>
            <w:shd w:val="clear" w:color="auto" w:fill="FFFFFF"/>
          </w:tcPr>
          <w:p w14:paraId="50FA7945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40B25AF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AB16758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D65A5B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E0D38">
              <w:rPr>
                <w:rFonts w:ascii="Times New Roman" w:hAnsi="Times New Roman"/>
                <w:color w:val="000000"/>
              </w:rPr>
            </w:r>
            <w:r w:rsidRPr="00CE0D38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4554886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36EE" w:rsidRPr="00CE0D38" w14:paraId="49DC7470" w14:textId="77777777" w:rsidTr="003C3465">
        <w:trPr>
          <w:trHeight w:val="870"/>
        </w:trPr>
        <w:tc>
          <w:tcPr>
            <w:tcW w:w="5382" w:type="dxa"/>
            <w:gridSpan w:val="8"/>
            <w:shd w:val="clear" w:color="auto" w:fill="FFFFFF"/>
          </w:tcPr>
          <w:p w14:paraId="0E0483F1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58" w:type="dxa"/>
            <w:gridSpan w:val="14"/>
            <w:shd w:val="clear" w:color="auto" w:fill="FFFFFF"/>
          </w:tcPr>
          <w:p w14:paraId="5E466554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DAA2ADF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43B814F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409A7" w:rsidRPr="00CE0D38" w14:paraId="641C8DBF" w14:textId="77777777" w:rsidTr="00F412F0">
        <w:trPr>
          <w:trHeight w:val="630"/>
        </w:trPr>
        <w:tc>
          <w:tcPr>
            <w:tcW w:w="11340" w:type="dxa"/>
            <w:gridSpan w:val="22"/>
            <w:shd w:val="clear" w:color="auto" w:fill="FFFFFF"/>
          </w:tcPr>
          <w:p w14:paraId="296BC421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264FFEDB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t>Projekt co do zasady nie wprowadza obciążeń regulacyjnych.</w:t>
            </w:r>
          </w:p>
          <w:p w14:paraId="65F0DB5E" w14:textId="77777777" w:rsidR="004409A7" w:rsidRPr="00CE0D38" w:rsidRDefault="004409A7" w:rsidP="00F412F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9A7" w:rsidRPr="00CE0D38" w14:paraId="05E786FC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99CCFF"/>
          </w:tcPr>
          <w:p w14:paraId="3676C81B" w14:textId="77777777" w:rsidR="004409A7" w:rsidRPr="00CE0D38" w:rsidRDefault="004409A7" w:rsidP="00F412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36C2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4409A7" w:rsidRPr="00CE0D38" w14:paraId="3CA6CDCC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auto"/>
          </w:tcPr>
          <w:p w14:paraId="2D9A7CF6" w14:textId="54097916" w:rsidR="003165FF" w:rsidRDefault="003165F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65FF">
              <w:rPr>
                <w:rFonts w:ascii="Times New Roman" w:hAnsi="Times New Roman"/>
                <w:color w:val="000000"/>
              </w:rPr>
              <w:t xml:space="preserve">Ocena wpływu podniesienia wynagrodzenia minimalnego w 2023 r. z 3010 zł do 3383 zł od 1 stycznia 2023 r. i 3450 zł od 1 lipca 2023 r. (przeciętna 3416,50 zł) jest obecnie utrudniona </w:t>
            </w:r>
            <w:r>
              <w:rPr>
                <w:rFonts w:ascii="Times New Roman" w:hAnsi="Times New Roman"/>
                <w:color w:val="000000"/>
              </w:rPr>
              <w:t>ze względu na</w:t>
            </w:r>
            <w:r w:rsidRPr="003165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międzynarodową </w:t>
            </w:r>
            <w:r w:rsidRPr="003165FF">
              <w:rPr>
                <w:rFonts w:ascii="Times New Roman" w:hAnsi="Times New Roman"/>
                <w:color w:val="000000"/>
              </w:rPr>
              <w:t>sytuacj</w:t>
            </w:r>
            <w:r>
              <w:rPr>
                <w:rFonts w:ascii="Times New Roman" w:hAnsi="Times New Roman"/>
                <w:color w:val="000000"/>
              </w:rPr>
              <w:t>ę</w:t>
            </w:r>
            <w:r w:rsidRPr="003165FF">
              <w:rPr>
                <w:rFonts w:ascii="Times New Roman" w:hAnsi="Times New Roman"/>
                <w:color w:val="000000"/>
              </w:rPr>
              <w:t xml:space="preserve"> geopolityczną związaną</w:t>
            </w:r>
            <w:r>
              <w:rPr>
                <w:rFonts w:ascii="Times New Roman" w:hAnsi="Times New Roman"/>
                <w:color w:val="000000"/>
              </w:rPr>
              <w:t xml:space="preserve"> z</w:t>
            </w:r>
            <w:r w:rsidRPr="003165FF">
              <w:rPr>
                <w:rFonts w:ascii="Times New Roman" w:hAnsi="Times New Roman"/>
                <w:color w:val="000000"/>
              </w:rPr>
              <w:t xml:space="preserve"> rosyjsk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3165FF">
              <w:rPr>
                <w:rFonts w:ascii="Times New Roman" w:hAnsi="Times New Roman"/>
                <w:color w:val="000000"/>
              </w:rPr>
              <w:t xml:space="preserve"> inwazj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3165FF">
              <w:rPr>
                <w:rFonts w:ascii="Times New Roman" w:hAnsi="Times New Roman"/>
                <w:color w:val="000000"/>
              </w:rPr>
              <w:t xml:space="preserve"> na Ukrainę</w:t>
            </w:r>
            <w:r>
              <w:rPr>
                <w:rFonts w:ascii="Times New Roman" w:hAnsi="Times New Roman"/>
                <w:color w:val="000000"/>
              </w:rPr>
              <w:t xml:space="preserve"> i jej konsekwencjami gospodarczymi, a także</w:t>
            </w:r>
            <w:r w:rsidRPr="003165FF">
              <w:rPr>
                <w:rFonts w:ascii="Times New Roman" w:hAnsi="Times New Roman"/>
                <w:color w:val="000000"/>
              </w:rPr>
              <w:t xml:space="preserve"> dalszą odbudową gospodarki po pandemii COVID-19. </w:t>
            </w:r>
            <w:r>
              <w:rPr>
                <w:rFonts w:ascii="Times New Roman" w:hAnsi="Times New Roman"/>
                <w:color w:val="000000"/>
              </w:rPr>
              <w:t>Przed wybuchem wojny p</w:t>
            </w:r>
            <w:r w:rsidRPr="003165FF">
              <w:rPr>
                <w:rFonts w:ascii="Times New Roman" w:hAnsi="Times New Roman"/>
                <w:color w:val="000000"/>
              </w:rPr>
              <w:t>erspektyw</w:t>
            </w:r>
            <w:r w:rsidR="00BB0961">
              <w:rPr>
                <w:rFonts w:ascii="Times New Roman" w:hAnsi="Times New Roman"/>
                <w:color w:val="000000"/>
              </w:rPr>
              <w:t>y</w:t>
            </w:r>
            <w:r w:rsidRPr="003165FF">
              <w:rPr>
                <w:rFonts w:ascii="Times New Roman" w:hAnsi="Times New Roman"/>
                <w:color w:val="000000"/>
              </w:rPr>
              <w:t xml:space="preserve"> dla gospodarki oraz rynku pracy </w:t>
            </w:r>
            <w:r w:rsidR="00BB0961">
              <w:rPr>
                <w:rFonts w:ascii="Times New Roman" w:hAnsi="Times New Roman"/>
                <w:color w:val="000000"/>
              </w:rPr>
              <w:t xml:space="preserve">były dobre. Przewidywano </w:t>
            </w:r>
            <w:r w:rsidR="00232442">
              <w:rPr>
                <w:rFonts w:ascii="Times New Roman" w:hAnsi="Times New Roman"/>
                <w:color w:val="000000"/>
              </w:rPr>
              <w:t>solidny</w:t>
            </w:r>
            <w:r w:rsidRPr="003165FF">
              <w:rPr>
                <w:rFonts w:ascii="Times New Roman" w:hAnsi="Times New Roman"/>
                <w:color w:val="000000"/>
              </w:rPr>
              <w:t xml:space="preserve"> wzrost </w:t>
            </w:r>
            <w:r w:rsidR="00BB0961">
              <w:rPr>
                <w:rFonts w:ascii="Times New Roman" w:hAnsi="Times New Roman"/>
                <w:color w:val="000000"/>
              </w:rPr>
              <w:t xml:space="preserve">gospodarczy </w:t>
            </w:r>
            <w:r w:rsidRPr="003165FF">
              <w:rPr>
                <w:rFonts w:ascii="Times New Roman" w:hAnsi="Times New Roman"/>
                <w:color w:val="000000"/>
              </w:rPr>
              <w:t>po zniwelowaniu negatywnych skutk</w:t>
            </w:r>
            <w:r w:rsidR="00BB0961">
              <w:rPr>
                <w:rFonts w:ascii="Times New Roman" w:hAnsi="Times New Roman"/>
                <w:color w:val="000000"/>
              </w:rPr>
              <w:t>ów</w:t>
            </w:r>
            <w:r w:rsidRPr="003165FF">
              <w:rPr>
                <w:rFonts w:ascii="Times New Roman" w:hAnsi="Times New Roman"/>
                <w:color w:val="000000"/>
              </w:rPr>
              <w:t xml:space="preserve"> pandemii. </w:t>
            </w:r>
            <w:r w:rsidR="00BB0961">
              <w:rPr>
                <w:rFonts w:ascii="Times New Roman" w:hAnsi="Times New Roman"/>
                <w:color w:val="000000"/>
              </w:rPr>
              <w:t>Niestety zaostrzenie konfliktu na Ukrainie zweryfikowało te prognozy. W</w:t>
            </w:r>
            <w:r w:rsidRPr="003165FF">
              <w:rPr>
                <w:rFonts w:ascii="Times New Roman" w:hAnsi="Times New Roman"/>
                <w:color w:val="000000"/>
              </w:rPr>
              <w:t>zrost cen surowców (zwłaszcza energetycznych), ponowne z</w:t>
            </w:r>
            <w:r w:rsidR="00A0427A">
              <w:rPr>
                <w:rFonts w:ascii="Times New Roman" w:hAnsi="Times New Roman"/>
                <w:color w:val="000000"/>
              </w:rPr>
              <w:t>akłócenia w łańcuchach dostaw</w:t>
            </w:r>
            <w:r w:rsidRPr="003165FF">
              <w:rPr>
                <w:rFonts w:ascii="Times New Roman" w:hAnsi="Times New Roman"/>
                <w:color w:val="000000"/>
              </w:rPr>
              <w:t xml:space="preserve"> i zwiększona niepewność</w:t>
            </w:r>
            <w:r w:rsidR="00BB0961">
              <w:rPr>
                <w:rFonts w:ascii="Times New Roman" w:hAnsi="Times New Roman"/>
                <w:color w:val="000000"/>
              </w:rPr>
              <w:t xml:space="preserve"> związana z rozwojem sytuacji geopolitycznej doprowadziła </w:t>
            </w:r>
            <w:r w:rsidRPr="003165FF">
              <w:rPr>
                <w:rFonts w:ascii="Times New Roman" w:hAnsi="Times New Roman"/>
                <w:color w:val="000000"/>
              </w:rPr>
              <w:t xml:space="preserve">do zrewidowania </w:t>
            </w:r>
            <w:r w:rsidR="004F5914">
              <w:rPr>
                <w:rFonts w:ascii="Times New Roman" w:hAnsi="Times New Roman"/>
                <w:color w:val="000000"/>
              </w:rPr>
              <w:t>szacunków</w:t>
            </w:r>
            <w:r w:rsidRPr="003165FF">
              <w:rPr>
                <w:rFonts w:ascii="Times New Roman" w:hAnsi="Times New Roman"/>
                <w:color w:val="000000"/>
              </w:rPr>
              <w:t xml:space="preserve"> wzrostu </w:t>
            </w:r>
            <w:r w:rsidR="004F5914">
              <w:rPr>
                <w:rFonts w:ascii="Times New Roman" w:hAnsi="Times New Roman"/>
                <w:color w:val="000000"/>
              </w:rPr>
              <w:t xml:space="preserve">gospodarczego </w:t>
            </w:r>
            <w:r w:rsidRPr="003165FF">
              <w:rPr>
                <w:rFonts w:ascii="Times New Roman" w:hAnsi="Times New Roman"/>
                <w:color w:val="000000"/>
              </w:rPr>
              <w:t>w dół, a prognoz inflacji w górę</w:t>
            </w:r>
            <w:r w:rsidR="00A0427A">
              <w:rPr>
                <w:rFonts w:ascii="Times New Roman" w:hAnsi="Times New Roman"/>
                <w:color w:val="000000"/>
              </w:rPr>
              <w:t>,</w:t>
            </w:r>
            <w:r w:rsidRPr="003165FF">
              <w:rPr>
                <w:rFonts w:ascii="Times New Roman" w:hAnsi="Times New Roman"/>
                <w:color w:val="000000"/>
              </w:rPr>
              <w:t xml:space="preserve"> w tym i następnym roku. </w:t>
            </w:r>
          </w:p>
          <w:p w14:paraId="46BD31D1" w14:textId="77777777" w:rsidR="009E3952" w:rsidRPr="003165FF" w:rsidRDefault="009E3952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D156E08" w14:textId="54E6D48A" w:rsidR="00A0427A" w:rsidRDefault="00A0427A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427A">
              <w:rPr>
                <w:rFonts w:ascii="Times New Roman" w:hAnsi="Times New Roman"/>
                <w:color w:val="000000"/>
              </w:rPr>
              <w:t>Prognozy dotyczące stopy bezrobocia w 2023 r.</w:t>
            </w:r>
            <w:r w:rsidR="00C87200">
              <w:rPr>
                <w:rFonts w:ascii="Times New Roman" w:hAnsi="Times New Roman"/>
                <w:color w:val="000000"/>
              </w:rPr>
              <w:t>,</w:t>
            </w:r>
            <w:r w:rsidRPr="00A0427A">
              <w:rPr>
                <w:rFonts w:ascii="Times New Roman" w:hAnsi="Times New Roman"/>
                <w:color w:val="000000"/>
              </w:rPr>
              <w:t xml:space="preserve"> prezentowane przez ekspertów krajowych i międzynarodowych</w:t>
            </w:r>
            <w:r w:rsidR="00C87200">
              <w:rPr>
                <w:rFonts w:ascii="Times New Roman" w:hAnsi="Times New Roman"/>
                <w:color w:val="000000"/>
              </w:rPr>
              <w:t>,</w:t>
            </w:r>
            <w:r w:rsidRPr="00A0427A">
              <w:rPr>
                <w:rFonts w:ascii="Times New Roman" w:hAnsi="Times New Roman"/>
                <w:color w:val="000000"/>
              </w:rPr>
              <w:t xml:space="preserve"> wskazują na podobny lub nieco niższy poziom wobec 2022 r. Podwyższenie minimalnego wynagrodzenia za pracę pozytywnie wpłynie na sytuację finansową gospodarstw domowych, podnosząc dochody pracowników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5FC63BCD" w14:textId="0A771CB5" w:rsidR="003165FF" w:rsidRDefault="003165F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65FF">
              <w:rPr>
                <w:rFonts w:ascii="Times New Roman" w:hAnsi="Times New Roman"/>
                <w:color w:val="000000"/>
              </w:rPr>
              <w:t>Jednakże część osób</w:t>
            </w:r>
            <w:r w:rsidR="009B07DF">
              <w:rPr>
                <w:rFonts w:ascii="Times New Roman" w:hAnsi="Times New Roman"/>
                <w:color w:val="000000"/>
              </w:rPr>
              <w:t xml:space="preserve"> z niskimi kwalifikacjami i brakiem doświadczenia zawodowego</w:t>
            </w:r>
            <w:r w:rsidRPr="003165FF">
              <w:rPr>
                <w:rFonts w:ascii="Times New Roman" w:hAnsi="Times New Roman"/>
                <w:color w:val="000000"/>
              </w:rPr>
              <w:t xml:space="preserve"> może doświadczyć trudności ze znalezieniem zatrudnienia</w:t>
            </w:r>
            <w:r w:rsidR="004F5914">
              <w:rPr>
                <w:rFonts w:ascii="Times New Roman" w:hAnsi="Times New Roman"/>
                <w:color w:val="000000"/>
              </w:rPr>
              <w:t>.</w:t>
            </w:r>
            <w:r w:rsidRPr="003165FF">
              <w:rPr>
                <w:rFonts w:ascii="Times New Roman" w:hAnsi="Times New Roman"/>
                <w:color w:val="000000"/>
              </w:rPr>
              <w:t xml:space="preserve"> </w:t>
            </w:r>
            <w:r w:rsidR="004F5914">
              <w:rPr>
                <w:rFonts w:ascii="Times New Roman" w:hAnsi="Times New Roman"/>
                <w:color w:val="000000"/>
              </w:rPr>
              <w:t>N</w:t>
            </w:r>
            <w:r w:rsidRPr="003165FF">
              <w:rPr>
                <w:rFonts w:ascii="Times New Roman" w:hAnsi="Times New Roman"/>
                <w:color w:val="000000"/>
              </w:rPr>
              <w:t xml:space="preserve">atomiast osoby </w:t>
            </w:r>
            <w:r w:rsidR="004F5914">
              <w:rPr>
                <w:rFonts w:ascii="Times New Roman" w:hAnsi="Times New Roman"/>
                <w:color w:val="000000"/>
              </w:rPr>
              <w:t>pracujące z kwalifikacjami</w:t>
            </w:r>
            <w:r w:rsidRPr="003165FF">
              <w:rPr>
                <w:rFonts w:ascii="Times New Roman" w:hAnsi="Times New Roman"/>
                <w:color w:val="000000"/>
              </w:rPr>
              <w:t xml:space="preserve"> </w:t>
            </w:r>
            <w:r w:rsidR="004F5914">
              <w:rPr>
                <w:rFonts w:ascii="Times New Roman" w:hAnsi="Times New Roman"/>
                <w:color w:val="000000"/>
              </w:rPr>
              <w:t xml:space="preserve">niedopasowanymi do bieżących potrzeb rynku pracy </w:t>
            </w:r>
            <w:r w:rsidRPr="003165FF">
              <w:rPr>
                <w:rFonts w:ascii="Times New Roman" w:hAnsi="Times New Roman"/>
                <w:color w:val="000000"/>
              </w:rPr>
              <w:t xml:space="preserve">mogą mieć trudności </w:t>
            </w:r>
            <w:r w:rsidR="004F5914">
              <w:rPr>
                <w:rFonts w:ascii="Times New Roman" w:hAnsi="Times New Roman"/>
                <w:color w:val="000000"/>
              </w:rPr>
              <w:t xml:space="preserve">ze znalezieniem lepszej pracy lub </w:t>
            </w:r>
            <w:r w:rsidRPr="003165FF">
              <w:rPr>
                <w:rFonts w:ascii="Times New Roman" w:hAnsi="Times New Roman"/>
                <w:color w:val="000000"/>
              </w:rPr>
              <w:t xml:space="preserve">utrzymaniem zatrudnienia. Podniesienie minimalnego wynagrodzenia najbardziej wpływa na sytuację osób </w:t>
            </w:r>
            <w:r w:rsidR="00A0427A">
              <w:rPr>
                <w:rFonts w:ascii="Times New Roman" w:hAnsi="Times New Roman"/>
                <w:color w:val="000000"/>
              </w:rPr>
              <w:t>mało</w:t>
            </w:r>
            <w:r w:rsidRPr="003165FF">
              <w:rPr>
                <w:rFonts w:ascii="Times New Roman" w:hAnsi="Times New Roman"/>
                <w:color w:val="000000"/>
              </w:rPr>
              <w:t xml:space="preserve"> zarabiających, których wynagrodzenie ulega</w:t>
            </w:r>
            <w:r w:rsidR="00A0427A">
              <w:rPr>
                <w:rFonts w:ascii="Times New Roman" w:hAnsi="Times New Roman"/>
                <w:color w:val="000000"/>
              </w:rPr>
              <w:t xml:space="preserve"> zmianie wraz ze zmianą minimum </w:t>
            </w:r>
            <w:r w:rsidRPr="003165FF">
              <w:rPr>
                <w:rFonts w:ascii="Times New Roman" w:hAnsi="Times New Roman"/>
                <w:color w:val="000000"/>
              </w:rPr>
              <w:t>ustawowego.</w:t>
            </w:r>
          </w:p>
          <w:p w14:paraId="3F4241E8" w14:textId="77777777" w:rsidR="00A0427A" w:rsidRPr="003165FF" w:rsidRDefault="00A0427A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F11CBC" w14:textId="16950BD2" w:rsidR="003165FF" w:rsidRDefault="003165F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65FF">
              <w:rPr>
                <w:rFonts w:ascii="Times New Roman" w:hAnsi="Times New Roman"/>
                <w:color w:val="000000"/>
              </w:rPr>
              <w:t>Nie jest możliwe dokładne oszacowanie wpływu podniesienia kwoty wynagrodzenia minimalnego</w:t>
            </w:r>
            <w:r w:rsidR="004F5914">
              <w:rPr>
                <w:rFonts w:ascii="Times New Roman" w:hAnsi="Times New Roman"/>
                <w:color w:val="000000"/>
              </w:rPr>
              <w:t xml:space="preserve"> </w:t>
            </w:r>
            <w:r w:rsidRPr="003165FF">
              <w:rPr>
                <w:rFonts w:ascii="Times New Roman" w:hAnsi="Times New Roman"/>
                <w:color w:val="000000"/>
              </w:rPr>
              <w:t>na rynek pracy</w:t>
            </w:r>
            <w:r w:rsidR="004F5914">
              <w:rPr>
                <w:rFonts w:ascii="Times New Roman" w:hAnsi="Times New Roman"/>
                <w:color w:val="000000"/>
              </w:rPr>
              <w:t>, gdyż jest to jeden z wielu czynników, które mają wpływ na sytuację gospodarczą</w:t>
            </w:r>
            <w:r w:rsidR="005A4B58">
              <w:rPr>
                <w:rFonts w:ascii="Times New Roman" w:hAnsi="Times New Roman"/>
                <w:color w:val="000000"/>
              </w:rPr>
              <w:t xml:space="preserve"> i poziom zatrudnienia.</w:t>
            </w:r>
            <w:r w:rsidRPr="003165FF">
              <w:rPr>
                <w:rFonts w:ascii="Times New Roman" w:hAnsi="Times New Roman"/>
                <w:color w:val="000000"/>
              </w:rPr>
              <w:t xml:space="preserve"> Ze względu na złożoność zależności gospodarczych</w:t>
            </w:r>
            <w:r w:rsidR="005A4B58">
              <w:rPr>
                <w:rFonts w:ascii="Times New Roman" w:hAnsi="Times New Roman"/>
                <w:color w:val="000000"/>
              </w:rPr>
              <w:t xml:space="preserve"> krajowych i międzynarodowych</w:t>
            </w:r>
            <w:r w:rsidRPr="003165FF">
              <w:rPr>
                <w:rFonts w:ascii="Times New Roman" w:hAnsi="Times New Roman"/>
                <w:color w:val="000000"/>
              </w:rPr>
              <w:t xml:space="preserve"> nie jest możliwe stworzenie modelu, który w sposób trafny byłby w stanie prognozować zmiany na rynku pracy w zależności od wysokości minimalnego wynagrodzenia za pracę. </w:t>
            </w:r>
          </w:p>
          <w:p w14:paraId="06E83C68" w14:textId="6EF33660" w:rsidR="003165FF" w:rsidRDefault="003165F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65FF">
              <w:rPr>
                <w:rFonts w:ascii="Times New Roman" w:hAnsi="Times New Roman"/>
                <w:color w:val="000000"/>
              </w:rPr>
              <w:t xml:space="preserve">Wychodząc od teorii ogólnych, zakłada się jedynie, że zbyt gwałtowne – przede wszystkim niedostosowane do tempa wzrostu produktywności – podniesienie minimalnego wynagrodzenia za pracę może niekorzystnie oddziaływać na gospodarkę, przyczyniając się do powstania ryzyka </w:t>
            </w:r>
            <w:r w:rsidR="005A4B58">
              <w:rPr>
                <w:rFonts w:ascii="Times New Roman" w:hAnsi="Times New Roman"/>
                <w:color w:val="000000"/>
              </w:rPr>
              <w:t>wzrostu</w:t>
            </w:r>
            <w:r w:rsidRPr="003165FF">
              <w:rPr>
                <w:rFonts w:ascii="Times New Roman" w:hAnsi="Times New Roman"/>
                <w:color w:val="000000"/>
              </w:rPr>
              <w:t xml:space="preserve"> inflacji, spadku zatrudnienia lub wzrostu bezrobocia, w szczególności wśród osób o niskich kwalifikacjach. </w:t>
            </w:r>
          </w:p>
          <w:p w14:paraId="0485A73B" w14:textId="77777777" w:rsidR="009E3952" w:rsidRPr="003165FF" w:rsidRDefault="009E3952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6208AC" w14:textId="0379FED5" w:rsidR="003165FF" w:rsidRDefault="003165FF" w:rsidP="00F412F0">
            <w:pPr>
              <w:spacing w:line="240" w:lineRule="auto"/>
              <w:jc w:val="both"/>
            </w:pPr>
            <w:r w:rsidRPr="003165FF">
              <w:rPr>
                <w:rFonts w:ascii="Times New Roman" w:hAnsi="Times New Roman"/>
                <w:color w:val="000000"/>
              </w:rPr>
              <w:t xml:space="preserve">Odnośnie </w:t>
            </w:r>
            <w:r w:rsidR="00C87200">
              <w:rPr>
                <w:rFonts w:ascii="Times New Roman" w:hAnsi="Times New Roman"/>
                <w:color w:val="000000"/>
              </w:rPr>
              <w:t xml:space="preserve">do </w:t>
            </w:r>
            <w:r w:rsidRPr="003165FF">
              <w:rPr>
                <w:rFonts w:ascii="Times New Roman" w:hAnsi="Times New Roman"/>
                <w:color w:val="000000"/>
              </w:rPr>
              <w:t xml:space="preserve">funkcjonowania przedsiębiorstw i ich konkurencyjności podwyższenie minimalnego wynagrodzenia za pracę może mieć wpływ na konkurencyjność </w:t>
            </w:r>
            <w:r w:rsidR="005A4B58">
              <w:rPr>
                <w:rFonts w:ascii="Times New Roman" w:hAnsi="Times New Roman"/>
                <w:color w:val="000000"/>
              </w:rPr>
              <w:t>firm</w:t>
            </w:r>
            <w:r w:rsidR="00A0427A">
              <w:rPr>
                <w:rFonts w:ascii="Times New Roman" w:hAnsi="Times New Roman"/>
                <w:color w:val="000000"/>
              </w:rPr>
              <w:t>, w tym konkurencyjność międzynarodową</w:t>
            </w:r>
            <w:r w:rsidRPr="003165FF">
              <w:rPr>
                <w:rFonts w:ascii="Times New Roman" w:hAnsi="Times New Roman"/>
                <w:color w:val="000000"/>
              </w:rPr>
              <w:t xml:space="preserve">, </w:t>
            </w:r>
            <w:r w:rsidR="00572CD0">
              <w:rPr>
                <w:rFonts w:ascii="Times New Roman" w:hAnsi="Times New Roman"/>
                <w:color w:val="000000"/>
              </w:rPr>
              <w:t xml:space="preserve">zwłaszcza jeśli firmy te </w:t>
            </w:r>
            <w:r w:rsidR="005A4B58">
              <w:rPr>
                <w:rFonts w:ascii="Times New Roman" w:hAnsi="Times New Roman"/>
                <w:color w:val="000000"/>
              </w:rPr>
              <w:t xml:space="preserve">oprały swój model biznesowy na </w:t>
            </w:r>
            <w:r w:rsidR="009D0ABB">
              <w:rPr>
                <w:rFonts w:ascii="Times New Roman" w:hAnsi="Times New Roman"/>
                <w:color w:val="000000"/>
              </w:rPr>
              <w:t>niskim poziomie kosztów siły</w:t>
            </w:r>
            <w:r w:rsidR="005A4B58">
              <w:rPr>
                <w:rFonts w:ascii="Times New Roman" w:hAnsi="Times New Roman"/>
                <w:color w:val="000000"/>
              </w:rPr>
              <w:t xml:space="preserve"> roboczej. W tym przypadku podniesienie wynagrodzenia minimalnego może mieć wpływ na wzrost kosztów i spadek rentowności</w:t>
            </w:r>
            <w:r w:rsidR="009E3952">
              <w:rPr>
                <w:rFonts w:ascii="Times New Roman" w:hAnsi="Times New Roman"/>
                <w:color w:val="000000"/>
              </w:rPr>
              <w:t xml:space="preserve"> przedsiębiorstw.</w:t>
            </w:r>
          </w:p>
          <w:p w14:paraId="632D068D" w14:textId="77777777" w:rsidR="009E3952" w:rsidRPr="003165FF" w:rsidRDefault="009E3952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4831695" w14:textId="77777777" w:rsidR="004409A7" w:rsidRDefault="003165FF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65FF">
              <w:rPr>
                <w:rFonts w:ascii="Times New Roman" w:hAnsi="Times New Roman"/>
                <w:color w:val="000000"/>
              </w:rPr>
              <w:t>Podwyższenie wysokości minimalnego wynagrodzenia za pracę oraz minimalnej stawki godzinowej dla określonych umów cywilnoprawnych może mieć wpływ na rynek zamówień publicznych, w szczególności na koszty realizacji umów, które przewidują wynagrodzenie dla wykonawców na poziomie minimalnego wynagrodzenia za pracę oraz minimalnej stawki godzinowej.</w:t>
            </w:r>
          </w:p>
          <w:p w14:paraId="029581F2" w14:textId="3983132A" w:rsidR="0067011E" w:rsidRPr="00CE0D38" w:rsidRDefault="0067011E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9A7" w:rsidRPr="00CE0D38" w14:paraId="2206D404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99CCFF"/>
          </w:tcPr>
          <w:p w14:paraId="6631DD62" w14:textId="77777777" w:rsidR="004409A7" w:rsidRPr="00CE0D38" w:rsidRDefault="004409A7" w:rsidP="00F412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8636EE" w:rsidRPr="00CE0D38" w14:paraId="5186284F" w14:textId="77777777" w:rsidTr="00F412F0">
        <w:trPr>
          <w:trHeight w:val="1031"/>
        </w:trPr>
        <w:tc>
          <w:tcPr>
            <w:tcW w:w="2165" w:type="dxa"/>
            <w:gridSpan w:val="2"/>
            <w:shd w:val="clear" w:color="auto" w:fill="FFFFFF"/>
          </w:tcPr>
          <w:p w14:paraId="7B006801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9A2E44D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91D3437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sytuacja i rozwój </w:t>
            </w:r>
            <w:r w:rsidRPr="00CE0D38">
              <w:rPr>
                <w:rFonts w:ascii="Times New Roman" w:hAnsi="Times New Roman"/>
                <w:color w:val="000000"/>
              </w:rPr>
              <w:lastRenderedPageBreak/>
              <w:t>regionalny</w:t>
            </w:r>
          </w:p>
          <w:p w14:paraId="5068FE71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6879" w:type="dxa"/>
            <w:gridSpan w:val="15"/>
            <w:shd w:val="clear" w:color="auto" w:fill="FFFFFF"/>
          </w:tcPr>
          <w:p w14:paraId="66F6146F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97AC8EF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67B2DCC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7E98D50E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E0D38">
              <w:rPr>
                <w:rFonts w:ascii="Times New Roman" w:hAnsi="Times New Roman"/>
                <w:color w:val="000000"/>
              </w:rPr>
            </w:r>
            <w:r w:rsidRPr="00CE0D38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noProof/>
                <w:color w:val="000000"/>
              </w:rPr>
              <w:t> </w:t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296" w:type="dxa"/>
            <w:gridSpan w:val="5"/>
            <w:shd w:val="clear" w:color="auto" w:fill="FFFFFF"/>
          </w:tcPr>
          <w:p w14:paraId="48327425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29E853C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66A27D0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2D7D">
              <w:rPr>
                <w:rFonts w:ascii="Times New Roman" w:hAnsi="Times New Roman"/>
                <w:color w:val="000000"/>
              </w:rPr>
            </w:r>
            <w:r w:rsidR="00032D7D">
              <w:rPr>
                <w:rFonts w:ascii="Times New Roman" w:hAnsi="Times New Roman"/>
                <w:color w:val="000000"/>
              </w:rPr>
              <w:fldChar w:fldCharType="separate"/>
            </w:r>
            <w:r w:rsidRPr="00CE0D38">
              <w:rPr>
                <w:rFonts w:ascii="Times New Roman" w:hAnsi="Times New Roman"/>
                <w:color w:val="000000"/>
              </w:rPr>
              <w:fldChar w:fldCharType="end"/>
            </w:r>
            <w:r w:rsidRPr="00CE0D38">
              <w:rPr>
                <w:rFonts w:ascii="Times New Roman" w:hAnsi="Times New Roman"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636EE" w:rsidRPr="00CE0D38" w14:paraId="64002E76" w14:textId="77777777" w:rsidTr="00F412F0">
        <w:trPr>
          <w:trHeight w:val="712"/>
        </w:trPr>
        <w:tc>
          <w:tcPr>
            <w:tcW w:w="2165" w:type="dxa"/>
            <w:gridSpan w:val="2"/>
            <w:shd w:val="clear" w:color="auto" w:fill="FFFFFF"/>
            <w:vAlign w:val="center"/>
          </w:tcPr>
          <w:p w14:paraId="22C53F0F" w14:textId="77777777" w:rsidR="004409A7" w:rsidRPr="00CE0D38" w:rsidRDefault="004409A7" w:rsidP="00F412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0D38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9175" w:type="dxa"/>
            <w:gridSpan w:val="20"/>
            <w:shd w:val="clear" w:color="auto" w:fill="FFFFFF"/>
            <w:vAlign w:val="center"/>
          </w:tcPr>
          <w:p w14:paraId="0410EC8F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84FCFB7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4508">
              <w:rPr>
                <w:rFonts w:ascii="Times New Roman" w:hAnsi="Times New Roman"/>
                <w:color w:val="000000"/>
              </w:rPr>
              <w:t>Projektowane regulacje nie mają wpływu na ww. obszary</w:t>
            </w:r>
            <w:r w:rsidRPr="00C34508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48E067F0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409A7" w:rsidRPr="00CE0D38" w14:paraId="7AC4FB28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99CCFF"/>
          </w:tcPr>
          <w:p w14:paraId="7603619F" w14:textId="77777777" w:rsidR="004409A7" w:rsidRPr="00CE0D38" w:rsidRDefault="004409A7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E0D38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4409A7" w:rsidRPr="00CE0D38" w14:paraId="5953DBB3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FFFFFF"/>
          </w:tcPr>
          <w:p w14:paraId="71E42B09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Wraz z </w:t>
            </w:r>
            <w:r w:rsidRPr="00431C90">
              <w:rPr>
                <w:rFonts w:ascii="Times New Roman" w:hAnsi="Times New Roman"/>
                <w:color w:val="000000"/>
                <w:spacing w:val="-2"/>
              </w:rPr>
              <w:t>wejściem</w:t>
            </w:r>
            <w:r>
              <w:rPr>
                <w:rFonts w:ascii="Times New Roman" w:hAnsi="Times New Roman"/>
                <w:spacing w:val="-2"/>
              </w:rPr>
              <w:t xml:space="preserve"> w życie rozporządzenia Rady Ministrów, tj. od dnia 1 stycznia 2023 r. oraz od dnia 1 lipca 2023 r.</w:t>
            </w:r>
          </w:p>
        </w:tc>
      </w:tr>
      <w:tr w:rsidR="004409A7" w:rsidRPr="00CE0D38" w14:paraId="4CDF02BC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99CCFF"/>
          </w:tcPr>
          <w:p w14:paraId="01203D5E" w14:textId="77777777" w:rsidR="004409A7" w:rsidRPr="00CE0D38" w:rsidRDefault="004409A7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D3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E0D38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409A7" w:rsidRPr="00CE0D38" w14:paraId="44C42088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FFFFFF"/>
          </w:tcPr>
          <w:p w14:paraId="2278B9FF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eastAsia="MS Mincho" w:hAnsi="Times New Roman"/>
                <w:spacing w:val="-2"/>
              </w:rPr>
            </w:pPr>
            <w:r w:rsidRPr="00CE0D38">
              <w:rPr>
                <w:rFonts w:ascii="Times New Roman" w:eastAsia="MS Mincho" w:hAnsi="Times New Roman"/>
                <w:spacing w:val="-2"/>
              </w:rPr>
              <w:t>Brak potrze</w:t>
            </w:r>
            <w:r>
              <w:rPr>
                <w:rFonts w:ascii="Times New Roman" w:eastAsia="MS Mincho" w:hAnsi="Times New Roman"/>
                <w:spacing w:val="-2"/>
              </w:rPr>
              <w:t>by ewaluacji efektów regulacji.</w:t>
            </w:r>
          </w:p>
          <w:p w14:paraId="0C842675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409A7" w:rsidRPr="00CE0D38" w14:paraId="112E330A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99CCFF"/>
          </w:tcPr>
          <w:p w14:paraId="3320ECEE" w14:textId="77777777" w:rsidR="004409A7" w:rsidRPr="00CE0D38" w:rsidRDefault="004409A7" w:rsidP="00F412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E0D38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E0D38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409A7" w:rsidRPr="00CE0D38" w14:paraId="22043137" w14:textId="77777777" w:rsidTr="00F412F0">
        <w:trPr>
          <w:trHeight w:val="142"/>
        </w:trPr>
        <w:tc>
          <w:tcPr>
            <w:tcW w:w="11340" w:type="dxa"/>
            <w:gridSpan w:val="22"/>
            <w:shd w:val="clear" w:color="auto" w:fill="FFFFFF"/>
          </w:tcPr>
          <w:p w14:paraId="3468D289" w14:textId="77777777" w:rsidR="004409A7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E0D38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3461ABAF" w14:textId="77777777" w:rsidR="004409A7" w:rsidRPr="00CE0D38" w:rsidRDefault="004409A7" w:rsidP="00F412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5E0E040" w14:textId="77777777" w:rsidR="006176ED" w:rsidRPr="00CE0D38" w:rsidRDefault="006176ED" w:rsidP="00D349F2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</w:p>
    <w:sectPr w:rsidR="006176ED" w:rsidRPr="00CE0D38" w:rsidSect="00F412F0"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CB95" w14:textId="77777777" w:rsidR="00032D7D" w:rsidRDefault="00032D7D" w:rsidP="00044739">
      <w:pPr>
        <w:spacing w:line="240" w:lineRule="auto"/>
      </w:pPr>
      <w:r>
        <w:separator/>
      </w:r>
    </w:p>
  </w:endnote>
  <w:endnote w:type="continuationSeparator" w:id="0">
    <w:p w14:paraId="1C64BB14" w14:textId="77777777" w:rsidR="00032D7D" w:rsidRDefault="00032D7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A0DF5" w14:textId="77777777" w:rsidR="00032D7D" w:rsidRDefault="00032D7D" w:rsidP="00044739">
      <w:pPr>
        <w:spacing w:line="240" w:lineRule="auto"/>
      </w:pPr>
      <w:r>
        <w:separator/>
      </w:r>
    </w:p>
  </w:footnote>
  <w:footnote w:type="continuationSeparator" w:id="0">
    <w:p w14:paraId="0D776023" w14:textId="77777777" w:rsidR="00032D7D" w:rsidRDefault="00032D7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44"/>
    <w:multiLevelType w:val="hybridMultilevel"/>
    <w:tmpl w:val="CA5E052E"/>
    <w:lvl w:ilvl="0" w:tplc="F47CD068">
      <w:start w:val="1"/>
      <w:numFmt w:val="decimal"/>
      <w:lvlText w:val="%1)"/>
      <w:lvlJc w:val="left"/>
      <w:pPr>
        <w:ind w:left="37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6CE"/>
    <w:multiLevelType w:val="hybridMultilevel"/>
    <w:tmpl w:val="6B8C4D40"/>
    <w:lvl w:ilvl="0" w:tplc="8520AF7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A9A5621"/>
    <w:multiLevelType w:val="multilevel"/>
    <w:tmpl w:val="092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088"/>
    <w:multiLevelType w:val="hybridMultilevel"/>
    <w:tmpl w:val="2776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>
    <w:nsid w:val="18E669A8"/>
    <w:multiLevelType w:val="hybridMultilevel"/>
    <w:tmpl w:val="33C0B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4C38AC"/>
    <w:multiLevelType w:val="hybridMultilevel"/>
    <w:tmpl w:val="9F66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3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9"/>
  </w:num>
  <w:num w:numId="10">
    <w:abstractNumId w:val="15"/>
  </w:num>
  <w:num w:numId="11">
    <w:abstractNumId w:val="18"/>
  </w:num>
  <w:num w:numId="12">
    <w:abstractNumId w:val="6"/>
  </w:num>
  <w:num w:numId="13">
    <w:abstractNumId w:val="14"/>
  </w:num>
  <w:num w:numId="14">
    <w:abstractNumId w:val="24"/>
  </w:num>
  <w:num w:numId="15">
    <w:abstractNumId w:val="20"/>
  </w:num>
  <w:num w:numId="16">
    <w:abstractNumId w:val="22"/>
  </w:num>
  <w:num w:numId="17">
    <w:abstractNumId w:val="10"/>
  </w:num>
  <w:num w:numId="18">
    <w:abstractNumId w:val="25"/>
  </w:num>
  <w:num w:numId="19">
    <w:abstractNumId w:val="26"/>
  </w:num>
  <w:num w:numId="20">
    <w:abstractNumId w:val="21"/>
  </w:num>
  <w:num w:numId="21">
    <w:abstractNumId w:val="11"/>
  </w:num>
  <w:num w:numId="22">
    <w:abstractNumId w:val="0"/>
  </w:num>
  <w:num w:numId="23">
    <w:abstractNumId w:val="7"/>
  </w:num>
  <w:num w:numId="24">
    <w:abstractNumId w:val="2"/>
  </w:num>
  <w:num w:numId="25">
    <w:abstractNumId w:val="5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2DF8"/>
    <w:rsid w:val="00013EB5"/>
    <w:rsid w:val="00023836"/>
    <w:rsid w:val="00032D7D"/>
    <w:rsid w:val="00034805"/>
    <w:rsid w:val="00034B61"/>
    <w:rsid w:val="000356A9"/>
    <w:rsid w:val="00044138"/>
    <w:rsid w:val="00044739"/>
    <w:rsid w:val="000509CD"/>
    <w:rsid w:val="00051637"/>
    <w:rsid w:val="000537DA"/>
    <w:rsid w:val="00056681"/>
    <w:rsid w:val="00061B1B"/>
    <w:rsid w:val="000648A7"/>
    <w:rsid w:val="0006618B"/>
    <w:rsid w:val="000670C0"/>
    <w:rsid w:val="00071B99"/>
    <w:rsid w:val="00074044"/>
    <w:rsid w:val="000756E5"/>
    <w:rsid w:val="0007704E"/>
    <w:rsid w:val="0007778E"/>
    <w:rsid w:val="00080EC8"/>
    <w:rsid w:val="0009285A"/>
    <w:rsid w:val="000944AC"/>
    <w:rsid w:val="00094CB9"/>
    <w:rsid w:val="000956B2"/>
    <w:rsid w:val="00095EA4"/>
    <w:rsid w:val="000969E7"/>
    <w:rsid w:val="000A23DE"/>
    <w:rsid w:val="000A3387"/>
    <w:rsid w:val="000A4020"/>
    <w:rsid w:val="000B54FB"/>
    <w:rsid w:val="000C29B0"/>
    <w:rsid w:val="000C76FC"/>
    <w:rsid w:val="000D0205"/>
    <w:rsid w:val="000D38FC"/>
    <w:rsid w:val="000D4D90"/>
    <w:rsid w:val="000E2D10"/>
    <w:rsid w:val="000F2F0C"/>
    <w:rsid w:val="000F3204"/>
    <w:rsid w:val="000F7F89"/>
    <w:rsid w:val="0010155C"/>
    <w:rsid w:val="00102A5D"/>
    <w:rsid w:val="00103C98"/>
    <w:rsid w:val="0010548B"/>
    <w:rsid w:val="00105519"/>
    <w:rsid w:val="001072D1"/>
    <w:rsid w:val="00117017"/>
    <w:rsid w:val="00130E8E"/>
    <w:rsid w:val="0013216E"/>
    <w:rsid w:val="001362C0"/>
    <w:rsid w:val="00137A8F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5C14"/>
    <w:rsid w:val="001767D8"/>
    <w:rsid w:val="00180D25"/>
    <w:rsid w:val="0018318D"/>
    <w:rsid w:val="0018572C"/>
    <w:rsid w:val="00187E79"/>
    <w:rsid w:val="00187F0D"/>
    <w:rsid w:val="00192CC5"/>
    <w:rsid w:val="001956A7"/>
    <w:rsid w:val="001967D1"/>
    <w:rsid w:val="001A118A"/>
    <w:rsid w:val="001A27F4"/>
    <w:rsid w:val="001A2D95"/>
    <w:rsid w:val="001A530A"/>
    <w:rsid w:val="001A7D34"/>
    <w:rsid w:val="001B3460"/>
    <w:rsid w:val="001B4CA1"/>
    <w:rsid w:val="001B75D8"/>
    <w:rsid w:val="001B78EB"/>
    <w:rsid w:val="001C1060"/>
    <w:rsid w:val="001C144E"/>
    <w:rsid w:val="001C3C63"/>
    <w:rsid w:val="001D2452"/>
    <w:rsid w:val="001D4732"/>
    <w:rsid w:val="001D6A3C"/>
    <w:rsid w:val="001D6D51"/>
    <w:rsid w:val="001E23B7"/>
    <w:rsid w:val="001E431C"/>
    <w:rsid w:val="001E7C7A"/>
    <w:rsid w:val="001F653A"/>
    <w:rsid w:val="001F6979"/>
    <w:rsid w:val="001F7177"/>
    <w:rsid w:val="00200C5F"/>
    <w:rsid w:val="00202BC6"/>
    <w:rsid w:val="00205141"/>
    <w:rsid w:val="0020516B"/>
    <w:rsid w:val="00207BE3"/>
    <w:rsid w:val="00213559"/>
    <w:rsid w:val="00213EFD"/>
    <w:rsid w:val="0021497D"/>
    <w:rsid w:val="002172F1"/>
    <w:rsid w:val="0021795D"/>
    <w:rsid w:val="00223C7B"/>
    <w:rsid w:val="002246C4"/>
    <w:rsid w:val="00224AB1"/>
    <w:rsid w:val="0022687A"/>
    <w:rsid w:val="00230728"/>
    <w:rsid w:val="00232442"/>
    <w:rsid w:val="00234040"/>
    <w:rsid w:val="00234F40"/>
    <w:rsid w:val="00235CD2"/>
    <w:rsid w:val="00241F07"/>
    <w:rsid w:val="00250C34"/>
    <w:rsid w:val="00251CCE"/>
    <w:rsid w:val="002523AC"/>
    <w:rsid w:val="00254DED"/>
    <w:rsid w:val="00255619"/>
    <w:rsid w:val="00255DAD"/>
    <w:rsid w:val="00256108"/>
    <w:rsid w:val="00257587"/>
    <w:rsid w:val="00260F33"/>
    <w:rsid w:val="002613BD"/>
    <w:rsid w:val="002624F1"/>
    <w:rsid w:val="00270C81"/>
    <w:rsid w:val="00271558"/>
    <w:rsid w:val="00272684"/>
    <w:rsid w:val="00274862"/>
    <w:rsid w:val="00280760"/>
    <w:rsid w:val="00282D72"/>
    <w:rsid w:val="00283402"/>
    <w:rsid w:val="00290FD6"/>
    <w:rsid w:val="002914AF"/>
    <w:rsid w:val="00294259"/>
    <w:rsid w:val="002A2C81"/>
    <w:rsid w:val="002B05FC"/>
    <w:rsid w:val="002B2810"/>
    <w:rsid w:val="002B3B1A"/>
    <w:rsid w:val="002B3D1A"/>
    <w:rsid w:val="002B6835"/>
    <w:rsid w:val="002C27D0"/>
    <w:rsid w:val="002C2C9B"/>
    <w:rsid w:val="002D17D6"/>
    <w:rsid w:val="002D18D7"/>
    <w:rsid w:val="002D21CE"/>
    <w:rsid w:val="002D2F92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3F8B"/>
    <w:rsid w:val="003165FF"/>
    <w:rsid w:val="003203C1"/>
    <w:rsid w:val="00320B7A"/>
    <w:rsid w:val="00325D53"/>
    <w:rsid w:val="00331BF9"/>
    <w:rsid w:val="0033495E"/>
    <w:rsid w:val="00334A79"/>
    <w:rsid w:val="00334D8D"/>
    <w:rsid w:val="00337345"/>
    <w:rsid w:val="00337DD2"/>
    <w:rsid w:val="003404D1"/>
    <w:rsid w:val="003443FF"/>
    <w:rsid w:val="00347199"/>
    <w:rsid w:val="00355808"/>
    <w:rsid w:val="003623B0"/>
    <w:rsid w:val="00362C7E"/>
    <w:rsid w:val="00363309"/>
    <w:rsid w:val="00363601"/>
    <w:rsid w:val="00366049"/>
    <w:rsid w:val="0037471A"/>
    <w:rsid w:val="00376AC9"/>
    <w:rsid w:val="00391F4A"/>
    <w:rsid w:val="0039263B"/>
    <w:rsid w:val="00393032"/>
    <w:rsid w:val="003936B5"/>
    <w:rsid w:val="00394B69"/>
    <w:rsid w:val="00397078"/>
    <w:rsid w:val="003A3BE8"/>
    <w:rsid w:val="003A6953"/>
    <w:rsid w:val="003B251E"/>
    <w:rsid w:val="003B5027"/>
    <w:rsid w:val="003B6083"/>
    <w:rsid w:val="003C0C91"/>
    <w:rsid w:val="003C1B62"/>
    <w:rsid w:val="003C3465"/>
    <w:rsid w:val="003C3838"/>
    <w:rsid w:val="003C5847"/>
    <w:rsid w:val="003D0681"/>
    <w:rsid w:val="003D12F6"/>
    <w:rsid w:val="003D1426"/>
    <w:rsid w:val="003D5887"/>
    <w:rsid w:val="003D7B95"/>
    <w:rsid w:val="003E2F4E"/>
    <w:rsid w:val="003E720A"/>
    <w:rsid w:val="003F06D7"/>
    <w:rsid w:val="00400F33"/>
    <w:rsid w:val="00403E6E"/>
    <w:rsid w:val="004129B4"/>
    <w:rsid w:val="00417817"/>
    <w:rsid w:val="00417EF0"/>
    <w:rsid w:val="00422181"/>
    <w:rsid w:val="004244A8"/>
    <w:rsid w:val="00425F72"/>
    <w:rsid w:val="00427736"/>
    <w:rsid w:val="00430F87"/>
    <w:rsid w:val="004409A7"/>
    <w:rsid w:val="00441787"/>
    <w:rsid w:val="00444F2D"/>
    <w:rsid w:val="00451495"/>
    <w:rsid w:val="00452034"/>
    <w:rsid w:val="00455FA6"/>
    <w:rsid w:val="00466C70"/>
    <w:rsid w:val="00467541"/>
    <w:rsid w:val="00467F62"/>
    <w:rsid w:val="004702C9"/>
    <w:rsid w:val="00472E45"/>
    <w:rsid w:val="00473FEA"/>
    <w:rsid w:val="00474D6C"/>
    <w:rsid w:val="0047579D"/>
    <w:rsid w:val="00476F3D"/>
    <w:rsid w:val="00483262"/>
    <w:rsid w:val="00484107"/>
    <w:rsid w:val="00485211"/>
    <w:rsid w:val="00485CC5"/>
    <w:rsid w:val="004931D0"/>
    <w:rsid w:val="0049343F"/>
    <w:rsid w:val="004957EC"/>
    <w:rsid w:val="004964FC"/>
    <w:rsid w:val="004A145E"/>
    <w:rsid w:val="004A1F15"/>
    <w:rsid w:val="004A2A81"/>
    <w:rsid w:val="004A7BD7"/>
    <w:rsid w:val="004B462E"/>
    <w:rsid w:val="004C15C2"/>
    <w:rsid w:val="004C36D8"/>
    <w:rsid w:val="004C6A0C"/>
    <w:rsid w:val="004D1248"/>
    <w:rsid w:val="004D1E3C"/>
    <w:rsid w:val="004D4169"/>
    <w:rsid w:val="004D6E14"/>
    <w:rsid w:val="004E5782"/>
    <w:rsid w:val="004F0086"/>
    <w:rsid w:val="004F40E5"/>
    <w:rsid w:val="004F4E17"/>
    <w:rsid w:val="004F5914"/>
    <w:rsid w:val="004F7005"/>
    <w:rsid w:val="0050082F"/>
    <w:rsid w:val="00500C56"/>
    <w:rsid w:val="00501713"/>
    <w:rsid w:val="005061DD"/>
    <w:rsid w:val="00506568"/>
    <w:rsid w:val="00506A73"/>
    <w:rsid w:val="0051551B"/>
    <w:rsid w:val="00516882"/>
    <w:rsid w:val="005172AC"/>
    <w:rsid w:val="00520C57"/>
    <w:rsid w:val="00522D94"/>
    <w:rsid w:val="00533D89"/>
    <w:rsid w:val="00536564"/>
    <w:rsid w:val="00544597"/>
    <w:rsid w:val="00544FFE"/>
    <w:rsid w:val="005473F5"/>
    <w:rsid w:val="005477E7"/>
    <w:rsid w:val="005516D2"/>
    <w:rsid w:val="00552794"/>
    <w:rsid w:val="005566F0"/>
    <w:rsid w:val="00563199"/>
    <w:rsid w:val="005636C2"/>
    <w:rsid w:val="00564874"/>
    <w:rsid w:val="005659B2"/>
    <w:rsid w:val="00567963"/>
    <w:rsid w:val="00567EF8"/>
    <w:rsid w:val="0057009A"/>
    <w:rsid w:val="00570765"/>
    <w:rsid w:val="00571260"/>
    <w:rsid w:val="0057189C"/>
    <w:rsid w:val="00572CD0"/>
    <w:rsid w:val="00572D96"/>
    <w:rsid w:val="00573790"/>
    <w:rsid w:val="00573FC1"/>
    <w:rsid w:val="005741EE"/>
    <w:rsid w:val="0057668E"/>
    <w:rsid w:val="00577030"/>
    <w:rsid w:val="00595E83"/>
    <w:rsid w:val="00596530"/>
    <w:rsid w:val="005967F3"/>
    <w:rsid w:val="00596A83"/>
    <w:rsid w:val="005A06DF"/>
    <w:rsid w:val="005A0A69"/>
    <w:rsid w:val="005A1CCB"/>
    <w:rsid w:val="005A4B58"/>
    <w:rsid w:val="005A5527"/>
    <w:rsid w:val="005A5AE6"/>
    <w:rsid w:val="005B1206"/>
    <w:rsid w:val="005B37E8"/>
    <w:rsid w:val="005C0056"/>
    <w:rsid w:val="005D227E"/>
    <w:rsid w:val="005D61D6"/>
    <w:rsid w:val="005D6E59"/>
    <w:rsid w:val="005E002F"/>
    <w:rsid w:val="005E0D13"/>
    <w:rsid w:val="005E5047"/>
    <w:rsid w:val="005E7205"/>
    <w:rsid w:val="005E7371"/>
    <w:rsid w:val="005F116C"/>
    <w:rsid w:val="005F2131"/>
    <w:rsid w:val="00605EF6"/>
    <w:rsid w:val="00606455"/>
    <w:rsid w:val="006104ED"/>
    <w:rsid w:val="00610F7A"/>
    <w:rsid w:val="00614929"/>
    <w:rsid w:val="00616511"/>
    <w:rsid w:val="006176ED"/>
    <w:rsid w:val="006202F3"/>
    <w:rsid w:val="0062097A"/>
    <w:rsid w:val="00621DA6"/>
    <w:rsid w:val="00621E9F"/>
    <w:rsid w:val="00623CFE"/>
    <w:rsid w:val="00627221"/>
    <w:rsid w:val="00627EE8"/>
    <w:rsid w:val="006302F1"/>
    <w:rsid w:val="00631154"/>
    <w:rsid w:val="006316FA"/>
    <w:rsid w:val="00632640"/>
    <w:rsid w:val="00636469"/>
    <w:rsid w:val="006370D2"/>
    <w:rsid w:val="0064074F"/>
    <w:rsid w:val="0064168E"/>
    <w:rsid w:val="00641F55"/>
    <w:rsid w:val="00645037"/>
    <w:rsid w:val="00645E4A"/>
    <w:rsid w:val="00646A43"/>
    <w:rsid w:val="00653688"/>
    <w:rsid w:val="0066091B"/>
    <w:rsid w:val="006660E9"/>
    <w:rsid w:val="00667249"/>
    <w:rsid w:val="00667558"/>
    <w:rsid w:val="0067011E"/>
    <w:rsid w:val="00670D5C"/>
    <w:rsid w:val="00671523"/>
    <w:rsid w:val="00673665"/>
    <w:rsid w:val="006754EF"/>
    <w:rsid w:val="00676C8D"/>
    <w:rsid w:val="00676F1F"/>
    <w:rsid w:val="00677381"/>
    <w:rsid w:val="00677414"/>
    <w:rsid w:val="0068172D"/>
    <w:rsid w:val="006832CF"/>
    <w:rsid w:val="00684345"/>
    <w:rsid w:val="0068583E"/>
    <w:rsid w:val="00685F03"/>
    <w:rsid w:val="0068601E"/>
    <w:rsid w:val="0069486B"/>
    <w:rsid w:val="006A2A98"/>
    <w:rsid w:val="006A4904"/>
    <w:rsid w:val="006A548F"/>
    <w:rsid w:val="006A701A"/>
    <w:rsid w:val="006B1749"/>
    <w:rsid w:val="006B64DC"/>
    <w:rsid w:val="006B6714"/>
    <w:rsid w:val="006B7A91"/>
    <w:rsid w:val="006C3DAE"/>
    <w:rsid w:val="006C5E19"/>
    <w:rsid w:val="006D46C4"/>
    <w:rsid w:val="006D4704"/>
    <w:rsid w:val="006D6A2D"/>
    <w:rsid w:val="006E1E18"/>
    <w:rsid w:val="006E31CE"/>
    <w:rsid w:val="006E3287"/>
    <w:rsid w:val="006E34D3"/>
    <w:rsid w:val="006F1435"/>
    <w:rsid w:val="006F1769"/>
    <w:rsid w:val="006F6D7A"/>
    <w:rsid w:val="006F78C4"/>
    <w:rsid w:val="007024B3"/>
    <w:rsid w:val="007031A0"/>
    <w:rsid w:val="00705A29"/>
    <w:rsid w:val="00707498"/>
    <w:rsid w:val="00711A65"/>
    <w:rsid w:val="007131F2"/>
    <w:rsid w:val="00714133"/>
    <w:rsid w:val="00714DA4"/>
    <w:rsid w:val="007158B2"/>
    <w:rsid w:val="00716081"/>
    <w:rsid w:val="00722B48"/>
    <w:rsid w:val="00724164"/>
    <w:rsid w:val="00725BED"/>
    <w:rsid w:val="00725DE7"/>
    <w:rsid w:val="0072636A"/>
    <w:rsid w:val="00726B44"/>
    <w:rsid w:val="007318DD"/>
    <w:rsid w:val="00733167"/>
    <w:rsid w:val="0073452E"/>
    <w:rsid w:val="00734F69"/>
    <w:rsid w:val="00737180"/>
    <w:rsid w:val="00740D2C"/>
    <w:rsid w:val="00741870"/>
    <w:rsid w:val="00741B64"/>
    <w:rsid w:val="00744BF9"/>
    <w:rsid w:val="00752623"/>
    <w:rsid w:val="00752C09"/>
    <w:rsid w:val="007537E6"/>
    <w:rsid w:val="00760F1F"/>
    <w:rsid w:val="0076423E"/>
    <w:rsid w:val="007646CB"/>
    <w:rsid w:val="0076658F"/>
    <w:rsid w:val="00766B4F"/>
    <w:rsid w:val="0077040A"/>
    <w:rsid w:val="00772D64"/>
    <w:rsid w:val="00774266"/>
    <w:rsid w:val="00774A40"/>
    <w:rsid w:val="00776B4E"/>
    <w:rsid w:val="0078287F"/>
    <w:rsid w:val="00786128"/>
    <w:rsid w:val="00792609"/>
    <w:rsid w:val="00792887"/>
    <w:rsid w:val="007943E2"/>
    <w:rsid w:val="00794F2C"/>
    <w:rsid w:val="00796460"/>
    <w:rsid w:val="007A3BC7"/>
    <w:rsid w:val="007A5AC4"/>
    <w:rsid w:val="007A7B31"/>
    <w:rsid w:val="007B0FDD"/>
    <w:rsid w:val="007B171A"/>
    <w:rsid w:val="007B2813"/>
    <w:rsid w:val="007B4802"/>
    <w:rsid w:val="007B6668"/>
    <w:rsid w:val="007B6B33"/>
    <w:rsid w:val="007C122A"/>
    <w:rsid w:val="007C19E3"/>
    <w:rsid w:val="007C1B24"/>
    <w:rsid w:val="007C2701"/>
    <w:rsid w:val="007C5D5F"/>
    <w:rsid w:val="007D2192"/>
    <w:rsid w:val="007E7870"/>
    <w:rsid w:val="007F0021"/>
    <w:rsid w:val="007F1734"/>
    <w:rsid w:val="007F2F52"/>
    <w:rsid w:val="00801F71"/>
    <w:rsid w:val="00805F28"/>
    <w:rsid w:val="0080749F"/>
    <w:rsid w:val="00811D46"/>
    <w:rsid w:val="008125B0"/>
    <w:rsid w:val="0081316C"/>
    <w:rsid w:val="008144CB"/>
    <w:rsid w:val="008166AD"/>
    <w:rsid w:val="00820FAB"/>
    <w:rsid w:val="00821717"/>
    <w:rsid w:val="00824210"/>
    <w:rsid w:val="008263C0"/>
    <w:rsid w:val="00831F8F"/>
    <w:rsid w:val="00835DE4"/>
    <w:rsid w:val="00836B70"/>
    <w:rsid w:val="00837F70"/>
    <w:rsid w:val="00841422"/>
    <w:rsid w:val="00841D3B"/>
    <w:rsid w:val="0084314C"/>
    <w:rsid w:val="00843171"/>
    <w:rsid w:val="008575C3"/>
    <w:rsid w:val="008636EE"/>
    <w:rsid w:val="00863D28"/>
    <w:rsid w:val="008648C3"/>
    <w:rsid w:val="00880F26"/>
    <w:rsid w:val="00886390"/>
    <w:rsid w:val="0089068D"/>
    <w:rsid w:val="008934A9"/>
    <w:rsid w:val="00896C2E"/>
    <w:rsid w:val="008A5095"/>
    <w:rsid w:val="008A608F"/>
    <w:rsid w:val="008B0FDC"/>
    <w:rsid w:val="008B1A9A"/>
    <w:rsid w:val="008B4FE6"/>
    <w:rsid w:val="008B6C37"/>
    <w:rsid w:val="008C5E42"/>
    <w:rsid w:val="008D5EB1"/>
    <w:rsid w:val="008D6FDE"/>
    <w:rsid w:val="008E18F7"/>
    <w:rsid w:val="008E1AB8"/>
    <w:rsid w:val="008E1E10"/>
    <w:rsid w:val="008E291B"/>
    <w:rsid w:val="008E2F5F"/>
    <w:rsid w:val="008E4F2F"/>
    <w:rsid w:val="008E74B0"/>
    <w:rsid w:val="008F1246"/>
    <w:rsid w:val="00900655"/>
    <w:rsid w:val="009008A8"/>
    <w:rsid w:val="00904AC8"/>
    <w:rsid w:val="009063B0"/>
    <w:rsid w:val="00907106"/>
    <w:rsid w:val="0091001F"/>
    <w:rsid w:val="009107FD"/>
    <w:rsid w:val="0091137C"/>
    <w:rsid w:val="00911567"/>
    <w:rsid w:val="0091579F"/>
    <w:rsid w:val="00917AAE"/>
    <w:rsid w:val="009251A9"/>
    <w:rsid w:val="00930699"/>
    <w:rsid w:val="00931F69"/>
    <w:rsid w:val="00934123"/>
    <w:rsid w:val="00942414"/>
    <w:rsid w:val="00950BE3"/>
    <w:rsid w:val="009551EE"/>
    <w:rsid w:val="00955774"/>
    <w:rsid w:val="009560B5"/>
    <w:rsid w:val="00956EE2"/>
    <w:rsid w:val="00961095"/>
    <w:rsid w:val="009703D6"/>
    <w:rsid w:val="0097181B"/>
    <w:rsid w:val="00973E88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018"/>
    <w:rsid w:val="00996B8E"/>
    <w:rsid w:val="00996F0A"/>
    <w:rsid w:val="009A064B"/>
    <w:rsid w:val="009A1D86"/>
    <w:rsid w:val="009A6064"/>
    <w:rsid w:val="009A69BE"/>
    <w:rsid w:val="009B049C"/>
    <w:rsid w:val="009B07DF"/>
    <w:rsid w:val="009B11C8"/>
    <w:rsid w:val="009B2BCF"/>
    <w:rsid w:val="009B2FF8"/>
    <w:rsid w:val="009B5BA3"/>
    <w:rsid w:val="009B69CD"/>
    <w:rsid w:val="009C7918"/>
    <w:rsid w:val="009D0027"/>
    <w:rsid w:val="009D0655"/>
    <w:rsid w:val="009D0ABB"/>
    <w:rsid w:val="009D4AA3"/>
    <w:rsid w:val="009E1E98"/>
    <w:rsid w:val="009E3952"/>
    <w:rsid w:val="009E3ABE"/>
    <w:rsid w:val="009E3C4B"/>
    <w:rsid w:val="009F0637"/>
    <w:rsid w:val="009F62A6"/>
    <w:rsid w:val="009F674F"/>
    <w:rsid w:val="009F799E"/>
    <w:rsid w:val="00A00135"/>
    <w:rsid w:val="00A012D8"/>
    <w:rsid w:val="00A02020"/>
    <w:rsid w:val="00A0427A"/>
    <w:rsid w:val="00A049F0"/>
    <w:rsid w:val="00A056CB"/>
    <w:rsid w:val="00A07A29"/>
    <w:rsid w:val="00A07E9C"/>
    <w:rsid w:val="00A10FF1"/>
    <w:rsid w:val="00A126EA"/>
    <w:rsid w:val="00A1506B"/>
    <w:rsid w:val="00A17CB2"/>
    <w:rsid w:val="00A23191"/>
    <w:rsid w:val="00A26CDE"/>
    <w:rsid w:val="00A319C0"/>
    <w:rsid w:val="00A33560"/>
    <w:rsid w:val="00A364E4"/>
    <w:rsid w:val="00A371A5"/>
    <w:rsid w:val="00A47BDF"/>
    <w:rsid w:val="00A50C49"/>
    <w:rsid w:val="00A51CD7"/>
    <w:rsid w:val="00A52ADB"/>
    <w:rsid w:val="00A52F95"/>
    <w:rsid w:val="00A533E8"/>
    <w:rsid w:val="00A542D9"/>
    <w:rsid w:val="00A56E64"/>
    <w:rsid w:val="00A624C3"/>
    <w:rsid w:val="00A63F96"/>
    <w:rsid w:val="00A6641C"/>
    <w:rsid w:val="00A73FD4"/>
    <w:rsid w:val="00A767D2"/>
    <w:rsid w:val="00A77616"/>
    <w:rsid w:val="00A805DA"/>
    <w:rsid w:val="00A811B4"/>
    <w:rsid w:val="00A87AE1"/>
    <w:rsid w:val="00A87CDE"/>
    <w:rsid w:val="00A92BAF"/>
    <w:rsid w:val="00A94737"/>
    <w:rsid w:val="00A94BA3"/>
    <w:rsid w:val="00A96CBA"/>
    <w:rsid w:val="00AB1ACD"/>
    <w:rsid w:val="00AB2397"/>
    <w:rsid w:val="00AB277F"/>
    <w:rsid w:val="00AB4099"/>
    <w:rsid w:val="00AB449A"/>
    <w:rsid w:val="00AC7003"/>
    <w:rsid w:val="00AC771B"/>
    <w:rsid w:val="00AD14F9"/>
    <w:rsid w:val="00AD234F"/>
    <w:rsid w:val="00AD35D6"/>
    <w:rsid w:val="00AD58C5"/>
    <w:rsid w:val="00AD785C"/>
    <w:rsid w:val="00AE0D19"/>
    <w:rsid w:val="00AE36C4"/>
    <w:rsid w:val="00AE472C"/>
    <w:rsid w:val="00AE4A07"/>
    <w:rsid w:val="00AE5375"/>
    <w:rsid w:val="00AE6CF8"/>
    <w:rsid w:val="00AF4CAC"/>
    <w:rsid w:val="00B03E0D"/>
    <w:rsid w:val="00B054F8"/>
    <w:rsid w:val="00B2219A"/>
    <w:rsid w:val="00B26FE9"/>
    <w:rsid w:val="00B34BB5"/>
    <w:rsid w:val="00B3581B"/>
    <w:rsid w:val="00B36B81"/>
    <w:rsid w:val="00B36FEE"/>
    <w:rsid w:val="00B37C80"/>
    <w:rsid w:val="00B5092B"/>
    <w:rsid w:val="00B5194E"/>
    <w:rsid w:val="00B51AF5"/>
    <w:rsid w:val="00B51C01"/>
    <w:rsid w:val="00B529A1"/>
    <w:rsid w:val="00B531FC"/>
    <w:rsid w:val="00B55347"/>
    <w:rsid w:val="00B5748A"/>
    <w:rsid w:val="00B57E5E"/>
    <w:rsid w:val="00B61F37"/>
    <w:rsid w:val="00B72D3B"/>
    <w:rsid w:val="00B74B2F"/>
    <w:rsid w:val="00B7770F"/>
    <w:rsid w:val="00B77A89"/>
    <w:rsid w:val="00B77B27"/>
    <w:rsid w:val="00B8134E"/>
    <w:rsid w:val="00B81B55"/>
    <w:rsid w:val="00B84613"/>
    <w:rsid w:val="00B866C5"/>
    <w:rsid w:val="00B87AF0"/>
    <w:rsid w:val="00B9037B"/>
    <w:rsid w:val="00B910BD"/>
    <w:rsid w:val="00B93834"/>
    <w:rsid w:val="00B96469"/>
    <w:rsid w:val="00BA0DA2"/>
    <w:rsid w:val="00BA2981"/>
    <w:rsid w:val="00BA2E63"/>
    <w:rsid w:val="00BA42EE"/>
    <w:rsid w:val="00BA48F9"/>
    <w:rsid w:val="00BB0961"/>
    <w:rsid w:val="00BB0DCA"/>
    <w:rsid w:val="00BB2666"/>
    <w:rsid w:val="00BB6B80"/>
    <w:rsid w:val="00BC228B"/>
    <w:rsid w:val="00BC3773"/>
    <w:rsid w:val="00BC381A"/>
    <w:rsid w:val="00BD0962"/>
    <w:rsid w:val="00BD1EED"/>
    <w:rsid w:val="00BD276F"/>
    <w:rsid w:val="00BF0DA2"/>
    <w:rsid w:val="00BF109C"/>
    <w:rsid w:val="00BF34FA"/>
    <w:rsid w:val="00BF5C8F"/>
    <w:rsid w:val="00BF6667"/>
    <w:rsid w:val="00C004B6"/>
    <w:rsid w:val="00C047A7"/>
    <w:rsid w:val="00C05DE5"/>
    <w:rsid w:val="00C25AB1"/>
    <w:rsid w:val="00C33027"/>
    <w:rsid w:val="00C36D0A"/>
    <w:rsid w:val="00C37667"/>
    <w:rsid w:val="00C41E6A"/>
    <w:rsid w:val="00C435DB"/>
    <w:rsid w:val="00C43E9A"/>
    <w:rsid w:val="00C44D73"/>
    <w:rsid w:val="00C50B42"/>
    <w:rsid w:val="00C516FF"/>
    <w:rsid w:val="00C52426"/>
    <w:rsid w:val="00C52BFA"/>
    <w:rsid w:val="00C53D1D"/>
    <w:rsid w:val="00C53F26"/>
    <w:rsid w:val="00C540BC"/>
    <w:rsid w:val="00C5735C"/>
    <w:rsid w:val="00C64F7D"/>
    <w:rsid w:val="00C65B12"/>
    <w:rsid w:val="00C669B3"/>
    <w:rsid w:val="00C67309"/>
    <w:rsid w:val="00C7614E"/>
    <w:rsid w:val="00C77BF1"/>
    <w:rsid w:val="00C80D60"/>
    <w:rsid w:val="00C823DD"/>
    <w:rsid w:val="00C82FBD"/>
    <w:rsid w:val="00C85107"/>
    <w:rsid w:val="00C85267"/>
    <w:rsid w:val="00C87200"/>
    <w:rsid w:val="00C8721B"/>
    <w:rsid w:val="00C9372C"/>
    <w:rsid w:val="00C9470E"/>
    <w:rsid w:val="00C95CEB"/>
    <w:rsid w:val="00CA1054"/>
    <w:rsid w:val="00CA63EB"/>
    <w:rsid w:val="00CA69F1"/>
    <w:rsid w:val="00CA7CF2"/>
    <w:rsid w:val="00CB422E"/>
    <w:rsid w:val="00CB6046"/>
    <w:rsid w:val="00CB6991"/>
    <w:rsid w:val="00CC6194"/>
    <w:rsid w:val="00CC6305"/>
    <w:rsid w:val="00CC78A5"/>
    <w:rsid w:val="00CD0516"/>
    <w:rsid w:val="00CD756B"/>
    <w:rsid w:val="00CE0D38"/>
    <w:rsid w:val="00CE3B40"/>
    <w:rsid w:val="00CE734F"/>
    <w:rsid w:val="00CF112E"/>
    <w:rsid w:val="00CF161D"/>
    <w:rsid w:val="00CF5F4F"/>
    <w:rsid w:val="00D218DC"/>
    <w:rsid w:val="00D24E56"/>
    <w:rsid w:val="00D31643"/>
    <w:rsid w:val="00D31AEB"/>
    <w:rsid w:val="00D32ECD"/>
    <w:rsid w:val="00D349F2"/>
    <w:rsid w:val="00D35107"/>
    <w:rsid w:val="00D361E4"/>
    <w:rsid w:val="00D42A8F"/>
    <w:rsid w:val="00D439F6"/>
    <w:rsid w:val="00D459C6"/>
    <w:rsid w:val="00D47339"/>
    <w:rsid w:val="00D50729"/>
    <w:rsid w:val="00D50C19"/>
    <w:rsid w:val="00D5153A"/>
    <w:rsid w:val="00D5379E"/>
    <w:rsid w:val="00D56C71"/>
    <w:rsid w:val="00D62643"/>
    <w:rsid w:val="00D646B5"/>
    <w:rsid w:val="00D64C0F"/>
    <w:rsid w:val="00D71E14"/>
    <w:rsid w:val="00D72EFE"/>
    <w:rsid w:val="00D76227"/>
    <w:rsid w:val="00D77DF1"/>
    <w:rsid w:val="00D80DD0"/>
    <w:rsid w:val="00D81730"/>
    <w:rsid w:val="00D841AF"/>
    <w:rsid w:val="00D86AFF"/>
    <w:rsid w:val="00D93C2B"/>
    <w:rsid w:val="00D95A44"/>
    <w:rsid w:val="00D95D16"/>
    <w:rsid w:val="00D97C76"/>
    <w:rsid w:val="00DB02B4"/>
    <w:rsid w:val="00DB2E1E"/>
    <w:rsid w:val="00DB3990"/>
    <w:rsid w:val="00DB4A5A"/>
    <w:rsid w:val="00DB538D"/>
    <w:rsid w:val="00DB547D"/>
    <w:rsid w:val="00DC275C"/>
    <w:rsid w:val="00DC4B0D"/>
    <w:rsid w:val="00DC7FE1"/>
    <w:rsid w:val="00DD3941"/>
    <w:rsid w:val="00DD3F3F"/>
    <w:rsid w:val="00DD5572"/>
    <w:rsid w:val="00DE275E"/>
    <w:rsid w:val="00DE5D80"/>
    <w:rsid w:val="00DE7F05"/>
    <w:rsid w:val="00DF17BA"/>
    <w:rsid w:val="00DF58CD"/>
    <w:rsid w:val="00DF65DE"/>
    <w:rsid w:val="00E019A5"/>
    <w:rsid w:val="00E02EC8"/>
    <w:rsid w:val="00E037F5"/>
    <w:rsid w:val="00E04ECB"/>
    <w:rsid w:val="00E05A09"/>
    <w:rsid w:val="00E06CA1"/>
    <w:rsid w:val="00E12B65"/>
    <w:rsid w:val="00E172B8"/>
    <w:rsid w:val="00E17FB4"/>
    <w:rsid w:val="00E20B75"/>
    <w:rsid w:val="00E214F2"/>
    <w:rsid w:val="00E22F8F"/>
    <w:rsid w:val="00E2371E"/>
    <w:rsid w:val="00E24BD7"/>
    <w:rsid w:val="00E26523"/>
    <w:rsid w:val="00E26809"/>
    <w:rsid w:val="00E31719"/>
    <w:rsid w:val="00E32E50"/>
    <w:rsid w:val="00E3412D"/>
    <w:rsid w:val="00E42949"/>
    <w:rsid w:val="00E47147"/>
    <w:rsid w:val="00E47D16"/>
    <w:rsid w:val="00E55450"/>
    <w:rsid w:val="00E57322"/>
    <w:rsid w:val="00E628CB"/>
    <w:rsid w:val="00E62AD9"/>
    <w:rsid w:val="00E638C8"/>
    <w:rsid w:val="00E6710E"/>
    <w:rsid w:val="00E7509B"/>
    <w:rsid w:val="00E7557D"/>
    <w:rsid w:val="00E75B4F"/>
    <w:rsid w:val="00E761A3"/>
    <w:rsid w:val="00E86590"/>
    <w:rsid w:val="00E907FF"/>
    <w:rsid w:val="00E925E3"/>
    <w:rsid w:val="00E94870"/>
    <w:rsid w:val="00E9636D"/>
    <w:rsid w:val="00EA1D23"/>
    <w:rsid w:val="00EA2A16"/>
    <w:rsid w:val="00EA42D1"/>
    <w:rsid w:val="00EA42EF"/>
    <w:rsid w:val="00EB2DD1"/>
    <w:rsid w:val="00EB6B37"/>
    <w:rsid w:val="00EC29FE"/>
    <w:rsid w:val="00EC3C70"/>
    <w:rsid w:val="00EC46D5"/>
    <w:rsid w:val="00EC5A02"/>
    <w:rsid w:val="00ED3A3D"/>
    <w:rsid w:val="00ED538A"/>
    <w:rsid w:val="00ED6FBC"/>
    <w:rsid w:val="00EE2F16"/>
    <w:rsid w:val="00EE3861"/>
    <w:rsid w:val="00EF2563"/>
    <w:rsid w:val="00EF2E73"/>
    <w:rsid w:val="00EF7683"/>
    <w:rsid w:val="00EF7A2D"/>
    <w:rsid w:val="00F0116C"/>
    <w:rsid w:val="00F04F8D"/>
    <w:rsid w:val="00F10AD0"/>
    <w:rsid w:val="00F116CC"/>
    <w:rsid w:val="00F11835"/>
    <w:rsid w:val="00F12BD1"/>
    <w:rsid w:val="00F12EC3"/>
    <w:rsid w:val="00F14EC4"/>
    <w:rsid w:val="00F15327"/>
    <w:rsid w:val="00F168CF"/>
    <w:rsid w:val="00F2555C"/>
    <w:rsid w:val="00F31DF3"/>
    <w:rsid w:val="00F326E4"/>
    <w:rsid w:val="00F33AE5"/>
    <w:rsid w:val="00F3597D"/>
    <w:rsid w:val="00F412F0"/>
    <w:rsid w:val="00F4376D"/>
    <w:rsid w:val="00F45399"/>
    <w:rsid w:val="00F465EA"/>
    <w:rsid w:val="00F54E7B"/>
    <w:rsid w:val="00F55A88"/>
    <w:rsid w:val="00F74005"/>
    <w:rsid w:val="00F74054"/>
    <w:rsid w:val="00F76884"/>
    <w:rsid w:val="00F83D24"/>
    <w:rsid w:val="00F83DD9"/>
    <w:rsid w:val="00F83F40"/>
    <w:rsid w:val="00F9052C"/>
    <w:rsid w:val="00FA117A"/>
    <w:rsid w:val="00FB386A"/>
    <w:rsid w:val="00FB64D1"/>
    <w:rsid w:val="00FC0786"/>
    <w:rsid w:val="00FC49EF"/>
    <w:rsid w:val="00FD4A95"/>
    <w:rsid w:val="00FE1EBC"/>
    <w:rsid w:val="00FE36E2"/>
    <w:rsid w:val="00FE5C34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F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Bullet1,Styl moj,aotm_załączniki,Dot p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DB547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efault">
    <w:name w:val="Default"/>
    <w:rsid w:val="00DB547D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A07E9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25AB1"/>
    <w:pPr>
      <w:spacing w:after="120"/>
    </w:pPr>
  </w:style>
  <w:style w:type="character" w:customStyle="1" w:styleId="TekstpodstawowyZnak">
    <w:name w:val="Tekst podstawowy Znak"/>
    <w:link w:val="Tekstpodstawowy"/>
    <w:rsid w:val="00C25AB1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509CD"/>
    <w:pPr>
      <w:widowControl w:val="0"/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0">
    <w:name w:val="Tekst treści_"/>
    <w:link w:val="Teksttreci1"/>
    <w:rsid w:val="00621E9F"/>
    <w:rPr>
      <w:rFonts w:ascii="Times New Roman" w:eastAsia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621E9F"/>
    <w:pPr>
      <w:widowControl w:val="0"/>
      <w:shd w:val="clear" w:color="auto" w:fill="FFFFFF"/>
      <w:spacing w:after="720" w:line="0" w:lineRule="atLeast"/>
      <w:ind w:hanging="308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21E9F"/>
    <w:rPr>
      <w:bCs/>
      <w:lang w:eastAsia="en-US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Bullet1 Znak"/>
    <w:link w:val="Akapitzlist"/>
    <w:uiPriority w:val="34"/>
    <w:qFormat/>
    <w:locked/>
    <w:rsid w:val="00A52F95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41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2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Bullet1,Styl moj,aotm_załączniki,Dot p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DB547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efault">
    <w:name w:val="Default"/>
    <w:rsid w:val="00DB547D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A07E9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25AB1"/>
    <w:pPr>
      <w:spacing w:after="120"/>
    </w:pPr>
  </w:style>
  <w:style w:type="character" w:customStyle="1" w:styleId="TekstpodstawowyZnak">
    <w:name w:val="Tekst podstawowy Znak"/>
    <w:link w:val="Tekstpodstawowy"/>
    <w:rsid w:val="00C25AB1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509CD"/>
    <w:pPr>
      <w:widowControl w:val="0"/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0">
    <w:name w:val="Tekst treści_"/>
    <w:link w:val="Teksttreci1"/>
    <w:rsid w:val="00621E9F"/>
    <w:rPr>
      <w:rFonts w:ascii="Times New Roman" w:eastAsia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621E9F"/>
    <w:pPr>
      <w:widowControl w:val="0"/>
      <w:shd w:val="clear" w:color="auto" w:fill="FFFFFF"/>
      <w:spacing w:after="720" w:line="0" w:lineRule="atLeast"/>
      <w:ind w:hanging="308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21E9F"/>
    <w:rPr>
      <w:bCs/>
      <w:lang w:eastAsia="en-US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Bullet1 Znak"/>
    <w:link w:val="Akapitzlist"/>
    <w:uiPriority w:val="34"/>
    <w:qFormat/>
    <w:locked/>
    <w:rsid w:val="00A52F95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41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2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nieszka.Grochala-Stec@mrip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ieszka.Dylewska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31DA-6082-451D-8A22-E6E8C3C4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4120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28783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mailto:Agnieszka.Grochala-Stec@mrips.gov.pl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mailto:Agnieszka.Dylewska@mrips.gov.pl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2022-07-28T05:03:00Z</dcterms:created>
  <dcterms:modified xsi:type="dcterms:W3CDTF">2022-07-28T05:03:00Z</dcterms:modified>
</cp:coreProperties>
</file>