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632C" w14:textId="77777777" w:rsidR="0002305C" w:rsidRPr="007B20B5" w:rsidRDefault="0002305C" w:rsidP="002E6578">
      <w:pPr>
        <w:spacing w:before="240" w:line="340" w:lineRule="atLeast"/>
        <w:ind w:left="2832" w:firstLine="708"/>
        <w:jc w:val="both"/>
        <w:rPr>
          <w:rFonts w:ascii="Times New Roman" w:hAnsi="Times New Roman"/>
          <w:b/>
          <w:sz w:val="24"/>
          <w:szCs w:val="24"/>
        </w:rPr>
      </w:pPr>
      <w:r w:rsidRPr="007B20B5">
        <w:rPr>
          <w:rFonts w:ascii="Times New Roman" w:hAnsi="Times New Roman"/>
          <w:b/>
          <w:sz w:val="24"/>
          <w:szCs w:val="24"/>
        </w:rPr>
        <w:t>UZASADNIENIE</w:t>
      </w:r>
    </w:p>
    <w:p w14:paraId="7F5560E4" w14:textId="77777777" w:rsidR="00795AA0" w:rsidRPr="007B20B5" w:rsidRDefault="00714FAE" w:rsidP="00313581">
      <w:pPr>
        <w:pStyle w:val="NormalnyWeb"/>
        <w:shd w:val="clear" w:color="auto" w:fill="FFFFFF"/>
        <w:spacing w:before="240" w:line="340" w:lineRule="atLeast"/>
        <w:jc w:val="both"/>
        <w:rPr>
          <w:b/>
          <w:lang w:eastAsia="fr-BE"/>
        </w:rPr>
      </w:pPr>
      <w:r w:rsidRPr="007B20B5">
        <w:rPr>
          <w:b/>
          <w:lang w:eastAsia="fr-BE"/>
        </w:rPr>
        <w:t>Potrzeba i cel wydania ustawy</w:t>
      </w:r>
    </w:p>
    <w:p w14:paraId="528A7074" w14:textId="1F0237CB" w:rsidR="00C03E10" w:rsidRPr="007B20B5" w:rsidRDefault="00C03E10" w:rsidP="003132DC">
      <w:pPr>
        <w:pStyle w:val="Default"/>
        <w:spacing w:before="240" w:after="240" w:line="340" w:lineRule="atLeast"/>
        <w:jc w:val="both"/>
        <w:rPr>
          <w:bCs/>
        </w:rPr>
      </w:pPr>
      <w:r w:rsidRPr="007B20B5">
        <w:t xml:space="preserve">Projekt </w:t>
      </w:r>
      <w:r w:rsidRPr="007B20B5">
        <w:rPr>
          <w:i/>
        </w:rPr>
        <w:t>ustawy</w:t>
      </w:r>
      <w:r w:rsidRPr="007B20B5">
        <w:t xml:space="preserve"> </w:t>
      </w:r>
      <w:r w:rsidRPr="007B20B5">
        <w:rPr>
          <w:i/>
        </w:rPr>
        <w:t>o zmianie ustawy o podatku od towarów i usług</w:t>
      </w:r>
      <w:r w:rsidRPr="007B20B5">
        <w:t xml:space="preserve"> </w:t>
      </w:r>
      <w:r w:rsidR="004046ED" w:rsidRPr="004046ED">
        <w:rPr>
          <w:i/>
        </w:rPr>
        <w:t>oraz ustawy o Krajowej Administracji Skarbowej</w:t>
      </w:r>
      <w:r w:rsidR="004046ED">
        <w:t xml:space="preserve"> </w:t>
      </w:r>
      <w:r w:rsidRPr="007B20B5">
        <w:t xml:space="preserve">przewiduje wprowadzenie zmian w </w:t>
      </w:r>
      <w:r w:rsidRPr="007B20B5">
        <w:rPr>
          <w:i/>
        </w:rPr>
        <w:t>ustawie z dnia 11 marca 2004 r.</w:t>
      </w:r>
      <w:r w:rsidRPr="007B20B5">
        <w:t xml:space="preserve"> </w:t>
      </w:r>
      <w:r w:rsidRPr="007B20B5">
        <w:rPr>
          <w:i/>
        </w:rPr>
        <w:t>o podatku od towarów i usług</w:t>
      </w:r>
      <w:r w:rsidRPr="007B20B5">
        <w:rPr>
          <w:rStyle w:val="IGindeksgrny"/>
        </w:rPr>
        <w:t xml:space="preserve"> </w:t>
      </w:r>
      <w:r w:rsidRPr="007B20B5">
        <w:t>6</w:t>
      </w:r>
      <w:r w:rsidR="00A51139" w:rsidRPr="007B20B5">
        <w:rPr>
          <w:rStyle w:val="Odwoanieprzypisudolnego"/>
        </w:rPr>
        <w:footnoteReference w:id="2"/>
      </w:r>
      <w:r w:rsidRPr="007B20B5">
        <w:t>, zwanej dalej „ustawą o</w:t>
      </w:r>
      <w:r w:rsidR="009901FE" w:rsidRPr="007B20B5">
        <w:t xml:space="preserve"> </w:t>
      </w:r>
      <w:r w:rsidRPr="007B20B5">
        <w:t xml:space="preserve">VAT”, mających na celu implementację </w:t>
      </w:r>
      <w:r w:rsidRPr="007B20B5">
        <w:rPr>
          <w:i/>
        </w:rPr>
        <w:t>dyrektywy Rady (UE) 2020/284 z dnia 18 lutego 2020 r. zmieniającej</w:t>
      </w:r>
      <w:r w:rsidR="004F2768" w:rsidRPr="007B20B5">
        <w:rPr>
          <w:i/>
        </w:rPr>
        <w:t xml:space="preserve"> dyrektywę 2006/112/WE w </w:t>
      </w:r>
      <w:r w:rsidRPr="007B20B5">
        <w:rPr>
          <w:i/>
        </w:rPr>
        <w:t>odniesieniu do wprowadzenia pewnych wymogów dla dostawców usług</w:t>
      </w:r>
      <w:r w:rsidR="004046ED">
        <w:rPr>
          <w:i/>
        </w:rPr>
        <w:t xml:space="preserve"> płatniczych</w:t>
      </w:r>
      <w:r w:rsidRPr="007B20B5">
        <w:rPr>
          <w:rStyle w:val="Odwoanieprzypisudolnego"/>
        </w:rPr>
        <w:footnoteReference w:id="3"/>
      </w:r>
      <w:r w:rsidRPr="007B20B5">
        <w:rPr>
          <w:bCs/>
        </w:rPr>
        <w:t>, zwanej dalej „dyrektywą 2020/284”</w:t>
      </w:r>
      <w:r w:rsidR="00DA1381" w:rsidRPr="007B20B5">
        <w:rPr>
          <w:bCs/>
        </w:rPr>
        <w:t>.</w:t>
      </w:r>
    </w:p>
    <w:p w14:paraId="280A4F4E" w14:textId="6376087B" w:rsidR="00C03E10" w:rsidRPr="007B20B5" w:rsidRDefault="00C03E10" w:rsidP="003132DC">
      <w:pPr>
        <w:pStyle w:val="NormalnyWeb"/>
        <w:shd w:val="clear" w:color="auto" w:fill="FFFFFF"/>
        <w:spacing w:before="240" w:after="240" w:line="340" w:lineRule="atLeast"/>
        <w:jc w:val="both"/>
        <w:rPr>
          <w:rStyle w:val="notranslate"/>
        </w:rPr>
      </w:pPr>
      <w:r w:rsidRPr="007B20B5">
        <w:t xml:space="preserve">Dyrektywa 2020/284 ma zostać zaimplementowana do krajowego porządku prawnego do </w:t>
      </w:r>
      <w:r w:rsidR="004F2768" w:rsidRPr="007B20B5">
        <w:t>31 </w:t>
      </w:r>
      <w:r w:rsidRPr="007B20B5">
        <w:t xml:space="preserve">grudnia 2023 r. </w:t>
      </w:r>
      <w:r w:rsidRPr="007B20B5">
        <w:rPr>
          <w:rStyle w:val="notranslate"/>
        </w:rPr>
        <w:t>Przepisy te zaczną obowiązywać od 1 stycznia 2024 r.</w:t>
      </w:r>
    </w:p>
    <w:p w14:paraId="0F940C03" w14:textId="0519A086" w:rsidR="00C03E10" w:rsidRPr="007B20B5" w:rsidRDefault="00C03E10" w:rsidP="003132DC">
      <w:pPr>
        <w:pStyle w:val="NormalnyWeb"/>
        <w:shd w:val="clear" w:color="auto" w:fill="FFFFFF"/>
        <w:spacing w:before="240" w:after="240" w:line="340" w:lineRule="atLeast"/>
        <w:jc w:val="both"/>
      </w:pPr>
      <w:r w:rsidRPr="007B20B5">
        <w:t xml:space="preserve">Z dyrektywą </w:t>
      </w:r>
      <w:r w:rsidR="00DA1381" w:rsidRPr="007B20B5">
        <w:t>2020/284</w:t>
      </w:r>
      <w:r w:rsidRPr="007B20B5">
        <w:t xml:space="preserve"> ściśle związane jest </w:t>
      </w:r>
      <w:r w:rsidRPr="007B20B5">
        <w:rPr>
          <w:rStyle w:val="notranslate"/>
          <w:i/>
        </w:rPr>
        <w:t>rozporządzenie Rady (UE) 2020/283 zmieniające rozporządzenie (UE) nr 904/2010 w odniesieniu do środków służących wzmocnieniu współpracy administracyjnej w celu zwalczania oszustw w dziedzinie VAT</w:t>
      </w:r>
      <w:r w:rsidRPr="007B20B5">
        <w:rPr>
          <w:rStyle w:val="Odwoanieprzypisudolnego"/>
          <w:i/>
        </w:rPr>
        <w:footnoteReference w:id="4"/>
      </w:r>
      <w:r w:rsidR="007262ED" w:rsidRPr="007B20B5">
        <w:rPr>
          <w:rStyle w:val="notranslate"/>
          <w:i/>
        </w:rPr>
        <w:t>, zwane</w:t>
      </w:r>
      <w:r w:rsidR="007262ED" w:rsidRPr="007B20B5">
        <w:rPr>
          <w:rStyle w:val="notranslate"/>
        </w:rPr>
        <w:t xml:space="preserve"> </w:t>
      </w:r>
      <w:r w:rsidR="00A27D7F" w:rsidRPr="007B20B5">
        <w:rPr>
          <w:rStyle w:val="notranslate"/>
        </w:rPr>
        <w:t>dalej</w:t>
      </w:r>
      <w:r w:rsidRPr="007B20B5">
        <w:rPr>
          <w:rStyle w:val="notranslate"/>
        </w:rPr>
        <w:t xml:space="preserve"> „rozporządzenie</w:t>
      </w:r>
      <w:r w:rsidR="007262ED" w:rsidRPr="007B20B5">
        <w:rPr>
          <w:rStyle w:val="notranslate"/>
        </w:rPr>
        <w:t>m</w:t>
      </w:r>
      <w:r w:rsidRPr="007B20B5">
        <w:rPr>
          <w:rStyle w:val="notranslate"/>
        </w:rPr>
        <w:t xml:space="preserve"> CESOP”. </w:t>
      </w:r>
      <w:r w:rsidRPr="007B20B5">
        <w:t>Rozporządzenie to przewiduje m.in. utworzenie centralnego elektronicznego systemu informacji o płatnościach (CES</w:t>
      </w:r>
      <w:r w:rsidR="009901FE" w:rsidRPr="007B20B5">
        <w:t>OP), zarządzanego na poziomie Unii Europejskiej, zwanej dalej także „UE”, przez Komisję Europejską</w:t>
      </w:r>
      <w:r w:rsidRPr="007B20B5">
        <w:t xml:space="preserve">, do którego państwa członkowskie będą obowiązane cyklicznie przekazywać </w:t>
      </w:r>
      <w:r w:rsidR="009901FE" w:rsidRPr="007B20B5">
        <w:t xml:space="preserve">informacje na temat odbiorców </w:t>
      </w:r>
      <w:r w:rsidR="00971ED5">
        <w:t xml:space="preserve">płatności i </w:t>
      </w:r>
      <w:r w:rsidRPr="007B20B5">
        <w:t>transakcji płatniczych.</w:t>
      </w:r>
    </w:p>
    <w:p w14:paraId="7F04E881" w14:textId="6B387D73" w:rsidR="00CA6F84" w:rsidRPr="007B20B5" w:rsidRDefault="00CA6F84" w:rsidP="003132DC">
      <w:pPr>
        <w:pStyle w:val="NormalnyWeb"/>
        <w:shd w:val="clear" w:color="auto" w:fill="FFFFFF"/>
        <w:spacing w:before="240" w:after="240" w:line="340" w:lineRule="atLeast"/>
        <w:jc w:val="both"/>
        <w:rPr>
          <w:rStyle w:val="notranslate"/>
        </w:rPr>
      </w:pPr>
      <w:r w:rsidRPr="007B20B5">
        <w:rPr>
          <w:rStyle w:val="notranslate"/>
        </w:rPr>
        <w:t>Wskazane wyżej akty prawne zmieniające są częścią pakietu na rzecz zwalczania oszustw związanych z VAT w obszarze handlu elektronicznego (e-commerce). Tym samym stanowi</w:t>
      </w:r>
      <w:r w:rsidR="004F2768" w:rsidRPr="007B20B5">
        <w:rPr>
          <w:rStyle w:val="notranslate"/>
        </w:rPr>
        <w:t>ą</w:t>
      </w:r>
      <w:r w:rsidRPr="007B20B5">
        <w:rPr>
          <w:rStyle w:val="notranslate"/>
        </w:rPr>
        <w:t xml:space="preserve"> on</w:t>
      </w:r>
      <w:r w:rsidR="004F2768" w:rsidRPr="007B20B5">
        <w:rPr>
          <w:rStyle w:val="notranslate"/>
        </w:rPr>
        <w:t>e</w:t>
      </w:r>
      <w:r w:rsidRPr="007B20B5">
        <w:rPr>
          <w:rStyle w:val="notranslate"/>
        </w:rPr>
        <w:t xml:space="preserve"> </w:t>
      </w:r>
      <w:r w:rsidR="00EF1245" w:rsidRPr="007B20B5">
        <w:rPr>
          <w:rStyle w:val="notranslate"/>
        </w:rPr>
        <w:t>uzupełnienie</w:t>
      </w:r>
      <w:r w:rsidRPr="007B20B5">
        <w:rPr>
          <w:rStyle w:val="notranslate"/>
        </w:rPr>
        <w:t xml:space="preserve"> rozwiązań ujętych w</w:t>
      </w:r>
      <w:r w:rsidR="00ED6520" w:rsidRPr="007B20B5">
        <w:rPr>
          <w:rStyle w:val="notranslate"/>
        </w:rPr>
        <w:t xml:space="preserve"> tzw. pakiecie VAT-e-commerce</w:t>
      </w:r>
      <w:r w:rsidR="00EF1245" w:rsidRPr="007B20B5">
        <w:rPr>
          <w:rStyle w:val="notranslate"/>
        </w:rPr>
        <w:t xml:space="preserve"> w kontekście strategii Komisji dotyczącej jednolitego rynku cyfrowego,</w:t>
      </w:r>
      <w:r w:rsidRPr="007B20B5">
        <w:rPr>
          <w:rStyle w:val="notranslate"/>
        </w:rPr>
        <w:t xml:space="preserve"> </w:t>
      </w:r>
      <w:r w:rsidR="00ED6520" w:rsidRPr="007B20B5">
        <w:rPr>
          <w:rStyle w:val="notranslate"/>
        </w:rPr>
        <w:t>obejmującym m.in.</w:t>
      </w:r>
      <w:r w:rsidR="009901FE" w:rsidRPr="007B20B5">
        <w:rPr>
          <w:rStyle w:val="notranslate"/>
        </w:rPr>
        <w:t xml:space="preserve"> </w:t>
      </w:r>
      <w:r w:rsidR="00ED6520" w:rsidRPr="007B20B5">
        <w:rPr>
          <w:rStyle w:val="notranslate"/>
          <w:i/>
        </w:rPr>
        <w:t>dyrektywę</w:t>
      </w:r>
      <w:r w:rsidRPr="007B20B5">
        <w:rPr>
          <w:rStyle w:val="notranslate"/>
          <w:i/>
        </w:rPr>
        <w:t xml:space="preserve"> Rady (UE) 2017/2455 z dni</w:t>
      </w:r>
      <w:r w:rsidR="00ED6520" w:rsidRPr="007B20B5">
        <w:rPr>
          <w:rStyle w:val="notranslate"/>
          <w:i/>
        </w:rPr>
        <w:t>a 5 grudnia 2017 r. zmieniającą</w:t>
      </w:r>
      <w:r w:rsidRPr="007B20B5">
        <w:rPr>
          <w:rStyle w:val="notranslate"/>
          <w:i/>
        </w:rPr>
        <w:t xml:space="preserve"> dyrektywę 2006/112/WE i dyrektywę 2009/132/WE w odniesieniu do niektórych obowiązków wynikających z podatku od wartości dodanej </w:t>
      </w:r>
      <w:r w:rsidR="004F2768" w:rsidRPr="007B20B5">
        <w:rPr>
          <w:rStyle w:val="notranslate"/>
          <w:i/>
        </w:rPr>
        <w:t>w przypadku świadczenia usług i</w:t>
      </w:r>
      <w:r w:rsidR="00ED6520" w:rsidRPr="007B20B5">
        <w:rPr>
          <w:rStyle w:val="notranslate"/>
          <w:i/>
        </w:rPr>
        <w:t xml:space="preserve"> </w:t>
      </w:r>
      <w:r w:rsidRPr="007B20B5">
        <w:rPr>
          <w:rStyle w:val="notranslate"/>
          <w:i/>
        </w:rPr>
        <w:t>sprzedaży towarów na odległość</w:t>
      </w:r>
      <w:r w:rsidR="003132DC" w:rsidRPr="007B20B5">
        <w:rPr>
          <w:rStyle w:val="Odwoanieprzypisudolnego"/>
          <w:i/>
        </w:rPr>
        <w:footnoteReference w:id="5"/>
      </w:r>
      <w:r w:rsidR="00ED6520" w:rsidRPr="007B20B5">
        <w:rPr>
          <w:rStyle w:val="notranslate"/>
        </w:rPr>
        <w:t>, zwaną</w:t>
      </w:r>
      <w:r w:rsidRPr="007B20B5">
        <w:rPr>
          <w:rStyle w:val="notranslate"/>
        </w:rPr>
        <w:t xml:space="preserve"> da</w:t>
      </w:r>
      <w:r w:rsidR="00ED6520" w:rsidRPr="007B20B5">
        <w:rPr>
          <w:rStyle w:val="notranslate"/>
        </w:rPr>
        <w:t>lej „dyrektywą</w:t>
      </w:r>
      <w:r w:rsidR="004F2768" w:rsidRPr="007B20B5">
        <w:rPr>
          <w:rStyle w:val="notranslate"/>
        </w:rPr>
        <w:t xml:space="preserve"> 2017/2455”</w:t>
      </w:r>
      <w:r w:rsidR="00ED6520" w:rsidRPr="007B20B5">
        <w:rPr>
          <w:rStyle w:val="notranslate"/>
        </w:rPr>
        <w:t xml:space="preserve"> i </w:t>
      </w:r>
      <w:r w:rsidR="00ED6520" w:rsidRPr="007B20B5">
        <w:rPr>
          <w:rStyle w:val="notranslate"/>
          <w:i/>
        </w:rPr>
        <w:t>dyrektywę Rady (UE) 2019/1995 zmieniającą dyrektywę 2006/112/WE w odniesieniu do przepisów dotyczących s</w:t>
      </w:r>
      <w:r w:rsidR="009901FE" w:rsidRPr="007B20B5">
        <w:rPr>
          <w:rStyle w:val="notranslate"/>
          <w:i/>
        </w:rPr>
        <w:t>przedaży towarów na odległość i </w:t>
      </w:r>
      <w:r w:rsidR="00ED6520" w:rsidRPr="007B20B5">
        <w:rPr>
          <w:rStyle w:val="notranslate"/>
          <w:i/>
        </w:rPr>
        <w:t>niektórych krajowych dostaw towarów</w:t>
      </w:r>
      <w:r w:rsidR="003132DC" w:rsidRPr="007B20B5">
        <w:rPr>
          <w:rStyle w:val="Odwoanieprzypisudolnego"/>
          <w:i/>
        </w:rPr>
        <w:footnoteReference w:id="6"/>
      </w:r>
      <w:r w:rsidR="00ED6520" w:rsidRPr="007B20B5">
        <w:rPr>
          <w:rStyle w:val="notranslate"/>
        </w:rPr>
        <w:t>, zwaną dalej „dyrektywą 2019/1995”</w:t>
      </w:r>
      <w:r w:rsidRPr="007B20B5">
        <w:rPr>
          <w:rStyle w:val="notranslate"/>
        </w:rPr>
        <w:t>.</w:t>
      </w:r>
    </w:p>
    <w:p w14:paraId="604A44D0" w14:textId="18868D4D" w:rsidR="004F2768" w:rsidRPr="007B20B5" w:rsidRDefault="00971ED5" w:rsidP="003132DC">
      <w:pPr>
        <w:spacing w:before="240" w:after="240" w:line="340" w:lineRule="atLeast"/>
        <w:jc w:val="both"/>
        <w:rPr>
          <w:rFonts w:ascii="Times New Roman" w:hAnsi="Times New Roman"/>
          <w:sz w:val="24"/>
          <w:szCs w:val="24"/>
        </w:rPr>
      </w:pPr>
      <w:r>
        <w:rPr>
          <w:rFonts w:ascii="Times New Roman" w:hAnsi="Times New Roman"/>
          <w:sz w:val="24"/>
          <w:szCs w:val="24"/>
        </w:rPr>
        <w:lastRenderedPageBreak/>
        <w:t>Dyrektywy</w:t>
      </w:r>
      <w:r w:rsidR="004F2768" w:rsidRPr="007B20B5">
        <w:rPr>
          <w:rFonts w:ascii="Times New Roman" w:hAnsi="Times New Roman"/>
          <w:sz w:val="24"/>
          <w:szCs w:val="24"/>
        </w:rPr>
        <w:t xml:space="preserve"> </w:t>
      </w:r>
      <w:r w:rsidR="004F2768" w:rsidRPr="007B20B5">
        <w:rPr>
          <w:rStyle w:val="notranslate"/>
          <w:rFonts w:ascii="Times New Roman" w:hAnsi="Times New Roman"/>
          <w:sz w:val="24"/>
          <w:szCs w:val="24"/>
        </w:rPr>
        <w:t>2017/2455</w:t>
      </w:r>
      <w:r w:rsidR="00ED6520" w:rsidRPr="007B20B5">
        <w:rPr>
          <w:rStyle w:val="notranslate"/>
          <w:rFonts w:ascii="Times New Roman" w:hAnsi="Times New Roman"/>
          <w:sz w:val="24"/>
          <w:szCs w:val="24"/>
        </w:rPr>
        <w:t xml:space="preserve"> </w:t>
      </w:r>
      <w:r w:rsidR="00A27D7F" w:rsidRPr="007B20B5">
        <w:rPr>
          <w:rStyle w:val="notranslate"/>
          <w:rFonts w:ascii="Times New Roman" w:hAnsi="Times New Roman"/>
          <w:sz w:val="24"/>
          <w:szCs w:val="24"/>
        </w:rPr>
        <w:t xml:space="preserve">i </w:t>
      </w:r>
      <w:r w:rsidR="00ED6520" w:rsidRPr="007B20B5">
        <w:rPr>
          <w:rStyle w:val="notranslate"/>
          <w:rFonts w:ascii="Times New Roman" w:hAnsi="Times New Roman"/>
          <w:sz w:val="24"/>
          <w:szCs w:val="24"/>
        </w:rPr>
        <w:t xml:space="preserve">2019/1955 </w:t>
      </w:r>
      <w:r w:rsidR="00ED6520" w:rsidRPr="007B20B5">
        <w:rPr>
          <w:rFonts w:ascii="Times New Roman" w:hAnsi="Times New Roman"/>
          <w:sz w:val="24"/>
          <w:szCs w:val="24"/>
        </w:rPr>
        <w:t>zostały</w:t>
      </w:r>
      <w:r w:rsidR="004F2768" w:rsidRPr="007B20B5">
        <w:rPr>
          <w:rFonts w:ascii="Times New Roman" w:hAnsi="Times New Roman"/>
          <w:sz w:val="24"/>
          <w:szCs w:val="24"/>
        </w:rPr>
        <w:t xml:space="preserve"> zaimplementowane do krajowego porządku prawnego </w:t>
      </w:r>
      <w:r w:rsidR="004F2768" w:rsidRPr="007B20B5">
        <w:rPr>
          <w:rFonts w:ascii="Times New Roman" w:hAnsi="Times New Roman"/>
          <w:i/>
          <w:sz w:val="24"/>
          <w:szCs w:val="24"/>
        </w:rPr>
        <w:t>ustawą z dnia 20 maja 2021 r. o zmianie ustawy o podatku od towarów i usług oraz niektórych innych ustaw</w:t>
      </w:r>
      <w:r w:rsidR="004F2768" w:rsidRPr="007B20B5">
        <w:rPr>
          <w:rStyle w:val="Odwoanieprzypisudolnego"/>
          <w:rFonts w:ascii="Times New Roman" w:hAnsi="Times New Roman"/>
          <w:sz w:val="24"/>
          <w:szCs w:val="24"/>
        </w:rPr>
        <w:footnoteReference w:id="7"/>
      </w:r>
      <w:r w:rsidR="004F2768" w:rsidRPr="007B20B5">
        <w:rPr>
          <w:rFonts w:ascii="Times New Roman" w:hAnsi="Times New Roman"/>
          <w:sz w:val="24"/>
          <w:szCs w:val="24"/>
        </w:rPr>
        <w:t>, która weszła w życie z dniem 1 lipca 2021</w:t>
      </w:r>
      <w:r w:rsidR="00A51139" w:rsidRPr="007B20B5">
        <w:rPr>
          <w:rFonts w:ascii="Times New Roman" w:hAnsi="Times New Roman"/>
          <w:sz w:val="24"/>
          <w:szCs w:val="24"/>
        </w:rPr>
        <w:t xml:space="preserve"> r.</w:t>
      </w:r>
    </w:p>
    <w:p w14:paraId="4ED591D4" w14:textId="0DC06531" w:rsidR="00EE6559" w:rsidRPr="007B20B5" w:rsidRDefault="00EE6559" w:rsidP="00EE6559">
      <w:p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W </w:t>
      </w:r>
      <w:r w:rsidR="00971ED5">
        <w:rPr>
          <w:rFonts w:ascii="Times New Roman" w:hAnsi="Times New Roman"/>
          <w:sz w:val="24"/>
          <w:szCs w:val="24"/>
        </w:rPr>
        <w:t>zakresie implementacji dyrektyw</w:t>
      </w:r>
      <w:r w:rsidRPr="007B20B5">
        <w:rPr>
          <w:rFonts w:ascii="Times New Roman" w:hAnsi="Times New Roman"/>
          <w:sz w:val="24"/>
          <w:szCs w:val="24"/>
        </w:rPr>
        <w:t xml:space="preserve"> 2017/2455 i 2019/1995 powyższa ustawa</w:t>
      </w:r>
      <w:r w:rsidR="003956BD" w:rsidRPr="007B20B5">
        <w:rPr>
          <w:rFonts w:ascii="Times New Roman" w:hAnsi="Times New Roman"/>
          <w:sz w:val="24"/>
          <w:szCs w:val="24"/>
        </w:rPr>
        <w:t xml:space="preserve"> m.in.</w:t>
      </w:r>
      <w:r w:rsidRPr="007B20B5">
        <w:rPr>
          <w:rFonts w:ascii="Times New Roman" w:hAnsi="Times New Roman"/>
          <w:sz w:val="24"/>
          <w:szCs w:val="24"/>
        </w:rPr>
        <w:t>:</w:t>
      </w:r>
    </w:p>
    <w:p w14:paraId="16920D21" w14:textId="3957FCBD" w:rsidR="00EE6559" w:rsidRPr="007B20B5" w:rsidRDefault="00EE6559" w:rsidP="009827B4">
      <w:pPr>
        <w:spacing w:before="240" w:after="240" w:line="340" w:lineRule="atLeast"/>
        <w:jc w:val="both"/>
        <w:rPr>
          <w:rFonts w:ascii="Times New Roman" w:hAnsi="Times New Roman"/>
          <w:sz w:val="24"/>
          <w:szCs w:val="24"/>
        </w:rPr>
      </w:pPr>
      <w:r w:rsidRPr="007B20B5">
        <w:rPr>
          <w:rFonts w:ascii="Times New Roman" w:hAnsi="Times New Roman"/>
          <w:sz w:val="24"/>
          <w:szCs w:val="24"/>
        </w:rPr>
        <w:t>(i)</w:t>
      </w:r>
      <w:r w:rsidRPr="007B20B5">
        <w:rPr>
          <w:rFonts w:ascii="Times New Roman" w:hAnsi="Times New Roman"/>
          <w:sz w:val="24"/>
          <w:szCs w:val="24"/>
        </w:rPr>
        <w:tab/>
        <w:t xml:space="preserve">rozszerzyła tzw. mały punkt kompleksowej obsługi (Mini One Stop Shop - MOSS </w:t>
      </w:r>
      <w:r w:rsidR="003956BD" w:rsidRPr="007B20B5">
        <w:rPr>
          <w:rFonts w:ascii="Times New Roman" w:hAnsi="Times New Roman"/>
          <w:sz w:val="24"/>
          <w:szCs w:val="24"/>
        </w:rPr>
        <w:t xml:space="preserve">poprzez stworzenie </w:t>
      </w:r>
      <w:r w:rsidR="00605430" w:rsidRPr="007B20B5">
        <w:rPr>
          <w:rFonts w:ascii="Times New Roman" w:hAnsi="Times New Roman"/>
          <w:sz w:val="24"/>
          <w:szCs w:val="24"/>
        </w:rPr>
        <w:t>punktu kompleksowej obsługi (One Stop Shop - OSS), upraszczając obowiązki</w:t>
      </w:r>
      <w:r w:rsidRPr="007B20B5">
        <w:rPr>
          <w:rFonts w:ascii="Times New Roman" w:hAnsi="Times New Roman"/>
          <w:sz w:val="24"/>
          <w:szCs w:val="24"/>
        </w:rPr>
        <w:t xml:space="preserve"> w</w:t>
      </w:r>
      <w:r w:rsidR="00605430" w:rsidRPr="007B20B5">
        <w:rPr>
          <w:rFonts w:ascii="Times New Roman" w:hAnsi="Times New Roman"/>
          <w:sz w:val="24"/>
          <w:szCs w:val="24"/>
        </w:rPr>
        <w:t xml:space="preserve"> zakresie podatku VAT nałożone</w:t>
      </w:r>
      <w:r w:rsidRPr="007B20B5">
        <w:rPr>
          <w:rFonts w:ascii="Times New Roman" w:hAnsi="Times New Roman"/>
          <w:sz w:val="24"/>
          <w:szCs w:val="24"/>
        </w:rPr>
        <w:t xml:space="preserve"> na podatnikó</w:t>
      </w:r>
      <w:r w:rsidR="009901FE" w:rsidRPr="007B20B5">
        <w:rPr>
          <w:rFonts w:ascii="Times New Roman" w:hAnsi="Times New Roman"/>
          <w:sz w:val="24"/>
          <w:szCs w:val="24"/>
        </w:rPr>
        <w:t>w dokonujących dostaw towarów i </w:t>
      </w:r>
      <w:r w:rsidRPr="007B20B5">
        <w:rPr>
          <w:rFonts w:ascii="Times New Roman" w:hAnsi="Times New Roman"/>
          <w:sz w:val="24"/>
          <w:szCs w:val="24"/>
        </w:rPr>
        <w:t>świadczących usługi osobom niebędącym podatnikami (konsumentom) n</w:t>
      </w:r>
      <w:r w:rsidR="009827B4" w:rsidRPr="007B20B5">
        <w:rPr>
          <w:rFonts w:ascii="Times New Roman" w:hAnsi="Times New Roman"/>
          <w:sz w:val="24"/>
          <w:szCs w:val="24"/>
        </w:rPr>
        <w:t>a terytorium UE</w:t>
      </w:r>
      <w:r w:rsidR="00806523" w:rsidRPr="007B20B5">
        <w:rPr>
          <w:rFonts w:ascii="Times New Roman" w:hAnsi="Times New Roman"/>
          <w:sz w:val="24"/>
          <w:szCs w:val="24"/>
        </w:rPr>
        <w:t>;</w:t>
      </w:r>
      <w:r w:rsidR="00605430" w:rsidRPr="007B20B5">
        <w:rPr>
          <w:rFonts w:ascii="Times New Roman" w:hAnsi="Times New Roman"/>
          <w:sz w:val="24"/>
          <w:szCs w:val="24"/>
        </w:rPr>
        <w:t xml:space="preserve"> </w:t>
      </w:r>
      <w:r w:rsidR="009827B4" w:rsidRPr="007B20B5">
        <w:rPr>
          <w:rFonts w:ascii="Times New Roman" w:hAnsi="Times New Roman"/>
          <w:sz w:val="24"/>
          <w:szCs w:val="24"/>
        </w:rPr>
        <w:t>uproszczenie to</w:t>
      </w:r>
      <w:r w:rsidR="00605430" w:rsidRPr="007B20B5">
        <w:rPr>
          <w:rFonts w:ascii="Times New Roman" w:hAnsi="Times New Roman"/>
          <w:sz w:val="24"/>
          <w:szCs w:val="24"/>
        </w:rPr>
        <w:t xml:space="preserve"> </w:t>
      </w:r>
      <w:r w:rsidR="009827B4" w:rsidRPr="007B20B5">
        <w:rPr>
          <w:rFonts w:ascii="Times New Roman" w:hAnsi="Times New Roman"/>
          <w:sz w:val="24"/>
          <w:szCs w:val="24"/>
        </w:rPr>
        <w:t>obejmuje elektroniczną rejestrację</w:t>
      </w:r>
      <w:r w:rsidRPr="007B20B5">
        <w:rPr>
          <w:rFonts w:ascii="Times New Roman" w:hAnsi="Times New Roman"/>
          <w:sz w:val="24"/>
          <w:szCs w:val="24"/>
        </w:rPr>
        <w:t xml:space="preserve"> dla celów podatku VAT </w:t>
      </w:r>
      <w:r w:rsidR="009827B4" w:rsidRPr="007B20B5">
        <w:rPr>
          <w:rFonts w:ascii="Times New Roman" w:hAnsi="Times New Roman"/>
          <w:sz w:val="24"/>
          <w:szCs w:val="24"/>
        </w:rPr>
        <w:t xml:space="preserve">i rozliczanie VAT </w:t>
      </w:r>
      <w:r w:rsidRPr="007B20B5">
        <w:rPr>
          <w:rFonts w:ascii="Times New Roman" w:hAnsi="Times New Roman"/>
          <w:sz w:val="24"/>
          <w:szCs w:val="24"/>
        </w:rPr>
        <w:t>w jednym państ</w:t>
      </w:r>
      <w:r w:rsidR="009827B4" w:rsidRPr="007B20B5">
        <w:rPr>
          <w:rFonts w:ascii="Times New Roman" w:hAnsi="Times New Roman"/>
          <w:sz w:val="24"/>
          <w:szCs w:val="24"/>
        </w:rPr>
        <w:t xml:space="preserve">wie członkowskim zamiast </w:t>
      </w:r>
      <w:r w:rsidR="00806523" w:rsidRPr="007B20B5">
        <w:rPr>
          <w:rFonts w:ascii="Times New Roman" w:hAnsi="Times New Roman"/>
          <w:sz w:val="24"/>
          <w:szCs w:val="24"/>
        </w:rPr>
        <w:t xml:space="preserve">konieczności </w:t>
      </w:r>
      <w:r w:rsidR="009827B4" w:rsidRPr="007B20B5">
        <w:rPr>
          <w:rFonts w:ascii="Times New Roman" w:hAnsi="Times New Roman"/>
          <w:sz w:val="24"/>
          <w:szCs w:val="24"/>
        </w:rPr>
        <w:t>rejestracji w każdym państwie członkowskim konsumpcji;</w:t>
      </w:r>
    </w:p>
    <w:p w14:paraId="4E256E95" w14:textId="158FAEBC" w:rsidR="00EE6559" w:rsidRPr="007B20B5" w:rsidRDefault="009901FE" w:rsidP="00EE6559">
      <w:pPr>
        <w:spacing w:before="240" w:after="240" w:line="340" w:lineRule="atLeast"/>
        <w:jc w:val="both"/>
        <w:rPr>
          <w:rFonts w:ascii="Times New Roman" w:hAnsi="Times New Roman"/>
          <w:sz w:val="24"/>
          <w:szCs w:val="24"/>
        </w:rPr>
      </w:pPr>
      <w:r w:rsidRPr="007B20B5">
        <w:rPr>
          <w:rFonts w:ascii="Times New Roman" w:hAnsi="Times New Roman"/>
          <w:sz w:val="24"/>
          <w:szCs w:val="24"/>
        </w:rPr>
        <w:t>(ii</w:t>
      </w:r>
      <w:r w:rsidR="00EE6559" w:rsidRPr="007B20B5">
        <w:rPr>
          <w:rFonts w:ascii="Times New Roman" w:hAnsi="Times New Roman"/>
          <w:sz w:val="24"/>
          <w:szCs w:val="24"/>
        </w:rPr>
        <w:t>)</w:t>
      </w:r>
      <w:r w:rsidR="00EE6559" w:rsidRPr="007B20B5">
        <w:rPr>
          <w:rFonts w:ascii="Times New Roman" w:hAnsi="Times New Roman"/>
          <w:sz w:val="24"/>
          <w:szCs w:val="24"/>
        </w:rPr>
        <w:tab/>
      </w:r>
      <w:r w:rsidR="003956BD" w:rsidRPr="007B20B5">
        <w:rPr>
          <w:rFonts w:ascii="Times New Roman" w:hAnsi="Times New Roman"/>
          <w:sz w:val="24"/>
          <w:szCs w:val="24"/>
        </w:rPr>
        <w:t>nałożyła</w:t>
      </w:r>
      <w:r w:rsidR="00EE6559" w:rsidRPr="007B20B5">
        <w:rPr>
          <w:rFonts w:ascii="Times New Roman" w:hAnsi="Times New Roman"/>
          <w:sz w:val="24"/>
          <w:szCs w:val="24"/>
        </w:rPr>
        <w:t xml:space="preserve"> obowiązek zapłaty VAT na podatników ułatwiających dostawy przy użyciu interfejsu elektronicznego</w:t>
      </w:r>
      <w:r w:rsidR="003956BD" w:rsidRPr="007B20B5">
        <w:rPr>
          <w:rFonts w:ascii="Times New Roman" w:hAnsi="Times New Roman"/>
          <w:sz w:val="24"/>
          <w:szCs w:val="24"/>
        </w:rPr>
        <w:t xml:space="preserve"> (np. internetowa platforma handlowa) od tych ułatwianych dostaw;</w:t>
      </w:r>
    </w:p>
    <w:p w14:paraId="0605B798" w14:textId="5E3D94C5" w:rsidR="00EE6559" w:rsidRPr="007B20B5" w:rsidRDefault="009901FE" w:rsidP="00EE6559">
      <w:pPr>
        <w:spacing w:before="240" w:after="240" w:line="340" w:lineRule="atLeast"/>
        <w:jc w:val="both"/>
        <w:rPr>
          <w:rFonts w:ascii="Times New Roman" w:hAnsi="Times New Roman"/>
          <w:sz w:val="24"/>
          <w:szCs w:val="24"/>
        </w:rPr>
      </w:pPr>
      <w:r w:rsidRPr="007B20B5">
        <w:rPr>
          <w:rFonts w:ascii="Times New Roman" w:hAnsi="Times New Roman"/>
          <w:sz w:val="24"/>
          <w:szCs w:val="24"/>
        </w:rPr>
        <w:t>(iii</w:t>
      </w:r>
      <w:r w:rsidR="00EE6559" w:rsidRPr="007B20B5">
        <w:rPr>
          <w:rFonts w:ascii="Times New Roman" w:hAnsi="Times New Roman"/>
          <w:sz w:val="24"/>
          <w:szCs w:val="24"/>
        </w:rPr>
        <w:t>)</w:t>
      </w:r>
      <w:r w:rsidR="00EE6559" w:rsidRPr="007B20B5">
        <w:rPr>
          <w:rFonts w:ascii="Times New Roman" w:hAnsi="Times New Roman"/>
          <w:sz w:val="24"/>
          <w:szCs w:val="24"/>
        </w:rPr>
        <w:tab/>
      </w:r>
      <w:r w:rsidR="003956BD" w:rsidRPr="007B20B5">
        <w:rPr>
          <w:rFonts w:ascii="Times New Roman" w:hAnsi="Times New Roman"/>
          <w:sz w:val="24"/>
          <w:szCs w:val="24"/>
        </w:rPr>
        <w:t>zlikwidowała zwolnienie</w:t>
      </w:r>
      <w:r w:rsidR="00EE6559" w:rsidRPr="007B20B5">
        <w:rPr>
          <w:rFonts w:ascii="Times New Roman" w:hAnsi="Times New Roman"/>
          <w:sz w:val="24"/>
          <w:szCs w:val="24"/>
        </w:rPr>
        <w:t xml:space="preserve"> z podatku VAT od importu towarów w przesyłka</w:t>
      </w:r>
      <w:r w:rsidR="00806523" w:rsidRPr="007B20B5">
        <w:rPr>
          <w:rFonts w:ascii="Times New Roman" w:hAnsi="Times New Roman"/>
          <w:sz w:val="24"/>
          <w:szCs w:val="24"/>
        </w:rPr>
        <w:t>ch o niskiej wartości do 22 EUR;</w:t>
      </w:r>
    </w:p>
    <w:p w14:paraId="348265A7" w14:textId="7F9C23E7" w:rsidR="00EE6559" w:rsidRPr="007B20B5" w:rsidRDefault="009901FE" w:rsidP="00EE6559">
      <w:pPr>
        <w:spacing w:before="240" w:after="240" w:line="340" w:lineRule="atLeast"/>
        <w:jc w:val="both"/>
        <w:rPr>
          <w:rFonts w:ascii="Times New Roman" w:hAnsi="Times New Roman"/>
          <w:sz w:val="24"/>
          <w:szCs w:val="24"/>
        </w:rPr>
      </w:pPr>
      <w:r w:rsidRPr="007B20B5">
        <w:rPr>
          <w:rFonts w:ascii="Times New Roman" w:hAnsi="Times New Roman"/>
          <w:sz w:val="24"/>
          <w:szCs w:val="24"/>
        </w:rPr>
        <w:t>(iv</w:t>
      </w:r>
      <w:r w:rsidR="00806523" w:rsidRPr="007B20B5">
        <w:rPr>
          <w:rFonts w:ascii="Times New Roman" w:hAnsi="Times New Roman"/>
          <w:sz w:val="24"/>
          <w:szCs w:val="24"/>
        </w:rPr>
        <w:t>)</w:t>
      </w:r>
      <w:r w:rsidR="00806523" w:rsidRPr="007B20B5">
        <w:rPr>
          <w:rFonts w:ascii="Times New Roman" w:hAnsi="Times New Roman"/>
          <w:sz w:val="24"/>
          <w:szCs w:val="24"/>
        </w:rPr>
        <w:tab/>
        <w:t>wprowadziła</w:t>
      </w:r>
      <w:r w:rsidR="00EE6559" w:rsidRPr="007B20B5">
        <w:rPr>
          <w:rFonts w:ascii="Times New Roman" w:hAnsi="Times New Roman"/>
          <w:sz w:val="24"/>
          <w:szCs w:val="24"/>
        </w:rPr>
        <w:t xml:space="preserve"> nową procedurę importu (</w:t>
      </w:r>
      <w:r w:rsidR="007231E2" w:rsidRPr="007B20B5">
        <w:rPr>
          <w:rFonts w:ascii="Times New Roman" w:hAnsi="Times New Roman"/>
          <w:sz w:val="24"/>
          <w:szCs w:val="24"/>
        </w:rPr>
        <w:t xml:space="preserve">Import One Stop Shop - </w:t>
      </w:r>
      <w:r w:rsidR="00EE6559" w:rsidRPr="007B20B5">
        <w:rPr>
          <w:rFonts w:ascii="Times New Roman" w:hAnsi="Times New Roman"/>
          <w:sz w:val="24"/>
          <w:szCs w:val="24"/>
        </w:rPr>
        <w:t xml:space="preserve">IOSS) dla </w:t>
      </w:r>
      <w:r w:rsidR="00806523" w:rsidRPr="007B20B5">
        <w:rPr>
          <w:rFonts w:ascii="Times New Roman" w:hAnsi="Times New Roman"/>
          <w:sz w:val="24"/>
          <w:szCs w:val="24"/>
        </w:rPr>
        <w:t>sprzedaży na odległość towarów importowanych</w:t>
      </w:r>
      <w:r w:rsidR="00EE6559" w:rsidRPr="007B20B5">
        <w:rPr>
          <w:rFonts w:ascii="Times New Roman" w:hAnsi="Times New Roman"/>
          <w:sz w:val="24"/>
          <w:szCs w:val="24"/>
        </w:rPr>
        <w:t xml:space="preserve"> z krajów trzecich do ko</w:t>
      </w:r>
      <w:r w:rsidR="007231E2" w:rsidRPr="007B20B5">
        <w:rPr>
          <w:rFonts w:ascii="Times New Roman" w:hAnsi="Times New Roman"/>
          <w:sz w:val="24"/>
          <w:szCs w:val="24"/>
        </w:rPr>
        <w:t>nsumentów w UE, w przesyłkach o </w:t>
      </w:r>
      <w:r w:rsidR="00EE6559" w:rsidRPr="007B20B5">
        <w:rPr>
          <w:rFonts w:ascii="Times New Roman" w:hAnsi="Times New Roman"/>
          <w:sz w:val="24"/>
          <w:szCs w:val="24"/>
        </w:rPr>
        <w:t>wart</w:t>
      </w:r>
      <w:r w:rsidR="00DA1381" w:rsidRPr="007B20B5">
        <w:rPr>
          <w:rFonts w:ascii="Times New Roman" w:hAnsi="Times New Roman"/>
          <w:sz w:val="24"/>
          <w:szCs w:val="24"/>
        </w:rPr>
        <w:t>ości rzeczywistej do 150 EUR.</w:t>
      </w:r>
    </w:p>
    <w:p w14:paraId="1F9718CB" w14:textId="0636C736" w:rsidR="00A27D7F" w:rsidRPr="007B20B5" w:rsidRDefault="00A27D7F" w:rsidP="00A27D7F">
      <w:pPr>
        <w:spacing w:before="240" w:after="240" w:line="340" w:lineRule="atLeast"/>
        <w:jc w:val="both"/>
        <w:rPr>
          <w:rStyle w:val="notranslate"/>
          <w:rFonts w:ascii="Times New Roman" w:hAnsi="Times New Roman"/>
          <w:sz w:val="24"/>
          <w:szCs w:val="24"/>
        </w:rPr>
      </w:pPr>
      <w:r w:rsidRPr="007B20B5">
        <w:rPr>
          <w:rStyle w:val="notranslate"/>
          <w:rFonts w:ascii="Times New Roman" w:hAnsi="Times New Roman"/>
          <w:sz w:val="24"/>
          <w:szCs w:val="24"/>
        </w:rPr>
        <w:t xml:space="preserve">Rozwiązania wdrożone powyższą ustawą </w:t>
      </w:r>
      <w:r w:rsidR="00806523" w:rsidRPr="007B20B5">
        <w:rPr>
          <w:rStyle w:val="notranslate"/>
          <w:rFonts w:ascii="Times New Roman" w:hAnsi="Times New Roman"/>
          <w:sz w:val="24"/>
          <w:szCs w:val="24"/>
        </w:rPr>
        <w:t>m</w:t>
      </w:r>
      <w:r w:rsidR="00EB46AC">
        <w:rPr>
          <w:rStyle w:val="notranslate"/>
          <w:rFonts w:ascii="Times New Roman" w:hAnsi="Times New Roman"/>
          <w:sz w:val="24"/>
          <w:szCs w:val="24"/>
        </w:rPr>
        <w:t xml:space="preserve">iały </w:t>
      </w:r>
      <w:r w:rsidR="00806523" w:rsidRPr="007B20B5">
        <w:rPr>
          <w:rStyle w:val="notranslate"/>
          <w:rFonts w:ascii="Times New Roman" w:hAnsi="Times New Roman"/>
          <w:sz w:val="24"/>
          <w:szCs w:val="24"/>
        </w:rPr>
        <w:t>na celu</w:t>
      </w:r>
      <w:r w:rsidR="0046494B" w:rsidRPr="007B20B5">
        <w:rPr>
          <w:rStyle w:val="notranslate"/>
          <w:rFonts w:ascii="Times New Roman" w:hAnsi="Times New Roman"/>
          <w:sz w:val="24"/>
          <w:szCs w:val="24"/>
        </w:rPr>
        <w:t xml:space="preserve"> </w:t>
      </w:r>
      <w:r w:rsidR="00806523" w:rsidRPr="007B20B5">
        <w:rPr>
          <w:rStyle w:val="notranslate"/>
          <w:rFonts w:ascii="Times New Roman" w:hAnsi="Times New Roman"/>
          <w:sz w:val="24"/>
          <w:szCs w:val="24"/>
        </w:rPr>
        <w:t>wyrównanie</w:t>
      </w:r>
      <w:r w:rsidRPr="007B20B5">
        <w:rPr>
          <w:rStyle w:val="notranslate"/>
          <w:rFonts w:ascii="Times New Roman" w:hAnsi="Times New Roman"/>
          <w:sz w:val="24"/>
          <w:szCs w:val="24"/>
        </w:rPr>
        <w:t xml:space="preserve"> szans unijnych przedsiębiorców w konk</w:t>
      </w:r>
      <w:r w:rsidR="00971ED5">
        <w:rPr>
          <w:rStyle w:val="notranslate"/>
          <w:rFonts w:ascii="Times New Roman" w:hAnsi="Times New Roman"/>
          <w:sz w:val="24"/>
          <w:szCs w:val="24"/>
        </w:rPr>
        <w:t xml:space="preserve">urowaniu w obszarze </w:t>
      </w:r>
      <w:r w:rsidR="00DA1381" w:rsidRPr="007B20B5">
        <w:rPr>
          <w:rStyle w:val="notranslate"/>
          <w:rFonts w:ascii="Times New Roman" w:hAnsi="Times New Roman"/>
          <w:sz w:val="24"/>
          <w:szCs w:val="24"/>
        </w:rPr>
        <w:t>e-commerce</w:t>
      </w:r>
      <w:r w:rsidR="009901FE" w:rsidRPr="007B20B5">
        <w:rPr>
          <w:rStyle w:val="notranslate"/>
          <w:rFonts w:ascii="Times New Roman" w:hAnsi="Times New Roman"/>
          <w:sz w:val="24"/>
          <w:szCs w:val="24"/>
        </w:rPr>
        <w:t xml:space="preserve"> z </w:t>
      </w:r>
      <w:r w:rsidRPr="007B20B5">
        <w:rPr>
          <w:rStyle w:val="notranslate"/>
          <w:rFonts w:ascii="Times New Roman" w:hAnsi="Times New Roman"/>
          <w:sz w:val="24"/>
          <w:szCs w:val="24"/>
        </w:rPr>
        <w:t>podmiotami z krajów trzecich</w:t>
      </w:r>
      <w:r w:rsidR="00806523" w:rsidRPr="007B20B5">
        <w:rPr>
          <w:rStyle w:val="notranslate"/>
          <w:rFonts w:ascii="Times New Roman" w:hAnsi="Times New Roman"/>
          <w:sz w:val="24"/>
          <w:szCs w:val="24"/>
        </w:rPr>
        <w:t xml:space="preserve">, </w:t>
      </w:r>
      <w:r w:rsidR="0046494B" w:rsidRPr="007B20B5">
        <w:rPr>
          <w:rStyle w:val="notranslate"/>
          <w:rFonts w:ascii="Times New Roman" w:hAnsi="Times New Roman"/>
          <w:sz w:val="24"/>
          <w:szCs w:val="24"/>
        </w:rPr>
        <w:t>zmniejszenie</w:t>
      </w:r>
      <w:r w:rsidRPr="007B20B5">
        <w:rPr>
          <w:rStyle w:val="notranslate"/>
          <w:rFonts w:ascii="Times New Roman" w:hAnsi="Times New Roman"/>
          <w:sz w:val="24"/>
          <w:szCs w:val="24"/>
        </w:rPr>
        <w:t xml:space="preserve"> obciążeń i kosztów związanych z wypełnianiem obowiązków podatkowych</w:t>
      </w:r>
      <w:r w:rsidR="0046494B" w:rsidRPr="007B20B5">
        <w:rPr>
          <w:rStyle w:val="notranslate"/>
          <w:rFonts w:ascii="Times New Roman" w:hAnsi="Times New Roman"/>
          <w:sz w:val="24"/>
          <w:szCs w:val="24"/>
        </w:rPr>
        <w:t xml:space="preserve"> </w:t>
      </w:r>
      <w:r w:rsidR="009901FE" w:rsidRPr="007B20B5">
        <w:rPr>
          <w:rStyle w:val="notranslate"/>
          <w:rFonts w:ascii="Times New Roman" w:hAnsi="Times New Roman"/>
          <w:sz w:val="24"/>
          <w:szCs w:val="24"/>
        </w:rPr>
        <w:t>w </w:t>
      </w:r>
      <w:r w:rsidR="0046494B" w:rsidRPr="007B20B5">
        <w:rPr>
          <w:rStyle w:val="notranslate"/>
          <w:rFonts w:ascii="Times New Roman" w:hAnsi="Times New Roman"/>
          <w:sz w:val="24"/>
          <w:szCs w:val="24"/>
        </w:rPr>
        <w:t>zakresie VAT</w:t>
      </w:r>
      <w:r w:rsidR="003B747D" w:rsidRPr="007B20B5">
        <w:rPr>
          <w:rStyle w:val="notranslate"/>
          <w:rFonts w:ascii="Times New Roman" w:hAnsi="Times New Roman"/>
          <w:sz w:val="24"/>
          <w:szCs w:val="24"/>
        </w:rPr>
        <w:t>, a przede wszystkim uszczelnienie VAT w sektorze handlu elektronicznego i importu tzw. małych przesyłek do UE oraz poprawę efektywności poboru VAT</w:t>
      </w:r>
      <w:r w:rsidR="009901FE" w:rsidRPr="007B20B5">
        <w:rPr>
          <w:rStyle w:val="notranslate"/>
          <w:rFonts w:ascii="Times New Roman" w:hAnsi="Times New Roman"/>
          <w:sz w:val="24"/>
          <w:szCs w:val="24"/>
        </w:rPr>
        <w:t>.</w:t>
      </w:r>
    </w:p>
    <w:p w14:paraId="5E7A124C" w14:textId="4CBA51B3" w:rsidR="00585897" w:rsidRPr="007B20B5" w:rsidRDefault="00CA6F84" w:rsidP="00C640BF">
      <w:pPr>
        <w:pStyle w:val="NormalnyWeb"/>
        <w:shd w:val="clear" w:color="auto" w:fill="FFFFFF"/>
        <w:spacing w:before="240" w:after="240" w:line="340" w:lineRule="atLeast"/>
        <w:jc w:val="both"/>
        <w:rPr>
          <w:rStyle w:val="notranslate"/>
        </w:rPr>
      </w:pPr>
      <w:r w:rsidRPr="007B20B5">
        <w:rPr>
          <w:rStyle w:val="notranslate"/>
        </w:rPr>
        <w:t>Zakłada się,</w:t>
      </w:r>
      <w:r w:rsidR="00DA1381" w:rsidRPr="007B20B5">
        <w:rPr>
          <w:rStyle w:val="notranslate"/>
        </w:rPr>
        <w:t xml:space="preserve"> że zmiany ustanowione dyrektywami</w:t>
      </w:r>
      <w:r w:rsidRPr="007B20B5">
        <w:rPr>
          <w:rStyle w:val="notranslate"/>
        </w:rPr>
        <w:t xml:space="preserve"> 2017/2455 </w:t>
      </w:r>
      <w:r w:rsidR="00DA1381" w:rsidRPr="007B20B5">
        <w:rPr>
          <w:rStyle w:val="notranslate"/>
        </w:rPr>
        <w:t xml:space="preserve">i 2019/1955 </w:t>
      </w:r>
      <w:r w:rsidR="00EB46AC">
        <w:rPr>
          <w:rStyle w:val="notranslate"/>
        </w:rPr>
        <w:t xml:space="preserve">uprościły </w:t>
      </w:r>
      <w:r w:rsidRPr="007B20B5">
        <w:rPr>
          <w:rStyle w:val="notranslate"/>
        </w:rPr>
        <w:t xml:space="preserve">system VAT, zwłaszcza w dziedzinie handlu elektronicznego, </w:t>
      </w:r>
      <w:r w:rsidR="00EB46AC">
        <w:rPr>
          <w:rStyle w:val="notranslate"/>
        </w:rPr>
        <w:t xml:space="preserve">co w długim okresie będzie prowadziło </w:t>
      </w:r>
      <w:r w:rsidRPr="007B20B5">
        <w:rPr>
          <w:rStyle w:val="notranslate"/>
        </w:rPr>
        <w:t xml:space="preserve">do wzrostu poziomu przestrzegania przepisów o VAT. </w:t>
      </w:r>
      <w:r w:rsidR="00482DD1" w:rsidRPr="007B20B5">
        <w:rPr>
          <w:rStyle w:val="notranslate"/>
        </w:rPr>
        <w:t>Jednakże pow</w:t>
      </w:r>
      <w:r w:rsidR="00DA1381" w:rsidRPr="007B20B5">
        <w:rPr>
          <w:rStyle w:val="notranslate"/>
        </w:rPr>
        <w:t>odzenie wprowadzonych środków w </w:t>
      </w:r>
      <w:r w:rsidR="00482DD1" w:rsidRPr="007B20B5">
        <w:rPr>
          <w:rStyle w:val="notranslate"/>
        </w:rPr>
        <w:t xml:space="preserve">dużej mierze zależy od dostępności skutecznych </w:t>
      </w:r>
      <w:r w:rsidR="00DA1381" w:rsidRPr="007B20B5">
        <w:rPr>
          <w:rStyle w:val="notranslate"/>
        </w:rPr>
        <w:t>narzędzi służących wykrywaniu i </w:t>
      </w:r>
      <w:r w:rsidR="00482DD1" w:rsidRPr="007B20B5">
        <w:rPr>
          <w:rStyle w:val="notranslate"/>
        </w:rPr>
        <w:t>zwalczaniu oszustw związanych z VAT</w:t>
      </w:r>
      <w:r w:rsidR="003B747D" w:rsidRPr="007B20B5">
        <w:rPr>
          <w:rStyle w:val="notranslate"/>
        </w:rPr>
        <w:t xml:space="preserve"> </w:t>
      </w:r>
      <w:r w:rsidR="00482DD1" w:rsidRPr="007B20B5">
        <w:rPr>
          <w:rStyle w:val="notranslate"/>
        </w:rPr>
        <w:t>w sektorze e-commerce.</w:t>
      </w:r>
      <w:r w:rsidR="003B747D" w:rsidRPr="007B20B5">
        <w:rPr>
          <w:rStyle w:val="notranslate"/>
        </w:rPr>
        <w:t xml:space="preserve"> </w:t>
      </w:r>
      <w:r w:rsidR="00CC3111" w:rsidRPr="007B20B5">
        <w:rPr>
          <w:rStyle w:val="notranslate"/>
        </w:rPr>
        <w:t>Europejski Trybunał Obrachunkowy</w:t>
      </w:r>
      <w:r w:rsidR="00B745ED" w:rsidRPr="007B20B5">
        <w:rPr>
          <w:rStyle w:val="Odwoanieprzypisudolnego"/>
        </w:rPr>
        <w:footnoteReference w:id="8"/>
      </w:r>
      <w:r w:rsidR="00CC3111" w:rsidRPr="007B20B5">
        <w:rPr>
          <w:rStyle w:val="notranslate"/>
        </w:rPr>
        <w:t xml:space="preserve"> zauważył bowiem, że </w:t>
      </w:r>
      <w:r w:rsidR="008514B9" w:rsidRPr="007B20B5">
        <w:rPr>
          <w:rStyle w:val="notranslate"/>
        </w:rPr>
        <w:t xml:space="preserve">istniejący system zasadniczo opiera się na skłonności przedsiębiorców do dobrowolnego rejestrowania się i płacenia należnego podatku VAT. </w:t>
      </w:r>
      <w:r w:rsidR="00585897" w:rsidRPr="007B20B5">
        <w:rPr>
          <w:rStyle w:val="notranslate"/>
        </w:rPr>
        <w:t xml:space="preserve">Istnieje zatem ryzyko, że przedsiębiorcy (zwłaszcza spoza UE) nie zarejestrują się do celów podatku VAT w żadnym państwie członkowskim, aby uniknąć naliczania i płacenia podatku </w:t>
      </w:r>
      <w:r w:rsidR="00585897" w:rsidRPr="007B20B5">
        <w:rPr>
          <w:rStyle w:val="notranslate"/>
        </w:rPr>
        <w:lastRenderedPageBreak/>
        <w:t xml:space="preserve">VAT od </w:t>
      </w:r>
      <w:r w:rsidR="003F31D0" w:rsidRPr="007B20B5">
        <w:rPr>
          <w:rStyle w:val="notranslate"/>
        </w:rPr>
        <w:t>dokonywanych przez nich transakcji</w:t>
      </w:r>
      <w:r w:rsidR="00585897" w:rsidRPr="007B20B5">
        <w:rPr>
          <w:rStyle w:val="notranslate"/>
        </w:rPr>
        <w:t xml:space="preserve">. </w:t>
      </w:r>
      <w:r w:rsidR="00BC4A7F" w:rsidRPr="007B20B5">
        <w:rPr>
          <w:rStyle w:val="notranslate"/>
        </w:rPr>
        <w:t>Ponadto</w:t>
      </w:r>
      <w:r w:rsidR="00EB46AC">
        <w:rPr>
          <w:rStyle w:val="notranslate"/>
        </w:rPr>
        <w:t>,</w:t>
      </w:r>
      <w:r w:rsidR="00BC4A7F" w:rsidRPr="007B20B5">
        <w:rPr>
          <w:rStyle w:val="notranslate"/>
        </w:rPr>
        <w:t xml:space="preserve"> n</w:t>
      </w:r>
      <w:r w:rsidR="00585897" w:rsidRPr="007B20B5">
        <w:rPr>
          <w:rStyle w:val="notranslate"/>
        </w:rPr>
        <w:t xml:space="preserve">awet jeśli zarejestrują się oni </w:t>
      </w:r>
      <w:r w:rsidR="003F31D0" w:rsidRPr="007B20B5">
        <w:rPr>
          <w:rStyle w:val="notranslate"/>
        </w:rPr>
        <w:t xml:space="preserve">do OSS/IOSS </w:t>
      </w:r>
      <w:r w:rsidR="00585897" w:rsidRPr="007B20B5">
        <w:rPr>
          <w:rStyle w:val="notranslate"/>
        </w:rPr>
        <w:t xml:space="preserve">w </w:t>
      </w:r>
      <w:r w:rsidR="003F31D0" w:rsidRPr="007B20B5">
        <w:rPr>
          <w:rStyle w:val="notranslate"/>
        </w:rPr>
        <w:t>państwie c</w:t>
      </w:r>
      <w:r w:rsidR="00585897" w:rsidRPr="007B20B5">
        <w:rPr>
          <w:rStyle w:val="notranslate"/>
        </w:rPr>
        <w:t>złonkowskim identyfikacji, nadal istnieje ryzyko, że zaniżą oni podatek VAT lub nie zadeklarują go wcale.</w:t>
      </w:r>
    </w:p>
    <w:p w14:paraId="19250A5A" w14:textId="58E3CD5E" w:rsidR="006E5E4A" w:rsidRPr="007B20B5" w:rsidRDefault="003B747D" w:rsidP="00C640BF">
      <w:pPr>
        <w:pStyle w:val="NormalnyWeb"/>
        <w:shd w:val="clear" w:color="auto" w:fill="FFFFFF"/>
        <w:spacing w:before="240" w:after="240" w:line="340" w:lineRule="atLeast"/>
        <w:jc w:val="both"/>
        <w:rPr>
          <w:rStyle w:val="notranslate"/>
        </w:rPr>
      </w:pPr>
      <w:r w:rsidRPr="007B20B5">
        <w:rPr>
          <w:rStyle w:val="notranslate"/>
        </w:rPr>
        <w:t>O</w:t>
      </w:r>
      <w:r w:rsidR="00CA6F84" w:rsidRPr="007B20B5">
        <w:rPr>
          <w:rStyle w:val="notranslate"/>
        </w:rPr>
        <w:t xml:space="preserve">rgany podatkowe muszą być </w:t>
      </w:r>
      <w:r w:rsidR="00CC3111" w:rsidRPr="007B20B5">
        <w:rPr>
          <w:rStyle w:val="notranslate"/>
        </w:rPr>
        <w:t xml:space="preserve">zatem </w:t>
      </w:r>
      <w:r w:rsidR="00CA6F84" w:rsidRPr="007B20B5">
        <w:rPr>
          <w:rStyle w:val="notranslate"/>
        </w:rPr>
        <w:t>w stanie efektywnie wykrywać nierzetelne przedsiębiorstwa, dopuszczające się osz</w:t>
      </w:r>
      <w:r w:rsidR="007231E2" w:rsidRPr="007B20B5">
        <w:rPr>
          <w:rStyle w:val="notranslate"/>
        </w:rPr>
        <w:t>ustw i innych nieprawidłowości.</w:t>
      </w:r>
    </w:p>
    <w:p w14:paraId="658C385E" w14:textId="1E4A93B5" w:rsidR="006E5E4A" w:rsidRPr="007B20B5" w:rsidRDefault="006E5E4A" w:rsidP="00C640BF">
      <w:pPr>
        <w:pStyle w:val="NormalnyWeb"/>
        <w:shd w:val="clear" w:color="auto" w:fill="FFFFFF"/>
        <w:spacing w:before="240" w:after="240" w:line="340" w:lineRule="atLeast"/>
        <w:jc w:val="both"/>
        <w:rPr>
          <w:rStyle w:val="notranslate"/>
        </w:rPr>
      </w:pPr>
      <w:r w:rsidRPr="007B20B5">
        <w:rPr>
          <w:rStyle w:val="notranslate"/>
        </w:rPr>
        <w:t>Państwa członkowskie nie są w stanie samodzielnie uzyskać od osób trzecich – np. dostawców usług płatniczych – informacji niezbędnych do kontroli transgranicznych dosta</w:t>
      </w:r>
      <w:r w:rsidR="007231E2" w:rsidRPr="007B20B5">
        <w:rPr>
          <w:rStyle w:val="notranslate"/>
        </w:rPr>
        <w:t>w towarów i </w:t>
      </w:r>
      <w:r w:rsidRPr="007B20B5">
        <w:rPr>
          <w:rStyle w:val="notranslate"/>
        </w:rPr>
        <w:t>świadczenia usług objętych VAT, zapewnienia prawidłowego stosowania przepisów dotyczących VAT e-commerce i rozwiązania problemu oszustw związanych z VAT w sektorze e-commerce. Dlatego kluczowe znaczenie ma współpraca między państwami członkowskimi. Ramy prawne współpracy administracyjnej między państwami członkowskimi w dziedzinie VAT zosta</w:t>
      </w:r>
      <w:r w:rsidR="007231E2" w:rsidRPr="007B20B5">
        <w:rPr>
          <w:rStyle w:val="notranslate"/>
        </w:rPr>
        <w:t xml:space="preserve">ły ustanowione w </w:t>
      </w:r>
      <w:r w:rsidR="007231E2" w:rsidRPr="007B20B5">
        <w:rPr>
          <w:rStyle w:val="notranslate"/>
          <w:i/>
        </w:rPr>
        <w:t>rozporządzeniu Rady (UE) nr 904/</w:t>
      </w:r>
      <w:r w:rsidR="00971ED5">
        <w:rPr>
          <w:rStyle w:val="notranslate"/>
          <w:i/>
        </w:rPr>
        <w:t>2010 z dnia 7 października 2010 </w:t>
      </w:r>
      <w:r w:rsidR="007231E2" w:rsidRPr="007B20B5">
        <w:rPr>
          <w:rStyle w:val="notranslate"/>
          <w:i/>
        </w:rPr>
        <w:t>r. w sprawie współpracy administracyjnej oraz zwalczania oszustw w dziedzinie podatku od wartości dodanej</w:t>
      </w:r>
      <w:r w:rsidR="007231E2" w:rsidRPr="007B20B5">
        <w:rPr>
          <w:rStyle w:val="Odwoanieprzypisudolnego"/>
          <w:i/>
        </w:rPr>
        <w:footnoteReference w:id="9"/>
      </w:r>
      <w:r w:rsidR="00971ED5">
        <w:rPr>
          <w:rStyle w:val="notranslate"/>
          <w:i/>
        </w:rPr>
        <w:t xml:space="preserve">, </w:t>
      </w:r>
      <w:r w:rsidR="00971ED5" w:rsidRPr="00971ED5">
        <w:rPr>
          <w:rStyle w:val="notranslate"/>
        </w:rPr>
        <w:t>zwanym dalej „rozporządzeniem 904/2010”</w:t>
      </w:r>
      <w:r w:rsidRPr="007B20B5">
        <w:rPr>
          <w:rStyle w:val="notranslate"/>
        </w:rPr>
        <w:t xml:space="preserve">. </w:t>
      </w:r>
      <w:r w:rsidR="00182DB2" w:rsidRPr="007B20B5">
        <w:rPr>
          <w:rStyle w:val="notranslate"/>
        </w:rPr>
        <w:t xml:space="preserve">Niektóre państwa członkowskie uznały, że skuteczność tego rozporządzenia można zwiększyć za pomocą nowych narzędzi. </w:t>
      </w:r>
      <w:r w:rsidRPr="007B20B5">
        <w:rPr>
          <w:rStyle w:val="notranslate"/>
        </w:rPr>
        <w:t>W związku z tym inicjatywa zmierzająca do wprowadzenia nowych narzędzi współpracy</w:t>
      </w:r>
      <w:r w:rsidR="00971ED5">
        <w:rPr>
          <w:rStyle w:val="notranslate"/>
        </w:rPr>
        <w:t>,</w:t>
      </w:r>
      <w:r w:rsidRPr="007B20B5">
        <w:rPr>
          <w:rStyle w:val="notranslate"/>
        </w:rPr>
        <w:t xml:space="preserve"> ukierunkowanych na ten konkretny problem</w:t>
      </w:r>
      <w:r w:rsidR="00971ED5">
        <w:rPr>
          <w:rStyle w:val="notranslate"/>
        </w:rPr>
        <w:t>,</w:t>
      </w:r>
      <w:r w:rsidRPr="007B20B5">
        <w:rPr>
          <w:rStyle w:val="notranslate"/>
        </w:rPr>
        <w:t xml:space="preserve"> wymagała od Komisji </w:t>
      </w:r>
      <w:r w:rsidR="00971ED5">
        <w:rPr>
          <w:rStyle w:val="notranslate"/>
        </w:rPr>
        <w:t xml:space="preserve">Europejskiej </w:t>
      </w:r>
      <w:r w:rsidRPr="007B20B5">
        <w:rPr>
          <w:rStyle w:val="notranslate"/>
        </w:rPr>
        <w:t>przedstawienia wniosku w sprawie zmiany obowiązujących ram prawnych UE</w:t>
      </w:r>
      <w:r w:rsidR="00466DEB" w:rsidRPr="007B20B5">
        <w:rPr>
          <w:rStyle w:val="notranslate"/>
        </w:rPr>
        <w:t xml:space="preserve"> w zakresie </w:t>
      </w:r>
      <w:r w:rsidR="00466DEB" w:rsidRPr="007B20B5">
        <w:rPr>
          <w:rStyle w:val="notranslate"/>
          <w:i/>
        </w:rPr>
        <w:t>dyrektywy 2006/112/WE Rady z dnia 28 listopada 2006 r. w sprawie wspólnego systemu podatku od wartości dodanej</w:t>
      </w:r>
      <w:r w:rsidR="00466DEB" w:rsidRPr="007B20B5">
        <w:rPr>
          <w:rStyle w:val="Odwoanieprzypisudolnego"/>
          <w:i/>
        </w:rPr>
        <w:footnoteReference w:id="10"/>
      </w:r>
      <w:r w:rsidR="00466DEB" w:rsidRPr="007B20B5">
        <w:rPr>
          <w:rStyle w:val="notranslate"/>
          <w:i/>
        </w:rPr>
        <w:t xml:space="preserve">, </w:t>
      </w:r>
      <w:r w:rsidR="00466DEB" w:rsidRPr="007B20B5">
        <w:rPr>
          <w:rStyle w:val="notranslate"/>
        </w:rPr>
        <w:t>zwanej dalej „dyrektywą VAT”</w:t>
      </w:r>
      <w:r w:rsidRPr="007B20B5">
        <w:rPr>
          <w:rStyle w:val="notranslate"/>
        </w:rPr>
        <w:t xml:space="preserve">. Aby organy podatkowe mogły gromadzić dane dotyczące płatności związanych z VAT, należało wprowadzić nowe obowiązki w zakresie prowadzenia ewidencji przez dostawców usług płatniczych. </w:t>
      </w:r>
      <w:r w:rsidR="00466DEB" w:rsidRPr="007B20B5">
        <w:rPr>
          <w:rStyle w:val="notranslate"/>
        </w:rPr>
        <w:t>Powyższe znal</w:t>
      </w:r>
      <w:r w:rsidR="00DA1381" w:rsidRPr="007B20B5">
        <w:rPr>
          <w:rStyle w:val="notranslate"/>
        </w:rPr>
        <w:t>azło swój wyraz w dyrektywie 2020/284</w:t>
      </w:r>
      <w:r w:rsidR="00466DEB" w:rsidRPr="007B20B5">
        <w:rPr>
          <w:rStyle w:val="notranslate"/>
        </w:rPr>
        <w:t>.</w:t>
      </w:r>
    </w:p>
    <w:p w14:paraId="2E81DB5F" w14:textId="306761C7" w:rsidR="00DF1614" w:rsidRPr="007B20B5" w:rsidRDefault="00C94976" w:rsidP="00DC7473">
      <w:pPr>
        <w:pStyle w:val="NormalnyWeb"/>
        <w:shd w:val="clear" w:color="auto" w:fill="FFFFFF"/>
        <w:spacing w:before="240" w:after="240" w:line="340" w:lineRule="atLeast"/>
        <w:jc w:val="both"/>
        <w:rPr>
          <w:rStyle w:val="notranslate"/>
        </w:rPr>
      </w:pPr>
      <w:r w:rsidRPr="007B20B5">
        <w:rPr>
          <w:rStyle w:val="notranslate"/>
        </w:rPr>
        <w:t>Ś</w:t>
      </w:r>
      <w:r w:rsidR="00DA1381" w:rsidRPr="007B20B5">
        <w:rPr>
          <w:rStyle w:val="notranslate"/>
        </w:rPr>
        <w:t>rodki przewidziane dyrektywą 2020/284</w:t>
      </w:r>
      <w:r w:rsidRPr="007B20B5">
        <w:rPr>
          <w:rStyle w:val="notranslate"/>
        </w:rPr>
        <w:t xml:space="preserve"> i rozporządzeniem CESOP </w:t>
      </w:r>
      <w:r w:rsidR="000C49B0" w:rsidRPr="007B20B5">
        <w:rPr>
          <w:rStyle w:val="notranslate"/>
        </w:rPr>
        <w:t xml:space="preserve">mają </w:t>
      </w:r>
      <w:r w:rsidR="006E5E4A" w:rsidRPr="007B20B5">
        <w:rPr>
          <w:rStyle w:val="notranslate"/>
        </w:rPr>
        <w:t xml:space="preserve">zatem </w:t>
      </w:r>
      <w:r w:rsidR="000C49B0" w:rsidRPr="007B20B5">
        <w:rPr>
          <w:rStyle w:val="notranslate"/>
        </w:rPr>
        <w:t>na celu</w:t>
      </w:r>
      <w:r w:rsidR="00CA6F84" w:rsidRPr="007B20B5">
        <w:rPr>
          <w:rStyle w:val="notranslate"/>
        </w:rPr>
        <w:t xml:space="preserve"> wzmocnieni</w:t>
      </w:r>
      <w:r w:rsidR="008514B9" w:rsidRPr="007B20B5">
        <w:rPr>
          <w:rStyle w:val="notranslate"/>
        </w:rPr>
        <w:t>e</w:t>
      </w:r>
      <w:r w:rsidR="00CA6F84" w:rsidRPr="007B20B5">
        <w:rPr>
          <w:rStyle w:val="notranslate"/>
        </w:rPr>
        <w:t xml:space="preserve"> ram współpracy administracyjnej</w:t>
      </w:r>
      <w:r w:rsidR="00E33D3C" w:rsidRPr="007B20B5">
        <w:rPr>
          <w:rStyle w:val="notranslate"/>
        </w:rPr>
        <w:t>,</w:t>
      </w:r>
      <w:r w:rsidR="00CA6F84" w:rsidRPr="007B20B5">
        <w:rPr>
          <w:rStyle w:val="notranslate"/>
        </w:rPr>
        <w:t xml:space="preserve"> </w:t>
      </w:r>
      <w:r w:rsidR="00C0345E" w:rsidRPr="007B20B5">
        <w:rPr>
          <w:rStyle w:val="notranslate"/>
        </w:rPr>
        <w:t>ażeby rozwiązać problem</w:t>
      </w:r>
      <w:r w:rsidR="00CA6F84" w:rsidRPr="007B20B5">
        <w:rPr>
          <w:rStyle w:val="notranslate"/>
        </w:rPr>
        <w:t xml:space="preserve"> nieprawidłowości (oszustw) związanych z VAT w sektorze e-commerce</w:t>
      </w:r>
      <w:r w:rsidR="00E33D3C" w:rsidRPr="007B20B5">
        <w:rPr>
          <w:rStyle w:val="notranslate"/>
        </w:rPr>
        <w:t xml:space="preserve"> w celu lepszego wykrywania i </w:t>
      </w:r>
      <w:r w:rsidR="00285FA6" w:rsidRPr="007B20B5">
        <w:rPr>
          <w:rStyle w:val="notranslate"/>
        </w:rPr>
        <w:t>zwalczania oszustw</w:t>
      </w:r>
      <w:r w:rsidR="008319BE" w:rsidRPr="007B20B5">
        <w:rPr>
          <w:rStyle w:val="notranslate"/>
        </w:rPr>
        <w:t xml:space="preserve"> związanych z podatkiem VAT,</w:t>
      </w:r>
      <w:r w:rsidR="00CA6F84" w:rsidRPr="007B20B5">
        <w:rPr>
          <w:rStyle w:val="notranslate"/>
        </w:rPr>
        <w:t xml:space="preserve"> poprzez zacieśni</w:t>
      </w:r>
      <w:r w:rsidR="00812073">
        <w:rPr>
          <w:rStyle w:val="notranslate"/>
        </w:rPr>
        <w:t xml:space="preserve">enie współpracy między administracjami </w:t>
      </w:r>
      <w:r w:rsidR="00CA6F84" w:rsidRPr="007B20B5">
        <w:rPr>
          <w:rStyle w:val="notranslate"/>
        </w:rPr>
        <w:t>podatkowymi a dostawcami usług płatniczych.</w:t>
      </w:r>
      <w:r w:rsidR="008319BE" w:rsidRPr="007B20B5">
        <w:rPr>
          <w:rStyle w:val="notranslate"/>
        </w:rPr>
        <w:t xml:space="preserve"> Proponowane środki mogą wzmocnić przestrzeganie przepisów dotyczących podatku VAT, a tym samym stworzyć równe szanse dla całej UE w branży handlu elektronicznego.</w:t>
      </w:r>
    </w:p>
    <w:p w14:paraId="4D3F48E0" w14:textId="2E6AF086" w:rsidR="00D7748B" w:rsidRPr="007B20B5" w:rsidRDefault="00D42E25" w:rsidP="007B20B5">
      <w:pPr>
        <w:pStyle w:val="NormalnyWeb"/>
        <w:shd w:val="clear" w:color="auto" w:fill="FFFFFF"/>
        <w:spacing w:before="240" w:after="240" w:line="340" w:lineRule="atLeast"/>
        <w:jc w:val="both"/>
        <w:rPr>
          <w:rStyle w:val="notranslate"/>
        </w:rPr>
      </w:pPr>
      <w:r w:rsidRPr="007B20B5">
        <w:rPr>
          <w:rStyle w:val="notranslate"/>
        </w:rPr>
        <w:t>Centralny elektroniczny</w:t>
      </w:r>
      <w:r w:rsidR="00182DB2" w:rsidRPr="007B20B5">
        <w:rPr>
          <w:rStyle w:val="notranslate"/>
        </w:rPr>
        <w:t xml:space="preserve"> system</w:t>
      </w:r>
      <w:r w:rsidRPr="007B20B5">
        <w:rPr>
          <w:rStyle w:val="notranslate"/>
        </w:rPr>
        <w:t xml:space="preserve"> informacji o płatnościach (CESOP), do którego państwa członkowskie będą przekazywać dane na temat odbiorców </w:t>
      </w:r>
      <w:r w:rsidR="00971ED5">
        <w:rPr>
          <w:rStyle w:val="notranslate"/>
        </w:rPr>
        <w:t xml:space="preserve">płatności </w:t>
      </w:r>
      <w:r w:rsidRPr="007B20B5">
        <w:rPr>
          <w:rStyle w:val="notranslate"/>
        </w:rPr>
        <w:t xml:space="preserve">i transakcji płatniczych, </w:t>
      </w:r>
      <w:r w:rsidR="00D7748B" w:rsidRPr="007B20B5">
        <w:rPr>
          <w:rStyle w:val="notranslate"/>
        </w:rPr>
        <w:t>zapewni administracjom podatkowym państw członkowskich dodatkowe narzędzie do skuteczniejszego zwalczania oszustw związanych z VAT w transg</w:t>
      </w:r>
      <w:r w:rsidR="00D010FA" w:rsidRPr="007B20B5">
        <w:rPr>
          <w:rStyle w:val="notranslate"/>
        </w:rPr>
        <w:t>ranicznym handlu elektronicznym, tj.:</w:t>
      </w:r>
    </w:p>
    <w:p w14:paraId="0FDB9457" w14:textId="29243644" w:rsidR="00D7748B" w:rsidRPr="007B20B5" w:rsidRDefault="007C6B29" w:rsidP="007B20B5">
      <w:pPr>
        <w:pStyle w:val="NormalnyWeb"/>
        <w:numPr>
          <w:ilvl w:val="0"/>
          <w:numId w:val="38"/>
        </w:numPr>
        <w:shd w:val="clear" w:color="auto" w:fill="FFFFFF"/>
        <w:spacing w:before="240" w:after="240" w:line="340" w:lineRule="atLeast"/>
        <w:jc w:val="both"/>
        <w:rPr>
          <w:rStyle w:val="notranslate"/>
        </w:rPr>
      </w:pPr>
      <w:r w:rsidRPr="007B20B5">
        <w:rPr>
          <w:rStyle w:val="notranslate"/>
        </w:rPr>
        <w:lastRenderedPageBreak/>
        <w:t>pozwoli na i</w:t>
      </w:r>
      <w:r w:rsidR="00D7748B" w:rsidRPr="007B20B5">
        <w:rPr>
          <w:rStyle w:val="notranslate"/>
        </w:rPr>
        <w:t>dentyfikację podatników, którzy w innym przypadku nie byliby znani organom podatkowym - wykrywać podmioty, które powinny deklarować i płacić VAT w państwach członkowskich UE, ale nie mają nawe</w:t>
      </w:r>
      <w:r w:rsidR="007B20B5" w:rsidRPr="007B20B5">
        <w:rPr>
          <w:rStyle w:val="notranslate"/>
        </w:rPr>
        <w:t>t numeru identyfikacyjnego VAT;</w:t>
      </w:r>
    </w:p>
    <w:p w14:paraId="1A3FCE15" w14:textId="591644C1" w:rsidR="007C6B29" w:rsidRPr="007B20B5" w:rsidRDefault="00D010FA" w:rsidP="007B20B5">
      <w:pPr>
        <w:pStyle w:val="NormalnyWeb"/>
        <w:numPr>
          <w:ilvl w:val="0"/>
          <w:numId w:val="38"/>
        </w:numPr>
        <w:shd w:val="clear" w:color="auto" w:fill="FFFFFF"/>
        <w:spacing w:before="240" w:after="240" w:line="340" w:lineRule="atLeast"/>
        <w:ind w:left="357" w:hanging="357"/>
        <w:jc w:val="both"/>
        <w:rPr>
          <w:rStyle w:val="notranslate"/>
        </w:rPr>
      </w:pPr>
      <w:r w:rsidRPr="007B20B5">
        <w:rPr>
          <w:rStyle w:val="notranslate"/>
        </w:rPr>
        <w:t>p</w:t>
      </w:r>
      <w:r w:rsidR="007C6B29" w:rsidRPr="007B20B5">
        <w:rPr>
          <w:rStyle w:val="notranslate"/>
        </w:rPr>
        <w:t>ozwoli na oszacowanie kwoty podatku VAT, która powinna być zapłacona w danym państwie członkowskim w związku z handlem elektronicznym. Oszacowanie to można wykorzystać do określenia luki w podatku VAT w tym konkretnym sektorze. Chociaż dane te nie będą w 100 % poprawne, można oczekiwać, że przy dostępnej ilości i jakości danych będą one bardzo użyteczne. Jednym z czynników, kt</w:t>
      </w:r>
      <w:r w:rsidR="007B20B5" w:rsidRPr="007B20B5">
        <w:rPr>
          <w:rStyle w:val="notranslate"/>
        </w:rPr>
        <w:t>óry może powodować zakłócenia w </w:t>
      </w:r>
      <w:r w:rsidR="007C6B29" w:rsidRPr="007B20B5">
        <w:rPr>
          <w:rStyle w:val="notranslate"/>
        </w:rPr>
        <w:t>szacunkach, jest fakt, że fizyczna lokalizacja płatnika jest określana na podstawie metody płatności. W rzeczywistości mogą się one różnić. Biorąc pod uwagę normalne zachowanie konsumentów obecnych na rynku, przypadki, w których rzeczywista i pochodna lokalizacja płatnika różnią się, można uznać za jedynie marginalne, jeżeli wszystkie dane dotyczące płatności są skutecznie gromadzone. Większość płatników korzysta z kart wydanych przez lokalnych dostawców usług płatniczych ze względu na towar i bliskość. Istnieją przypadki, w których płatnik posiada kartę kredytową wydaną w innym państwie członkowskim niż państwo, w którym zamieszkuje (a zatem w którym może być należny podatek VAT), ale nie stanowi to rzeczywistej przeszkody w funkcjonowaniu systemu;</w:t>
      </w:r>
    </w:p>
    <w:p w14:paraId="223C8682" w14:textId="419E13BE" w:rsidR="007C6B29" w:rsidRPr="004046ED" w:rsidRDefault="007C6B29" w:rsidP="00383946">
      <w:pPr>
        <w:pStyle w:val="NormalnyWeb"/>
        <w:numPr>
          <w:ilvl w:val="0"/>
          <w:numId w:val="38"/>
        </w:numPr>
        <w:shd w:val="clear" w:color="auto" w:fill="FFFFFF"/>
        <w:spacing w:before="360" w:after="360" w:line="340" w:lineRule="atLeast"/>
        <w:ind w:left="357" w:hanging="357"/>
        <w:jc w:val="both"/>
        <w:rPr>
          <w:rStyle w:val="notranslate"/>
          <w:color w:val="000000" w:themeColor="text1"/>
        </w:rPr>
      </w:pPr>
      <w:r w:rsidRPr="007B20B5">
        <w:rPr>
          <w:rStyle w:val="notranslate"/>
        </w:rPr>
        <w:t>p</w:t>
      </w:r>
      <w:r w:rsidR="00D7748B" w:rsidRPr="007B20B5">
        <w:rPr>
          <w:rStyle w:val="notranslate"/>
        </w:rPr>
        <w:t>omoże w ocenie zobowiązań VAT znanych podatników zidentyfik</w:t>
      </w:r>
      <w:r w:rsidR="00383946" w:rsidRPr="007B20B5">
        <w:rPr>
          <w:rStyle w:val="notranslate"/>
        </w:rPr>
        <w:t>owanych w VIES, OSS lub w IOSS</w:t>
      </w:r>
      <w:r w:rsidRPr="007B20B5">
        <w:rPr>
          <w:rStyle w:val="notranslate"/>
        </w:rPr>
        <w:t>.</w:t>
      </w:r>
    </w:p>
    <w:p w14:paraId="06B427EF" w14:textId="6E4AC7C9" w:rsidR="004046ED" w:rsidRPr="007B20B5" w:rsidRDefault="004046ED" w:rsidP="004046ED">
      <w:pPr>
        <w:pStyle w:val="NormalnyWeb"/>
        <w:shd w:val="clear" w:color="auto" w:fill="FFFFFF"/>
        <w:spacing w:before="360" w:after="360" w:line="340" w:lineRule="atLeast"/>
        <w:jc w:val="both"/>
        <w:rPr>
          <w:rStyle w:val="notranslate"/>
          <w:color w:val="000000" w:themeColor="text1"/>
        </w:rPr>
      </w:pPr>
      <w:r w:rsidRPr="004046ED">
        <w:rPr>
          <w:rStyle w:val="notranslate"/>
          <w:color w:val="000000" w:themeColor="text1"/>
        </w:rPr>
        <w:t>Ponadto w związku ze zmianami wprowadzonymi w ustawie o VAT projekt usta</w:t>
      </w:r>
      <w:r>
        <w:rPr>
          <w:rStyle w:val="notranslate"/>
          <w:color w:val="000000" w:themeColor="text1"/>
        </w:rPr>
        <w:t>wy przewiduje również zmiany w</w:t>
      </w:r>
      <w:r w:rsidRPr="004046ED">
        <w:rPr>
          <w:rStyle w:val="notranslate"/>
          <w:color w:val="000000" w:themeColor="text1"/>
        </w:rPr>
        <w:t xml:space="preserve"> ustawie z dnia 16 listopada 2016 r. o Krajowej Administracji Skarbowej</w:t>
      </w:r>
      <w:r>
        <w:rPr>
          <w:rStyle w:val="Odwoanieprzypisudolnego"/>
          <w:color w:val="000000" w:themeColor="text1"/>
        </w:rPr>
        <w:footnoteReference w:id="11"/>
      </w:r>
      <w:r w:rsidRPr="004046ED">
        <w:rPr>
          <w:rStyle w:val="notranslate"/>
          <w:color w:val="000000" w:themeColor="text1"/>
        </w:rPr>
        <w:t>, zwanej dalej „ustawą o KAS”.</w:t>
      </w:r>
    </w:p>
    <w:p w14:paraId="46C98B80" w14:textId="77777777" w:rsidR="005805BB" w:rsidRPr="007B20B5" w:rsidRDefault="00DB61D1" w:rsidP="002E6578">
      <w:pPr>
        <w:spacing w:before="240" w:line="340" w:lineRule="atLeast"/>
        <w:jc w:val="both"/>
        <w:rPr>
          <w:rFonts w:ascii="Times New Roman" w:hAnsi="Times New Roman"/>
          <w:b/>
          <w:sz w:val="24"/>
          <w:szCs w:val="24"/>
        </w:rPr>
      </w:pPr>
      <w:r w:rsidRPr="007B20B5">
        <w:rPr>
          <w:rFonts w:ascii="Times New Roman" w:hAnsi="Times New Roman"/>
          <w:b/>
          <w:sz w:val="24"/>
          <w:szCs w:val="24"/>
        </w:rPr>
        <w:t xml:space="preserve">I. </w:t>
      </w:r>
      <w:r w:rsidR="00EE5673" w:rsidRPr="007B20B5">
        <w:rPr>
          <w:rFonts w:ascii="Times New Roman" w:hAnsi="Times New Roman"/>
          <w:b/>
          <w:sz w:val="24"/>
          <w:szCs w:val="24"/>
        </w:rPr>
        <w:t>CZĘŚĆ OGÓLNA</w:t>
      </w:r>
    </w:p>
    <w:p w14:paraId="19260CD4" w14:textId="6CE3C6E4" w:rsidR="00873EDC" w:rsidRPr="007B20B5" w:rsidRDefault="00873EDC" w:rsidP="009A0136">
      <w:p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Urzeczywistnienie rynku wewnętrznego, globalizacja i postęp technologiczny doprowadziły do gwałtownego rozwoju transgranicznego handlu elektronicznego, coraz bardziej ułatwiając konsumentom zakup towarów i usług przez Internet. Konsumenci mogą wybierać spośród różnych dostawców, produktów i marek. Mogą również płacić przez Internet w bezpiecznych warunkach, nie ruszając się od komputera lub </w:t>
      </w:r>
      <w:proofErr w:type="spellStart"/>
      <w:r w:rsidRPr="007B20B5">
        <w:rPr>
          <w:rFonts w:ascii="Times New Roman" w:hAnsi="Times New Roman"/>
          <w:sz w:val="24"/>
          <w:szCs w:val="24"/>
        </w:rPr>
        <w:t>smartfona</w:t>
      </w:r>
      <w:proofErr w:type="spellEnd"/>
      <w:r w:rsidRPr="007B20B5">
        <w:rPr>
          <w:rFonts w:ascii="Times New Roman" w:hAnsi="Times New Roman"/>
          <w:sz w:val="24"/>
          <w:szCs w:val="24"/>
        </w:rPr>
        <w:t>. Dostawcy mogą sprzedawać produkty konsumentom na całym świecie bez potrzeby otwierania sklepów w danej lokalizacji. Możliwości te wykorzystują jednak również nieuczciwe przedsiębiorstwa, które przez niewypełnianie obowiązków w zakresie VAT uzyskują przewagę rynkową.</w:t>
      </w:r>
    </w:p>
    <w:p w14:paraId="28D29F3B" w14:textId="164DE15F" w:rsidR="008E14CD" w:rsidRDefault="007E181C" w:rsidP="00E53BB2">
      <w:pPr>
        <w:spacing w:before="240" w:line="340" w:lineRule="atLeast"/>
        <w:jc w:val="both"/>
        <w:rPr>
          <w:rFonts w:ascii="Times New Roman" w:hAnsi="Times New Roman"/>
          <w:sz w:val="24"/>
          <w:szCs w:val="24"/>
        </w:rPr>
      </w:pPr>
      <w:r w:rsidRPr="007B20B5">
        <w:rPr>
          <w:rFonts w:ascii="Times New Roman" w:hAnsi="Times New Roman"/>
          <w:sz w:val="24"/>
          <w:szCs w:val="24"/>
        </w:rPr>
        <w:t>W celu rozwiąza</w:t>
      </w:r>
      <w:r w:rsidR="007B20B5">
        <w:rPr>
          <w:rFonts w:ascii="Times New Roman" w:hAnsi="Times New Roman"/>
          <w:sz w:val="24"/>
          <w:szCs w:val="24"/>
        </w:rPr>
        <w:t>nia tego problemu, dyrektywa 2020/284</w:t>
      </w:r>
      <w:r w:rsidRPr="007B20B5">
        <w:rPr>
          <w:rFonts w:ascii="Times New Roman" w:hAnsi="Times New Roman"/>
          <w:sz w:val="24"/>
          <w:szCs w:val="24"/>
        </w:rPr>
        <w:t xml:space="preserve"> </w:t>
      </w:r>
      <w:r w:rsidR="004C1368" w:rsidRPr="007B20B5">
        <w:rPr>
          <w:rFonts w:ascii="Times New Roman" w:hAnsi="Times New Roman"/>
          <w:sz w:val="24"/>
          <w:szCs w:val="24"/>
        </w:rPr>
        <w:t>wprowadza nowe regul</w:t>
      </w:r>
      <w:r w:rsidR="007B20B5">
        <w:rPr>
          <w:rFonts w:ascii="Times New Roman" w:hAnsi="Times New Roman"/>
          <w:sz w:val="24"/>
          <w:szCs w:val="24"/>
        </w:rPr>
        <w:t>acje w </w:t>
      </w:r>
      <w:r w:rsidR="002A06F2" w:rsidRPr="007B20B5">
        <w:rPr>
          <w:rFonts w:ascii="Times New Roman" w:hAnsi="Times New Roman"/>
          <w:sz w:val="24"/>
          <w:szCs w:val="24"/>
        </w:rPr>
        <w:t xml:space="preserve">dyrektywie VAT </w:t>
      </w:r>
      <w:r w:rsidR="004C1368" w:rsidRPr="007B20B5">
        <w:rPr>
          <w:rFonts w:ascii="Times New Roman" w:hAnsi="Times New Roman"/>
          <w:sz w:val="24"/>
          <w:szCs w:val="24"/>
        </w:rPr>
        <w:t xml:space="preserve">polegające na </w:t>
      </w:r>
      <w:r w:rsidR="003B3774" w:rsidRPr="007B20B5">
        <w:rPr>
          <w:rFonts w:ascii="Times New Roman" w:hAnsi="Times New Roman"/>
          <w:sz w:val="24"/>
          <w:szCs w:val="24"/>
        </w:rPr>
        <w:t>nałoż</w:t>
      </w:r>
      <w:r w:rsidR="00E10C33" w:rsidRPr="007B20B5">
        <w:rPr>
          <w:rFonts w:ascii="Times New Roman" w:hAnsi="Times New Roman"/>
          <w:sz w:val="24"/>
          <w:szCs w:val="24"/>
        </w:rPr>
        <w:t>e</w:t>
      </w:r>
      <w:r w:rsidR="003B3774" w:rsidRPr="007B20B5">
        <w:rPr>
          <w:rFonts w:ascii="Times New Roman" w:hAnsi="Times New Roman"/>
          <w:sz w:val="24"/>
          <w:szCs w:val="24"/>
        </w:rPr>
        <w:t>niu</w:t>
      </w:r>
      <w:r w:rsidRPr="007B20B5">
        <w:rPr>
          <w:rFonts w:ascii="Times New Roman" w:hAnsi="Times New Roman"/>
          <w:sz w:val="24"/>
          <w:szCs w:val="24"/>
        </w:rPr>
        <w:t xml:space="preserve"> na dostawców usług płatniczych obo</w:t>
      </w:r>
      <w:r w:rsidR="003B3774" w:rsidRPr="007B20B5">
        <w:rPr>
          <w:rFonts w:ascii="Times New Roman" w:hAnsi="Times New Roman"/>
          <w:sz w:val="24"/>
          <w:szCs w:val="24"/>
        </w:rPr>
        <w:t>wiązku</w:t>
      </w:r>
      <w:r w:rsidR="00802799" w:rsidRPr="007B20B5">
        <w:rPr>
          <w:rFonts w:ascii="Times New Roman" w:hAnsi="Times New Roman"/>
          <w:sz w:val="24"/>
          <w:szCs w:val="24"/>
        </w:rPr>
        <w:t xml:space="preserve"> prowadzenia </w:t>
      </w:r>
      <w:r w:rsidR="008E14CD" w:rsidRPr="007B20B5">
        <w:rPr>
          <w:rFonts w:ascii="Times New Roman" w:hAnsi="Times New Roman"/>
          <w:sz w:val="24"/>
          <w:szCs w:val="24"/>
        </w:rPr>
        <w:t xml:space="preserve">kwartalnej </w:t>
      </w:r>
      <w:r w:rsidR="00802799" w:rsidRPr="007B20B5">
        <w:rPr>
          <w:rFonts w:ascii="Times New Roman" w:hAnsi="Times New Roman"/>
          <w:sz w:val="24"/>
          <w:szCs w:val="24"/>
        </w:rPr>
        <w:t>ewidencji</w:t>
      </w:r>
      <w:r w:rsidRPr="007B20B5">
        <w:rPr>
          <w:rFonts w:ascii="Times New Roman" w:hAnsi="Times New Roman"/>
          <w:sz w:val="24"/>
          <w:szCs w:val="24"/>
        </w:rPr>
        <w:t xml:space="preserve"> </w:t>
      </w:r>
      <w:r w:rsidR="00314D27">
        <w:rPr>
          <w:rFonts w:ascii="Times New Roman" w:hAnsi="Times New Roman"/>
          <w:sz w:val="24"/>
          <w:szCs w:val="24"/>
        </w:rPr>
        <w:t xml:space="preserve">odbiorców płatności i </w:t>
      </w:r>
      <w:r w:rsidRPr="007B20B5">
        <w:rPr>
          <w:rFonts w:ascii="Times New Roman" w:hAnsi="Times New Roman"/>
          <w:sz w:val="24"/>
          <w:szCs w:val="24"/>
        </w:rPr>
        <w:t>płatności</w:t>
      </w:r>
      <w:r w:rsidR="00F65783" w:rsidRPr="007B20B5">
        <w:rPr>
          <w:rFonts w:ascii="Times New Roman" w:hAnsi="Times New Roman"/>
          <w:sz w:val="24"/>
          <w:szCs w:val="24"/>
        </w:rPr>
        <w:t xml:space="preserve"> transgranicznych</w:t>
      </w:r>
      <w:r w:rsidR="009A0136" w:rsidRPr="007B20B5">
        <w:rPr>
          <w:rFonts w:ascii="Times New Roman" w:hAnsi="Times New Roman"/>
          <w:sz w:val="24"/>
          <w:szCs w:val="24"/>
        </w:rPr>
        <w:t>.</w:t>
      </w:r>
      <w:r w:rsidRPr="007B20B5">
        <w:rPr>
          <w:rFonts w:ascii="Times New Roman" w:hAnsi="Times New Roman"/>
          <w:sz w:val="24"/>
          <w:szCs w:val="24"/>
        </w:rPr>
        <w:t xml:space="preserve"> </w:t>
      </w:r>
      <w:r w:rsidR="001B5B1D" w:rsidRPr="007B20B5">
        <w:rPr>
          <w:rFonts w:ascii="Times New Roman" w:hAnsi="Times New Roman"/>
          <w:sz w:val="24"/>
          <w:szCs w:val="24"/>
        </w:rPr>
        <w:t xml:space="preserve">Ewidencje </w:t>
      </w:r>
      <w:r w:rsidR="009A0136" w:rsidRPr="007B20B5">
        <w:rPr>
          <w:rFonts w:ascii="Times New Roman" w:hAnsi="Times New Roman"/>
          <w:sz w:val="24"/>
          <w:szCs w:val="24"/>
        </w:rPr>
        <w:lastRenderedPageBreak/>
        <w:t xml:space="preserve">mają być przesyłane drogą elektroniczną </w:t>
      </w:r>
      <w:r w:rsidR="00E30F7B">
        <w:rPr>
          <w:rFonts w:ascii="Times New Roman" w:hAnsi="Times New Roman"/>
          <w:sz w:val="24"/>
          <w:szCs w:val="24"/>
        </w:rPr>
        <w:t xml:space="preserve">zgodnie z art. 24b ust. 1 rozporządzenia </w:t>
      </w:r>
      <w:r w:rsidR="00D421C6" w:rsidRPr="00D421C6">
        <w:rPr>
          <w:rFonts w:ascii="Times New Roman" w:hAnsi="Times New Roman"/>
          <w:sz w:val="24"/>
          <w:szCs w:val="24"/>
        </w:rPr>
        <w:t>904/2010</w:t>
      </w:r>
      <w:r w:rsidR="00D421C6">
        <w:rPr>
          <w:rFonts w:ascii="Times New Roman" w:hAnsi="Times New Roman"/>
          <w:sz w:val="24"/>
          <w:szCs w:val="24"/>
        </w:rPr>
        <w:t xml:space="preserve"> </w:t>
      </w:r>
      <w:r w:rsidR="009A0136" w:rsidRPr="007B20B5">
        <w:rPr>
          <w:rFonts w:ascii="Times New Roman" w:hAnsi="Times New Roman"/>
          <w:sz w:val="24"/>
          <w:szCs w:val="24"/>
        </w:rPr>
        <w:t xml:space="preserve">do państwa członkowskiego, w którym </w:t>
      </w:r>
      <w:r w:rsidR="00B50A05" w:rsidRPr="007B20B5">
        <w:rPr>
          <w:rFonts w:ascii="Times New Roman" w:hAnsi="Times New Roman"/>
          <w:sz w:val="24"/>
          <w:szCs w:val="24"/>
        </w:rPr>
        <w:t xml:space="preserve">dostawcy usług płatniczych </w:t>
      </w:r>
      <w:r w:rsidR="009A0136" w:rsidRPr="007B20B5">
        <w:rPr>
          <w:rFonts w:ascii="Times New Roman" w:hAnsi="Times New Roman"/>
          <w:sz w:val="24"/>
          <w:szCs w:val="24"/>
        </w:rPr>
        <w:t>mają siedzibę lub w którym świadczą usługi. Następnie państwo członkowskie</w:t>
      </w:r>
      <w:r w:rsidR="008E14CD" w:rsidRPr="007B20B5">
        <w:rPr>
          <w:rFonts w:ascii="Times New Roman" w:hAnsi="Times New Roman"/>
          <w:sz w:val="24"/>
          <w:szCs w:val="24"/>
        </w:rPr>
        <w:t xml:space="preserve"> </w:t>
      </w:r>
      <w:r w:rsidR="009A0136" w:rsidRPr="007B20B5">
        <w:rPr>
          <w:rFonts w:ascii="Times New Roman" w:hAnsi="Times New Roman"/>
          <w:sz w:val="24"/>
          <w:szCs w:val="24"/>
        </w:rPr>
        <w:t xml:space="preserve">jest odpowiedzialne za przesyłanie zgromadzonych danych drogą elektroniczną </w:t>
      </w:r>
      <w:r w:rsidR="00E53BB2" w:rsidRPr="007B20B5">
        <w:rPr>
          <w:rFonts w:ascii="Times New Roman" w:hAnsi="Times New Roman"/>
          <w:sz w:val="24"/>
          <w:szCs w:val="24"/>
        </w:rPr>
        <w:t>do centralnego elektronicznego systemu informacji o płatnościach (CESOP)</w:t>
      </w:r>
      <w:r w:rsidR="008E14CD" w:rsidRPr="007B20B5">
        <w:rPr>
          <w:rFonts w:ascii="Times New Roman" w:hAnsi="Times New Roman"/>
          <w:sz w:val="24"/>
          <w:szCs w:val="24"/>
        </w:rPr>
        <w:t>, co musi nastąpić nie później niż dziesiątego dnia drugiego miesiąca następującego po kwartale, którego te dane dotyczą.</w:t>
      </w:r>
    </w:p>
    <w:p w14:paraId="1C9FF112" w14:textId="252ABA2A" w:rsidR="00E30F7B" w:rsidRPr="00E30F7B" w:rsidRDefault="00E30F7B" w:rsidP="00E30F7B">
      <w:pPr>
        <w:spacing w:before="240" w:line="340" w:lineRule="atLeast"/>
        <w:jc w:val="both"/>
        <w:rPr>
          <w:rFonts w:ascii="Times New Roman" w:hAnsi="Times New Roman"/>
          <w:sz w:val="24"/>
          <w:szCs w:val="24"/>
        </w:rPr>
      </w:pPr>
      <w:r w:rsidRPr="00E30F7B">
        <w:rPr>
          <w:rFonts w:ascii="Times New Roman" w:hAnsi="Times New Roman"/>
          <w:sz w:val="24"/>
          <w:szCs w:val="24"/>
        </w:rPr>
        <w:t xml:space="preserve">Zgodnie z art. 24b ust. 1 </w:t>
      </w:r>
      <w:r w:rsidR="00D421C6">
        <w:rPr>
          <w:rFonts w:ascii="Times New Roman" w:hAnsi="Times New Roman"/>
          <w:sz w:val="24"/>
          <w:szCs w:val="24"/>
        </w:rPr>
        <w:t>rozporządzenia</w:t>
      </w:r>
      <w:r w:rsidRPr="00E30F7B">
        <w:rPr>
          <w:rFonts w:ascii="Times New Roman" w:hAnsi="Times New Roman"/>
          <w:sz w:val="24"/>
          <w:szCs w:val="24"/>
        </w:rPr>
        <w:t xml:space="preserve"> 904/2010 </w:t>
      </w:r>
      <w:r w:rsidR="00D421C6">
        <w:rPr>
          <w:rFonts w:ascii="Times New Roman" w:hAnsi="Times New Roman"/>
          <w:sz w:val="24"/>
          <w:szCs w:val="24"/>
        </w:rPr>
        <w:t xml:space="preserve">dodanego rozporządzeniem CESOP, </w:t>
      </w:r>
      <w:r w:rsidRPr="00E30F7B">
        <w:rPr>
          <w:rFonts w:ascii="Times New Roman" w:hAnsi="Times New Roman"/>
          <w:sz w:val="24"/>
          <w:szCs w:val="24"/>
        </w:rPr>
        <w:t>każde państwo członkowskie gromadzi informacje na temat odbiorców płatności oraz płatności, od dostawców usług płatniczych:</w:t>
      </w:r>
    </w:p>
    <w:p w14:paraId="37C7E657" w14:textId="77777777" w:rsidR="00D421C6" w:rsidRDefault="00E30F7B" w:rsidP="00E30F7B">
      <w:pPr>
        <w:pStyle w:val="Akapitzlist"/>
        <w:numPr>
          <w:ilvl w:val="0"/>
          <w:numId w:val="50"/>
        </w:numPr>
        <w:spacing w:before="240" w:line="340" w:lineRule="atLeast"/>
        <w:jc w:val="both"/>
        <w:rPr>
          <w:rFonts w:ascii="Times New Roman" w:hAnsi="Times New Roman"/>
          <w:sz w:val="24"/>
          <w:szCs w:val="24"/>
        </w:rPr>
      </w:pPr>
      <w:r w:rsidRPr="00D421C6">
        <w:rPr>
          <w:rFonts w:ascii="Times New Roman" w:hAnsi="Times New Roman"/>
          <w:sz w:val="24"/>
          <w:szCs w:val="24"/>
        </w:rPr>
        <w:t>nie później niż do końca miesiąca następującego po upływie kwartału kalendarzowego, którego dotyczą informacje;</w:t>
      </w:r>
    </w:p>
    <w:p w14:paraId="485C13A1" w14:textId="0ADC586C" w:rsidR="00E30F7B" w:rsidRPr="00D421C6" w:rsidRDefault="00E30F7B" w:rsidP="00E30F7B">
      <w:pPr>
        <w:pStyle w:val="Akapitzlist"/>
        <w:numPr>
          <w:ilvl w:val="0"/>
          <w:numId w:val="50"/>
        </w:numPr>
        <w:spacing w:before="240" w:line="340" w:lineRule="atLeast"/>
        <w:jc w:val="both"/>
        <w:rPr>
          <w:rFonts w:ascii="Times New Roman" w:hAnsi="Times New Roman"/>
          <w:sz w:val="24"/>
          <w:szCs w:val="24"/>
        </w:rPr>
      </w:pPr>
      <w:r w:rsidRPr="00D421C6">
        <w:rPr>
          <w:rFonts w:ascii="Times New Roman" w:hAnsi="Times New Roman"/>
          <w:sz w:val="24"/>
          <w:szCs w:val="24"/>
        </w:rPr>
        <w:t>za pomocą standardowego formularza elektronicznego.</w:t>
      </w:r>
    </w:p>
    <w:p w14:paraId="6D6614A2" w14:textId="1504440D" w:rsidR="00E30F7B" w:rsidRPr="00E30F7B" w:rsidRDefault="00E30F7B" w:rsidP="00E30F7B">
      <w:pPr>
        <w:spacing w:before="240" w:line="340" w:lineRule="atLeast"/>
        <w:jc w:val="both"/>
        <w:rPr>
          <w:rFonts w:ascii="Times New Roman" w:hAnsi="Times New Roman"/>
          <w:sz w:val="24"/>
          <w:szCs w:val="24"/>
        </w:rPr>
      </w:pPr>
      <w:r w:rsidRPr="00E30F7B">
        <w:rPr>
          <w:rFonts w:ascii="Times New Roman" w:hAnsi="Times New Roman"/>
          <w:sz w:val="24"/>
          <w:szCs w:val="24"/>
        </w:rPr>
        <w:t>Standardowy formularz elektroniczny został określny w rozporządzeniu wykonawczym Komisji (UE) z dnia 6.4.2022 r. (jeszcze nieopublikowane) ustanawiającym szczegółowe zasady stosowania rozporządzenia Rady (UE) nr 904/2010 w odniesieniu do utworzenia centralnego elektronicznego systemu informacji o płatnościach (CESOP) w celu zwalczania oszustw związanych z VAT. Niniejsze rozporządzenie st</w:t>
      </w:r>
      <w:r>
        <w:rPr>
          <w:rFonts w:ascii="Times New Roman" w:hAnsi="Times New Roman"/>
          <w:sz w:val="24"/>
          <w:szCs w:val="24"/>
        </w:rPr>
        <w:t>osuje się od 1 stycznia 2024 r.</w:t>
      </w:r>
    </w:p>
    <w:p w14:paraId="29AC5C45" w14:textId="29D58BA3" w:rsidR="00E30F7B" w:rsidRPr="00E30F7B" w:rsidRDefault="00E30F7B" w:rsidP="00E30F7B">
      <w:pPr>
        <w:spacing w:before="240" w:line="340" w:lineRule="atLeast"/>
        <w:jc w:val="both"/>
        <w:rPr>
          <w:rFonts w:ascii="Times New Roman" w:hAnsi="Times New Roman"/>
          <w:sz w:val="24"/>
          <w:szCs w:val="24"/>
        </w:rPr>
      </w:pPr>
      <w:r w:rsidRPr="00E30F7B">
        <w:rPr>
          <w:rFonts w:ascii="Times New Roman" w:hAnsi="Times New Roman"/>
          <w:sz w:val="24"/>
          <w:szCs w:val="24"/>
        </w:rPr>
        <w:t xml:space="preserve">Zgodnie z art. 4 </w:t>
      </w:r>
      <w:r w:rsidR="00D421C6">
        <w:rPr>
          <w:rFonts w:ascii="Times New Roman" w:hAnsi="Times New Roman"/>
          <w:sz w:val="24"/>
          <w:szCs w:val="24"/>
        </w:rPr>
        <w:t xml:space="preserve">ww. rozporządzenia </w:t>
      </w:r>
      <w:r w:rsidRPr="00E30F7B">
        <w:rPr>
          <w:rFonts w:ascii="Times New Roman" w:hAnsi="Times New Roman"/>
          <w:sz w:val="24"/>
          <w:szCs w:val="24"/>
        </w:rPr>
        <w:t>zatytułowanym „Standardowy formularz elektroniczny”, standardowy formularz elektroniczny, o którym mowa w art. 24b ust. 1 lit. b) rozporządzenia (UE) nr 904/2010, przedkłada się w standardowym formaci</w:t>
      </w:r>
      <w:r w:rsidR="00D421C6">
        <w:rPr>
          <w:rFonts w:ascii="Times New Roman" w:hAnsi="Times New Roman"/>
          <w:sz w:val="24"/>
          <w:szCs w:val="24"/>
        </w:rPr>
        <w:t>e XML zgodnie z tabelą danych w </w:t>
      </w:r>
      <w:r w:rsidRPr="00E30F7B">
        <w:rPr>
          <w:rFonts w:ascii="Times New Roman" w:hAnsi="Times New Roman"/>
          <w:sz w:val="24"/>
          <w:szCs w:val="24"/>
        </w:rPr>
        <w:t>załączniku</w:t>
      </w:r>
      <w:r>
        <w:rPr>
          <w:rFonts w:ascii="Times New Roman" w:hAnsi="Times New Roman"/>
          <w:sz w:val="24"/>
          <w:szCs w:val="24"/>
        </w:rPr>
        <w:t xml:space="preserve"> do niniejszego rozporządzenia.</w:t>
      </w:r>
    </w:p>
    <w:p w14:paraId="005B2C13" w14:textId="1725824B" w:rsidR="00E30F7B" w:rsidRPr="00E30F7B" w:rsidRDefault="00E30F7B" w:rsidP="00E30F7B">
      <w:pPr>
        <w:spacing w:before="240" w:line="340" w:lineRule="atLeast"/>
        <w:jc w:val="both"/>
        <w:rPr>
          <w:rFonts w:ascii="Times New Roman" w:hAnsi="Times New Roman"/>
          <w:sz w:val="24"/>
          <w:szCs w:val="24"/>
        </w:rPr>
      </w:pPr>
      <w:r w:rsidRPr="00E30F7B">
        <w:rPr>
          <w:rFonts w:ascii="Times New Roman" w:hAnsi="Times New Roman"/>
          <w:sz w:val="24"/>
          <w:szCs w:val="24"/>
        </w:rPr>
        <w:t xml:space="preserve">Przepisy dyrektywy VAT, rozporządzenia 904/2010 i </w:t>
      </w:r>
      <w:r w:rsidR="00A061DB">
        <w:rPr>
          <w:rFonts w:ascii="Times New Roman" w:hAnsi="Times New Roman"/>
          <w:sz w:val="24"/>
          <w:szCs w:val="24"/>
        </w:rPr>
        <w:t xml:space="preserve">ww. </w:t>
      </w:r>
      <w:r w:rsidRPr="00E30F7B">
        <w:rPr>
          <w:rFonts w:ascii="Times New Roman" w:hAnsi="Times New Roman"/>
          <w:sz w:val="24"/>
          <w:szCs w:val="24"/>
        </w:rPr>
        <w:t>rozporządzenia</w:t>
      </w:r>
      <w:r w:rsidR="00A061DB">
        <w:rPr>
          <w:rFonts w:ascii="Times New Roman" w:hAnsi="Times New Roman"/>
          <w:sz w:val="24"/>
          <w:szCs w:val="24"/>
        </w:rPr>
        <w:t xml:space="preserve"> z dnia 6.4.2022 r.</w:t>
      </w:r>
      <w:r w:rsidRPr="00E30F7B">
        <w:rPr>
          <w:rFonts w:ascii="Times New Roman" w:hAnsi="Times New Roman"/>
          <w:sz w:val="24"/>
          <w:szCs w:val="24"/>
        </w:rPr>
        <w:t xml:space="preserve"> wprowadzają zatem w tym zakresie obligatoryjny wymóg przesyłania ewidencji w określonej strukturze (XML). Wskazuje na to również motyw (5) zdanie pierwsze rozporządzenia …: „Zgodnie z art. 24b ust. 1 lit. b) rozporządzenia (UE) nr 904/2010 państwa członkowskie mają przesyłać dane do CESOP w standardowym formacie. Należy określić elementy danych, jakie mają być przekazywane przez dostawców usług płatnicz</w:t>
      </w:r>
      <w:r>
        <w:rPr>
          <w:rFonts w:ascii="Times New Roman" w:hAnsi="Times New Roman"/>
          <w:sz w:val="24"/>
          <w:szCs w:val="24"/>
        </w:rPr>
        <w:t>ych w formacie dokumentu XML.”.</w:t>
      </w:r>
    </w:p>
    <w:p w14:paraId="44B69497" w14:textId="79D62FC4" w:rsidR="00E30F7B" w:rsidRPr="00E30F7B" w:rsidRDefault="00E30F7B" w:rsidP="00E30F7B">
      <w:pPr>
        <w:spacing w:before="240" w:line="340" w:lineRule="atLeast"/>
        <w:jc w:val="both"/>
        <w:rPr>
          <w:rFonts w:ascii="Times New Roman" w:hAnsi="Times New Roman"/>
          <w:sz w:val="24"/>
          <w:szCs w:val="24"/>
        </w:rPr>
      </w:pPr>
      <w:r w:rsidRPr="00E30F7B">
        <w:rPr>
          <w:rFonts w:ascii="Times New Roman" w:hAnsi="Times New Roman"/>
          <w:sz w:val="24"/>
          <w:szCs w:val="24"/>
        </w:rPr>
        <w:t xml:space="preserve">Wdrożenie rozporządzenia </w:t>
      </w:r>
      <w:r w:rsidR="00D421C6">
        <w:rPr>
          <w:rFonts w:ascii="Times New Roman" w:hAnsi="Times New Roman"/>
          <w:sz w:val="24"/>
          <w:szCs w:val="24"/>
        </w:rPr>
        <w:t>CESOP</w:t>
      </w:r>
      <w:r w:rsidRPr="00E30F7B">
        <w:rPr>
          <w:rFonts w:ascii="Times New Roman" w:hAnsi="Times New Roman"/>
          <w:sz w:val="24"/>
          <w:szCs w:val="24"/>
        </w:rPr>
        <w:t xml:space="preserve"> </w:t>
      </w:r>
      <w:r w:rsidR="00D421C6">
        <w:rPr>
          <w:rFonts w:ascii="Times New Roman" w:hAnsi="Times New Roman"/>
          <w:sz w:val="24"/>
          <w:szCs w:val="24"/>
        </w:rPr>
        <w:t xml:space="preserve">zmieniającego rozporządzenie 904/2010 </w:t>
      </w:r>
      <w:r w:rsidRPr="00E30F7B">
        <w:rPr>
          <w:rFonts w:ascii="Times New Roman" w:hAnsi="Times New Roman"/>
          <w:sz w:val="24"/>
          <w:szCs w:val="24"/>
        </w:rPr>
        <w:t>będzie polegało na działaniach obejmujących dostosowanie odpowiednich procedur i systemów IT, wykonanie połączenia krajowych systemów informatycznych do bazy CESOP oraz opracowanie merytorycznych założeń funkcjonowania systemów informatycznych w tym zakresie.</w:t>
      </w:r>
    </w:p>
    <w:p w14:paraId="5A5340CD" w14:textId="4CD4FCA6" w:rsidR="0028760B" w:rsidRPr="007B20B5" w:rsidRDefault="00D421C6" w:rsidP="00E53BB2">
      <w:pPr>
        <w:spacing w:before="240" w:line="340" w:lineRule="atLeast"/>
        <w:jc w:val="both"/>
        <w:rPr>
          <w:rFonts w:ascii="Times New Roman" w:hAnsi="Times New Roman"/>
          <w:sz w:val="24"/>
          <w:szCs w:val="24"/>
        </w:rPr>
      </w:pPr>
      <w:r>
        <w:rPr>
          <w:rFonts w:ascii="Times New Roman" w:hAnsi="Times New Roman"/>
          <w:sz w:val="24"/>
          <w:szCs w:val="24"/>
        </w:rPr>
        <w:t>G</w:t>
      </w:r>
      <w:r w:rsidR="00E30F7B" w:rsidRPr="00E30F7B">
        <w:rPr>
          <w:rFonts w:ascii="Times New Roman" w:hAnsi="Times New Roman"/>
          <w:sz w:val="24"/>
          <w:szCs w:val="24"/>
        </w:rPr>
        <w:t xml:space="preserve">rupa projektowa przy komisji europejskiej </w:t>
      </w:r>
      <w:r>
        <w:rPr>
          <w:rFonts w:ascii="Times New Roman" w:hAnsi="Times New Roman"/>
          <w:sz w:val="24"/>
          <w:szCs w:val="24"/>
        </w:rPr>
        <w:t>opracowywa</w:t>
      </w:r>
      <w:r w:rsidR="009E45DE">
        <w:rPr>
          <w:rFonts w:ascii="Times New Roman" w:hAnsi="Times New Roman"/>
          <w:sz w:val="24"/>
          <w:szCs w:val="24"/>
        </w:rPr>
        <w:t>ła</w:t>
      </w:r>
      <w:r>
        <w:rPr>
          <w:rFonts w:ascii="Times New Roman" w:hAnsi="Times New Roman"/>
          <w:sz w:val="24"/>
          <w:szCs w:val="24"/>
        </w:rPr>
        <w:t xml:space="preserve"> schemat </w:t>
      </w:r>
      <w:r w:rsidR="0028760B">
        <w:rPr>
          <w:rFonts w:ascii="Times New Roman" w:hAnsi="Times New Roman"/>
          <w:sz w:val="24"/>
          <w:szCs w:val="24"/>
        </w:rPr>
        <w:t>XML</w:t>
      </w:r>
      <w:r w:rsidR="00E30F7B" w:rsidRPr="00E30F7B">
        <w:rPr>
          <w:rFonts w:ascii="Times New Roman" w:hAnsi="Times New Roman"/>
          <w:sz w:val="24"/>
          <w:szCs w:val="24"/>
        </w:rPr>
        <w:t xml:space="preserve"> Dane będą przekazywane do systemu krajowego za pomocą pliku XML. Ten sam plik (formularz) trafia</w:t>
      </w:r>
      <w:r w:rsidR="00E30F7B">
        <w:rPr>
          <w:rFonts w:ascii="Times New Roman" w:hAnsi="Times New Roman"/>
          <w:sz w:val="24"/>
          <w:szCs w:val="24"/>
        </w:rPr>
        <w:t xml:space="preserve">ć będzie do centralnego </w:t>
      </w:r>
      <w:proofErr w:type="spellStart"/>
      <w:r w:rsidR="00E30F7B">
        <w:rPr>
          <w:rFonts w:ascii="Times New Roman" w:hAnsi="Times New Roman"/>
          <w:sz w:val="24"/>
          <w:szCs w:val="24"/>
        </w:rPr>
        <w:t>CESOPu</w:t>
      </w:r>
      <w:proofErr w:type="spellEnd"/>
      <w:r w:rsidR="00E30F7B">
        <w:rPr>
          <w:rFonts w:ascii="Times New Roman" w:hAnsi="Times New Roman"/>
          <w:sz w:val="24"/>
          <w:szCs w:val="24"/>
        </w:rPr>
        <w:t>.</w:t>
      </w:r>
    </w:p>
    <w:p w14:paraId="54D798EC" w14:textId="2EAFAE0A" w:rsidR="00E53BB2" w:rsidRPr="007B20B5" w:rsidRDefault="00E53BB2" w:rsidP="00E53BB2">
      <w:pPr>
        <w:spacing w:before="240" w:line="340" w:lineRule="atLeast"/>
        <w:jc w:val="both"/>
        <w:rPr>
          <w:rFonts w:ascii="Times New Roman" w:hAnsi="Times New Roman"/>
          <w:sz w:val="24"/>
          <w:szCs w:val="24"/>
        </w:rPr>
      </w:pPr>
      <w:r w:rsidRPr="007B20B5">
        <w:rPr>
          <w:rFonts w:ascii="Times New Roman" w:hAnsi="Times New Roman"/>
          <w:sz w:val="24"/>
          <w:szCs w:val="24"/>
        </w:rPr>
        <w:lastRenderedPageBreak/>
        <w:t xml:space="preserve">Generalnie, dostawcy usług płatniczych zlokalizowani w UE będą zobowiązani do </w:t>
      </w:r>
      <w:r w:rsidR="008E14CD" w:rsidRPr="007B20B5">
        <w:rPr>
          <w:rFonts w:ascii="Times New Roman" w:hAnsi="Times New Roman"/>
          <w:sz w:val="24"/>
          <w:szCs w:val="24"/>
        </w:rPr>
        <w:t xml:space="preserve">prowadzenia i </w:t>
      </w:r>
      <w:r w:rsidRPr="007B20B5">
        <w:rPr>
          <w:rFonts w:ascii="Times New Roman" w:hAnsi="Times New Roman"/>
          <w:sz w:val="24"/>
          <w:szCs w:val="24"/>
        </w:rPr>
        <w:t xml:space="preserve">przekazywania </w:t>
      </w:r>
      <w:r w:rsidR="00D7748B" w:rsidRPr="007B20B5">
        <w:rPr>
          <w:rFonts w:ascii="Times New Roman" w:hAnsi="Times New Roman"/>
          <w:sz w:val="24"/>
          <w:szCs w:val="24"/>
        </w:rPr>
        <w:t>ewidencji</w:t>
      </w:r>
      <w:r w:rsidRPr="007B20B5">
        <w:rPr>
          <w:rFonts w:ascii="Times New Roman" w:hAnsi="Times New Roman"/>
          <w:sz w:val="24"/>
          <w:szCs w:val="24"/>
        </w:rPr>
        <w:t xml:space="preserve"> po upływie każdego kwartału kalendarzowego, jeżeli kumulatywnie spełnione zostaną następujące warunki:</w:t>
      </w:r>
    </w:p>
    <w:p w14:paraId="65D94900" w14:textId="62BCE6C8" w:rsidR="00E33D3C" w:rsidRPr="007B20B5" w:rsidRDefault="00E53BB2" w:rsidP="00E53BB2">
      <w:pPr>
        <w:pStyle w:val="Akapitzlist"/>
        <w:numPr>
          <w:ilvl w:val="0"/>
          <w:numId w:val="36"/>
        </w:numPr>
        <w:spacing w:before="240" w:line="340" w:lineRule="atLeast"/>
        <w:jc w:val="both"/>
        <w:rPr>
          <w:rFonts w:ascii="Times New Roman" w:hAnsi="Times New Roman"/>
          <w:sz w:val="24"/>
          <w:szCs w:val="24"/>
        </w:rPr>
      </w:pPr>
      <w:r w:rsidRPr="007B20B5">
        <w:rPr>
          <w:rFonts w:ascii="Times New Roman" w:hAnsi="Times New Roman"/>
          <w:sz w:val="24"/>
          <w:szCs w:val="24"/>
        </w:rPr>
        <w:t xml:space="preserve">środki pieniężne będą przekazywane od płatnika zlokalizowanego w państwie członkowskim (co do zasady jest to nabywca towarów/ usług) do odbiorcy </w:t>
      </w:r>
      <w:r w:rsidR="00B50A05" w:rsidRPr="007B20B5">
        <w:rPr>
          <w:rFonts w:ascii="Times New Roman" w:hAnsi="Times New Roman"/>
          <w:sz w:val="24"/>
          <w:szCs w:val="24"/>
        </w:rPr>
        <w:t xml:space="preserve">płatności </w:t>
      </w:r>
      <w:r w:rsidRPr="007B20B5">
        <w:rPr>
          <w:rFonts w:ascii="Times New Roman" w:hAnsi="Times New Roman"/>
          <w:sz w:val="24"/>
          <w:szCs w:val="24"/>
        </w:rPr>
        <w:t>zlokalizowanego w innym państwie członkowskim bądź poza UE (co do zasady jest to sprzedawca towarów/usług),</w:t>
      </w:r>
    </w:p>
    <w:p w14:paraId="714AF8C5" w14:textId="5BD270AC" w:rsidR="00E53BB2" w:rsidRPr="007B20B5" w:rsidRDefault="00E53BB2" w:rsidP="00E53BB2">
      <w:pPr>
        <w:pStyle w:val="Akapitzlist"/>
        <w:numPr>
          <w:ilvl w:val="0"/>
          <w:numId w:val="36"/>
        </w:numPr>
        <w:spacing w:before="240" w:line="340" w:lineRule="atLeast"/>
        <w:jc w:val="both"/>
        <w:rPr>
          <w:rFonts w:ascii="Times New Roman" w:hAnsi="Times New Roman"/>
          <w:sz w:val="24"/>
          <w:szCs w:val="24"/>
        </w:rPr>
      </w:pPr>
      <w:r w:rsidRPr="007B20B5">
        <w:rPr>
          <w:rFonts w:ascii="Times New Roman" w:hAnsi="Times New Roman"/>
          <w:sz w:val="24"/>
          <w:szCs w:val="24"/>
        </w:rPr>
        <w:t>dostawca usług płatniczych zrealizuje w ciągu kwartału kalendarzowego w danym państwie członkowskim więcej niż 25 płatności na rzecz tego samego odbiorcy.</w:t>
      </w:r>
    </w:p>
    <w:p w14:paraId="78B681FF" w14:textId="5B3AEA51" w:rsidR="00BE6852" w:rsidRPr="007B20B5" w:rsidRDefault="00E51D89" w:rsidP="004C1368">
      <w:pPr>
        <w:spacing w:before="240" w:line="340" w:lineRule="atLeast"/>
        <w:jc w:val="both"/>
        <w:rPr>
          <w:rFonts w:ascii="Times New Roman" w:hAnsi="Times New Roman"/>
          <w:sz w:val="24"/>
          <w:szCs w:val="24"/>
          <w:u w:val="single"/>
        </w:rPr>
      </w:pPr>
      <w:r w:rsidRPr="007B20B5">
        <w:rPr>
          <w:rFonts w:ascii="Times New Roman" w:hAnsi="Times New Roman"/>
          <w:sz w:val="24"/>
          <w:szCs w:val="24"/>
          <w:u w:val="single"/>
        </w:rPr>
        <w:t>Zakres podmiotowy</w:t>
      </w:r>
      <w:r w:rsidR="00A23537" w:rsidRPr="007B20B5">
        <w:rPr>
          <w:rFonts w:ascii="Times New Roman" w:hAnsi="Times New Roman"/>
          <w:sz w:val="24"/>
          <w:szCs w:val="24"/>
          <w:u w:val="single"/>
        </w:rPr>
        <w:t xml:space="preserve"> regulacji</w:t>
      </w:r>
    </w:p>
    <w:p w14:paraId="7983FEA0" w14:textId="58A49111" w:rsidR="00E51D89" w:rsidRPr="007B20B5" w:rsidRDefault="003B3774" w:rsidP="00E51D89">
      <w:pPr>
        <w:spacing w:before="240" w:line="340" w:lineRule="atLeast"/>
        <w:jc w:val="both"/>
        <w:rPr>
          <w:rFonts w:ascii="Times New Roman" w:hAnsi="Times New Roman"/>
          <w:sz w:val="24"/>
          <w:szCs w:val="24"/>
        </w:rPr>
      </w:pPr>
      <w:r w:rsidRPr="007B20B5">
        <w:rPr>
          <w:rFonts w:ascii="Times New Roman" w:hAnsi="Times New Roman"/>
          <w:sz w:val="24"/>
          <w:szCs w:val="24"/>
        </w:rPr>
        <w:t>Obowiązek prowadzenia ewidencji dotyczy dostawcy u</w:t>
      </w:r>
      <w:r w:rsidR="00E33D3C" w:rsidRPr="007B20B5">
        <w:rPr>
          <w:rFonts w:ascii="Times New Roman" w:hAnsi="Times New Roman"/>
          <w:sz w:val="24"/>
          <w:szCs w:val="24"/>
        </w:rPr>
        <w:t>sług płatniczych, zdefiniowanego</w:t>
      </w:r>
      <w:r w:rsidRPr="007B20B5">
        <w:rPr>
          <w:rFonts w:ascii="Times New Roman" w:hAnsi="Times New Roman"/>
          <w:sz w:val="24"/>
          <w:szCs w:val="24"/>
        </w:rPr>
        <w:t xml:space="preserve"> jako </w:t>
      </w:r>
      <w:r w:rsidR="00E51D89" w:rsidRPr="007B20B5">
        <w:rPr>
          <w:rFonts w:ascii="Times New Roman" w:hAnsi="Times New Roman"/>
          <w:sz w:val="24"/>
          <w:szCs w:val="24"/>
        </w:rPr>
        <w:t xml:space="preserve">którąkolwiek z kategorii dostawców usług płatniczych wymienionych w art. 1 ust. 1 lit. a)–d) </w:t>
      </w:r>
      <w:r w:rsidR="001B5B1D" w:rsidRPr="007B20B5">
        <w:rPr>
          <w:rFonts w:ascii="Times New Roman" w:hAnsi="Times New Roman"/>
          <w:i/>
          <w:sz w:val="24"/>
          <w:szCs w:val="24"/>
        </w:rPr>
        <w:t>dyrektywy Parlamentu Europejskiego i Rady (UE) 2015/236</w:t>
      </w:r>
      <w:r w:rsidR="00812073">
        <w:rPr>
          <w:rFonts w:ascii="Times New Roman" w:hAnsi="Times New Roman"/>
          <w:i/>
          <w:sz w:val="24"/>
          <w:szCs w:val="24"/>
        </w:rPr>
        <w:t>6 z dnia 25 listopada 2015 r. w </w:t>
      </w:r>
      <w:r w:rsidR="001B5B1D" w:rsidRPr="007B20B5">
        <w:rPr>
          <w:rFonts w:ascii="Times New Roman" w:hAnsi="Times New Roman"/>
          <w:i/>
          <w:sz w:val="24"/>
          <w:szCs w:val="24"/>
        </w:rPr>
        <w:t>sprawie usług płatniczych w ramach rynku wewnętrznego, zmieniającej dyrektywy 2002/65/WE, 2009/110/WE, 2013/36/UE i rozporządzenie (UE) nr 1093/2010 oraz uchylającej dyrektywę 2007/64/WE</w:t>
      </w:r>
      <w:r w:rsidR="001B5B1D" w:rsidRPr="007B20B5">
        <w:rPr>
          <w:rStyle w:val="Odwoanieprzypisudolnego"/>
          <w:rFonts w:ascii="Times New Roman" w:hAnsi="Times New Roman"/>
          <w:i/>
          <w:sz w:val="24"/>
          <w:szCs w:val="24"/>
        </w:rPr>
        <w:footnoteReference w:id="12"/>
      </w:r>
      <w:r w:rsidR="001B5B1D" w:rsidRPr="007B20B5">
        <w:rPr>
          <w:rFonts w:ascii="Times New Roman" w:hAnsi="Times New Roman"/>
          <w:sz w:val="24"/>
          <w:szCs w:val="24"/>
        </w:rPr>
        <w:t>, zwanej dalej „dyrektywą PSD2”,</w:t>
      </w:r>
      <w:r w:rsidR="00E51D89" w:rsidRPr="007B20B5">
        <w:rPr>
          <w:rFonts w:ascii="Times New Roman" w:hAnsi="Times New Roman"/>
          <w:sz w:val="24"/>
          <w:szCs w:val="24"/>
        </w:rPr>
        <w:t xml:space="preserve"> lub osobę fizyczną lub prawną korzystają</w:t>
      </w:r>
      <w:r w:rsidR="00812073">
        <w:rPr>
          <w:rFonts w:ascii="Times New Roman" w:hAnsi="Times New Roman"/>
          <w:sz w:val="24"/>
          <w:szCs w:val="24"/>
        </w:rPr>
        <w:t xml:space="preserve">ce ze zwolnienia zgodnie z art. </w:t>
      </w:r>
      <w:r w:rsidR="00E51D89" w:rsidRPr="007B20B5">
        <w:rPr>
          <w:rFonts w:ascii="Times New Roman" w:hAnsi="Times New Roman"/>
          <w:sz w:val="24"/>
          <w:szCs w:val="24"/>
        </w:rPr>
        <w:t>32 tej dyrektywy.</w:t>
      </w:r>
    </w:p>
    <w:p w14:paraId="643D303F" w14:textId="317C106E" w:rsidR="00E10C33" w:rsidRPr="007B20B5" w:rsidRDefault="00E33D3C" w:rsidP="00E51D89">
      <w:pPr>
        <w:spacing w:before="240" w:line="340" w:lineRule="atLeast"/>
        <w:jc w:val="both"/>
        <w:rPr>
          <w:rFonts w:ascii="Times New Roman" w:hAnsi="Times New Roman"/>
          <w:sz w:val="24"/>
          <w:szCs w:val="24"/>
        </w:rPr>
      </w:pPr>
      <w:r w:rsidRPr="007B20B5">
        <w:rPr>
          <w:rFonts w:ascii="Times New Roman" w:hAnsi="Times New Roman"/>
          <w:sz w:val="24"/>
          <w:szCs w:val="24"/>
        </w:rPr>
        <w:t>D</w:t>
      </w:r>
      <w:r w:rsidR="00E10C33" w:rsidRPr="007B20B5">
        <w:rPr>
          <w:rFonts w:ascii="Times New Roman" w:hAnsi="Times New Roman"/>
          <w:sz w:val="24"/>
          <w:szCs w:val="24"/>
        </w:rPr>
        <w:t xml:space="preserve">ostawcą usług płatniczych </w:t>
      </w:r>
      <w:r w:rsidRPr="007B20B5">
        <w:rPr>
          <w:rFonts w:ascii="Times New Roman" w:hAnsi="Times New Roman"/>
          <w:sz w:val="24"/>
          <w:szCs w:val="24"/>
        </w:rPr>
        <w:t xml:space="preserve">zatem </w:t>
      </w:r>
      <w:r w:rsidR="00E10C33" w:rsidRPr="007B20B5">
        <w:rPr>
          <w:rFonts w:ascii="Times New Roman" w:hAnsi="Times New Roman"/>
          <w:sz w:val="24"/>
          <w:szCs w:val="24"/>
        </w:rPr>
        <w:t>są:</w:t>
      </w:r>
    </w:p>
    <w:p w14:paraId="43BF214B" w14:textId="0F13D6E7" w:rsidR="00E51D89" w:rsidRPr="007B20B5" w:rsidRDefault="00E51D89" w:rsidP="00E33D3C">
      <w:pPr>
        <w:pStyle w:val="Akapitzlist"/>
        <w:numPr>
          <w:ilvl w:val="0"/>
          <w:numId w:val="37"/>
        </w:numPr>
        <w:spacing w:before="240" w:line="340" w:lineRule="atLeast"/>
        <w:jc w:val="both"/>
        <w:rPr>
          <w:rFonts w:ascii="Times New Roman" w:hAnsi="Times New Roman"/>
          <w:sz w:val="24"/>
          <w:szCs w:val="24"/>
        </w:rPr>
      </w:pPr>
      <w:r w:rsidRPr="007B20B5">
        <w:rPr>
          <w:rFonts w:ascii="Times New Roman" w:hAnsi="Times New Roman"/>
          <w:sz w:val="24"/>
          <w:szCs w:val="24"/>
        </w:rPr>
        <w:t>instytucje kredytowe zgodnie z definicją w art. 4 ust. 1 pkt 1 rozporządzenia Parlamentu Europejskie</w:t>
      </w:r>
      <w:r w:rsidR="00BE6852" w:rsidRPr="007B20B5">
        <w:rPr>
          <w:rFonts w:ascii="Times New Roman" w:hAnsi="Times New Roman"/>
          <w:sz w:val="24"/>
          <w:szCs w:val="24"/>
        </w:rPr>
        <w:t>go i Rady (UE) nr 575/2013</w:t>
      </w:r>
      <w:r w:rsidRPr="007B20B5">
        <w:rPr>
          <w:rFonts w:ascii="Times New Roman" w:hAnsi="Times New Roman"/>
          <w:sz w:val="24"/>
          <w:szCs w:val="24"/>
        </w:rPr>
        <w:t>, w tym ich oddziały</w:t>
      </w:r>
      <w:r w:rsidR="00812073">
        <w:rPr>
          <w:rFonts w:ascii="Times New Roman" w:hAnsi="Times New Roman"/>
          <w:sz w:val="24"/>
          <w:szCs w:val="24"/>
        </w:rPr>
        <w:t xml:space="preserve"> w rozumieniu art. 4 ust. 1 pkt </w:t>
      </w:r>
      <w:r w:rsidRPr="007B20B5">
        <w:rPr>
          <w:rFonts w:ascii="Times New Roman" w:hAnsi="Times New Roman"/>
          <w:sz w:val="24"/>
          <w:szCs w:val="24"/>
        </w:rPr>
        <w:t>17 tego rozporządzenia, gdy takie oddziały znajdują się w Unii, bez względu na to, czy siedziby zarządu tych oddziałów znajdują się w Unii, czy – zgodnie z</w:t>
      </w:r>
      <w:r w:rsidR="00E10C33" w:rsidRPr="007B20B5">
        <w:rPr>
          <w:rFonts w:ascii="Times New Roman" w:hAnsi="Times New Roman"/>
          <w:sz w:val="24"/>
          <w:szCs w:val="24"/>
        </w:rPr>
        <w:t xml:space="preserve"> art. 47 dyrektywy 2013/36/U</w:t>
      </w:r>
      <w:r w:rsidR="00812073">
        <w:rPr>
          <w:rFonts w:ascii="Times New Roman" w:hAnsi="Times New Roman"/>
          <w:sz w:val="24"/>
          <w:szCs w:val="24"/>
        </w:rPr>
        <w:t xml:space="preserve">E i </w:t>
      </w:r>
      <w:r w:rsidRPr="007B20B5">
        <w:rPr>
          <w:rFonts w:ascii="Times New Roman" w:hAnsi="Times New Roman"/>
          <w:sz w:val="24"/>
          <w:szCs w:val="24"/>
        </w:rPr>
        <w:t>prawem krajowym – poza Unią;</w:t>
      </w:r>
    </w:p>
    <w:p w14:paraId="166D0A92" w14:textId="74326688" w:rsidR="00E51D89" w:rsidRPr="007B20B5" w:rsidRDefault="00E51D89" w:rsidP="00E33D3C">
      <w:pPr>
        <w:pStyle w:val="Akapitzlist"/>
        <w:numPr>
          <w:ilvl w:val="0"/>
          <w:numId w:val="37"/>
        </w:numPr>
        <w:spacing w:before="240" w:line="340" w:lineRule="atLeast"/>
        <w:jc w:val="both"/>
        <w:rPr>
          <w:rFonts w:ascii="Times New Roman" w:hAnsi="Times New Roman"/>
          <w:sz w:val="24"/>
          <w:szCs w:val="24"/>
        </w:rPr>
      </w:pPr>
      <w:r w:rsidRPr="007B20B5">
        <w:rPr>
          <w:rFonts w:ascii="Times New Roman" w:hAnsi="Times New Roman"/>
          <w:sz w:val="24"/>
          <w:szCs w:val="24"/>
        </w:rPr>
        <w:t>instytucje pieniądza elektronicznego w rozumieniu art. 2 pkt 1 dyrektywy 2009/110</w:t>
      </w:r>
      <w:r w:rsidR="00E10C33" w:rsidRPr="007B20B5">
        <w:rPr>
          <w:rFonts w:ascii="Times New Roman" w:hAnsi="Times New Roman"/>
          <w:sz w:val="24"/>
          <w:szCs w:val="24"/>
        </w:rPr>
        <w:t>/WE, w </w:t>
      </w:r>
      <w:r w:rsidRPr="007B20B5">
        <w:rPr>
          <w:rFonts w:ascii="Times New Roman" w:hAnsi="Times New Roman"/>
          <w:sz w:val="24"/>
          <w:szCs w:val="24"/>
        </w:rPr>
        <w:t>tym – zgodnie z art. 8 tej dyrektywy i prawem krajowym – ich oddziały, gdy takie oddziały znajdują się w Unii, a ich siedziby zarządu znajdują się poza Unią, o ile usługi płatnicze świadczone przez te oddziały są związane z emisją pieniądza elektronicznego;</w:t>
      </w:r>
    </w:p>
    <w:p w14:paraId="4EA9EA76" w14:textId="77777777" w:rsidR="00E33D3C" w:rsidRPr="007B20B5" w:rsidRDefault="00E51D89" w:rsidP="00E51D89">
      <w:pPr>
        <w:pStyle w:val="Akapitzlist"/>
        <w:numPr>
          <w:ilvl w:val="0"/>
          <w:numId w:val="37"/>
        </w:numPr>
        <w:spacing w:before="240" w:line="340" w:lineRule="atLeast"/>
        <w:jc w:val="both"/>
        <w:rPr>
          <w:rFonts w:ascii="Times New Roman" w:hAnsi="Times New Roman"/>
          <w:sz w:val="24"/>
          <w:szCs w:val="24"/>
        </w:rPr>
      </w:pPr>
      <w:r w:rsidRPr="007B20B5">
        <w:rPr>
          <w:rFonts w:ascii="Times New Roman" w:hAnsi="Times New Roman"/>
          <w:sz w:val="24"/>
          <w:szCs w:val="24"/>
        </w:rPr>
        <w:t>instytucje świadczące żyro pocztowe, które są na mocy prawa krajowego uprawnione do świadczenia usług płatniczych;</w:t>
      </w:r>
    </w:p>
    <w:p w14:paraId="474E9F07" w14:textId="5A102F5A" w:rsidR="00E51D89" w:rsidRPr="007B20B5" w:rsidRDefault="00E33D3C" w:rsidP="00E51D89">
      <w:pPr>
        <w:pStyle w:val="Akapitzlist"/>
        <w:numPr>
          <w:ilvl w:val="0"/>
          <w:numId w:val="37"/>
        </w:numPr>
        <w:spacing w:before="240" w:line="340" w:lineRule="atLeast"/>
        <w:jc w:val="both"/>
        <w:rPr>
          <w:rFonts w:ascii="Times New Roman" w:hAnsi="Times New Roman"/>
          <w:sz w:val="24"/>
          <w:szCs w:val="24"/>
        </w:rPr>
      </w:pPr>
      <w:r w:rsidRPr="007B20B5">
        <w:rPr>
          <w:rFonts w:ascii="Times New Roman" w:hAnsi="Times New Roman"/>
          <w:sz w:val="24"/>
          <w:szCs w:val="24"/>
        </w:rPr>
        <w:t>instytucje płatnicze;</w:t>
      </w:r>
    </w:p>
    <w:p w14:paraId="0152A1A7" w14:textId="4EAC8DD4" w:rsidR="00E33D3C" w:rsidRPr="007B20B5" w:rsidRDefault="00E33D3C" w:rsidP="00E51D89">
      <w:pPr>
        <w:pStyle w:val="Akapitzlist"/>
        <w:numPr>
          <w:ilvl w:val="0"/>
          <w:numId w:val="37"/>
        </w:numPr>
        <w:spacing w:before="240" w:line="340" w:lineRule="atLeast"/>
        <w:jc w:val="both"/>
        <w:rPr>
          <w:rFonts w:ascii="Times New Roman" w:hAnsi="Times New Roman"/>
          <w:sz w:val="24"/>
          <w:szCs w:val="24"/>
        </w:rPr>
      </w:pPr>
      <w:r w:rsidRPr="007B20B5">
        <w:rPr>
          <w:rFonts w:ascii="Times New Roman" w:hAnsi="Times New Roman"/>
          <w:sz w:val="24"/>
          <w:szCs w:val="24"/>
        </w:rPr>
        <w:t>osoby fizyczne lub prawne korzystające ze zwolnienia zgodnie z art. 32 dyrektywy PSD2.</w:t>
      </w:r>
    </w:p>
    <w:p w14:paraId="7E2322BE" w14:textId="26DC88CA" w:rsidR="008B47B2" w:rsidRPr="007B20B5" w:rsidRDefault="001B5B1D" w:rsidP="008B47B2">
      <w:pPr>
        <w:spacing w:before="240" w:line="340" w:lineRule="atLeast"/>
        <w:jc w:val="both"/>
        <w:rPr>
          <w:rFonts w:ascii="Times New Roman" w:hAnsi="Times New Roman"/>
          <w:sz w:val="24"/>
          <w:szCs w:val="24"/>
        </w:rPr>
      </w:pPr>
      <w:r w:rsidRPr="007B20B5">
        <w:rPr>
          <w:rFonts w:ascii="Times New Roman" w:hAnsi="Times New Roman"/>
          <w:sz w:val="24"/>
          <w:szCs w:val="24"/>
        </w:rPr>
        <w:t xml:space="preserve">Co istotne, obowiązek prowadzenia ewidencji nie dotyczy jednak dostawców usług płatniczych zlokalizowanych poza terytorium Unii Europejskiej, gdyż podmioty te nie są objęte zakresem stosowania dyrektywy PSD2. </w:t>
      </w:r>
      <w:r w:rsidR="008B47B2" w:rsidRPr="007B20B5">
        <w:rPr>
          <w:rFonts w:ascii="Times New Roman" w:hAnsi="Times New Roman"/>
          <w:sz w:val="24"/>
          <w:szCs w:val="24"/>
        </w:rPr>
        <w:t xml:space="preserve">Dla celów wywiązywania się z obowiązków w zakresie prowadzenia ewidencji, należy uznać, że dany dostawca usług płatniczych znajduje się </w:t>
      </w:r>
      <w:r w:rsidR="002D73B4">
        <w:rPr>
          <w:rFonts w:ascii="Times New Roman" w:hAnsi="Times New Roman"/>
          <w:sz w:val="24"/>
          <w:szCs w:val="24"/>
        </w:rPr>
        <w:lastRenderedPageBreak/>
        <w:t>w </w:t>
      </w:r>
      <w:r w:rsidR="008B47B2" w:rsidRPr="007B20B5">
        <w:rPr>
          <w:rFonts w:ascii="Times New Roman" w:hAnsi="Times New Roman"/>
          <w:sz w:val="24"/>
          <w:szCs w:val="24"/>
        </w:rPr>
        <w:t xml:space="preserve">państwie członkowskim, gdy jego BIC lub kod  </w:t>
      </w:r>
      <w:r w:rsidR="002D73B4">
        <w:rPr>
          <w:rFonts w:ascii="Times New Roman" w:hAnsi="Times New Roman"/>
          <w:sz w:val="24"/>
          <w:szCs w:val="24"/>
        </w:rPr>
        <w:t xml:space="preserve">identyfikacyjny </w:t>
      </w:r>
      <w:r w:rsidR="008B47B2" w:rsidRPr="007B20B5">
        <w:rPr>
          <w:rFonts w:ascii="Times New Roman" w:hAnsi="Times New Roman"/>
          <w:sz w:val="24"/>
          <w:szCs w:val="24"/>
        </w:rPr>
        <w:t>odnosi się do tego państwa członkowskiego.</w:t>
      </w:r>
    </w:p>
    <w:p w14:paraId="277EB04A" w14:textId="6DC93674" w:rsidR="00E51D89" w:rsidRPr="007B20B5" w:rsidRDefault="00E51D89" w:rsidP="004C1368">
      <w:pPr>
        <w:spacing w:before="240" w:line="340" w:lineRule="atLeast"/>
        <w:jc w:val="both"/>
        <w:rPr>
          <w:rFonts w:ascii="Times New Roman" w:hAnsi="Times New Roman"/>
          <w:sz w:val="24"/>
          <w:szCs w:val="24"/>
          <w:u w:val="single"/>
        </w:rPr>
      </w:pPr>
      <w:r w:rsidRPr="007B20B5">
        <w:rPr>
          <w:rFonts w:ascii="Times New Roman" w:hAnsi="Times New Roman"/>
          <w:sz w:val="24"/>
          <w:szCs w:val="24"/>
          <w:u w:val="single"/>
        </w:rPr>
        <w:t>Zakres przedmiotowy</w:t>
      </w:r>
      <w:r w:rsidR="00A23537" w:rsidRPr="007B20B5">
        <w:rPr>
          <w:rFonts w:ascii="Times New Roman" w:hAnsi="Times New Roman"/>
          <w:sz w:val="24"/>
          <w:szCs w:val="24"/>
          <w:u w:val="single"/>
        </w:rPr>
        <w:t xml:space="preserve"> regulacji</w:t>
      </w:r>
    </w:p>
    <w:p w14:paraId="280E12D5" w14:textId="0A69A11E" w:rsidR="004C1368" w:rsidRPr="007B20B5" w:rsidRDefault="00E10C33" w:rsidP="004C1368">
      <w:pPr>
        <w:spacing w:before="240" w:line="340" w:lineRule="atLeast"/>
        <w:jc w:val="both"/>
        <w:rPr>
          <w:rFonts w:ascii="Times New Roman" w:hAnsi="Times New Roman"/>
          <w:sz w:val="24"/>
          <w:szCs w:val="24"/>
        </w:rPr>
      </w:pPr>
      <w:r w:rsidRPr="007B20B5">
        <w:rPr>
          <w:rFonts w:ascii="Times New Roman" w:hAnsi="Times New Roman"/>
          <w:sz w:val="24"/>
          <w:szCs w:val="24"/>
        </w:rPr>
        <w:t>Dyrektywa</w:t>
      </w:r>
      <w:r w:rsidR="004C1368" w:rsidRPr="007B20B5">
        <w:rPr>
          <w:rFonts w:ascii="Times New Roman" w:hAnsi="Times New Roman"/>
          <w:sz w:val="24"/>
          <w:szCs w:val="24"/>
        </w:rPr>
        <w:t xml:space="preserve"> VAT wprowadza nowe obowiązki w zakresie prowadzenia ewidencji przez dostawców usług płatniczych. Usługi płatnicze, których to dotyczy, są określone w załączniku </w:t>
      </w:r>
      <w:r w:rsidR="00765E74" w:rsidRPr="007B20B5">
        <w:rPr>
          <w:rFonts w:ascii="Times New Roman" w:hAnsi="Times New Roman"/>
          <w:sz w:val="24"/>
          <w:szCs w:val="24"/>
        </w:rPr>
        <w:t xml:space="preserve">nr </w:t>
      </w:r>
      <w:r w:rsidR="004C1368" w:rsidRPr="007B20B5">
        <w:rPr>
          <w:rFonts w:ascii="Times New Roman" w:hAnsi="Times New Roman"/>
          <w:sz w:val="24"/>
          <w:szCs w:val="24"/>
        </w:rPr>
        <w:t xml:space="preserve">1 do dyrektywy </w:t>
      </w:r>
      <w:r w:rsidR="00BE6852" w:rsidRPr="007B20B5">
        <w:rPr>
          <w:rFonts w:ascii="Times New Roman" w:hAnsi="Times New Roman"/>
          <w:sz w:val="24"/>
          <w:szCs w:val="24"/>
        </w:rPr>
        <w:t>PSD2</w:t>
      </w:r>
      <w:r w:rsidR="00362EB4">
        <w:rPr>
          <w:rFonts w:ascii="Times New Roman" w:hAnsi="Times New Roman"/>
          <w:sz w:val="24"/>
          <w:szCs w:val="24"/>
        </w:rPr>
        <w:t xml:space="preserve"> w pkt 3</w:t>
      </w:r>
      <w:r w:rsidR="004F6664" w:rsidRPr="007B20B5">
        <w:rPr>
          <w:rFonts w:ascii="Times New Roman" w:hAnsi="Times New Roman"/>
          <w:sz w:val="24"/>
          <w:szCs w:val="24"/>
        </w:rPr>
        <w:t>-6</w:t>
      </w:r>
      <w:r w:rsidR="004C1368" w:rsidRPr="007B20B5">
        <w:rPr>
          <w:rFonts w:ascii="Times New Roman" w:hAnsi="Times New Roman"/>
          <w:sz w:val="24"/>
          <w:szCs w:val="24"/>
        </w:rPr>
        <w:t xml:space="preserve">. Nie wszystkie usługi płatnicze mają znaczenie dla kontroli transgranicznych dostaw towarów i świadczenia usług. Istotne są jedynie te, które prowadzą do transgranicznego transferu środków na rzecz odbiorców </w:t>
      </w:r>
      <w:r w:rsidR="00B50A05" w:rsidRPr="007B20B5">
        <w:rPr>
          <w:rFonts w:ascii="Times New Roman" w:hAnsi="Times New Roman"/>
          <w:sz w:val="24"/>
          <w:szCs w:val="24"/>
        </w:rPr>
        <w:t xml:space="preserve">płatności </w:t>
      </w:r>
      <w:r w:rsidR="004C1368" w:rsidRPr="007B20B5">
        <w:rPr>
          <w:rFonts w:ascii="Times New Roman" w:hAnsi="Times New Roman"/>
          <w:sz w:val="24"/>
          <w:szCs w:val="24"/>
        </w:rPr>
        <w:t>(lub dostawców usług płatniczych działających w imieniu odbiorców) i tylko wówczas, gdy płatnik</w:t>
      </w:r>
      <w:r w:rsidR="000A4D9E" w:rsidRPr="007B20B5">
        <w:rPr>
          <w:rFonts w:ascii="Times New Roman" w:hAnsi="Times New Roman"/>
          <w:sz w:val="24"/>
          <w:szCs w:val="24"/>
        </w:rPr>
        <w:t xml:space="preserve"> znajduje się w</w:t>
      </w:r>
      <w:r w:rsidR="009259A7" w:rsidRPr="007B20B5">
        <w:rPr>
          <w:rFonts w:ascii="Times New Roman" w:hAnsi="Times New Roman"/>
          <w:sz w:val="24"/>
          <w:szCs w:val="24"/>
        </w:rPr>
        <w:t> </w:t>
      </w:r>
      <w:r w:rsidR="000A4D9E" w:rsidRPr="007B20B5">
        <w:rPr>
          <w:rFonts w:ascii="Times New Roman" w:hAnsi="Times New Roman"/>
          <w:sz w:val="24"/>
          <w:szCs w:val="24"/>
        </w:rPr>
        <w:t>jednym z</w:t>
      </w:r>
      <w:r w:rsidR="00B50A05" w:rsidRPr="007B20B5">
        <w:rPr>
          <w:rFonts w:ascii="Times New Roman" w:hAnsi="Times New Roman"/>
          <w:sz w:val="24"/>
          <w:szCs w:val="24"/>
        </w:rPr>
        <w:t xml:space="preserve"> </w:t>
      </w:r>
      <w:r w:rsidR="004C1368" w:rsidRPr="007B20B5">
        <w:rPr>
          <w:rFonts w:ascii="Times New Roman" w:hAnsi="Times New Roman"/>
          <w:sz w:val="24"/>
          <w:szCs w:val="24"/>
        </w:rPr>
        <w:t xml:space="preserve">państw członkowskich. Wynika to z faktu, że państwo członkowskie, z którego pochodzi płatność, wskazuje organom podatkowym miejsce konsumpcji. </w:t>
      </w:r>
      <w:r w:rsidR="00AC1718" w:rsidRPr="007B20B5">
        <w:rPr>
          <w:rFonts w:ascii="Times New Roman" w:hAnsi="Times New Roman"/>
          <w:sz w:val="24"/>
          <w:szCs w:val="24"/>
        </w:rPr>
        <w:t>P</w:t>
      </w:r>
      <w:r w:rsidR="004C1368" w:rsidRPr="007B20B5">
        <w:rPr>
          <w:rFonts w:ascii="Times New Roman" w:hAnsi="Times New Roman"/>
          <w:sz w:val="24"/>
          <w:szCs w:val="24"/>
        </w:rPr>
        <w:t>ojęcie „transgraniczne” odnosi się do transakcji, w których konsument</w:t>
      </w:r>
      <w:r w:rsidR="00812073">
        <w:rPr>
          <w:rFonts w:ascii="Times New Roman" w:hAnsi="Times New Roman"/>
          <w:sz w:val="24"/>
          <w:szCs w:val="24"/>
        </w:rPr>
        <w:t>/płatnik</w:t>
      </w:r>
      <w:r w:rsidR="004C1368" w:rsidRPr="007B20B5">
        <w:rPr>
          <w:rFonts w:ascii="Times New Roman" w:hAnsi="Times New Roman"/>
          <w:sz w:val="24"/>
          <w:szCs w:val="24"/>
        </w:rPr>
        <w:t xml:space="preserve"> znajduje się w jednym państwie członkowskim, a dostawca</w:t>
      </w:r>
      <w:r w:rsidR="00812073">
        <w:rPr>
          <w:rFonts w:ascii="Times New Roman" w:hAnsi="Times New Roman"/>
          <w:sz w:val="24"/>
          <w:szCs w:val="24"/>
        </w:rPr>
        <w:t xml:space="preserve">/odbiorca </w:t>
      </w:r>
      <w:r w:rsidR="00EF3D37">
        <w:rPr>
          <w:rFonts w:ascii="Times New Roman" w:hAnsi="Times New Roman"/>
          <w:sz w:val="24"/>
          <w:szCs w:val="24"/>
        </w:rPr>
        <w:t>płatności</w:t>
      </w:r>
      <w:r w:rsidR="004C1368" w:rsidRPr="007B20B5">
        <w:rPr>
          <w:rFonts w:ascii="Times New Roman" w:hAnsi="Times New Roman"/>
          <w:sz w:val="24"/>
          <w:szCs w:val="24"/>
        </w:rPr>
        <w:t xml:space="preserve"> – w innym państwie członkowskim bądź też na terytorium </w:t>
      </w:r>
      <w:r w:rsidR="004F6664" w:rsidRPr="007B20B5">
        <w:rPr>
          <w:rFonts w:ascii="Times New Roman" w:hAnsi="Times New Roman"/>
          <w:sz w:val="24"/>
          <w:szCs w:val="24"/>
        </w:rPr>
        <w:t>państwa trzeciego</w:t>
      </w:r>
      <w:r w:rsidR="004C1368" w:rsidRPr="007B20B5">
        <w:rPr>
          <w:rFonts w:ascii="Times New Roman" w:hAnsi="Times New Roman"/>
          <w:sz w:val="24"/>
          <w:szCs w:val="24"/>
        </w:rPr>
        <w:t xml:space="preserve">. </w:t>
      </w:r>
      <w:r w:rsidR="000A4D9E" w:rsidRPr="007B20B5">
        <w:rPr>
          <w:rFonts w:ascii="Times New Roman" w:hAnsi="Times New Roman"/>
          <w:sz w:val="24"/>
          <w:szCs w:val="24"/>
        </w:rPr>
        <w:t>Wynika z tego, że p</w:t>
      </w:r>
      <w:r w:rsidR="004C1368" w:rsidRPr="007B20B5">
        <w:rPr>
          <w:rFonts w:ascii="Times New Roman" w:hAnsi="Times New Roman"/>
          <w:sz w:val="24"/>
          <w:szCs w:val="24"/>
        </w:rPr>
        <w:t xml:space="preserve">łatności </w:t>
      </w:r>
      <w:r w:rsidR="00BE6852" w:rsidRPr="007B20B5">
        <w:rPr>
          <w:rFonts w:ascii="Times New Roman" w:hAnsi="Times New Roman"/>
          <w:sz w:val="24"/>
          <w:szCs w:val="24"/>
        </w:rPr>
        <w:t>krajowe nie będą</w:t>
      </w:r>
      <w:r w:rsidR="004C1368" w:rsidRPr="007B20B5">
        <w:rPr>
          <w:rFonts w:ascii="Times New Roman" w:hAnsi="Times New Roman"/>
          <w:sz w:val="24"/>
          <w:szCs w:val="24"/>
        </w:rPr>
        <w:t xml:space="preserve"> objęte zakresem </w:t>
      </w:r>
      <w:r w:rsidR="007B20B5">
        <w:rPr>
          <w:rFonts w:ascii="Times New Roman" w:hAnsi="Times New Roman"/>
          <w:sz w:val="24"/>
          <w:szCs w:val="24"/>
        </w:rPr>
        <w:t>nowych regulacji</w:t>
      </w:r>
      <w:r w:rsidR="004C1368" w:rsidRPr="007B20B5">
        <w:rPr>
          <w:rFonts w:ascii="Times New Roman" w:hAnsi="Times New Roman"/>
          <w:sz w:val="24"/>
          <w:szCs w:val="24"/>
        </w:rPr>
        <w:t>.</w:t>
      </w:r>
    </w:p>
    <w:p w14:paraId="02EA0CFA" w14:textId="2607016F" w:rsidR="00FE503E" w:rsidRPr="007B20B5" w:rsidRDefault="00FE503E" w:rsidP="004F6664">
      <w:pPr>
        <w:spacing w:before="240" w:line="340" w:lineRule="atLeast"/>
        <w:jc w:val="both"/>
        <w:rPr>
          <w:rFonts w:ascii="Times New Roman" w:hAnsi="Times New Roman"/>
          <w:sz w:val="24"/>
          <w:szCs w:val="24"/>
        </w:rPr>
      </w:pPr>
      <w:r w:rsidRPr="007B20B5">
        <w:rPr>
          <w:rFonts w:ascii="Times New Roman" w:hAnsi="Times New Roman"/>
          <w:sz w:val="24"/>
          <w:szCs w:val="24"/>
        </w:rPr>
        <w:t>Aby uwzględnić jedynie płatności, które mogą być powiązane z działalnością gospodarczą (a więc wykluczyć transgraniczne przelewy środków dokonywane w kontekście prywatnym), przewidziano próg liczby płatności transgranicznych otrzymywanych przez danego odbiorcę</w:t>
      </w:r>
      <w:r w:rsidR="00B50A05" w:rsidRPr="007B20B5">
        <w:rPr>
          <w:rFonts w:ascii="Times New Roman" w:hAnsi="Times New Roman"/>
          <w:sz w:val="24"/>
          <w:szCs w:val="24"/>
        </w:rPr>
        <w:t xml:space="preserve"> płatności</w:t>
      </w:r>
      <w:r w:rsidRPr="007B20B5">
        <w:rPr>
          <w:rFonts w:ascii="Times New Roman" w:hAnsi="Times New Roman"/>
          <w:sz w:val="24"/>
          <w:szCs w:val="24"/>
        </w:rPr>
        <w:t xml:space="preserve">. Dostawca usług płatniczych będzie musiał </w:t>
      </w:r>
      <w:r w:rsidR="00765E74" w:rsidRPr="007B20B5">
        <w:rPr>
          <w:rFonts w:ascii="Times New Roman" w:hAnsi="Times New Roman"/>
          <w:sz w:val="24"/>
          <w:szCs w:val="24"/>
        </w:rPr>
        <w:t>prowadzić</w:t>
      </w:r>
      <w:r w:rsidRPr="007B20B5">
        <w:rPr>
          <w:rFonts w:ascii="Times New Roman" w:hAnsi="Times New Roman"/>
          <w:sz w:val="24"/>
          <w:szCs w:val="24"/>
        </w:rPr>
        <w:t xml:space="preserve"> ewide</w:t>
      </w:r>
      <w:r w:rsidR="007B20B5">
        <w:rPr>
          <w:rFonts w:ascii="Times New Roman" w:hAnsi="Times New Roman"/>
          <w:sz w:val="24"/>
          <w:szCs w:val="24"/>
        </w:rPr>
        <w:t xml:space="preserve">ncję na temat danego odbiorcy </w:t>
      </w:r>
      <w:r w:rsidR="00812073">
        <w:rPr>
          <w:rFonts w:ascii="Times New Roman" w:hAnsi="Times New Roman"/>
          <w:sz w:val="24"/>
          <w:szCs w:val="24"/>
        </w:rPr>
        <w:t xml:space="preserve">płatności </w:t>
      </w:r>
      <w:r w:rsidR="007B20B5">
        <w:rPr>
          <w:rFonts w:ascii="Times New Roman" w:hAnsi="Times New Roman"/>
          <w:sz w:val="24"/>
          <w:szCs w:val="24"/>
        </w:rPr>
        <w:t xml:space="preserve">w </w:t>
      </w:r>
      <w:r w:rsidRPr="007B20B5">
        <w:rPr>
          <w:rFonts w:ascii="Times New Roman" w:hAnsi="Times New Roman"/>
          <w:sz w:val="24"/>
          <w:szCs w:val="24"/>
        </w:rPr>
        <w:t xml:space="preserve">celu jej udostępnienia </w:t>
      </w:r>
      <w:r w:rsidR="00812073">
        <w:rPr>
          <w:rFonts w:ascii="Times New Roman" w:hAnsi="Times New Roman"/>
          <w:sz w:val="24"/>
          <w:szCs w:val="24"/>
        </w:rPr>
        <w:t>administracjom</w:t>
      </w:r>
      <w:r w:rsidRPr="007B20B5">
        <w:rPr>
          <w:rFonts w:ascii="Times New Roman" w:hAnsi="Times New Roman"/>
          <w:sz w:val="24"/>
          <w:szCs w:val="24"/>
        </w:rPr>
        <w:t xml:space="preserve"> podatkowym tylko wówczas, gdy łączna liczba płatności otrzymanych przez danego odbiorcę </w:t>
      </w:r>
      <w:r w:rsidR="00765E74" w:rsidRPr="007B20B5">
        <w:rPr>
          <w:rFonts w:ascii="Times New Roman" w:hAnsi="Times New Roman"/>
          <w:sz w:val="24"/>
          <w:szCs w:val="24"/>
        </w:rPr>
        <w:t xml:space="preserve">płatności </w:t>
      </w:r>
      <w:r w:rsidR="00812073">
        <w:rPr>
          <w:rFonts w:ascii="Times New Roman" w:hAnsi="Times New Roman"/>
          <w:sz w:val="24"/>
          <w:szCs w:val="24"/>
        </w:rPr>
        <w:t>przekroczy próg 25 </w:t>
      </w:r>
      <w:r w:rsidRPr="007B20B5">
        <w:rPr>
          <w:rFonts w:ascii="Times New Roman" w:hAnsi="Times New Roman"/>
          <w:sz w:val="24"/>
          <w:szCs w:val="24"/>
        </w:rPr>
        <w:t>płatności w</w:t>
      </w:r>
      <w:r w:rsidR="00812073">
        <w:rPr>
          <w:rFonts w:ascii="Times New Roman" w:hAnsi="Times New Roman"/>
          <w:sz w:val="24"/>
          <w:szCs w:val="24"/>
        </w:rPr>
        <w:t xml:space="preserve"> </w:t>
      </w:r>
      <w:r w:rsidRPr="007B20B5">
        <w:rPr>
          <w:rFonts w:ascii="Times New Roman" w:hAnsi="Times New Roman"/>
          <w:sz w:val="24"/>
          <w:szCs w:val="24"/>
        </w:rPr>
        <w:t>kwartale kalendarzowym (jest to również okres sprawozdawczy dla dostawców usług płatniczych). Liczbę tych płatności oblicza się poprzez odniesienie do usług płatniczych świadczonych przez dostawcę usług płatniczych w podziale na poszczególne państwa członkowskie</w:t>
      </w:r>
      <w:r w:rsidR="004F6664" w:rsidRPr="007B20B5">
        <w:rPr>
          <w:rFonts w:ascii="Times New Roman" w:hAnsi="Times New Roman"/>
          <w:sz w:val="24"/>
          <w:szCs w:val="24"/>
        </w:rPr>
        <w:t xml:space="preserve"> i p</w:t>
      </w:r>
      <w:r w:rsidR="001F4EC3" w:rsidRPr="007B20B5">
        <w:rPr>
          <w:rFonts w:ascii="Times New Roman" w:hAnsi="Times New Roman"/>
          <w:sz w:val="24"/>
          <w:szCs w:val="24"/>
        </w:rPr>
        <w:t>oszczególne identyfikatory odbiorcy płatności.</w:t>
      </w:r>
    </w:p>
    <w:p w14:paraId="0845C0F3" w14:textId="2A123652" w:rsidR="00435C3B" w:rsidRPr="007B20B5" w:rsidRDefault="00435C3B" w:rsidP="004C1368">
      <w:pPr>
        <w:spacing w:before="240" w:line="340" w:lineRule="atLeast"/>
        <w:jc w:val="both"/>
        <w:rPr>
          <w:rFonts w:ascii="Times New Roman" w:hAnsi="Times New Roman"/>
          <w:sz w:val="24"/>
          <w:szCs w:val="24"/>
        </w:rPr>
      </w:pPr>
      <w:r w:rsidRPr="007B20B5">
        <w:rPr>
          <w:rFonts w:ascii="Times New Roman" w:hAnsi="Times New Roman"/>
          <w:sz w:val="24"/>
          <w:szCs w:val="24"/>
        </w:rPr>
        <w:t>Ponadto dostawcy usług płatniczych nie zawsze wiedzą, czy dany płatnik jest podatnikiem, czy jedynie prywatnym konsumentem. W związku z tym</w:t>
      </w:r>
      <w:r w:rsidR="00ED0BAC" w:rsidRPr="007B20B5">
        <w:rPr>
          <w:rFonts w:ascii="Times New Roman" w:hAnsi="Times New Roman"/>
          <w:sz w:val="24"/>
          <w:szCs w:val="24"/>
        </w:rPr>
        <w:t>,</w:t>
      </w:r>
      <w:r w:rsidRPr="007B20B5">
        <w:rPr>
          <w:rFonts w:ascii="Times New Roman" w:hAnsi="Times New Roman"/>
          <w:sz w:val="24"/>
          <w:szCs w:val="24"/>
        </w:rPr>
        <w:t xml:space="preserve"> po przekroczeniu progu 25 płatności </w:t>
      </w:r>
      <w:r w:rsidR="00ED0BAC" w:rsidRPr="007B20B5">
        <w:rPr>
          <w:rFonts w:ascii="Times New Roman" w:hAnsi="Times New Roman"/>
          <w:sz w:val="24"/>
          <w:szCs w:val="24"/>
        </w:rPr>
        <w:t xml:space="preserve">transgranicznych na rzecz tego samego odbiorcy płatności </w:t>
      </w:r>
      <w:r w:rsidRPr="007B20B5">
        <w:rPr>
          <w:rFonts w:ascii="Times New Roman" w:hAnsi="Times New Roman"/>
          <w:sz w:val="24"/>
          <w:szCs w:val="24"/>
        </w:rPr>
        <w:t>w kwartale</w:t>
      </w:r>
      <w:r w:rsidR="00ED0BAC" w:rsidRPr="007B20B5">
        <w:rPr>
          <w:rFonts w:ascii="Times New Roman" w:hAnsi="Times New Roman"/>
          <w:sz w:val="24"/>
          <w:szCs w:val="24"/>
        </w:rPr>
        <w:t>,</w:t>
      </w:r>
      <w:r w:rsidRPr="007B20B5">
        <w:rPr>
          <w:rFonts w:ascii="Times New Roman" w:hAnsi="Times New Roman"/>
          <w:sz w:val="24"/>
          <w:szCs w:val="24"/>
        </w:rPr>
        <w:t xml:space="preserve"> dostawcy usług płatniczych będą musieli przechowywać informacje dotyczące wszystkich płatności otrzymanych przez danego odbiorcę</w:t>
      </w:r>
      <w:r w:rsidR="00941C34">
        <w:rPr>
          <w:rFonts w:ascii="Times New Roman" w:hAnsi="Times New Roman"/>
          <w:sz w:val="24"/>
          <w:szCs w:val="24"/>
        </w:rPr>
        <w:t xml:space="preserve"> płatności</w:t>
      </w:r>
      <w:r w:rsidRPr="007B20B5">
        <w:rPr>
          <w:rFonts w:ascii="Times New Roman" w:hAnsi="Times New Roman"/>
          <w:sz w:val="24"/>
          <w:szCs w:val="24"/>
        </w:rPr>
        <w:t>, bez rozróżniania, czy płatnik jest konsumentem, czy podatnikiem. Z pow</w:t>
      </w:r>
      <w:r w:rsidR="0028516F">
        <w:rPr>
          <w:rFonts w:ascii="Times New Roman" w:hAnsi="Times New Roman"/>
          <w:sz w:val="24"/>
          <w:szCs w:val="24"/>
        </w:rPr>
        <w:t xml:space="preserve">yższego wynika, że </w:t>
      </w:r>
      <w:r w:rsidR="00941C34">
        <w:rPr>
          <w:rFonts w:ascii="Times New Roman" w:hAnsi="Times New Roman"/>
          <w:sz w:val="24"/>
          <w:szCs w:val="24"/>
        </w:rPr>
        <w:t>regulacje wprowadzone dyrektywą</w:t>
      </w:r>
      <w:r w:rsidR="0028516F">
        <w:rPr>
          <w:rFonts w:ascii="Times New Roman" w:hAnsi="Times New Roman"/>
          <w:sz w:val="24"/>
          <w:szCs w:val="24"/>
        </w:rPr>
        <w:t xml:space="preserve"> 2020/284</w:t>
      </w:r>
      <w:r w:rsidR="00941C34">
        <w:rPr>
          <w:rFonts w:ascii="Times New Roman" w:hAnsi="Times New Roman"/>
          <w:sz w:val="24"/>
          <w:szCs w:val="24"/>
        </w:rPr>
        <w:t xml:space="preserve"> będą miały zastosowanie w </w:t>
      </w:r>
      <w:r w:rsidRPr="007B20B5">
        <w:rPr>
          <w:rFonts w:ascii="Times New Roman" w:hAnsi="Times New Roman"/>
          <w:sz w:val="24"/>
          <w:szCs w:val="24"/>
        </w:rPr>
        <w:t>ten sam sposób do płatności B2B i B2C.</w:t>
      </w:r>
    </w:p>
    <w:p w14:paraId="3C8D64F6" w14:textId="62FD8497" w:rsidR="00A23537" w:rsidRPr="007B20B5" w:rsidRDefault="004C1368" w:rsidP="004C1368">
      <w:pPr>
        <w:spacing w:before="240" w:line="340" w:lineRule="atLeast"/>
        <w:jc w:val="both"/>
        <w:rPr>
          <w:rFonts w:ascii="Times New Roman" w:hAnsi="Times New Roman"/>
          <w:sz w:val="24"/>
          <w:szCs w:val="24"/>
        </w:rPr>
      </w:pPr>
      <w:r w:rsidRPr="007B20B5">
        <w:rPr>
          <w:rFonts w:ascii="Times New Roman" w:hAnsi="Times New Roman"/>
          <w:sz w:val="24"/>
          <w:szCs w:val="24"/>
          <w:u w:val="single"/>
        </w:rPr>
        <w:t>Zasady określania lokalizacji odbiorców</w:t>
      </w:r>
      <w:r w:rsidR="00CE3E52">
        <w:rPr>
          <w:rFonts w:ascii="Times New Roman" w:hAnsi="Times New Roman"/>
          <w:sz w:val="24"/>
          <w:szCs w:val="24"/>
          <w:u w:val="single"/>
        </w:rPr>
        <w:t xml:space="preserve"> płatności</w:t>
      </w:r>
      <w:r w:rsidRPr="007B20B5">
        <w:rPr>
          <w:rFonts w:ascii="Times New Roman" w:hAnsi="Times New Roman"/>
          <w:sz w:val="24"/>
          <w:szCs w:val="24"/>
          <w:u w:val="single"/>
        </w:rPr>
        <w:t xml:space="preserve"> i płatników</w:t>
      </w:r>
    </w:p>
    <w:p w14:paraId="105491AC" w14:textId="6AE6EA37" w:rsidR="004C1368" w:rsidRPr="007B20B5" w:rsidRDefault="00AC1718" w:rsidP="004C1368">
      <w:pPr>
        <w:spacing w:before="240" w:line="340" w:lineRule="atLeast"/>
        <w:jc w:val="both"/>
        <w:rPr>
          <w:rFonts w:ascii="Times New Roman" w:hAnsi="Times New Roman"/>
          <w:sz w:val="24"/>
          <w:szCs w:val="24"/>
        </w:rPr>
      </w:pPr>
      <w:r w:rsidRPr="007B20B5">
        <w:rPr>
          <w:rFonts w:ascii="Times New Roman" w:hAnsi="Times New Roman"/>
          <w:sz w:val="24"/>
          <w:szCs w:val="24"/>
        </w:rPr>
        <w:t xml:space="preserve">Dyrektywa VAT formułuje </w:t>
      </w:r>
      <w:r w:rsidR="004C1368" w:rsidRPr="007B20B5">
        <w:rPr>
          <w:rFonts w:ascii="Times New Roman" w:hAnsi="Times New Roman"/>
          <w:sz w:val="24"/>
          <w:szCs w:val="24"/>
        </w:rPr>
        <w:t>zasady, które dostawcy usług płatniczych muszą stosować w celu określenia lo</w:t>
      </w:r>
      <w:r w:rsidR="000A4D9E" w:rsidRPr="007B20B5">
        <w:rPr>
          <w:rFonts w:ascii="Times New Roman" w:hAnsi="Times New Roman"/>
          <w:sz w:val="24"/>
          <w:szCs w:val="24"/>
        </w:rPr>
        <w:t>kalizacji płatników i odbiorców</w:t>
      </w:r>
      <w:r w:rsidR="00121E04" w:rsidRPr="007B20B5">
        <w:rPr>
          <w:rFonts w:ascii="Times New Roman" w:hAnsi="Times New Roman"/>
          <w:sz w:val="24"/>
          <w:szCs w:val="24"/>
        </w:rPr>
        <w:t xml:space="preserve"> płatności</w:t>
      </w:r>
      <w:r w:rsidR="004C1368" w:rsidRPr="007B20B5">
        <w:rPr>
          <w:rFonts w:ascii="Times New Roman" w:hAnsi="Times New Roman"/>
          <w:sz w:val="24"/>
          <w:szCs w:val="24"/>
        </w:rPr>
        <w:t xml:space="preserve">. Zasady te nie odnoszą się do ustalania </w:t>
      </w:r>
      <w:r w:rsidR="004C1368" w:rsidRPr="007B20B5">
        <w:rPr>
          <w:rFonts w:ascii="Times New Roman" w:hAnsi="Times New Roman"/>
          <w:sz w:val="24"/>
          <w:szCs w:val="24"/>
        </w:rPr>
        <w:lastRenderedPageBreak/>
        <w:t>miejsca opodatkowania, lecz do</w:t>
      </w:r>
      <w:r w:rsidR="00941C34">
        <w:rPr>
          <w:rFonts w:ascii="Times New Roman" w:hAnsi="Times New Roman"/>
          <w:sz w:val="24"/>
          <w:szCs w:val="24"/>
        </w:rPr>
        <w:t xml:space="preserve"> określania lokalizacji odbiorców płatności</w:t>
      </w:r>
      <w:r w:rsidR="004C1368" w:rsidRPr="007B20B5">
        <w:rPr>
          <w:rFonts w:ascii="Times New Roman" w:hAnsi="Times New Roman"/>
          <w:sz w:val="24"/>
          <w:szCs w:val="24"/>
        </w:rPr>
        <w:t xml:space="preserve"> i płatników w celu stosowania obowiązku prowadzenia ewidencji.</w:t>
      </w:r>
    </w:p>
    <w:p w14:paraId="4997E8B6" w14:textId="03C38298" w:rsidR="000A4D9E" w:rsidRPr="007B20B5" w:rsidRDefault="000A4D9E" w:rsidP="004C1368">
      <w:pPr>
        <w:spacing w:before="240" w:line="340" w:lineRule="atLeast"/>
        <w:jc w:val="both"/>
        <w:rPr>
          <w:rFonts w:ascii="Times New Roman" w:hAnsi="Times New Roman"/>
          <w:sz w:val="24"/>
          <w:szCs w:val="24"/>
        </w:rPr>
      </w:pPr>
      <w:r w:rsidRPr="007B20B5">
        <w:rPr>
          <w:rFonts w:ascii="Times New Roman" w:hAnsi="Times New Roman"/>
          <w:sz w:val="24"/>
          <w:szCs w:val="24"/>
        </w:rPr>
        <w:t>Należy zauważyć, że lokalizacja nie odnosi się do lokalizacji siedziby ani stałego lub zwykłego miejsca zamieszkania odbiorcy</w:t>
      </w:r>
      <w:r w:rsidR="00CE3E52">
        <w:rPr>
          <w:rFonts w:ascii="Times New Roman" w:hAnsi="Times New Roman"/>
          <w:sz w:val="24"/>
          <w:szCs w:val="24"/>
        </w:rPr>
        <w:t xml:space="preserve"> płatności</w:t>
      </w:r>
      <w:r w:rsidRPr="007B20B5">
        <w:rPr>
          <w:rFonts w:ascii="Times New Roman" w:hAnsi="Times New Roman"/>
          <w:sz w:val="24"/>
          <w:szCs w:val="24"/>
        </w:rPr>
        <w:t xml:space="preserve"> ani płatnika. Dostawcy usług płatniczych są stronami trzecimi w kontekście stosunku umownego między podat</w:t>
      </w:r>
      <w:r w:rsidR="00121E04" w:rsidRPr="007B20B5">
        <w:rPr>
          <w:rFonts w:ascii="Times New Roman" w:hAnsi="Times New Roman"/>
          <w:sz w:val="24"/>
          <w:szCs w:val="24"/>
        </w:rPr>
        <w:t>nikami dostarczającymi towary i </w:t>
      </w:r>
      <w:r w:rsidRPr="007B20B5">
        <w:rPr>
          <w:rFonts w:ascii="Times New Roman" w:hAnsi="Times New Roman"/>
          <w:sz w:val="24"/>
          <w:szCs w:val="24"/>
        </w:rPr>
        <w:t>świadczącymi usługi a ich konsumentami. Z tego względu informacje dostępne dostawcom usług płatniczych przy wykonywaniu przez nich usług płatniczych niekoniecznie pokrywają się z informacjami, jakimi dysponują podatnicy na tema</w:t>
      </w:r>
      <w:r w:rsidR="00121E04" w:rsidRPr="007B20B5">
        <w:rPr>
          <w:rFonts w:ascii="Times New Roman" w:hAnsi="Times New Roman"/>
          <w:sz w:val="24"/>
          <w:szCs w:val="24"/>
        </w:rPr>
        <w:t>t swoich konsumentów, czy też z </w:t>
      </w:r>
      <w:r w:rsidRPr="007B20B5">
        <w:rPr>
          <w:rFonts w:ascii="Times New Roman" w:hAnsi="Times New Roman"/>
          <w:sz w:val="24"/>
          <w:szCs w:val="24"/>
        </w:rPr>
        <w:t>informacjami niezbędnymi do ustalenia lokalizacji transakcji podlegającej opodatkowaniu. Lokalizacja jedynie determinuje obowiązek prowadzenia ewidencji przez dostawcę usług płatniczych.</w:t>
      </w:r>
    </w:p>
    <w:p w14:paraId="726EF620" w14:textId="15B518F9" w:rsidR="00BE7BC7" w:rsidRPr="007B20B5" w:rsidRDefault="00BE7BC7" w:rsidP="004C1368">
      <w:pPr>
        <w:spacing w:before="240" w:line="340" w:lineRule="atLeast"/>
        <w:jc w:val="both"/>
        <w:rPr>
          <w:rFonts w:ascii="Times New Roman" w:hAnsi="Times New Roman"/>
          <w:sz w:val="24"/>
          <w:szCs w:val="24"/>
        </w:rPr>
      </w:pPr>
      <w:r w:rsidRPr="007B20B5">
        <w:rPr>
          <w:rFonts w:ascii="Times New Roman" w:hAnsi="Times New Roman"/>
          <w:sz w:val="24"/>
          <w:szCs w:val="24"/>
        </w:rPr>
        <w:t>Uznaje się, że płatnik znajduje się na terytorium państwa członkowskiego, któremu odpowiada IBAN rachunku płatniczego płatnika lub jakikolwiek inny identyfikator, który jednoznacznie identyfikuje płatnika oraz podaje jego lokalizację. Natomiast w przypadku braku takich identyfikatorów lokalizację płatnika ustala się w oparciu o identyfikator dostawcy usług płatniczych działającego w imieniu płatnika</w:t>
      </w:r>
      <w:r w:rsidR="00941C34">
        <w:rPr>
          <w:rFonts w:ascii="Times New Roman" w:hAnsi="Times New Roman"/>
          <w:sz w:val="24"/>
          <w:szCs w:val="24"/>
        </w:rPr>
        <w:t xml:space="preserve"> (BIC lub jakikolwiek inny kod identyfikacyjny</w:t>
      </w:r>
      <w:r w:rsidR="002D73B4">
        <w:rPr>
          <w:rFonts w:ascii="Times New Roman" w:hAnsi="Times New Roman"/>
          <w:sz w:val="24"/>
          <w:szCs w:val="24"/>
        </w:rPr>
        <w:t xml:space="preserve"> instytucji</w:t>
      </w:r>
      <w:r w:rsidR="00941C34">
        <w:rPr>
          <w:rFonts w:ascii="Times New Roman" w:hAnsi="Times New Roman"/>
          <w:sz w:val="24"/>
          <w:szCs w:val="24"/>
        </w:rPr>
        <w:t>)</w:t>
      </w:r>
      <w:r w:rsidRPr="007B20B5">
        <w:rPr>
          <w:rFonts w:ascii="Times New Roman" w:hAnsi="Times New Roman"/>
          <w:sz w:val="24"/>
          <w:szCs w:val="24"/>
        </w:rPr>
        <w:t>. Takie same zasady stosuje się do ustalania lokalizacji odbiorcy płatności.</w:t>
      </w:r>
      <w:r w:rsidR="00941C34">
        <w:rPr>
          <w:rFonts w:ascii="Times New Roman" w:hAnsi="Times New Roman"/>
          <w:sz w:val="24"/>
          <w:szCs w:val="24"/>
        </w:rPr>
        <w:t xml:space="preserve"> Czyli, uznaje się, że odbiorca płatności</w:t>
      </w:r>
      <w:r w:rsidR="00941C34" w:rsidRPr="007B20B5">
        <w:rPr>
          <w:rFonts w:ascii="Times New Roman" w:hAnsi="Times New Roman"/>
          <w:sz w:val="24"/>
          <w:szCs w:val="24"/>
        </w:rPr>
        <w:t xml:space="preserve"> znajduje się na terytorium państwa członkowskiego</w:t>
      </w:r>
      <w:r w:rsidR="00CE3E52">
        <w:rPr>
          <w:rFonts w:ascii="Times New Roman" w:hAnsi="Times New Roman"/>
          <w:sz w:val="24"/>
          <w:szCs w:val="24"/>
        </w:rPr>
        <w:t xml:space="preserve"> lub państwa trzeciego</w:t>
      </w:r>
      <w:r w:rsidR="00941C34" w:rsidRPr="007B20B5">
        <w:rPr>
          <w:rFonts w:ascii="Times New Roman" w:hAnsi="Times New Roman"/>
          <w:sz w:val="24"/>
          <w:szCs w:val="24"/>
        </w:rPr>
        <w:t xml:space="preserve">, któremu odpowiada IBAN rachunku płatniczego </w:t>
      </w:r>
      <w:r w:rsidR="00941C34">
        <w:rPr>
          <w:rFonts w:ascii="Times New Roman" w:hAnsi="Times New Roman"/>
          <w:sz w:val="24"/>
          <w:szCs w:val="24"/>
        </w:rPr>
        <w:t>odbiorcy płatności</w:t>
      </w:r>
      <w:r w:rsidR="00941C34" w:rsidRPr="007B20B5">
        <w:rPr>
          <w:rFonts w:ascii="Times New Roman" w:hAnsi="Times New Roman"/>
          <w:sz w:val="24"/>
          <w:szCs w:val="24"/>
        </w:rPr>
        <w:t xml:space="preserve"> lub jakikolwiek inny identyfikator, który jed</w:t>
      </w:r>
      <w:r w:rsidR="00941C34">
        <w:rPr>
          <w:rFonts w:ascii="Times New Roman" w:hAnsi="Times New Roman"/>
          <w:sz w:val="24"/>
          <w:szCs w:val="24"/>
        </w:rPr>
        <w:t xml:space="preserve">noznacznie identyfikuje odbiorcę płatności </w:t>
      </w:r>
      <w:r w:rsidR="00941C34" w:rsidRPr="007B20B5">
        <w:rPr>
          <w:rFonts w:ascii="Times New Roman" w:hAnsi="Times New Roman"/>
          <w:sz w:val="24"/>
          <w:szCs w:val="24"/>
        </w:rPr>
        <w:t>oraz podaj</w:t>
      </w:r>
      <w:r w:rsidR="00CE3E52">
        <w:rPr>
          <w:rFonts w:ascii="Times New Roman" w:hAnsi="Times New Roman"/>
          <w:sz w:val="24"/>
          <w:szCs w:val="24"/>
        </w:rPr>
        <w:t xml:space="preserve">e jego lokalizację. Natomiast w </w:t>
      </w:r>
      <w:r w:rsidR="00941C34" w:rsidRPr="007B20B5">
        <w:rPr>
          <w:rFonts w:ascii="Times New Roman" w:hAnsi="Times New Roman"/>
          <w:sz w:val="24"/>
          <w:szCs w:val="24"/>
        </w:rPr>
        <w:t xml:space="preserve">przypadku braku takich identyfikatorów lokalizację </w:t>
      </w:r>
      <w:r w:rsidR="00941C34">
        <w:rPr>
          <w:rFonts w:ascii="Times New Roman" w:hAnsi="Times New Roman"/>
          <w:sz w:val="24"/>
          <w:szCs w:val="24"/>
        </w:rPr>
        <w:t>odbiorcy płatności</w:t>
      </w:r>
      <w:r w:rsidR="00941C34" w:rsidRPr="007B20B5">
        <w:rPr>
          <w:rFonts w:ascii="Times New Roman" w:hAnsi="Times New Roman"/>
          <w:sz w:val="24"/>
          <w:szCs w:val="24"/>
        </w:rPr>
        <w:t xml:space="preserve"> ustala się w oparciu o identyfikator dostawcy usług płatniczych działającego w imieniu </w:t>
      </w:r>
      <w:r w:rsidR="00941C34">
        <w:rPr>
          <w:rFonts w:ascii="Times New Roman" w:hAnsi="Times New Roman"/>
          <w:sz w:val="24"/>
          <w:szCs w:val="24"/>
        </w:rPr>
        <w:t>odbiorcy płatności.</w:t>
      </w:r>
    </w:p>
    <w:p w14:paraId="5B692F90" w14:textId="4855F6D7" w:rsidR="00AB219D" w:rsidRPr="007B20B5" w:rsidRDefault="00AB219D" w:rsidP="004C1368">
      <w:pPr>
        <w:spacing w:before="240" w:line="340" w:lineRule="atLeast"/>
        <w:jc w:val="both"/>
        <w:rPr>
          <w:rFonts w:ascii="Times New Roman" w:hAnsi="Times New Roman"/>
          <w:sz w:val="24"/>
          <w:szCs w:val="24"/>
          <w:u w:val="single"/>
        </w:rPr>
      </w:pPr>
      <w:r w:rsidRPr="007B20B5">
        <w:rPr>
          <w:rFonts w:ascii="Times New Roman" w:hAnsi="Times New Roman"/>
          <w:sz w:val="24"/>
          <w:szCs w:val="24"/>
          <w:u w:val="single"/>
        </w:rPr>
        <w:t>Zakres danych zawartych w ewidencji</w:t>
      </w:r>
    </w:p>
    <w:p w14:paraId="12730336" w14:textId="237EB9CB" w:rsidR="004C1368" w:rsidRPr="007B20B5" w:rsidRDefault="00F645F5" w:rsidP="0028570D">
      <w:pPr>
        <w:spacing w:before="240" w:line="340" w:lineRule="atLeast"/>
        <w:jc w:val="both"/>
        <w:rPr>
          <w:rFonts w:ascii="Times New Roman" w:hAnsi="Times New Roman"/>
          <w:sz w:val="24"/>
          <w:szCs w:val="24"/>
        </w:rPr>
      </w:pPr>
      <w:r w:rsidRPr="007B20B5">
        <w:rPr>
          <w:rFonts w:ascii="Times New Roman" w:hAnsi="Times New Roman"/>
          <w:sz w:val="24"/>
          <w:szCs w:val="24"/>
        </w:rPr>
        <w:t>Dyrektywa VAT w art. 243d określa</w:t>
      </w:r>
      <w:r w:rsidR="004C1368" w:rsidRPr="007B20B5">
        <w:rPr>
          <w:rFonts w:ascii="Times New Roman" w:hAnsi="Times New Roman"/>
          <w:sz w:val="24"/>
          <w:szCs w:val="24"/>
        </w:rPr>
        <w:t xml:space="preserve"> szczegółowo </w:t>
      </w:r>
      <w:r w:rsidRPr="007B20B5">
        <w:rPr>
          <w:rFonts w:ascii="Times New Roman" w:hAnsi="Times New Roman"/>
          <w:sz w:val="24"/>
          <w:szCs w:val="24"/>
        </w:rPr>
        <w:t>dane</w:t>
      </w:r>
      <w:r w:rsidR="004C1368" w:rsidRPr="007B20B5">
        <w:rPr>
          <w:rFonts w:ascii="Times New Roman" w:hAnsi="Times New Roman"/>
          <w:sz w:val="24"/>
          <w:szCs w:val="24"/>
        </w:rPr>
        <w:t xml:space="preserve">, które </w:t>
      </w:r>
      <w:r w:rsidRPr="007B20B5">
        <w:rPr>
          <w:rFonts w:ascii="Times New Roman" w:hAnsi="Times New Roman"/>
          <w:sz w:val="24"/>
          <w:szCs w:val="24"/>
        </w:rPr>
        <w:t xml:space="preserve">ma zawierać ewidencja prowadzona przez dostawcę </w:t>
      </w:r>
      <w:r w:rsidR="004C1368" w:rsidRPr="007B20B5">
        <w:rPr>
          <w:rFonts w:ascii="Times New Roman" w:hAnsi="Times New Roman"/>
          <w:sz w:val="24"/>
          <w:szCs w:val="24"/>
        </w:rPr>
        <w:t>usług płatniczych. Są to m.in. informacje pozwalające zidentyfikować dostawcę usług płatniczych prowadzącego ewidencję oraz informacje umożliwiające identyfikację odbiorcy</w:t>
      </w:r>
      <w:r w:rsidR="00347E92">
        <w:rPr>
          <w:rFonts w:ascii="Times New Roman" w:hAnsi="Times New Roman"/>
          <w:sz w:val="24"/>
          <w:szCs w:val="24"/>
        </w:rPr>
        <w:t xml:space="preserve"> płatności</w:t>
      </w:r>
      <w:r w:rsidR="004C1368" w:rsidRPr="007B20B5">
        <w:rPr>
          <w:rFonts w:ascii="Times New Roman" w:hAnsi="Times New Roman"/>
          <w:sz w:val="24"/>
          <w:szCs w:val="24"/>
        </w:rPr>
        <w:t xml:space="preserve"> i dotyczące płatności otrzymanych przez </w:t>
      </w:r>
      <w:r w:rsidR="00347E92">
        <w:rPr>
          <w:rFonts w:ascii="Times New Roman" w:hAnsi="Times New Roman"/>
          <w:sz w:val="24"/>
          <w:szCs w:val="24"/>
        </w:rPr>
        <w:t xml:space="preserve">tego </w:t>
      </w:r>
      <w:r w:rsidR="004C1368" w:rsidRPr="007B20B5">
        <w:rPr>
          <w:rFonts w:ascii="Times New Roman" w:hAnsi="Times New Roman"/>
          <w:sz w:val="24"/>
          <w:szCs w:val="24"/>
        </w:rPr>
        <w:t xml:space="preserve">odbiorcę </w:t>
      </w:r>
      <w:r w:rsidR="0028570D" w:rsidRPr="007B20B5">
        <w:rPr>
          <w:rFonts w:ascii="Times New Roman" w:hAnsi="Times New Roman"/>
          <w:sz w:val="24"/>
          <w:szCs w:val="24"/>
        </w:rPr>
        <w:t>(</w:t>
      </w:r>
      <w:r w:rsidR="004C1368" w:rsidRPr="007B20B5">
        <w:rPr>
          <w:rFonts w:ascii="Times New Roman" w:hAnsi="Times New Roman"/>
          <w:sz w:val="24"/>
          <w:szCs w:val="24"/>
        </w:rPr>
        <w:t xml:space="preserve">m.in. dotyczące kwoty, </w:t>
      </w:r>
      <w:r w:rsidR="00DF4B36" w:rsidRPr="007B20B5">
        <w:rPr>
          <w:rFonts w:ascii="Times New Roman" w:hAnsi="Times New Roman"/>
          <w:sz w:val="24"/>
          <w:szCs w:val="24"/>
        </w:rPr>
        <w:t>daty</w:t>
      </w:r>
      <w:r w:rsidR="0028570D" w:rsidRPr="007B20B5">
        <w:rPr>
          <w:rFonts w:ascii="Times New Roman" w:hAnsi="Times New Roman"/>
          <w:sz w:val="24"/>
          <w:szCs w:val="24"/>
        </w:rPr>
        <w:t xml:space="preserve">) </w:t>
      </w:r>
      <w:r w:rsidR="00DF4B36" w:rsidRPr="007B20B5">
        <w:rPr>
          <w:rFonts w:ascii="Times New Roman" w:hAnsi="Times New Roman"/>
          <w:sz w:val="24"/>
          <w:szCs w:val="24"/>
        </w:rPr>
        <w:t>i</w:t>
      </w:r>
      <w:r w:rsidR="0028570D" w:rsidRPr="007B20B5">
        <w:rPr>
          <w:rFonts w:ascii="Times New Roman" w:hAnsi="Times New Roman"/>
          <w:sz w:val="24"/>
          <w:szCs w:val="24"/>
        </w:rPr>
        <w:t xml:space="preserve"> </w:t>
      </w:r>
      <w:r w:rsidR="004C1368" w:rsidRPr="007B20B5">
        <w:rPr>
          <w:rFonts w:ascii="Times New Roman" w:hAnsi="Times New Roman"/>
          <w:sz w:val="24"/>
          <w:szCs w:val="24"/>
        </w:rPr>
        <w:t>ewentualnych zwrotów płatności.</w:t>
      </w:r>
    </w:p>
    <w:p w14:paraId="5963D9BD" w14:textId="1A069C3F" w:rsidR="0028570D" w:rsidRPr="007B20B5" w:rsidRDefault="0028570D" w:rsidP="004C1368">
      <w:pPr>
        <w:spacing w:before="240" w:line="340" w:lineRule="atLeast"/>
        <w:jc w:val="both"/>
        <w:rPr>
          <w:rFonts w:ascii="Times New Roman" w:hAnsi="Times New Roman"/>
          <w:sz w:val="24"/>
          <w:szCs w:val="24"/>
          <w:u w:val="single"/>
        </w:rPr>
      </w:pPr>
      <w:r w:rsidRPr="007B20B5">
        <w:rPr>
          <w:rFonts w:ascii="Times New Roman" w:hAnsi="Times New Roman"/>
          <w:sz w:val="24"/>
          <w:szCs w:val="24"/>
          <w:u w:val="single"/>
        </w:rPr>
        <w:t>Inne obowiązki</w:t>
      </w:r>
    </w:p>
    <w:p w14:paraId="2D040AA7" w14:textId="7B405B29" w:rsidR="000A4D9E" w:rsidRPr="007B20B5" w:rsidRDefault="000A4D9E" w:rsidP="000A4D9E">
      <w:pPr>
        <w:spacing w:before="240" w:line="340" w:lineRule="atLeast"/>
        <w:jc w:val="both"/>
        <w:rPr>
          <w:rFonts w:ascii="Times New Roman" w:hAnsi="Times New Roman"/>
          <w:sz w:val="24"/>
          <w:szCs w:val="24"/>
        </w:rPr>
      </w:pPr>
      <w:r w:rsidRPr="007B20B5">
        <w:rPr>
          <w:rFonts w:ascii="Times New Roman" w:hAnsi="Times New Roman"/>
          <w:sz w:val="24"/>
          <w:szCs w:val="24"/>
        </w:rPr>
        <w:t>Okres przechowywania ewidencji przez dostawców usług płatniczych wyniesie 3 lata</w:t>
      </w:r>
      <w:r w:rsidR="000E6C11" w:rsidRPr="007B20B5">
        <w:rPr>
          <w:rFonts w:ascii="Times New Roman" w:hAnsi="Times New Roman"/>
          <w:sz w:val="24"/>
          <w:szCs w:val="24"/>
        </w:rPr>
        <w:t xml:space="preserve"> od zakończenia roku podatkowego, w którym nastąpiła płatność</w:t>
      </w:r>
      <w:r w:rsidR="0028516F">
        <w:rPr>
          <w:rFonts w:ascii="Times New Roman" w:hAnsi="Times New Roman"/>
          <w:sz w:val="24"/>
          <w:szCs w:val="24"/>
        </w:rPr>
        <w:t>.</w:t>
      </w:r>
    </w:p>
    <w:p w14:paraId="07A6254B" w14:textId="757862F4" w:rsidR="000E6C11" w:rsidRPr="007B20B5" w:rsidRDefault="000E6C11" w:rsidP="005D693A">
      <w:pPr>
        <w:spacing w:before="360" w:after="360" w:line="340" w:lineRule="atLeast"/>
        <w:jc w:val="both"/>
        <w:rPr>
          <w:rFonts w:ascii="Times New Roman" w:hAnsi="Times New Roman"/>
          <w:sz w:val="24"/>
          <w:szCs w:val="24"/>
        </w:rPr>
      </w:pPr>
      <w:r w:rsidRPr="007B20B5">
        <w:rPr>
          <w:rFonts w:ascii="Times New Roman" w:hAnsi="Times New Roman"/>
          <w:sz w:val="24"/>
          <w:szCs w:val="24"/>
        </w:rPr>
        <w:t xml:space="preserve">Ewidencja będzie udostępniania nie później niż do końca miesiąca następującego po upływie kwartału, którego dotyczą informacje, za pomocą standardowego formularza elektronicznego państwu członkowskiego pochodzenia dostawcy usług płatniczych lub przyjmującym </w:t>
      </w:r>
      <w:r w:rsidRPr="007B20B5">
        <w:rPr>
          <w:rFonts w:ascii="Times New Roman" w:hAnsi="Times New Roman"/>
          <w:sz w:val="24"/>
          <w:szCs w:val="24"/>
        </w:rPr>
        <w:lastRenderedPageBreak/>
        <w:t>państwom członkowskim gdy dostawca usług płatniczych świadczy usługi płatnicze w państwach członkowskich innych niż państwo członkowskie pochodzenia.</w:t>
      </w:r>
      <w:r w:rsidR="00D85504" w:rsidRPr="007B20B5">
        <w:rPr>
          <w:rFonts w:ascii="Times New Roman" w:hAnsi="Times New Roman"/>
          <w:sz w:val="24"/>
          <w:szCs w:val="24"/>
        </w:rPr>
        <w:t xml:space="preserve"> Czyli </w:t>
      </w:r>
      <w:r w:rsidR="00486705" w:rsidRPr="007B20B5">
        <w:rPr>
          <w:rFonts w:ascii="Times New Roman" w:hAnsi="Times New Roman"/>
          <w:sz w:val="24"/>
          <w:szCs w:val="24"/>
        </w:rPr>
        <w:t xml:space="preserve">co do zasady dostawca usług płatniczych udostępnia ewidencję w państwie członkowskim, gdzie ma siedzibę. </w:t>
      </w:r>
      <w:r w:rsidR="00DF4B36" w:rsidRPr="007B20B5">
        <w:rPr>
          <w:rFonts w:ascii="Times New Roman" w:hAnsi="Times New Roman"/>
          <w:sz w:val="24"/>
          <w:szCs w:val="24"/>
        </w:rPr>
        <w:t>Dostawcy</w:t>
      </w:r>
      <w:r w:rsidR="00D85504" w:rsidRPr="007B20B5">
        <w:rPr>
          <w:rFonts w:ascii="Times New Roman" w:hAnsi="Times New Roman"/>
          <w:sz w:val="24"/>
          <w:szCs w:val="24"/>
        </w:rPr>
        <w:t xml:space="preserve"> usług płatniczych bę</w:t>
      </w:r>
      <w:r w:rsidR="00DF4B36" w:rsidRPr="007B20B5">
        <w:rPr>
          <w:rFonts w:ascii="Times New Roman" w:hAnsi="Times New Roman"/>
          <w:sz w:val="24"/>
          <w:szCs w:val="24"/>
        </w:rPr>
        <w:t>dą musieli przekazywać</w:t>
      </w:r>
      <w:r w:rsidR="00D85504" w:rsidRPr="007B20B5">
        <w:rPr>
          <w:rFonts w:ascii="Times New Roman" w:hAnsi="Times New Roman"/>
          <w:sz w:val="24"/>
          <w:szCs w:val="24"/>
        </w:rPr>
        <w:t xml:space="preserve"> </w:t>
      </w:r>
      <w:r w:rsidR="00CF3D9E" w:rsidRPr="007B20B5">
        <w:rPr>
          <w:rFonts w:ascii="Times New Roman" w:hAnsi="Times New Roman"/>
          <w:sz w:val="24"/>
          <w:szCs w:val="24"/>
        </w:rPr>
        <w:t>informacje do przyjmujących państw członkowskich</w:t>
      </w:r>
      <w:r w:rsidR="00D85504" w:rsidRPr="007B20B5">
        <w:rPr>
          <w:rFonts w:ascii="Times New Roman" w:hAnsi="Times New Roman"/>
          <w:sz w:val="24"/>
          <w:szCs w:val="24"/>
        </w:rPr>
        <w:t xml:space="preserve">, </w:t>
      </w:r>
      <w:r w:rsidR="00CF3D9E" w:rsidRPr="007B20B5">
        <w:rPr>
          <w:rFonts w:ascii="Times New Roman" w:hAnsi="Times New Roman"/>
          <w:sz w:val="24"/>
          <w:szCs w:val="24"/>
        </w:rPr>
        <w:t xml:space="preserve">o ile świadczą usługi </w:t>
      </w:r>
      <w:r w:rsidR="00D85504" w:rsidRPr="007B20B5">
        <w:rPr>
          <w:rFonts w:ascii="Times New Roman" w:hAnsi="Times New Roman"/>
          <w:sz w:val="24"/>
          <w:szCs w:val="24"/>
        </w:rPr>
        <w:t xml:space="preserve">w innych </w:t>
      </w:r>
      <w:r w:rsidR="00CF3D9E" w:rsidRPr="007B20B5">
        <w:rPr>
          <w:rFonts w:ascii="Times New Roman" w:hAnsi="Times New Roman"/>
          <w:sz w:val="24"/>
          <w:szCs w:val="24"/>
        </w:rPr>
        <w:t>p</w:t>
      </w:r>
      <w:r w:rsidR="00D85504" w:rsidRPr="007B20B5">
        <w:rPr>
          <w:rFonts w:ascii="Times New Roman" w:hAnsi="Times New Roman"/>
          <w:sz w:val="24"/>
          <w:szCs w:val="24"/>
        </w:rPr>
        <w:t>aństwach członkowskich z oddziałem lub bez oddziału.</w:t>
      </w:r>
      <w:r w:rsidR="00FE503E" w:rsidRPr="007B20B5">
        <w:rPr>
          <w:rFonts w:ascii="Times New Roman" w:hAnsi="Times New Roman"/>
          <w:sz w:val="24"/>
          <w:szCs w:val="24"/>
        </w:rPr>
        <w:t xml:space="preserve"> Dostawcy usług płatniczych mog</w:t>
      </w:r>
      <w:r w:rsidR="00591C72">
        <w:rPr>
          <w:rFonts w:ascii="Times New Roman" w:hAnsi="Times New Roman"/>
          <w:sz w:val="24"/>
          <w:szCs w:val="24"/>
        </w:rPr>
        <w:t>ą</w:t>
      </w:r>
      <w:r w:rsidR="00FE503E" w:rsidRPr="007B20B5">
        <w:rPr>
          <w:rFonts w:ascii="Times New Roman" w:hAnsi="Times New Roman"/>
          <w:sz w:val="24"/>
          <w:szCs w:val="24"/>
        </w:rPr>
        <w:t xml:space="preserve"> według swojego uznania zorganizować wypełnianie obowiązku prowadzenia ewidencji wewnętrznie, ale dane muszą zostać przekazane do odpowiedniego państwa członkowskiego.</w:t>
      </w:r>
      <w:r w:rsidR="00C4242B" w:rsidRPr="007B20B5">
        <w:rPr>
          <w:rFonts w:ascii="Times New Roman" w:hAnsi="Times New Roman"/>
          <w:sz w:val="24"/>
          <w:szCs w:val="24"/>
        </w:rPr>
        <w:t xml:space="preserve"> </w:t>
      </w:r>
      <w:r w:rsidR="00B34C14" w:rsidRPr="007B20B5">
        <w:rPr>
          <w:rFonts w:ascii="Times New Roman" w:hAnsi="Times New Roman"/>
          <w:sz w:val="24"/>
          <w:szCs w:val="24"/>
        </w:rPr>
        <w:t>Trzeba również podkreślić, że m</w:t>
      </w:r>
      <w:r w:rsidR="00C4242B" w:rsidRPr="007B20B5">
        <w:rPr>
          <w:rFonts w:ascii="Times New Roman" w:hAnsi="Times New Roman"/>
          <w:sz w:val="24"/>
          <w:szCs w:val="24"/>
        </w:rPr>
        <w:t>iejsce świadczenia usługi pł</w:t>
      </w:r>
      <w:r w:rsidR="008260BB" w:rsidRPr="007B20B5">
        <w:rPr>
          <w:rFonts w:ascii="Times New Roman" w:hAnsi="Times New Roman"/>
          <w:sz w:val="24"/>
          <w:szCs w:val="24"/>
        </w:rPr>
        <w:t>a</w:t>
      </w:r>
      <w:r w:rsidR="00C4242B" w:rsidRPr="007B20B5">
        <w:rPr>
          <w:rFonts w:ascii="Times New Roman" w:hAnsi="Times New Roman"/>
          <w:sz w:val="24"/>
          <w:szCs w:val="24"/>
        </w:rPr>
        <w:t xml:space="preserve">tniczej nie należy określać poprzez zastosowanie zasad dotyczących miejsca świadczenia </w:t>
      </w:r>
      <w:r w:rsidR="008260BB" w:rsidRPr="007B20B5">
        <w:rPr>
          <w:rFonts w:ascii="Times New Roman" w:hAnsi="Times New Roman"/>
          <w:sz w:val="24"/>
          <w:szCs w:val="24"/>
        </w:rPr>
        <w:t xml:space="preserve">przewidzianych w dyrektywie VAT. </w:t>
      </w:r>
      <w:r w:rsidR="00C4242B" w:rsidRPr="007B20B5">
        <w:rPr>
          <w:rFonts w:ascii="Times New Roman" w:hAnsi="Times New Roman"/>
          <w:sz w:val="24"/>
          <w:szCs w:val="24"/>
        </w:rPr>
        <w:t>Zasad tych nie należy mylić</w:t>
      </w:r>
      <w:r w:rsidR="00B34C14" w:rsidRPr="007B20B5">
        <w:rPr>
          <w:rFonts w:ascii="Times New Roman" w:hAnsi="Times New Roman"/>
          <w:sz w:val="24"/>
          <w:szCs w:val="24"/>
        </w:rPr>
        <w:t>.</w:t>
      </w:r>
    </w:p>
    <w:p w14:paraId="7044F322" w14:textId="6433BE38" w:rsidR="00A45C26" w:rsidRPr="007B20B5" w:rsidRDefault="00FC4011" w:rsidP="005D693A">
      <w:p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Oczekuje się, że wprowadzenie takiego rozwiązania spełni zakładane rezultaty. W </w:t>
      </w:r>
      <w:r w:rsidR="00A876E6" w:rsidRPr="007B20B5">
        <w:rPr>
          <w:rFonts w:ascii="Times New Roman" w:hAnsi="Times New Roman"/>
          <w:sz w:val="24"/>
          <w:szCs w:val="24"/>
        </w:rPr>
        <w:t xml:space="preserve">ostatnich latach w przypadku większości zakupów dokonywanych przez Internet przez klientów europejskich płatności odbywają się z wykorzystaniem poleceń przelewu, poleceń zapłaty lub płatności kartą, za pośrednictwem dostawców usług płatniczych. Dostawcy ci posiadają </w:t>
      </w:r>
      <w:r w:rsidR="00636067" w:rsidRPr="007B20B5">
        <w:rPr>
          <w:rFonts w:ascii="Times New Roman" w:hAnsi="Times New Roman"/>
          <w:sz w:val="24"/>
          <w:szCs w:val="24"/>
        </w:rPr>
        <w:t xml:space="preserve">szczegółowe </w:t>
      </w:r>
      <w:r w:rsidR="00A876E6" w:rsidRPr="007B20B5">
        <w:rPr>
          <w:rFonts w:ascii="Times New Roman" w:hAnsi="Times New Roman"/>
          <w:sz w:val="24"/>
          <w:szCs w:val="24"/>
        </w:rPr>
        <w:t xml:space="preserve">informacje dotyczące płatności </w:t>
      </w:r>
      <w:r w:rsidR="00636067" w:rsidRPr="007B20B5">
        <w:rPr>
          <w:rFonts w:ascii="Times New Roman" w:hAnsi="Times New Roman"/>
          <w:sz w:val="24"/>
          <w:szCs w:val="24"/>
        </w:rPr>
        <w:t>i odbiorcy płatności, które są konieczne</w:t>
      </w:r>
      <w:r w:rsidR="00A876E6" w:rsidRPr="007B20B5">
        <w:rPr>
          <w:rFonts w:ascii="Times New Roman" w:hAnsi="Times New Roman"/>
          <w:sz w:val="24"/>
          <w:szCs w:val="24"/>
        </w:rPr>
        <w:t xml:space="preserve"> do świadczenia usług płatniczych</w:t>
      </w:r>
      <w:r w:rsidR="007E181C" w:rsidRPr="007B20B5">
        <w:rPr>
          <w:rFonts w:ascii="Times New Roman" w:hAnsi="Times New Roman"/>
          <w:sz w:val="24"/>
          <w:szCs w:val="24"/>
        </w:rPr>
        <w:t xml:space="preserve">, </w:t>
      </w:r>
      <w:r w:rsidR="00A876E6" w:rsidRPr="007B20B5">
        <w:rPr>
          <w:rFonts w:ascii="Times New Roman" w:hAnsi="Times New Roman"/>
          <w:sz w:val="24"/>
          <w:szCs w:val="24"/>
        </w:rPr>
        <w:t>mogą zatem przedstawić organom podatkowym pełn</w:t>
      </w:r>
      <w:r w:rsidR="007E181C" w:rsidRPr="007B20B5">
        <w:rPr>
          <w:rFonts w:ascii="Times New Roman" w:hAnsi="Times New Roman"/>
          <w:sz w:val="24"/>
          <w:szCs w:val="24"/>
        </w:rPr>
        <w:t>y obraz zakupów dokonywanych w I</w:t>
      </w:r>
      <w:r w:rsidR="00A876E6" w:rsidRPr="007B20B5">
        <w:rPr>
          <w:rFonts w:ascii="Times New Roman" w:hAnsi="Times New Roman"/>
          <w:sz w:val="24"/>
          <w:szCs w:val="24"/>
        </w:rPr>
        <w:t>nternecie, aby pomóc im w należytym wykonywaniu zadań polegających na monitorowaniu przestrzegania obowiązków w zakresie VAT</w:t>
      </w:r>
      <w:r w:rsidR="009901FE" w:rsidRPr="007B20B5">
        <w:rPr>
          <w:rFonts w:ascii="Times New Roman" w:hAnsi="Times New Roman"/>
          <w:sz w:val="24"/>
          <w:szCs w:val="24"/>
        </w:rPr>
        <w:t>, wykrywaniu i </w:t>
      </w:r>
      <w:r w:rsidR="00802799" w:rsidRPr="007B20B5">
        <w:rPr>
          <w:rFonts w:ascii="Times New Roman" w:hAnsi="Times New Roman"/>
          <w:sz w:val="24"/>
          <w:szCs w:val="24"/>
        </w:rPr>
        <w:t>zwalczaniu transgranicznych oszustw w dziedzinie VAT.</w:t>
      </w:r>
    </w:p>
    <w:p w14:paraId="4DE8F19B" w14:textId="5672632E" w:rsidR="003A677F" w:rsidRPr="007B20B5" w:rsidRDefault="00FC4011" w:rsidP="0058482F">
      <w:pPr>
        <w:spacing w:before="240" w:after="240" w:line="340" w:lineRule="atLeast"/>
        <w:jc w:val="both"/>
        <w:rPr>
          <w:rFonts w:ascii="Times New Roman" w:hAnsi="Times New Roman"/>
          <w:sz w:val="24"/>
          <w:szCs w:val="24"/>
        </w:rPr>
      </w:pPr>
      <w:r w:rsidRPr="007B20B5">
        <w:rPr>
          <w:rFonts w:ascii="Times New Roman" w:hAnsi="Times New Roman"/>
          <w:sz w:val="24"/>
          <w:szCs w:val="24"/>
        </w:rPr>
        <w:t>Zakłada się, że wgląd i możliwość korzystania przez ad</w:t>
      </w:r>
      <w:r w:rsidR="005D693A">
        <w:rPr>
          <w:rFonts w:ascii="Times New Roman" w:hAnsi="Times New Roman"/>
          <w:sz w:val="24"/>
          <w:szCs w:val="24"/>
        </w:rPr>
        <w:t>ministracje skarbowe z danych o </w:t>
      </w:r>
      <w:r w:rsidRPr="007B20B5">
        <w:rPr>
          <w:rFonts w:ascii="Times New Roman" w:hAnsi="Times New Roman"/>
          <w:sz w:val="24"/>
          <w:szCs w:val="24"/>
        </w:rPr>
        <w:t>płatnościach przyczyni się do uszczelnienia poboru VAT i poprawy sytuacji uczciwych podatników, co powinno mieć wpływ na wspólny rynek.</w:t>
      </w:r>
    </w:p>
    <w:p w14:paraId="10F6F6AF" w14:textId="77777777" w:rsidR="004444C5" w:rsidRDefault="004444C5" w:rsidP="0058482F">
      <w:pPr>
        <w:spacing w:before="360" w:line="340" w:lineRule="atLeast"/>
        <w:jc w:val="both"/>
        <w:rPr>
          <w:rFonts w:ascii="Times New Roman" w:hAnsi="Times New Roman"/>
          <w:b/>
          <w:sz w:val="24"/>
          <w:szCs w:val="24"/>
        </w:rPr>
      </w:pPr>
      <w:r w:rsidRPr="007B20B5">
        <w:rPr>
          <w:rFonts w:ascii="Times New Roman" w:hAnsi="Times New Roman"/>
          <w:b/>
          <w:sz w:val="24"/>
          <w:szCs w:val="24"/>
        </w:rPr>
        <w:t>III.</w:t>
      </w:r>
      <w:r w:rsidRPr="007B20B5">
        <w:rPr>
          <w:rFonts w:ascii="Times New Roman" w:hAnsi="Times New Roman"/>
          <w:b/>
          <w:sz w:val="24"/>
          <w:szCs w:val="24"/>
        </w:rPr>
        <w:tab/>
        <w:t>Część szczegółowa</w:t>
      </w:r>
    </w:p>
    <w:p w14:paraId="20F7D530" w14:textId="1ABD48F1" w:rsidR="004046ED" w:rsidRPr="004046ED" w:rsidRDefault="004046ED" w:rsidP="004046ED">
      <w:pPr>
        <w:pStyle w:val="Akapitzlist"/>
        <w:numPr>
          <w:ilvl w:val="0"/>
          <w:numId w:val="46"/>
        </w:numPr>
        <w:spacing w:before="360" w:line="340" w:lineRule="atLeast"/>
        <w:jc w:val="both"/>
        <w:rPr>
          <w:rFonts w:ascii="Times New Roman" w:hAnsi="Times New Roman"/>
          <w:b/>
          <w:sz w:val="24"/>
          <w:szCs w:val="24"/>
        </w:rPr>
      </w:pPr>
      <w:r>
        <w:rPr>
          <w:rFonts w:ascii="Times New Roman" w:hAnsi="Times New Roman"/>
          <w:b/>
          <w:sz w:val="24"/>
          <w:szCs w:val="24"/>
        </w:rPr>
        <w:t>Zmiany w ustawie o VAT (art. 1)</w:t>
      </w:r>
    </w:p>
    <w:p w14:paraId="4E732B72" w14:textId="267925F9" w:rsidR="004444C5" w:rsidRPr="007B20B5" w:rsidRDefault="004444C5" w:rsidP="00347E92">
      <w:pPr>
        <w:spacing w:before="240" w:after="240" w:line="340" w:lineRule="atLeast"/>
        <w:jc w:val="both"/>
        <w:rPr>
          <w:rFonts w:ascii="Times New Roman" w:hAnsi="Times New Roman"/>
          <w:sz w:val="24"/>
          <w:szCs w:val="24"/>
        </w:rPr>
      </w:pPr>
      <w:r w:rsidRPr="007B20B5">
        <w:rPr>
          <w:rFonts w:ascii="Times New Roman" w:hAnsi="Times New Roman"/>
          <w:sz w:val="24"/>
          <w:szCs w:val="24"/>
        </w:rPr>
        <w:t>Projektowana ustawa zawiera przepisy mające na c</w:t>
      </w:r>
      <w:r w:rsidR="0087591E" w:rsidRPr="007B20B5">
        <w:rPr>
          <w:rFonts w:ascii="Times New Roman" w:hAnsi="Times New Roman"/>
          <w:sz w:val="24"/>
          <w:szCs w:val="24"/>
        </w:rPr>
        <w:t>elu i</w:t>
      </w:r>
      <w:r w:rsidR="00A32D7A" w:rsidRPr="007B20B5">
        <w:rPr>
          <w:rFonts w:ascii="Times New Roman" w:hAnsi="Times New Roman"/>
          <w:sz w:val="24"/>
          <w:szCs w:val="24"/>
        </w:rPr>
        <w:t>mplementację dyrektywy 2020/284</w:t>
      </w:r>
      <w:r w:rsidR="005747A7" w:rsidRPr="007B20B5">
        <w:rPr>
          <w:rFonts w:ascii="Times New Roman" w:hAnsi="Times New Roman"/>
          <w:sz w:val="24"/>
          <w:szCs w:val="24"/>
        </w:rPr>
        <w:t xml:space="preserve"> zmieniając</w:t>
      </w:r>
      <w:r w:rsidR="004046ED">
        <w:rPr>
          <w:rFonts w:ascii="Times New Roman" w:hAnsi="Times New Roman"/>
          <w:sz w:val="24"/>
          <w:szCs w:val="24"/>
        </w:rPr>
        <w:t>ej</w:t>
      </w:r>
      <w:r w:rsidR="005747A7" w:rsidRPr="007B20B5">
        <w:rPr>
          <w:rFonts w:ascii="Times New Roman" w:hAnsi="Times New Roman"/>
          <w:sz w:val="24"/>
          <w:szCs w:val="24"/>
        </w:rPr>
        <w:t xml:space="preserve"> dyrektywę VAT</w:t>
      </w:r>
      <w:r w:rsidR="00A32D7A" w:rsidRPr="007B20B5">
        <w:rPr>
          <w:rFonts w:ascii="Times New Roman" w:hAnsi="Times New Roman"/>
          <w:sz w:val="24"/>
          <w:szCs w:val="24"/>
        </w:rPr>
        <w:t>.</w:t>
      </w:r>
    </w:p>
    <w:p w14:paraId="2FFAF595" w14:textId="1030AB24" w:rsidR="004444C5" w:rsidRPr="007B20B5" w:rsidRDefault="004444C5" w:rsidP="00347E92">
      <w:p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W tym celu w </w:t>
      </w:r>
      <w:r w:rsidR="0087591E" w:rsidRPr="007B20B5">
        <w:rPr>
          <w:rFonts w:ascii="Times New Roman" w:hAnsi="Times New Roman"/>
          <w:sz w:val="24"/>
          <w:szCs w:val="24"/>
        </w:rPr>
        <w:t xml:space="preserve">dziale XI </w:t>
      </w:r>
      <w:r w:rsidR="006E1CF7" w:rsidRPr="007B20B5">
        <w:rPr>
          <w:rFonts w:ascii="Times New Roman" w:hAnsi="Times New Roman"/>
          <w:sz w:val="24"/>
          <w:szCs w:val="24"/>
        </w:rPr>
        <w:t xml:space="preserve">zatytułowanym „Dokumentacja” </w:t>
      </w:r>
      <w:r w:rsidR="0087591E" w:rsidRPr="007B20B5">
        <w:rPr>
          <w:rFonts w:ascii="Times New Roman" w:hAnsi="Times New Roman"/>
          <w:sz w:val="24"/>
          <w:szCs w:val="24"/>
        </w:rPr>
        <w:t xml:space="preserve">po rozdziale 2 dodaje się </w:t>
      </w:r>
      <w:r w:rsidR="0087591E" w:rsidRPr="007B20B5">
        <w:rPr>
          <w:rFonts w:ascii="Times New Roman" w:hAnsi="Times New Roman"/>
          <w:b/>
          <w:sz w:val="24"/>
          <w:szCs w:val="24"/>
        </w:rPr>
        <w:t xml:space="preserve">rozdział 2a </w:t>
      </w:r>
      <w:r w:rsidR="00E82B5D" w:rsidRPr="007B20B5">
        <w:rPr>
          <w:rFonts w:ascii="Times New Roman" w:hAnsi="Times New Roman"/>
          <w:b/>
          <w:sz w:val="24"/>
          <w:szCs w:val="24"/>
        </w:rPr>
        <w:t xml:space="preserve">zatytułowany </w:t>
      </w:r>
      <w:r w:rsidR="0087591E" w:rsidRPr="007B20B5">
        <w:rPr>
          <w:rFonts w:ascii="Times New Roman" w:hAnsi="Times New Roman"/>
          <w:b/>
          <w:sz w:val="24"/>
          <w:szCs w:val="24"/>
        </w:rPr>
        <w:t>„Ogólne obowiązki dostawców usług płatniczych”</w:t>
      </w:r>
      <w:r w:rsidR="0087591E" w:rsidRPr="007B20B5">
        <w:rPr>
          <w:rFonts w:ascii="Times New Roman" w:hAnsi="Times New Roman"/>
          <w:sz w:val="24"/>
          <w:szCs w:val="24"/>
        </w:rPr>
        <w:t xml:space="preserve"> </w:t>
      </w:r>
      <w:r w:rsidR="00E82B5D" w:rsidRPr="007B20B5">
        <w:rPr>
          <w:rFonts w:ascii="Times New Roman" w:hAnsi="Times New Roman"/>
          <w:sz w:val="24"/>
          <w:szCs w:val="24"/>
        </w:rPr>
        <w:t>- implementacja sekcji 2a dodanej w tytule XI rozdział 4 dyrektywy VAT</w:t>
      </w:r>
      <w:r w:rsidR="0058482F">
        <w:rPr>
          <w:rFonts w:ascii="Times New Roman" w:hAnsi="Times New Roman"/>
          <w:sz w:val="24"/>
          <w:szCs w:val="24"/>
        </w:rPr>
        <w:t xml:space="preserve"> (</w:t>
      </w:r>
      <w:r w:rsidR="0058482F" w:rsidRPr="0058482F">
        <w:rPr>
          <w:rFonts w:ascii="Times New Roman" w:hAnsi="Times New Roman"/>
          <w:b/>
          <w:sz w:val="24"/>
          <w:szCs w:val="24"/>
        </w:rPr>
        <w:t>art. 1 pkt 1</w:t>
      </w:r>
      <w:r w:rsidR="0058482F" w:rsidRPr="0058482F">
        <w:rPr>
          <w:rFonts w:ascii="Times New Roman" w:hAnsi="Times New Roman"/>
          <w:sz w:val="24"/>
          <w:szCs w:val="24"/>
        </w:rPr>
        <w:t xml:space="preserve"> proje</w:t>
      </w:r>
      <w:r w:rsidR="0058482F">
        <w:rPr>
          <w:rFonts w:ascii="Times New Roman" w:hAnsi="Times New Roman"/>
          <w:sz w:val="24"/>
          <w:szCs w:val="24"/>
        </w:rPr>
        <w:t>ktu ustawy dot. dodanych art. 110a-110d</w:t>
      </w:r>
      <w:r w:rsidR="0058482F" w:rsidRPr="0058482F">
        <w:rPr>
          <w:rFonts w:ascii="Times New Roman" w:hAnsi="Times New Roman"/>
          <w:sz w:val="24"/>
          <w:szCs w:val="24"/>
        </w:rPr>
        <w:t xml:space="preserve"> ustawy o VAT)</w:t>
      </w:r>
      <w:r w:rsidR="00E82B5D" w:rsidRPr="007B20B5">
        <w:rPr>
          <w:rFonts w:ascii="Times New Roman" w:hAnsi="Times New Roman"/>
          <w:sz w:val="24"/>
          <w:szCs w:val="24"/>
        </w:rPr>
        <w:t>.</w:t>
      </w:r>
    </w:p>
    <w:p w14:paraId="1B0145EE" w14:textId="31FB7E8C" w:rsidR="00F4359F" w:rsidRPr="007B20B5" w:rsidRDefault="00ED1905" w:rsidP="00347E92">
      <w:pPr>
        <w:pStyle w:val="p"/>
        <w:spacing w:before="240" w:after="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Dyrektywa 2020/284</w:t>
      </w:r>
      <w:r w:rsidR="0005279F" w:rsidRPr="007B20B5">
        <w:rPr>
          <w:rFonts w:ascii="Times New Roman" w:hAnsi="Times New Roman" w:cs="Times New Roman"/>
          <w:color w:val="auto"/>
          <w:sz w:val="24"/>
          <w:szCs w:val="24"/>
        </w:rPr>
        <w:t xml:space="preserve"> wprowadza do dyrektywy VAT przepis art. 243a, który zawiera słowniczek pojęć na potrzeby obowiązków przewidzianych w sekcji 2a rozdziału 4 w tytule XI dyrektywy VAT (pt. „Ogólne obowiązki</w:t>
      </w:r>
      <w:r w:rsidR="00F4359F" w:rsidRPr="007B20B5">
        <w:rPr>
          <w:rFonts w:ascii="Times New Roman" w:hAnsi="Times New Roman" w:cs="Times New Roman"/>
          <w:color w:val="auto"/>
          <w:sz w:val="24"/>
          <w:szCs w:val="24"/>
        </w:rPr>
        <w:t xml:space="preserve"> dostawców usług płatniczych”).</w:t>
      </w:r>
    </w:p>
    <w:p w14:paraId="0D951785" w14:textId="10B29AB3" w:rsidR="0005279F" w:rsidRPr="007B20B5" w:rsidRDefault="0005279F" w:rsidP="00B217C3">
      <w:pPr>
        <w:pStyle w:val="p"/>
        <w:spacing w:before="240" w:after="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Pojęcia te zostały zdefiniowane poprzez referencje do aktów prawnych z innej dziedziny prawa </w:t>
      </w:r>
      <w:r w:rsidRPr="007B20B5">
        <w:rPr>
          <w:rFonts w:ascii="Times New Roman" w:hAnsi="Times New Roman" w:cs="Times New Roman"/>
          <w:color w:val="auto"/>
          <w:sz w:val="24"/>
          <w:szCs w:val="24"/>
        </w:rPr>
        <w:lastRenderedPageBreak/>
        <w:t xml:space="preserve">niż VAT, a mianowicie do (i) dyrektywy </w:t>
      </w:r>
      <w:r w:rsidR="00121E04" w:rsidRPr="007B20B5">
        <w:rPr>
          <w:rFonts w:ascii="Times New Roman" w:hAnsi="Times New Roman" w:cs="Times New Roman"/>
          <w:color w:val="auto"/>
          <w:sz w:val="24"/>
          <w:szCs w:val="24"/>
        </w:rPr>
        <w:t>PSD2</w:t>
      </w:r>
      <w:r w:rsidR="00AC7A65"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oraz</w:t>
      </w:r>
      <w:r w:rsidR="008F3F57">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 xml:space="preserve">(ii) </w:t>
      </w:r>
      <w:r w:rsidR="003A0398" w:rsidRPr="007B20B5">
        <w:rPr>
          <w:rFonts w:ascii="Times New Roman" w:hAnsi="Times New Roman" w:cs="Times New Roman"/>
          <w:i/>
          <w:sz w:val="24"/>
          <w:szCs w:val="24"/>
        </w:rPr>
        <w:t>rozporządzenia Parlamentu Europejskiego i Rady (UE) nr 260/2012 z dnia 14 marca 2012 r. ustanawiającego wymogi techniczne i handlowe w odniesieniu do poleceń przelewu i poleceń zapłaty w euro oraz zmieniającego rozporządzenie (WE) nr 924/2009</w:t>
      </w:r>
      <w:r w:rsidR="003A0398" w:rsidRPr="007B20B5">
        <w:rPr>
          <w:rStyle w:val="Odwoanieprzypisudolnego"/>
          <w:rFonts w:ascii="Times New Roman" w:hAnsi="Times New Roman" w:cs="Times New Roman"/>
          <w:i/>
          <w:sz w:val="24"/>
          <w:szCs w:val="24"/>
        </w:rPr>
        <w:footnoteReference w:id="13"/>
      </w:r>
      <w:r w:rsidR="003A0398" w:rsidRPr="007B20B5">
        <w:rPr>
          <w:rFonts w:ascii="Times New Roman" w:hAnsi="Times New Roman" w:cs="Times New Roman"/>
          <w:sz w:val="24"/>
          <w:szCs w:val="24"/>
        </w:rPr>
        <w:t>, zwanym dalej „rozporządzeniem 260/2012”.</w:t>
      </w:r>
    </w:p>
    <w:p w14:paraId="1D5FDF82" w14:textId="7F19EE37" w:rsidR="00AC309A" w:rsidRPr="007B20B5" w:rsidRDefault="00AC309A" w:rsidP="00AC309A">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Dostawcy usług płatniczych, na których ma zostać nałożony obowiązek prowadzenia </w:t>
      </w:r>
      <w:r w:rsidR="00B217C3">
        <w:rPr>
          <w:rFonts w:ascii="Times New Roman" w:hAnsi="Times New Roman" w:cs="Times New Roman"/>
          <w:color w:val="auto"/>
          <w:sz w:val="24"/>
          <w:szCs w:val="24"/>
        </w:rPr>
        <w:t>ewidencji, w dyrektywie 2020/284</w:t>
      </w:r>
      <w:r w:rsidRPr="007B20B5">
        <w:rPr>
          <w:rFonts w:ascii="Times New Roman" w:hAnsi="Times New Roman" w:cs="Times New Roman"/>
          <w:color w:val="auto"/>
          <w:sz w:val="24"/>
          <w:szCs w:val="24"/>
        </w:rPr>
        <w:t xml:space="preserve"> zostali określeni poprzez odesłanie do przepisów dyrektywy PSD2. Niemniej jednak, wdrożenie tych rozwiązań do prawa krajowego nie może polegać na określeniu podmiotów, których dotyczy ten obowiązek, poprzez odesłanie do przepisów dyrektywy. Aby osiągnąć założony rezultat (zwalczanie oszustw w dziedzinie VAT, poprzez nałożenie na dostawców usług płatniczych obowiązku prowadzenia ewidencji), a także aby zapewnić efektywność wprowadzanych norm, konieczne jest precyzyjne określenie podmiotów, których ten obowiązek ma dotyczyć. Adresaci tych norm (dostawcy usług płatniczych) muszą mieć pewność co do swoich </w:t>
      </w:r>
      <w:r w:rsidR="00F4359F" w:rsidRPr="007B20B5">
        <w:rPr>
          <w:rFonts w:ascii="Times New Roman" w:hAnsi="Times New Roman" w:cs="Times New Roman"/>
          <w:color w:val="auto"/>
          <w:sz w:val="24"/>
          <w:szCs w:val="24"/>
        </w:rPr>
        <w:t>praw i</w:t>
      </w:r>
      <w:r w:rsidR="001E50A7"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 xml:space="preserve">obowiązków. Odesłanie w prawie krajowym (ustawie o </w:t>
      </w:r>
      <w:r w:rsidR="00AC7A65" w:rsidRPr="007B20B5">
        <w:rPr>
          <w:rFonts w:ascii="Times New Roman" w:hAnsi="Times New Roman" w:cs="Times New Roman"/>
          <w:color w:val="auto"/>
          <w:sz w:val="24"/>
          <w:szCs w:val="24"/>
        </w:rPr>
        <w:t>VAT</w:t>
      </w:r>
      <w:r w:rsidRPr="007B20B5">
        <w:rPr>
          <w:rFonts w:ascii="Times New Roman" w:hAnsi="Times New Roman" w:cs="Times New Roman"/>
          <w:color w:val="auto"/>
          <w:sz w:val="24"/>
          <w:szCs w:val="24"/>
        </w:rPr>
        <w:t>) do przepisów dyrektywy PSD2 w sposób oczywisty nie zapewniłoby ani precyzji, ani pewności prawa. W przypadku zastosowania takiego rozwiązania bowiem, konieczne byłoby każdorazowe dokonywanie oceny, czy dany podmiot jest – w</w:t>
      </w:r>
      <w:r w:rsidR="005747A7" w:rsidRPr="007B20B5">
        <w:rPr>
          <w:rFonts w:ascii="Times New Roman" w:hAnsi="Times New Roman" w:cs="Times New Roman"/>
          <w:color w:val="auto"/>
          <w:sz w:val="24"/>
          <w:szCs w:val="24"/>
        </w:rPr>
        <w:t> </w:t>
      </w:r>
      <w:r w:rsidRPr="007B20B5">
        <w:rPr>
          <w:rFonts w:ascii="Times New Roman" w:hAnsi="Times New Roman" w:cs="Times New Roman"/>
          <w:color w:val="auto"/>
          <w:sz w:val="24"/>
          <w:szCs w:val="24"/>
        </w:rPr>
        <w:t>świetle dyrektywy PSD2 – dostawcą usług płatniczych i czy w związku z tym ciążą na nim obowiązki związane z prowadzeniem ewidencji</w:t>
      </w:r>
      <w:r w:rsidR="006C2C2C" w:rsidRPr="007B20B5">
        <w:rPr>
          <w:rFonts w:ascii="Times New Roman" w:hAnsi="Times New Roman" w:cs="Times New Roman"/>
          <w:color w:val="auto"/>
          <w:sz w:val="24"/>
          <w:szCs w:val="24"/>
        </w:rPr>
        <w:t>. Zatem</w:t>
      </w:r>
      <w:r w:rsidRPr="007B20B5">
        <w:rPr>
          <w:rFonts w:ascii="Times New Roman" w:hAnsi="Times New Roman" w:cs="Times New Roman"/>
          <w:color w:val="auto"/>
          <w:sz w:val="24"/>
          <w:szCs w:val="24"/>
        </w:rPr>
        <w:t xml:space="preserve"> </w:t>
      </w:r>
      <w:r w:rsidR="006C2C2C" w:rsidRPr="007B20B5">
        <w:rPr>
          <w:rFonts w:ascii="Times New Roman" w:hAnsi="Times New Roman" w:cs="Times New Roman"/>
          <w:color w:val="auto"/>
          <w:sz w:val="24"/>
          <w:szCs w:val="24"/>
        </w:rPr>
        <w:t>takie</w:t>
      </w:r>
      <w:r w:rsidRPr="007B20B5">
        <w:rPr>
          <w:rFonts w:ascii="Times New Roman" w:hAnsi="Times New Roman" w:cs="Times New Roman"/>
          <w:color w:val="auto"/>
          <w:sz w:val="24"/>
          <w:szCs w:val="24"/>
        </w:rPr>
        <w:t xml:space="preserve"> rozwiązanie nie zapewniłoby prawidł</w:t>
      </w:r>
      <w:r w:rsidR="00B217C3">
        <w:rPr>
          <w:rFonts w:ascii="Times New Roman" w:hAnsi="Times New Roman" w:cs="Times New Roman"/>
          <w:color w:val="auto"/>
          <w:sz w:val="24"/>
          <w:szCs w:val="24"/>
        </w:rPr>
        <w:t>owej implementacji dyrektywy 2020/284</w:t>
      </w:r>
      <w:r w:rsidRPr="007B20B5">
        <w:rPr>
          <w:rFonts w:ascii="Times New Roman" w:hAnsi="Times New Roman" w:cs="Times New Roman"/>
          <w:color w:val="auto"/>
          <w:sz w:val="24"/>
          <w:szCs w:val="24"/>
        </w:rPr>
        <w:t>.</w:t>
      </w:r>
    </w:p>
    <w:p w14:paraId="4C9599CC" w14:textId="5A00AFE6" w:rsidR="00AC7A65" w:rsidRPr="007B20B5" w:rsidRDefault="00AC309A" w:rsidP="00AC309A">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Prawidłowym rozwiązaniem nie wydaje się również opcja </w:t>
      </w:r>
      <w:r w:rsidR="006C2C2C" w:rsidRPr="007B20B5">
        <w:rPr>
          <w:rFonts w:ascii="Times New Roman" w:hAnsi="Times New Roman" w:cs="Times New Roman"/>
          <w:color w:val="auto"/>
          <w:sz w:val="24"/>
          <w:szCs w:val="24"/>
        </w:rPr>
        <w:t>zdefiniowania</w:t>
      </w:r>
      <w:r w:rsidRPr="007B20B5">
        <w:rPr>
          <w:rFonts w:ascii="Times New Roman" w:hAnsi="Times New Roman" w:cs="Times New Roman"/>
          <w:color w:val="auto"/>
          <w:sz w:val="24"/>
          <w:szCs w:val="24"/>
        </w:rPr>
        <w:t xml:space="preserve"> poj</w:t>
      </w:r>
      <w:r w:rsidR="006C2C2C" w:rsidRPr="007B20B5">
        <w:rPr>
          <w:rFonts w:ascii="Times New Roman" w:hAnsi="Times New Roman" w:cs="Times New Roman"/>
          <w:color w:val="auto"/>
          <w:sz w:val="24"/>
          <w:szCs w:val="24"/>
        </w:rPr>
        <w:t>ęć bezpośrednio w ustawie o VAT</w:t>
      </w:r>
      <w:r w:rsidRPr="007B20B5">
        <w:rPr>
          <w:rFonts w:ascii="Times New Roman" w:hAnsi="Times New Roman" w:cs="Times New Roman"/>
          <w:color w:val="auto"/>
          <w:sz w:val="24"/>
          <w:szCs w:val="24"/>
        </w:rPr>
        <w:t xml:space="preserve">. Dyrektywa PSD2 również wymagała wdrożenia do krajowego porządku prawnego – co nastąpiło zasadniczo w ustawie z </w:t>
      </w:r>
      <w:r w:rsidR="00AC7A65" w:rsidRPr="007B20B5">
        <w:rPr>
          <w:rFonts w:ascii="Times New Roman" w:hAnsi="Times New Roman" w:cs="Times New Roman"/>
          <w:color w:val="auto"/>
          <w:sz w:val="24"/>
          <w:szCs w:val="24"/>
        </w:rPr>
        <w:t xml:space="preserve">dnia </w:t>
      </w:r>
      <w:r w:rsidRPr="007B20B5">
        <w:rPr>
          <w:rFonts w:ascii="Times New Roman" w:hAnsi="Times New Roman" w:cs="Times New Roman"/>
          <w:color w:val="auto"/>
          <w:sz w:val="24"/>
          <w:szCs w:val="24"/>
        </w:rPr>
        <w:t>19 sierpni</w:t>
      </w:r>
      <w:r w:rsidR="006C2C2C" w:rsidRPr="007B20B5">
        <w:rPr>
          <w:rFonts w:ascii="Times New Roman" w:hAnsi="Times New Roman" w:cs="Times New Roman"/>
          <w:color w:val="auto"/>
          <w:sz w:val="24"/>
          <w:szCs w:val="24"/>
        </w:rPr>
        <w:t xml:space="preserve">a 2011 r. </w:t>
      </w:r>
      <w:r w:rsidR="006C2C2C" w:rsidRPr="007B20B5">
        <w:rPr>
          <w:rFonts w:ascii="Times New Roman" w:hAnsi="Times New Roman" w:cs="Times New Roman"/>
          <w:i/>
          <w:color w:val="auto"/>
          <w:sz w:val="24"/>
          <w:szCs w:val="24"/>
        </w:rPr>
        <w:t>o usługach płatniczych</w:t>
      </w:r>
      <w:r w:rsidR="006C2C2C" w:rsidRPr="007B20B5">
        <w:rPr>
          <w:rStyle w:val="Odwoanieprzypisudolnego"/>
          <w:rFonts w:ascii="Times New Roman" w:hAnsi="Times New Roman" w:cs="Times New Roman"/>
          <w:color w:val="auto"/>
          <w:sz w:val="24"/>
          <w:szCs w:val="24"/>
        </w:rPr>
        <w:footnoteReference w:id="14"/>
      </w:r>
      <w:r w:rsidR="00FB28DB" w:rsidRPr="007B20B5">
        <w:rPr>
          <w:rFonts w:ascii="Times New Roman" w:hAnsi="Times New Roman" w:cs="Times New Roman"/>
          <w:color w:val="auto"/>
          <w:sz w:val="24"/>
          <w:szCs w:val="24"/>
        </w:rPr>
        <w:t>, zwanej dalej „ustawą o usługach płatniczych”.</w:t>
      </w:r>
      <w:r w:rsidRPr="007B20B5">
        <w:rPr>
          <w:rFonts w:ascii="Times New Roman" w:hAnsi="Times New Roman" w:cs="Times New Roman"/>
          <w:color w:val="auto"/>
          <w:sz w:val="24"/>
          <w:szCs w:val="24"/>
        </w:rPr>
        <w:t xml:space="preserve"> Definiowanie pojęć z zakresu usług płatniczych w ustawie o VAT polegałoby więc na powieleniu odpowiednich przepisów ww.</w:t>
      </w:r>
      <w:r w:rsidR="00AC7A65" w:rsidRPr="007B20B5">
        <w:rPr>
          <w:rFonts w:ascii="Times New Roman" w:hAnsi="Times New Roman" w:cs="Times New Roman"/>
          <w:color w:val="auto"/>
          <w:sz w:val="24"/>
          <w:szCs w:val="24"/>
        </w:rPr>
        <w:t xml:space="preserve"> ustawy o usługach płatniczych.</w:t>
      </w:r>
    </w:p>
    <w:p w14:paraId="775ABD86" w14:textId="09E2EBF4" w:rsidR="00AC7A65" w:rsidRPr="007B20B5" w:rsidRDefault="00AC7A65" w:rsidP="00AC309A">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A</w:t>
      </w:r>
      <w:r w:rsidR="00AC309A" w:rsidRPr="007B20B5">
        <w:rPr>
          <w:rFonts w:ascii="Times New Roman" w:hAnsi="Times New Roman" w:cs="Times New Roman"/>
          <w:color w:val="auto"/>
          <w:sz w:val="24"/>
          <w:szCs w:val="24"/>
        </w:rPr>
        <w:t>by zapewnić rezult</w:t>
      </w:r>
      <w:r w:rsidR="00B217C3">
        <w:rPr>
          <w:rFonts w:ascii="Times New Roman" w:hAnsi="Times New Roman" w:cs="Times New Roman"/>
          <w:color w:val="auto"/>
          <w:sz w:val="24"/>
          <w:szCs w:val="24"/>
        </w:rPr>
        <w:t>a</w:t>
      </w:r>
      <w:r w:rsidR="00CE3E52">
        <w:rPr>
          <w:rFonts w:ascii="Times New Roman" w:hAnsi="Times New Roman" w:cs="Times New Roman"/>
          <w:color w:val="auto"/>
          <w:sz w:val="24"/>
          <w:szCs w:val="24"/>
        </w:rPr>
        <w:t>t zakładany przez dyrektywę 2020</w:t>
      </w:r>
      <w:r w:rsidR="00B217C3">
        <w:rPr>
          <w:rFonts w:ascii="Times New Roman" w:hAnsi="Times New Roman" w:cs="Times New Roman"/>
          <w:color w:val="auto"/>
          <w:sz w:val="24"/>
          <w:szCs w:val="24"/>
        </w:rPr>
        <w:t>/284</w:t>
      </w:r>
      <w:r w:rsidR="00AC309A" w:rsidRPr="007B20B5">
        <w:rPr>
          <w:rFonts w:ascii="Times New Roman" w:hAnsi="Times New Roman" w:cs="Times New Roman"/>
          <w:color w:val="auto"/>
          <w:sz w:val="24"/>
          <w:szCs w:val="24"/>
        </w:rPr>
        <w:t>, prawidłowym rozwiązaniem jest zdefiniowanie pojęć wymienionych w art. 243a</w:t>
      </w:r>
      <w:r w:rsidRPr="007B20B5">
        <w:rPr>
          <w:rFonts w:ascii="Times New Roman" w:hAnsi="Times New Roman" w:cs="Times New Roman"/>
          <w:color w:val="auto"/>
          <w:sz w:val="24"/>
          <w:szCs w:val="24"/>
        </w:rPr>
        <w:t xml:space="preserve"> dyrektywy VAT</w:t>
      </w:r>
      <w:r w:rsidR="00AC309A" w:rsidRPr="007B20B5">
        <w:rPr>
          <w:rFonts w:ascii="Times New Roman" w:hAnsi="Times New Roman" w:cs="Times New Roman"/>
          <w:color w:val="auto"/>
          <w:sz w:val="24"/>
          <w:szCs w:val="24"/>
        </w:rPr>
        <w:t>, poprzez odesłanie w ustawie o VAT do odpowiednich krajowych przepisów o usługach płatniczych (w zakres</w:t>
      </w:r>
      <w:r w:rsidR="00B217C3">
        <w:rPr>
          <w:rFonts w:ascii="Times New Roman" w:hAnsi="Times New Roman" w:cs="Times New Roman"/>
          <w:color w:val="auto"/>
          <w:sz w:val="24"/>
          <w:szCs w:val="24"/>
        </w:rPr>
        <w:t>ie pojęć, które w dyrektywie 2020/284</w:t>
      </w:r>
      <w:r w:rsidR="00AC309A" w:rsidRPr="007B20B5">
        <w:rPr>
          <w:rFonts w:ascii="Times New Roman" w:hAnsi="Times New Roman" w:cs="Times New Roman"/>
          <w:color w:val="auto"/>
          <w:sz w:val="24"/>
          <w:szCs w:val="24"/>
        </w:rPr>
        <w:t xml:space="preserve"> zdefiniowane zostały przez odesłanie do </w:t>
      </w:r>
      <w:r w:rsidR="00FB28DB" w:rsidRPr="007B20B5">
        <w:rPr>
          <w:rFonts w:ascii="Times New Roman" w:hAnsi="Times New Roman" w:cs="Times New Roman"/>
          <w:color w:val="auto"/>
          <w:sz w:val="24"/>
          <w:szCs w:val="24"/>
        </w:rPr>
        <w:t>dyrektywy PSD2)</w:t>
      </w:r>
      <w:r w:rsidRPr="007B20B5">
        <w:rPr>
          <w:rFonts w:ascii="Times New Roman" w:hAnsi="Times New Roman" w:cs="Times New Roman"/>
          <w:color w:val="auto"/>
          <w:sz w:val="24"/>
          <w:szCs w:val="24"/>
        </w:rPr>
        <w:t>.</w:t>
      </w:r>
    </w:p>
    <w:p w14:paraId="1847663D" w14:textId="69D2BD6D" w:rsidR="001B1166" w:rsidRPr="007B20B5" w:rsidRDefault="00AC309A" w:rsidP="00AC309A">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Natomiast w odniesieniu do pojęć</w:t>
      </w:r>
      <w:r w:rsidR="00B217C3">
        <w:rPr>
          <w:rFonts w:ascii="Times New Roman" w:hAnsi="Times New Roman" w:cs="Times New Roman"/>
          <w:color w:val="auto"/>
          <w:sz w:val="24"/>
          <w:szCs w:val="24"/>
        </w:rPr>
        <w:t xml:space="preserve"> zdefiniowanych w dyrektywie 2020/284</w:t>
      </w:r>
      <w:r w:rsidRPr="007B20B5">
        <w:rPr>
          <w:rFonts w:ascii="Times New Roman" w:hAnsi="Times New Roman" w:cs="Times New Roman"/>
          <w:color w:val="auto"/>
          <w:sz w:val="24"/>
          <w:szCs w:val="24"/>
        </w:rPr>
        <w:t xml:space="preserve"> poprzez</w:t>
      </w:r>
      <w:r w:rsidR="00CE3E52">
        <w:rPr>
          <w:rFonts w:ascii="Times New Roman" w:hAnsi="Times New Roman" w:cs="Times New Roman"/>
          <w:color w:val="auto"/>
          <w:sz w:val="24"/>
          <w:szCs w:val="24"/>
        </w:rPr>
        <w:t xml:space="preserve"> odesłanie do rozporządzenia </w:t>
      </w:r>
      <w:r w:rsidRPr="007B20B5">
        <w:rPr>
          <w:rFonts w:ascii="Times New Roman" w:hAnsi="Times New Roman" w:cs="Times New Roman"/>
          <w:color w:val="auto"/>
          <w:sz w:val="24"/>
          <w:szCs w:val="24"/>
        </w:rPr>
        <w:t xml:space="preserve">260/2012, mając na względzie, że rozporządzenia </w:t>
      </w:r>
      <w:r w:rsidR="00F4359F" w:rsidRPr="007B20B5">
        <w:rPr>
          <w:rFonts w:ascii="Times New Roman" w:hAnsi="Times New Roman" w:cs="Times New Roman"/>
          <w:color w:val="auto"/>
          <w:sz w:val="24"/>
          <w:szCs w:val="24"/>
        </w:rPr>
        <w:t>unijne wiążą w całości i </w:t>
      </w:r>
      <w:r w:rsidRPr="007B20B5">
        <w:rPr>
          <w:rFonts w:ascii="Times New Roman" w:hAnsi="Times New Roman" w:cs="Times New Roman"/>
          <w:color w:val="auto"/>
          <w:sz w:val="24"/>
          <w:szCs w:val="24"/>
        </w:rPr>
        <w:t>są bezpośrednio stosowane we wszystkich państwach członkowskich, zasadne jest odesłanie</w:t>
      </w:r>
      <w:r w:rsidR="00F4359F" w:rsidRPr="007B20B5">
        <w:rPr>
          <w:rFonts w:ascii="Times New Roman" w:hAnsi="Times New Roman" w:cs="Times New Roman"/>
          <w:color w:val="auto"/>
          <w:sz w:val="24"/>
          <w:szCs w:val="24"/>
        </w:rPr>
        <w:t xml:space="preserve"> w </w:t>
      </w:r>
      <w:r w:rsidRPr="007B20B5">
        <w:rPr>
          <w:rFonts w:ascii="Times New Roman" w:hAnsi="Times New Roman" w:cs="Times New Roman"/>
          <w:color w:val="auto"/>
          <w:sz w:val="24"/>
          <w:szCs w:val="24"/>
        </w:rPr>
        <w:t>prawie krajowym do przepisów tego rozporządzenia.</w:t>
      </w:r>
    </w:p>
    <w:p w14:paraId="7163B61A" w14:textId="77D9B152" w:rsidR="005747A7" w:rsidRPr="007B20B5" w:rsidRDefault="005747A7" w:rsidP="00AC309A">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W projektowanym </w:t>
      </w:r>
      <w:r w:rsidRPr="007B20B5">
        <w:rPr>
          <w:rFonts w:ascii="Times New Roman" w:hAnsi="Times New Roman" w:cs="Times New Roman"/>
          <w:b/>
          <w:color w:val="auto"/>
          <w:sz w:val="24"/>
          <w:szCs w:val="24"/>
        </w:rPr>
        <w:t xml:space="preserve">art. </w:t>
      </w:r>
      <w:r w:rsidR="008214DB" w:rsidRPr="007B20B5">
        <w:rPr>
          <w:rFonts w:ascii="Times New Roman" w:hAnsi="Times New Roman" w:cs="Times New Roman"/>
          <w:b/>
          <w:color w:val="auto"/>
          <w:sz w:val="24"/>
          <w:szCs w:val="24"/>
        </w:rPr>
        <w:t>110a</w:t>
      </w:r>
      <w:r w:rsidRPr="007B20B5">
        <w:rPr>
          <w:rFonts w:ascii="Times New Roman" w:hAnsi="Times New Roman" w:cs="Times New Roman"/>
          <w:b/>
          <w:color w:val="auto"/>
          <w:sz w:val="24"/>
          <w:szCs w:val="24"/>
        </w:rPr>
        <w:t xml:space="preserve"> ustawy o VAT</w:t>
      </w:r>
      <w:r w:rsidR="00E82B5D" w:rsidRPr="007B20B5">
        <w:rPr>
          <w:rFonts w:ascii="Times New Roman" w:hAnsi="Times New Roman" w:cs="Times New Roman"/>
          <w:color w:val="auto"/>
          <w:sz w:val="24"/>
          <w:szCs w:val="24"/>
        </w:rPr>
        <w:t xml:space="preserve">, implementującym art. 243a dyrektywy VAT, </w:t>
      </w:r>
      <w:r w:rsidR="008214DB" w:rsidRPr="007B20B5">
        <w:rPr>
          <w:rFonts w:ascii="Times New Roman" w:hAnsi="Times New Roman" w:cs="Times New Roman"/>
          <w:color w:val="auto"/>
          <w:sz w:val="24"/>
          <w:szCs w:val="24"/>
        </w:rPr>
        <w:t xml:space="preserve">na </w:t>
      </w:r>
      <w:r w:rsidR="008214DB" w:rsidRPr="007B20B5">
        <w:rPr>
          <w:rFonts w:ascii="Times New Roman" w:hAnsi="Times New Roman" w:cs="Times New Roman"/>
          <w:color w:val="auto"/>
          <w:sz w:val="24"/>
          <w:szCs w:val="24"/>
        </w:rPr>
        <w:lastRenderedPageBreak/>
        <w:t xml:space="preserve">potrzeby stosowania przepisów nowo dodanego rozdziału </w:t>
      </w:r>
      <w:r w:rsidRPr="007B20B5">
        <w:rPr>
          <w:rFonts w:ascii="Times New Roman" w:hAnsi="Times New Roman" w:cs="Times New Roman"/>
          <w:color w:val="auto"/>
          <w:sz w:val="24"/>
          <w:szCs w:val="24"/>
        </w:rPr>
        <w:t xml:space="preserve">wprowadzono </w:t>
      </w:r>
      <w:r w:rsidR="008214DB" w:rsidRPr="007B20B5">
        <w:rPr>
          <w:rFonts w:ascii="Times New Roman" w:hAnsi="Times New Roman" w:cs="Times New Roman"/>
          <w:color w:val="auto"/>
          <w:sz w:val="24"/>
          <w:szCs w:val="24"/>
        </w:rPr>
        <w:t xml:space="preserve">następujące </w:t>
      </w:r>
      <w:r w:rsidRPr="007B20B5">
        <w:rPr>
          <w:rFonts w:ascii="Times New Roman" w:hAnsi="Times New Roman" w:cs="Times New Roman"/>
          <w:color w:val="auto"/>
          <w:sz w:val="24"/>
          <w:szCs w:val="24"/>
        </w:rPr>
        <w:t>definicje</w:t>
      </w:r>
      <w:r w:rsidR="008214DB" w:rsidRPr="007B20B5">
        <w:rPr>
          <w:rFonts w:ascii="Times New Roman" w:hAnsi="Times New Roman" w:cs="Times New Roman"/>
          <w:color w:val="auto"/>
          <w:sz w:val="24"/>
          <w:szCs w:val="24"/>
        </w:rPr>
        <w:t>:</w:t>
      </w:r>
    </w:p>
    <w:p w14:paraId="676EF391" w14:textId="5F23301B" w:rsidR="00682F26" w:rsidRPr="007B20B5" w:rsidRDefault="008214DB"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sz w:val="24"/>
          <w:szCs w:val="24"/>
        </w:rPr>
        <w:t>w</w:t>
      </w:r>
      <w:r w:rsidRPr="007B20B5">
        <w:rPr>
          <w:rFonts w:ascii="Times New Roman" w:hAnsi="Times New Roman" w:cs="Times New Roman"/>
          <w:b/>
          <w:sz w:val="24"/>
          <w:szCs w:val="24"/>
        </w:rPr>
        <w:t xml:space="preserve"> </w:t>
      </w:r>
      <w:r w:rsidR="001B1166" w:rsidRPr="007B20B5">
        <w:rPr>
          <w:rFonts w:ascii="Times New Roman" w:hAnsi="Times New Roman" w:cs="Times New Roman"/>
          <w:b/>
          <w:sz w:val="24"/>
          <w:szCs w:val="24"/>
        </w:rPr>
        <w:t xml:space="preserve">pkt 1 </w:t>
      </w:r>
      <w:r w:rsidRPr="007B20B5">
        <w:rPr>
          <w:rFonts w:ascii="Times New Roman" w:hAnsi="Times New Roman" w:cs="Times New Roman"/>
          <w:sz w:val="24"/>
          <w:szCs w:val="24"/>
        </w:rPr>
        <w:t xml:space="preserve">zdefiniowany został </w:t>
      </w:r>
      <w:r w:rsidR="00E724AE" w:rsidRPr="007B20B5">
        <w:rPr>
          <w:rFonts w:ascii="Times New Roman" w:hAnsi="Times New Roman" w:cs="Times New Roman"/>
          <w:sz w:val="24"/>
          <w:szCs w:val="24"/>
        </w:rPr>
        <w:t>dostawca</w:t>
      </w:r>
      <w:r w:rsidR="001B1166" w:rsidRPr="007B20B5">
        <w:rPr>
          <w:rFonts w:ascii="Times New Roman" w:hAnsi="Times New Roman" w:cs="Times New Roman"/>
          <w:sz w:val="24"/>
          <w:szCs w:val="24"/>
        </w:rPr>
        <w:t xml:space="preserve"> usłu</w:t>
      </w:r>
      <w:r w:rsidR="001B1166" w:rsidRPr="007B20B5">
        <w:rPr>
          <w:rFonts w:ascii="Times New Roman" w:hAnsi="Times New Roman" w:cs="Times New Roman"/>
          <w:color w:val="auto"/>
          <w:sz w:val="24"/>
          <w:szCs w:val="24"/>
        </w:rPr>
        <w:t>g</w:t>
      </w:r>
      <w:r w:rsidR="00362EB4">
        <w:rPr>
          <w:rFonts w:ascii="Times New Roman" w:hAnsi="Times New Roman" w:cs="Times New Roman"/>
          <w:color w:val="auto"/>
          <w:sz w:val="24"/>
          <w:szCs w:val="24"/>
        </w:rPr>
        <w:t xml:space="preserve"> płatniczych</w:t>
      </w:r>
      <w:r w:rsidR="00F84B65" w:rsidRPr="007B20B5">
        <w:rPr>
          <w:rFonts w:ascii="Times New Roman" w:hAnsi="Times New Roman" w:cs="Times New Roman"/>
          <w:color w:val="auto"/>
          <w:sz w:val="24"/>
          <w:szCs w:val="24"/>
        </w:rPr>
        <w:t>, który będzie objęty obo</w:t>
      </w:r>
      <w:r w:rsidR="00BE6852" w:rsidRPr="007B20B5">
        <w:rPr>
          <w:rFonts w:ascii="Times New Roman" w:hAnsi="Times New Roman" w:cs="Times New Roman"/>
          <w:color w:val="auto"/>
          <w:sz w:val="24"/>
          <w:szCs w:val="24"/>
        </w:rPr>
        <w:t>wiązkiem prowadzenia ewidencji.</w:t>
      </w:r>
    </w:p>
    <w:p w14:paraId="04DFB230" w14:textId="2682DF1D" w:rsidR="004A4BC8" w:rsidRPr="007B20B5" w:rsidRDefault="004A4BC8"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Zgodnie z art. 243a pkt 1 dyrektywy </w:t>
      </w:r>
      <w:r w:rsidR="000B7F90" w:rsidRPr="007B20B5">
        <w:rPr>
          <w:rFonts w:ascii="Times New Roman" w:hAnsi="Times New Roman" w:cs="Times New Roman"/>
          <w:color w:val="auto"/>
          <w:sz w:val="24"/>
          <w:szCs w:val="24"/>
        </w:rPr>
        <w:t>VAT</w:t>
      </w:r>
      <w:r w:rsidR="00E82B5D" w:rsidRPr="007B20B5">
        <w:rPr>
          <w:rFonts w:ascii="Times New Roman" w:hAnsi="Times New Roman" w:cs="Times New Roman"/>
          <w:color w:val="auto"/>
          <w:sz w:val="24"/>
          <w:szCs w:val="24"/>
        </w:rPr>
        <w:t xml:space="preserve"> </w:t>
      </w:r>
      <w:r w:rsidR="00D458F5" w:rsidRPr="007B20B5">
        <w:rPr>
          <w:rFonts w:ascii="Times New Roman" w:hAnsi="Times New Roman" w:cs="Times New Roman"/>
          <w:color w:val="auto"/>
          <w:sz w:val="24"/>
          <w:szCs w:val="24"/>
        </w:rPr>
        <w:t>„</w:t>
      </w:r>
      <w:r w:rsidR="00E82B5D" w:rsidRPr="007B20B5">
        <w:rPr>
          <w:rFonts w:ascii="Times New Roman" w:hAnsi="Times New Roman" w:cs="Times New Roman"/>
          <w:color w:val="auto"/>
          <w:sz w:val="24"/>
          <w:szCs w:val="24"/>
        </w:rPr>
        <w:t>dostawca usług płatniczych</w:t>
      </w:r>
      <w:r w:rsidR="00D458F5" w:rsidRPr="007B20B5">
        <w:rPr>
          <w:rFonts w:ascii="Times New Roman" w:hAnsi="Times New Roman" w:cs="Times New Roman"/>
          <w:color w:val="auto"/>
          <w:sz w:val="24"/>
          <w:szCs w:val="24"/>
        </w:rPr>
        <w:t xml:space="preserve">” oznacza którąkolwiek z </w:t>
      </w:r>
      <w:r w:rsidRPr="007B20B5">
        <w:rPr>
          <w:rFonts w:ascii="Times New Roman" w:hAnsi="Times New Roman" w:cs="Times New Roman"/>
          <w:color w:val="auto"/>
          <w:sz w:val="24"/>
          <w:szCs w:val="24"/>
        </w:rPr>
        <w:t>kategorii dostawców usług płatniczych wymi</w:t>
      </w:r>
      <w:r w:rsidR="00F4359F" w:rsidRPr="007B20B5">
        <w:rPr>
          <w:rFonts w:ascii="Times New Roman" w:hAnsi="Times New Roman" w:cs="Times New Roman"/>
          <w:color w:val="auto"/>
          <w:sz w:val="24"/>
          <w:szCs w:val="24"/>
        </w:rPr>
        <w:t>enionych w art. 1 ust. 1 lit. a-d</w:t>
      </w:r>
      <w:r w:rsidRPr="007B20B5">
        <w:rPr>
          <w:rFonts w:ascii="Times New Roman" w:hAnsi="Times New Roman" w:cs="Times New Roman"/>
          <w:color w:val="auto"/>
          <w:sz w:val="24"/>
          <w:szCs w:val="24"/>
        </w:rPr>
        <w:t xml:space="preserve"> dyrektywy PSD2 lub osobę fizyczną lub prawną korzystające ze zwolnienia zgodnie z art. 32 tej dyrektywy.</w:t>
      </w:r>
    </w:p>
    <w:p w14:paraId="467E1BC1" w14:textId="492EEEA1" w:rsidR="000E6C22" w:rsidRPr="007B20B5" w:rsidRDefault="000B7F90" w:rsidP="000E6C22">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D</w:t>
      </w:r>
      <w:r w:rsidR="00D458F5" w:rsidRPr="007B20B5">
        <w:rPr>
          <w:rFonts w:ascii="Times New Roman" w:hAnsi="Times New Roman" w:cs="Times New Roman"/>
          <w:color w:val="auto"/>
          <w:sz w:val="24"/>
          <w:szCs w:val="24"/>
        </w:rPr>
        <w:t xml:space="preserve">efinicja </w:t>
      </w:r>
      <w:r w:rsidRPr="007B20B5">
        <w:rPr>
          <w:rFonts w:ascii="Times New Roman" w:hAnsi="Times New Roman" w:cs="Times New Roman"/>
          <w:color w:val="auto"/>
          <w:sz w:val="24"/>
          <w:szCs w:val="24"/>
        </w:rPr>
        <w:t>dostawcy</w:t>
      </w:r>
      <w:r w:rsidR="00D458F5" w:rsidRPr="007B20B5">
        <w:rPr>
          <w:rFonts w:ascii="Times New Roman" w:hAnsi="Times New Roman" w:cs="Times New Roman"/>
          <w:color w:val="auto"/>
          <w:sz w:val="24"/>
          <w:szCs w:val="24"/>
        </w:rPr>
        <w:t xml:space="preserve"> usług płatniczych</w:t>
      </w:r>
      <w:r w:rsidR="00F4359F" w:rsidRPr="007B20B5">
        <w:rPr>
          <w:rFonts w:ascii="Times New Roman" w:hAnsi="Times New Roman" w:cs="Times New Roman"/>
          <w:color w:val="auto"/>
          <w:sz w:val="24"/>
          <w:szCs w:val="24"/>
        </w:rPr>
        <w:t xml:space="preserve"> zawarta w art. 1 ust. 1 lit a-d</w:t>
      </w:r>
      <w:r w:rsidR="000E6C22" w:rsidRPr="007B20B5">
        <w:rPr>
          <w:rFonts w:ascii="Times New Roman" w:hAnsi="Times New Roman" w:cs="Times New Roman"/>
          <w:color w:val="auto"/>
          <w:sz w:val="24"/>
          <w:szCs w:val="24"/>
        </w:rPr>
        <w:t xml:space="preserve"> </w:t>
      </w:r>
      <w:r w:rsidR="00FB28DB" w:rsidRPr="007B20B5">
        <w:rPr>
          <w:rFonts w:ascii="Times New Roman" w:hAnsi="Times New Roman" w:cs="Times New Roman"/>
          <w:color w:val="auto"/>
          <w:sz w:val="24"/>
          <w:szCs w:val="24"/>
        </w:rPr>
        <w:t>dyrektywy PSD2</w:t>
      </w:r>
      <w:r w:rsidR="000E6C22" w:rsidRPr="007B20B5">
        <w:rPr>
          <w:rFonts w:ascii="Times New Roman" w:hAnsi="Times New Roman" w:cs="Times New Roman"/>
          <w:color w:val="auto"/>
          <w:sz w:val="24"/>
          <w:szCs w:val="24"/>
        </w:rPr>
        <w:t xml:space="preserve"> została</w:t>
      </w:r>
      <w:r w:rsidR="008E6623" w:rsidRPr="007B20B5">
        <w:rPr>
          <w:rFonts w:ascii="Times New Roman" w:hAnsi="Times New Roman" w:cs="Times New Roman"/>
          <w:color w:val="auto"/>
          <w:sz w:val="24"/>
          <w:szCs w:val="24"/>
        </w:rPr>
        <w:t xml:space="preserve"> </w:t>
      </w:r>
      <w:r w:rsidR="000E6C22" w:rsidRPr="007B20B5">
        <w:rPr>
          <w:rFonts w:ascii="Times New Roman" w:hAnsi="Times New Roman" w:cs="Times New Roman"/>
          <w:color w:val="auto"/>
          <w:sz w:val="24"/>
          <w:szCs w:val="24"/>
        </w:rPr>
        <w:t>transponowana o</w:t>
      </w:r>
      <w:r w:rsidR="00FB28DB" w:rsidRPr="007B20B5">
        <w:rPr>
          <w:rFonts w:ascii="Times New Roman" w:hAnsi="Times New Roman" w:cs="Times New Roman"/>
          <w:color w:val="auto"/>
          <w:sz w:val="24"/>
          <w:szCs w:val="24"/>
        </w:rPr>
        <w:t>dpowiednio w art. 4 ust. 2 pkt 1-6</w:t>
      </w:r>
      <w:r w:rsidR="0013131B">
        <w:rPr>
          <w:rFonts w:ascii="Times New Roman" w:hAnsi="Times New Roman" w:cs="Times New Roman"/>
          <w:color w:val="auto"/>
          <w:sz w:val="24"/>
          <w:szCs w:val="24"/>
        </w:rPr>
        <w:t>, 9 i 10</w:t>
      </w:r>
      <w:r w:rsidR="00FB28DB" w:rsidRPr="007B20B5">
        <w:rPr>
          <w:rFonts w:ascii="Times New Roman" w:hAnsi="Times New Roman" w:cs="Times New Roman"/>
          <w:color w:val="auto"/>
          <w:sz w:val="24"/>
          <w:szCs w:val="24"/>
        </w:rPr>
        <w:t xml:space="preserve"> ustawy o usługach płatniczych</w:t>
      </w:r>
      <w:r w:rsidR="000E6C22" w:rsidRPr="007B20B5">
        <w:rPr>
          <w:rFonts w:ascii="Times New Roman" w:hAnsi="Times New Roman" w:cs="Times New Roman"/>
          <w:color w:val="auto"/>
          <w:sz w:val="24"/>
          <w:szCs w:val="24"/>
        </w:rPr>
        <w:t>, natomiast regulacje zawarte w art.</w:t>
      </w:r>
      <w:r w:rsidR="008E6623" w:rsidRPr="007B20B5">
        <w:rPr>
          <w:rFonts w:ascii="Times New Roman" w:hAnsi="Times New Roman" w:cs="Times New Roman"/>
          <w:color w:val="auto"/>
          <w:sz w:val="24"/>
          <w:szCs w:val="24"/>
        </w:rPr>
        <w:t xml:space="preserve"> </w:t>
      </w:r>
      <w:r w:rsidR="000E6C22" w:rsidRPr="007B20B5">
        <w:rPr>
          <w:rFonts w:ascii="Times New Roman" w:hAnsi="Times New Roman" w:cs="Times New Roman"/>
          <w:color w:val="auto"/>
          <w:sz w:val="24"/>
          <w:szCs w:val="24"/>
        </w:rPr>
        <w:t xml:space="preserve">32 </w:t>
      </w:r>
      <w:r w:rsidR="00FB28DB" w:rsidRPr="007B20B5">
        <w:rPr>
          <w:rFonts w:ascii="Times New Roman" w:hAnsi="Times New Roman" w:cs="Times New Roman"/>
          <w:color w:val="auto"/>
          <w:sz w:val="24"/>
          <w:szCs w:val="24"/>
        </w:rPr>
        <w:t xml:space="preserve">dyrektywy </w:t>
      </w:r>
      <w:r w:rsidR="000E6C22" w:rsidRPr="007B20B5">
        <w:rPr>
          <w:rFonts w:ascii="Times New Roman" w:hAnsi="Times New Roman" w:cs="Times New Roman"/>
          <w:color w:val="auto"/>
          <w:sz w:val="24"/>
          <w:szCs w:val="24"/>
        </w:rPr>
        <w:t xml:space="preserve">PSD2 </w:t>
      </w:r>
      <w:r w:rsidR="008E6623" w:rsidRPr="007B20B5">
        <w:rPr>
          <w:rFonts w:ascii="Times New Roman" w:hAnsi="Times New Roman" w:cs="Times New Roman"/>
          <w:color w:val="auto"/>
          <w:sz w:val="24"/>
          <w:szCs w:val="24"/>
        </w:rPr>
        <w:t>zostały transponowane kolejno w</w:t>
      </w:r>
      <w:r w:rsidR="009A4B84">
        <w:rPr>
          <w:rFonts w:ascii="Times New Roman" w:hAnsi="Times New Roman" w:cs="Times New Roman"/>
          <w:color w:val="auto"/>
          <w:sz w:val="24"/>
          <w:szCs w:val="24"/>
        </w:rPr>
        <w:t> </w:t>
      </w:r>
      <w:r w:rsidR="000E6C22" w:rsidRPr="007B20B5">
        <w:rPr>
          <w:rFonts w:ascii="Times New Roman" w:hAnsi="Times New Roman" w:cs="Times New Roman"/>
          <w:color w:val="auto"/>
          <w:sz w:val="24"/>
          <w:szCs w:val="24"/>
        </w:rPr>
        <w:t>art.</w:t>
      </w:r>
      <w:r w:rsidR="009A4B84">
        <w:rPr>
          <w:rFonts w:ascii="Times New Roman" w:hAnsi="Times New Roman" w:cs="Times New Roman"/>
          <w:color w:val="auto"/>
          <w:sz w:val="24"/>
          <w:szCs w:val="24"/>
        </w:rPr>
        <w:t> </w:t>
      </w:r>
      <w:r w:rsidR="00A954CC" w:rsidRPr="007B20B5">
        <w:rPr>
          <w:rFonts w:ascii="Times New Roman" w:hAnsi="Times New Roman" w:cs="Times New Roman"/>
          <w:color w:val="auto"/>
          <w:sz w:val="24"/>
          <w:szCs w:val="24"/>
        </w:rPr>
        <w:t>117f – 117u ww. ustawy i odnoszą się do</w:t>
      </w:r>
      <w:r w:rsidR="000E6C22" w:rsidRPr="007B20B5">
        <w:rPr>
          <w:rFonts w:ascii="Times New Roman" w:hAnsi="Times New Roman" w:cs="Times New Roman"/>
          <w:color w:val="auto"/>
          <w:sz w:val="24"/>
          <w:szCs w:val="24"/>
        </w:rPr>
        <w:t xml:space="preserve"> małej instytucji płatniczej</w:t>
      </w:r>
      <w:r w:rsidR="00A954CC" w:rsidRPr="007B20B5">
        <w:rPr>
          <w:rFonts w:ascii="Times New Roman" w:hAnsi="Times New Roman" w:cs="Times New Roman"/>
          <w:color w:val="auto"/>
          <w:sz w:val="24"/>
          <w:szCs w:val="24"/>
        </w:rPr>
        <w:t xml:space="preserve"> wskazanej jako dostawca usług płatniczych w art. 4 ust. 2 pkt 11 tej ustawy.</w:t>
      </w:r>
    </w:p>
    <w:p w14:paraId="1912F30D" w14:textId="7091E010" w:rsidR="008E6623" w:rsidRPr="007B20B5" w:rsidRDefault="00A621B0" w:rsidP="008E6623">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Zatem dostawcą usług płatniczych jest</w:t>
      </w:r>
      <w:r w:rsidR="008E6623" w:rsidRPr="007B20B5">
        <w:rPr>
          <w:rFonts w:ascii="Times New Roman" w:hAnsi="Times New Roman" w:cs="Times New Roman"/>
          <w:color w:val="auto"/>
          <w:sz w:val="24"/>
          <w:szCs w:val="24"/>
        </w:rPr>
        <w:t>:</w:t>
      </w:r>
    </w:p>
    <w:p w14:paraId="171EE6C3" w14:textId="257CFBC5" w:rsidR="00A621B0" w:rsidRPr="007B20B5" w:rsidRDefault="008E6623"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bank krajowy w rozumieniu art. 4 ust. 1 pkt 1 ustawy – Prawo bankowe;</w:t>
      </w:r>
      <w:r w:rsidR="00A621B0" w:rsidRPr="007B20B5">
        <w:rPr>
          <w:rFonts w:ascii="Times New Roman" w:hAnsi="Times New Roman" w:cs="Times New Roman"/>
          <w:color w:val="auto"/>
          <w:sz w:val="24"/>
          <w:szCs w:val="24"/>
        </w:rPr>
        <w:t xml:space="preserve"> zgodnie z tym przepisem przez bank krajowy rozumie się bank mający siedzibę na terytorium Rzeczypospolitej Polskiej;</w:t>
      </w:r>
    </w:p>
    <w:p w14:paraId="70EEB92A" w14:textId="582C758D" w:rsidR="00A621B0" w:rsidRPr="007B20B5" w:rsidRDefault="008E6623"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oddział banku zagranicznego w rozumieniu art. 4 ust. 1 pkt 20 ustawy – Prawo bankowe;</w:t>
      </w:r>
      <w:r w:rsidR="00A621B0" w:rsidRPr="007B20B5">
        <w:rPr>
          <w:rFonts w:ascii="Times New Roman" w:hAnsi="Times New Roman" w:cs="Times New Roman"/>
          <w:sz w:val="24"/>
          <w:szCs w:val="24"/>
        </w:rPr>
        <w:t xml:space="preserve"> </w:t>
      </w:r>
      <w:r w:rsidR="00A621B0" w:rsidRPr="007B20B5">
        <w:rPr>
          <w:rFonts w:ascii="Times New Roman" w:hAnsi="Times New Roman" w:cs="Times New Roman"/>
          <w:color w:val="auto"/>
          <w:sz w:val="24"/>
          <w:szCs w:val="24"/>
        </w:rPr>
        <w:t>zgodnie z tym przepisem przez oddział banku zagranicznego rozumie się jednostkę organizacyjną banku zagranicznego wykonującą w jego imieniu i na jego rzecz wszystkie lub niektóre czynności wynikające z zezwolenia udzielonego temu bankowi, przy czym wszystkie jednostki organizacyjne danego banku zagranicznego odpowiadające powyższym cechom, utworzone na terytorium Rzeczypospolitej Polskiej, uważa się za jeden oddział;</w:t>
      </w:r>
    </w:p>
    <w:p w14:paraId="726FF605" w14:textId="77777777" w:rsidR="00F4359F" w:rsidRPr="007B20B5" w:rsidRDefault="008E6623"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instytucja kredytowa w rozumieniu art. 4 ust. 1 </w:t>
      </w:r>
      <w:r w:rsidR="00F4359F" w:rsidRPr="007B20B5">
        <w:rPr>
          <w:rFonts w:ascii="Times New Roman" w:hAnsi="Times New Roman" w:cs="Times New Roman"/>
          <w:color w:val="auto"/>
          <w:sz w:val="24"/>
          <w:szCs w:val="24"/>
        </w:rPr>
        <w:t>pkt 17 ustawy – Prawo bankowe i </w:t>
      </w:r>
      <w:r w:rsidRPr="007B20B5">
        <w:rPr>
          <w:rFonts w:ascii="Times New Roman" w:hAnsi="Times New Roman" w:cs="Times New Roman"/>
          <w:color w:val="auto"/>
          <w:sz w:val="24"/>
          <w:szCs w:val="24"/>
        </w:rPr>
        <w:t>odpowiednio oddział instytucji kredytowej w rozumieniu art. 4 ust. 1 pkt 18 ustawy – Prawo bankowe;</w:t>
      </w:r>
    </w:p>
    <w:p w14:paraId="11C157D8" w14:textId="11AA1937" w:rsidR="00A621B0" w:rsidRPr="007B20B5" w:rsidRDefault="00025987" w:rsidP="00F4359F">
      <w:pPr>
        <w:pStyle w:val="p"/>
        <w:spacing w:before="240" w:line="340" w:lineRule="atLeast"/>
        <w:ind w:left="720"/>
        <w:rPr>
          <w:rFonts w:ascii="Times New Roman" w:hAnsi="Times New Roman" w:cs="Times New Roman"/>
          <w:color w:val="auto"/>
          <w:sz w:val="24"/>
          <w:szCs w:val="24"/>
        </w:rPr>
      </w:pPr>
      <w:r w:rsidRPr="007B20B5">
        <w:rPr>
          <w:rFonts w:ascii="Times New Roman" w:hAnsi="Times New Roman" w:cs="Times New Roman"/>
          <w:color w:val="auto"/>
          <w:sz w:val="24"/>
          <w:szCs w:val="24"/>
        </w:rPr>
        <w:t>zatem dostawcą usług płatniczych jest instytucja kredytowa</w:t>
      </w:r>
      <w:r w:rsidR="00A664FA" w:rsidRPr="007B20B5">
        <w:rPr>
          <w:rFonts w:ascii="Times New Roman" w:hAnsi="Times New Roman" w:cs="Times New Roman"/>
          <w:color w:val="auto"/>
          <w:sz w:val="24"/>
          <w:szCs w:val="24"/>
        </w:rPr>
        <w:t>, o której mowa w art 4 us</w:t>
      </w:r>
      <w:r w:rsidR="00F4359F" w:rsidRPr="007B20B5">
        <w:rPr>
          <w:rFonts w:ascii="Times New Roman" w:hAnsi="Times New Roman" w:cs="Times New Roman"/>
          <w:color w:val="auto"/>
          <w:sz w:val="24"/>
          <w:szCs w:val="24"/>
        </w:rPr>
        <w:t xml:space="preserve">t 1 pkt 1 rozporządzenia </w:t>
      </w:r>
      <w:r w:rsidRPr="007B20B5">
        <w:rPr>
          <w:rFonts w:ascii="Times New Roman" w:hAnsi="Times New Roman" w:cs="Times New Roman"/>
          <w:color w:val="auto"/>
          <w:sz w:val="24"/>
          <w:szCs w:val="24"/>
        </w:rPr>
        <w:t>575/2013 mająca</w:t>
      </w:r>
      <w:r w:rsidR="00A664FA" w:rsidRPr="007B20B5">
        <w:rPr>
          <w:rFonts w:ascii="Times New Roman" w:hAnsi="Times New Roman" w:cs="Times New Roman"/>
          <w:color w:val="auto"/>
          <w:sz w:val="24"/>
          <w:szCs w:val="24"/>
        </w:rPr>
        <w:t xml:space="preserve"> siedzibę na terytorium innego niż Rzeczpospolita Polska państwa członkowskiego</w:t>
      </w:r>
      <w:r w:rsidRPr="007B20B5">
        <w:rPr>
          <w:rFonts w:ascii="Times New Roman" w:hAnsi="Times New Roman" w:cs="Times New Roman"/>
          <w:color w:val="auto"/>
          <w:sz w:val="24"/>
          <w:szCs w:val="24"/>
        </w:rPr>
        <w:t xml:space="preserve"> i oddział instytucji kredytowej, </w:t>
      </w:r>
      <w:r w:rsidR="00D458F5" w:rsidRPr="007B20B5">
        <w:rPr>
          <w:rFonts w:ascii="Times New Roman" w:hAnsi="Times New Roman" w:cs="Times New Roman"/>
          <w:color w:val="auto"/>
          <w:sz w:val="24"/>
          <w:szCs w:val="24"/>
        </w:rPr>
        <w:t>o </w:t>
      </w:r>
      <w:r w:rsidR="00A664FA" w:rsidRPr="007B20B5">
        <w:rPr>
          <w:rFonts w:ascii="Times New Roman" w:hAnsi="Times New Roman" w:cs="Times New Roman"/>
          <w:color w:val="auto"/>
          <w:sz w:val="24"/>
          <w:szCs w:val="24"/>
        </w:rPr>
        <w:t xml:space="preserve">którym mowa w </w:t>
      </w:r>
      <w:r w:rsidRPr="007B20B5">
        <w:rPr>
          <w:rFonts w:ascii="Times New Roman" w:hAnsi="Times New Roman" w:cs="Times New Roman"/>
          <w:color w:val="auto"/>
          <w:sz w:val="24"/>
          <w:szCs w:val="24"/>
        </w:rPr>
        <w:t>art.</w:t>
      </w:r>
      <w:r w:rsidR="00A664FA" w:rsidRPr="007B20B5">
        <w:rPr>
          <w:rFonts w:ascii="Times New Roman" w:hAnsi="Times New Roman" w:cs="Times New Roman"/>
          <w:color w:val="auto"/>
          <w:sz w:val="24"/>
          <w:szCs w:val="24"/>
        </w:rPr>
        <w:t xml:space="preserve"> 4 ust</w:t>
      </w:r>
      <w:r w:rsidR="00F4359F" w:rsidRPr="007B20B5">
        <w:rPr>
          <w:rFonts w:ascii="Times New Roman" w:hAnsi="Times New Roman" w:cs="Times New Roman"/>
          <w:color w:val="auto"/>
          <w:sz w:val="24"/>
          <w:szCs w:val="24"/>
        </w:rPr>
        <w:t xml:space="preserve"> 1 pkt 17 rozporządzenia </w:t>
      </w:r>
      <w:r w:rsidRPr="007B20B5">
        <w:rPr>
          <w:rFonts w:ascii="Times New Roman" w:hAnsi="Times New Roman" w:cs="Times New Roman"/>
          <w:color w:val="auto"/>
          <w:sz w:val="24"/>
          <w:szCs w:val="24"/>
        </w:rPr>
        <w:t>575/</w:t>
      </w:r>
      <w:r w:rsidR="00A664FA" w:rsidRPr="007B20B5">
        <w:rPr>
          <w:rFonts w:ascii="Times New Roman" w:hAnsi="Times New Roman" w:cs="Times New Roman"/>
          <w:color w:val="auto"/>
          <w:sz w:val="24"/>
          <w:szCs w:val="24"/>
        </w:rPr>
        <w:t>2013 niebędący oddziałem banku krajowego ani oddziałem banku zagranicznego</w:t>
      </w:r>
      <w:r w:rsidRPr="007B20B5">
        <w:rPr>
          <w:rFonts w:ascii="Times New Roman" w:hAnsi="Times New Roman" w:cs="Times New Roman"/>
          <w:color w:val="auto"/>
          <w:sz w:val="24"/>
          <w:szCs w:val="24"/>
        </w:rPr>
        <w:t>;</w:t>
      </w:r>
    </w:p>
    <w:p w14:paraId="5C225FD6" w14:textId="550E2C0B" w:rsidR="00A621B0" w:rsidRPr="007B20B5" w:rsidRDefault="00A621B0"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i</w:t>
      </w:r>
      <w:r w:rsidR="008E6623" w:rsidRPr="007B20B5">
        <w:rPr>
          <w:rFonts w:ascii="Times New Roman" w:hAnsi="Times New Roman" w:cs="Times New Roman"/>
          <w:color w:val="auto"/>
          <w:sz w:val="24"/>
          <w:szCs w:val="24"/>
        </w:rPr>
        <w:t xml:space="preserve">nstytucja pieniądza elektronicznego i oddział instytucji pieniądza </w:t>
      </w:r>
      <w:r w:rsidR="00D458F5" w:rsidRPr="007B20B5">
        <w:rPr>
          <w:rFonts w:ascii="Times New Roman" w:hAnsi="Times New Roman" w:cs="Times New Roman"/>
          <w:color w:val="auto"/>
          <w:sz w:val="24"/>
          <w:szCs w:val="24"/>
        </w:rPr>
        <w:t>elektronicznego – w </w:t>
      </w:r>
      <w:r w:rsidR="008E6623" w:rsidRPr="007B20B5">
        <w:rPr>
          <w:rFonts w:ascii="Times New Roman" w:hAnsi="Times New Roman" w:cs="Times New Roman"/>
          <w:color w:val="auto"/>
          <w:sz w:val="24"/>
          <w:szCs w:val="24"/>
        </w:rPr>
        <w:t xml:space="preserve">przypadku gdy oddział znajduje się w państwie członkowskim, a siedziba takiej instytucji pieniądza elektronicznego znajduje się poza państwem członkowskim, o ile usługi płatnicze świadczone przez oddział są związane z wydawaniem pieniądza </w:t>
      </w:r>
      <w:r w:rsidR="008E6623" w:rsidRPr="007B20B5">
        <w:rPr>
          <w:rFonts w:ascii="Times New Roman" w:hAnsi="Times New Roman" w:cs="Times New Roman"/>
          <w:color w:val="auto"/>
          <w:sz w:val="24"/>
          <w:szCs w:val="24"/>
        </w:rPr>
        <w:lastRenderedPageBreak/>
        <w:t>elektronicznego;</w:t>
      </w:r>
    </w:p>
    <w:p w14:paraId="3E963DD7" w14:textId="77777777" w:rsidR="00A621B0" w:rsidRPr="007B20B5" w:rsidRDefault="008E6623"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oddział podmiotu świadczącego w innym niż Rzeczpospolita Polska państwie członkowskim, zgodnie z prawem tego państwa, pocztowe usługi płatnicze, uprawnionego zgodnie z prawem tego państwa do świadczenia usług płatniczych oraz Poczta Polska Spółka Akcyjna w zakresie, w jakim odrębne przepisy upoważniają ją do świadczenia usług płatniczych;</w:t>
      </w:r>
    </w:p>
    <w:p w14:paraId="5531FDAC" w14:textId="24CF37B9" w:rsidR="008E6623" w:rsidRDefault="008E6623"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instytucja płatnicza;</w:t>
      </w:r>
    </w:p>
    <w:p w14:paraId="2027D4EC" w14:textId="28A66C29" w:rsidR="0013131B" w:rsidRPr="0013131B" w:rsidRDefault="0013131B" w:rsidP="0013131B">
      <w:pPr>
        <w:pStyle w:val="p"/>
        <w:numPr>
          <w:ilvl w:val="0"/>
          <w:numId w:val="30"/>
        </w:numPr>
        <w:spacing w:before="240" w:line="340" w:lineRule="atLeast"/>
        <w:rPr>
          <w:rFonts w:ascii="Times New Roman" w:hAnsi="Times New Roman" w:cs="Times New Roman"/>
          <w:color w:val="auto"/>
          <w:sz w:val="24"/>
          <w:szCs w:val="24"/>
        </w:rPr>
      </w:pPr>
      <w:r w:rsidRPr="0013131B">
        <w:rPr>
          <w:rFonts w:ascii="Times New Roman" w:hAnsi="Times New Roman" w:cs="Times New Roman"/>
          <w:color w:val="auto"/>
          <w:sz w:val="24"/>
          <w:szCs w:val="24"/>
        </w:rPr>
        <w:t xml:space="preserve">spółdzielcza kasa oszczędnościowo-kredytowa lub Krajowa Spółdzielcza Kasa Oszczędnościowo-Kredytowa w rozumieniu </w:t>
      </w:r>
      <w:r w:rsidRPr="0013131B">
        <w:rPr>
          <w:rFonts w:ascii="Times New Roman" w:hAnsi="Times New Roman" w:cs="Times New Roman"/>
          <w:i/>
          <w:color w:val="auto"/>
          <w:sz w:val="24"/>
          <w:szCs w:val="24"/>
        </w:rPr>
        <w:t>ustawy z dnia 5 listopada 2009 r. o spółdzielczych kasach oszczędnościowo-kredytowych</w:t>
      </w:r>
      <w:r>
        <w:rPr>
          <w:rStyle w:val="Odwoanieprzypisudolnego"/>
          <w:rFonts w:ascii="Times New Roman" w:hAnsi="Times New Roman" w:cs="Times New Roman"/>
          <w:i/>
          <w:color w:val="auto"/>
          <w:sz w:val="24"/>
          <w:szCs w:val="24"/>
        </w:rPr>
        <w:footnoteReference w:id="15"/>
      </w:r>
      <w:r w:rsidRPr="0013131B">
        <w:rPr>
          <w:rFonts w:ascii="Times New Roman" w:hAnsi="Times New Roman" w:cs="Times New Roman"/>
          <w:i/>
          <w:color w:val="auto"/>
          <w:sz w:val="24"/>
          <w:szCs w:val="24"/>
        </w:rPr>
        <w:t>)</w:t>
      </w:r>
      <w:r w:rsidRPr="0013131B">
        <w:rPr>
          <w:rFonts w:ascii="Times New Roman" w:hAnsi="Times New Roman" w:cs="Times New Roman"/>
          <w:color w:val="auto"/>
          <w:sz w:val="24"/>
          <w:szCs w:val="24"/>
        </w:rPr>
        <w:t>, w zakresie, w jakim odrębne przepisy uprawniają je d</w:t>
      </w:r>
      <w:r>
        <w:rPr>
          <w:rFonts w:ascii="Times New Roman" w:hAnsi="Times New Roman" w:cs="Times New Roman"/>
          <w:color w:val="auto"/>
          <w:sz w:val="24"/>
          <w:szCs w:val="24"/>
        </w:rPr>
        <w:t>o świadczenia usług płatniczych</w:t>
      </w:r>
      <w:r w:rsidRPr="0013131B">
        <w:rPr>
          <w:rFonts w:ascii="Times New Roman" w:hAnsi="Times New Roman" w:cs="Times New Roman"/>
          <w:color w:val="auto"/>
          <w:sz w:val="24"/>
          <w:szCs w:val="24"/>
        </w:rPr>
        <w:t>;</w:t>
      </w:r>
    </w:p>
    <w:p w14:paraId="4B862FDF" w14:textId="41402C01" w:rsidR="0013131B" w:rsidRPr="007B20B5" w:rsidRDefault="0013131B" w:rsidP="0013131B">
      <w:pPr>
        <w:pStyle w:val="p"/>
        <w:numPr>
          <w:ilvl w:val="0"/>
          <w:numId w:val="30"/>
        </w:numPr>
        <w:spacing w:before="240" w:line="340" w:lineRule="atLeast"/>
        <w:rPr>
          <w:rFonts w:ascii="Times New Roman" w:hAnsi="Times New Roman" w:cs="Times New Roman"/>
          <w:color w:val="auto"/>
          <w:sz w:val="24"/>
          <w:szCs w:val="24"/>
        </w:rPr>
      </w:pPr>
      <w:r w:rsidRPr="0013131B">
        <w:rPr>
          <w:rFonts w:ascii="Times New Roman" w:hAnsi="Times New Roman" w:cs="Times New Roman"/>
          <w:color w:val="auto"/>
          <w:sz w:val="24"/>
          <w:szCs w:val="24"/>
        </w:rPr>
        <w:t>biuro usług płatniczych;</w:t>
      </w:r>
    </w:p>
    <w:p w14:paraId="3C998D26" w14:textId="6F32234F" w:rsidR="00A621B0" w:rsidRPr="007B20B5" w:rsidRDefault="00A621B0" w:rsidP="00905F95">
      <w:pPr>
        <w:pStyle w:val="p"/>
        <w:numPr>
          <w:ilvl w:val="0"/>
          <w:numId w:val="30"/>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mała instytucja płatnicza.</w:t>
      </w:r>
    </w:p>
    <w:p w14:paraId="6CB59B17" w14:textId="77777777" w:rsidR="00682F26" w:rsidRPr="007B20B5" w:rsidRDefault="00E724AE" w:rsidP="00D458F5">
      <w:pPr>
        <w:pStyle w:val="p"/>
        <w:numPr>
          <w:ilvl w:val="0"/>
          <w:numId w:val="39"/>
        </w:numPr>
        <w:spacing w:before="240" w:after="240" w:line="340" w:lineRule="atLeast"/>
        <w:rPr>
          <w:rFonts w:ascii="Times New Roman" w:hAnsi="Times New Roman" w:cs="Times New Roman"/>
          <w:color w:val="auto"/>
          <w:sz w:val="24"/>
          <w:szCs w:val="24"/>
        </w:rPr>
      </w:pPr>
      <w:r w:rsidRPr="007B20B5">
        <w:rPr>
          <w:rFonts w:ascii="Times New Roman" w:hAnsi="Times New Roman" w:cs="Times New Roman"/>
          <w:b/>
          <w:color w:val="auto"/>
          <w:sz w:val="24"/>
          <w:szCs w:val="24"/>
        </w:rPr>
        <w:t>pkt 2</w:t>
      </w:r>
      <w:r w:rsidR="00D458F5" w:rsidRPr="007B20B5">
        <w:rPr>
          <w:rFonts w:ascii="Times New Roman" w:hAnsi="Times New Roman" w:cs="Times New Roman"/>
          <w:b/>
          <w:color w:val="auto"/>
          <w:sz w:val="24"/>
          <w:szCs w:val="24"/>
        </w:rPr>
        <w:t xml:space="preserve"> </w:t>
      </w:r>
      <w:r w:rsidR="00D458F5" w:rsidRPr="007B20B5">
        <w:rPr>
          <w:rFonts w:ascii="Times New Roman" w:hAnsi="Times New Roman" w:cs="Times New Roman"/>
          <w:color w:val="auto"/>
          <w:sz w:val="24"/>
          <w:szCs w:val="24"/>
        </w:rPr>
        <w:t xml:space="preserve">zawiera </w:t>
      </w:r>
      <w:r w:rsidR="003A58EA" w:rsidRPr="007B20B5">
        <w:rPr>
          <w:rFonts w:ascii="Times New Roman" w:hAnsi="Times New Roman" w:cs="Times New Roman"/>
          <w:color w:val="auto"/>
          <w:sz w:val="24"/>
          <w:szCs w:val="24"/>
        </w:rPr>
        <w:t xml:space="preserve">definicję </w:t>
      </w:r>
      <w:r w:rsidR="00682F26" w:rsidRPr="007B20B5">
        <w:rPr>
          <w:rFonts w:ascii="Times New Roman" w:hAnsi="Times New Roman" w:cs="Times New Roman"/>
          <w:color w:val="auto"/>
          <w:sz w:val="24"/>
          <w:szCs w:val="24"/>
        </w:rPr>
        <w:t>usługi płatniczej.</w:t>
      </w:r>
    </w:p>
    <w:p w14:paraId="49854773" w14:textId="0E0BB0B4" w:rsidR="008E6623" w:rsidRPr="007B20B5" w:rsidRDefault="000B7F90" w:rsidP="00682F26">
      <w:pPr>
        <w:pStyle w:val="p"/>
        <w:spacing w:before="240" w:after="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Zgodnie z art. 243a pkt 2 dyrektywy VAT</w:t>
      </w:r>
      <w:r w:rsidR="00D458F5" w:rsidRPr="007B20B5">
        <w:rPr>
          <w:rFonts w:ascii="Times New Roman" w:hAnsi="Times New Roman" w:cs="Times New Roman"/>
          <w:color w:val="auto"/>
          <w:sz w:val="24"/>
          <w:szCs w:val="24"/>
        </w:rPr>
        <w:t xml:space="preserve"> „usługa płatnicza”</w:t>
      </w:r>
      <w:r w:rsidRPr="007B20B5">
        <w:rPr>
          <w:rFonts w:ascii="Times New Roman" w:hAnsi="Times New Roman" w:cs="Times New Roman"/>
          <w:color w:val="auto"/>
          <w:sz w:val="24"/>
          <w:szCs w:val="24"/>
        </w:rPr>
        <w:t xml:space="preserve"> oznacza którąkolwiek działalność gospodarczą określoną w pkt 3–6 załącznika I do dyrektywy PSD2.</w:t>
      </w:r>
    </w:p>
    <w:p w14:paraId="2DFB1D9B" w14:textId="637D8275" w:rsidR="000E6C22" w:rsidRPr="007B20B5" w:rsidRDefault="000B7F90" w:rsidP="00F4359F">
      <w:pPr>
        <w:pStyle w:val="p"/>
        <w:spacing w:before="240" w:after="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Usługa płatnicza</w:t>
      </w:r>
      <w:r w:rsidR="000E6C22" w:rsidRPr="007B20B5">
        <w:rPr>
          <w:rFonts w:ascii="Times New Roman" w:hAnsi="Times New Roman" w:cs="Times New Roman"/>
          <w:color w:val="auto"/>
          <w:sz w:val="24"/>
          <w:szCs w:val="24"/>
        </w:rPr>
        <w:t xml:space="preserve"> zdefiniowana w pkt 3–6 załącznika I do dyrektywy PSD2 ma swój</w:t>
      </w:r>
      <w:r w:rsidR="008E6623" w:rsidRPr="007B20B5">
        <w:rPr>
          <w:rFonts w:ascii="Times New Roman" w:hAnsi="Times New Roman" w:cs="Times New Roman"/>
          <w:color w:val="auto"/>
          <w:sz w:val="24"/>
          <w:szCs w:val="24"/>
        </w:rPr>
        <w:t xml:space="preserve"> o</w:t>
      </w:r>
      <w:r w:rsidR="000E6C22" w:rsidRPr="007B20B5">
        <w:rPr>
          <w:rFonts w:ascii="Times New Roman" w:hAnsi="Times New Roman" w:cs="Times New Roman"/>
          <w:color w:val="auto"/>
          <w:sz w:val="24"/>
          <w:szCs w:val="24"/>
        </w:rPr>
        <w:t>dpowiednik</w:t>
      </w:r>
      <w:r w:rsidRPr="007B20B5">
        <w:rPr>
          <w:rFonts w:ascii="Times New Roman" w:hAnsi="Times New Roman" w:cs="Times New Roman"/>
          <w:color w:val="auto"/>
          <w:sz w:val="24"/>
          <w:szCs w:val="24"/>
        </w:rPr>
        <w:t xml:space="preserve"> w art. 3 ust. 1 pkt 2-6 ustawy o usługach płatniczych.</w:t>
      </w:r>
    </w:p>
    <w:p w14:paraId="645FFB67" w14:textId="7DA192BE" w:rsidR="000B7F90" w:rsidRPr="007B20B5" w:rsidRDefault="006216B4" w:rsidP="00F4359F">
      <w:pPr>
        <w:spacing w:before="240" w:after="240" w:line="340" w:lineRule="atLeast"/>
        <w:jc w:val="both"/>
        <w:rPr>
          <w:rFonts w:ascii="Times New Roman" w:hAnsi="Times New Roman"/>
          <w:sz w:val="24"/>
          <w:szCs w:val="24"/>
        </w:rPr>
      </w:pPr>
      <w:r w:rsidRPr="007B20B5">
        <w:rPr>
          <w:rFonts w:ascii="Times New Roman" w:hAnsi="Times New Roman"/>
          <w:sz w:val="24"/>
          <w:szCs w:val="24"/>
        </w:rPr>
        <w:t>Zatem p</w:t>
      </w:r>
      <w:r w:rsidR="000B7F90" w:rsidRPr="007B20B5">
        <w:rPr>
          <w:rFonts w:ascii="Times New Roman" w:hAnsi="Times New Roman"/>
          <w:sz w:val="24"/>
          <w:szCs w:val="24"/>
        </w:rPr>
        <w:t>rzez usługi płatnicze rozumie się działalność polegającą na:</w:t>
      </w:r>
    </w:p>
    <w:p w14:paraId="187F4669" w14:textId="5118D61D" w:rsidR="000B7F90" w:rsidRPr="007B20B5" w:rsidRDefault="000B7F90" w:rsidP="00905F95">
      <w:pPr>
        <w:pStyle w:val="Akapitzlist"/>
        <w:numPr>
          <w:ilvl w:val="0"/>
          <w:numId w:val="31"/>
        </w:numPr>
        <w:spacing w:before="240" w:after="240" w:line="340" w:lineRule="atLeast"/>
        <w:jc w:val="both"/>
        <w:rPr>
          <w:rFonts w:ascii="Times New Roman" w:hAnsi="Times New Roman"/>
          <w:sz w:val="24"/>
          <w:szCs w:val="24"/>
        </w:rPr>
      </w:pPr>
      <w:r w:rsidRPr="007B20B5">
        <w:rPr>
          <w:rFonts w:ascii="Times New Roman" w:hAnsi="Times New Roman"/>
          <w:sz w:val="24"/>
          <w:szCs w:val="24"/>
        </w:rPr>
        <w:t>wykonywaniu transakcji płatniczych, w tym transferu środków pieniężnych na rachunek płatniczy u dostawcy użytkownika lub u innego dostawcy:</w:t>
      </w:r>
    </w:p>
    <w:p w14:paraId="39318580" w14:textId="77777777" w:rsidR="006216B4" w:rsidRPr="007B20B5" w:rsidRDefault="000B7F90" w:rsidP="00905F95">
      <w:pPr>
        <w:pStyle w:val="Akapitzlist"/>
        <w:numPr>
          <w:ilvl w:val="0"/>
          <w:numId w:val="32"/>
        </w:numPr>
        <w:spacing w:before="240" w:after="240" w:line="340" w:lineRule="atLeast"/>
        <w:jc w:val="both"/>
        <w:rPr>
          <w:rFonts w:ascii="Times New Roman" w:hAnsi="Times New Roman"/>
          <w:sz w:val="24"/>
          <w:szCs w:val="24"/>
        </w:rPr>
      </w:pPr>
      <w:r w:rsidRPr="007B20B5">
        <w:rPr>
          <w:rFonts w:ascii="Times New Roman" w:hAnsi="Times New Roman"/>
          <w:sz w:val="24"/>
          <w:szCs w:val="24"/>
        </w:rPr>
        <w:t>przez wykonywanie usług polecenia zapłaty, w tym jednorazowych poleceń zapłaty,</w:t>
      </w:r>
    </w:p>
    <w:p w14:paraId="6D6560A9" w14:textId="77777777" w:rsidR="006216B4" w:rsidRPr="007B20B5" w:rsidRDefault="000B7F90" w:rsidP="00905F95">
      <w:pPr>
        <w:pStyle w:val="Akapitzlist"/>
        <w:numPr>
          <w:ilvl w:val="0"/>
          <w:numId w:val="32"/>
        </w:numPr>
        <w:spacing w:before="240" w:after="240" w:line="340" w:lineRule="atLeast"/>
        <w:jc w:val="both"/>
        <w:rPr>
          <w:rFonts w:ascii="Times New Roman" w:hAnsi="Times New Roman"/>
          <w:sz w:val="24"/>
          <w:szCs w:val="24"/>
        </w:rPr>
      </w:pPr>
      <w:r w:rsidRPr="007B20B5">
        <w:rPr>
          <w:rFonts w:ascii="Times New Roman" w:hAnsi="Times New Roman"/>
          <w:sz w:val="24"/>
          <w:szCs w:val="24"/>
        </w:rPr>
        <w:t>przy użyciu karty płatniczej lub podobnego instrumentu płatniczego,</w:t>
      </w:r>
    </w:p>
    <w:p w14:paraId="1384273F" w14:textId="653A170C" w:rsidR="000B7F90" w:rsidRPr="007B20B5" w:rsidRDefault="000B7F90" w:rsidP="00905F95">
      <w:pPr>
        <w:pStyle w:val="Akapitzlist"/>
        <w:numPr>
          <w:ilvl w:val="0"/>
          <w:numId w:val="32"/>
        </w:numPr>
        <w:spacing w:before="240" w:after="240" w:line="340" w:lineRule="atLeast"/>
        <w:jc w:val="both"/>
        <w:rPr>
          <w:rFonts w:ascii="Times New Roman" w:hAnsi="Times New Roman"/>
          <w:sz w:val="24"/>
          <w:szCs w:val="24"/>
        </w:rPr>
      </w:pPr>
      <w:r w:rsidRPr="007B20B5">
        <w:rPr>
          <w:rFonts w:ascii="Times New Roman" w:hAnsi="Times New Roman"/>
          <w:sz w:val="24"/>
          <w:szCs w:val="24"/>
        </w:rPr>
        <w:t>przez wykonywanie usług polecenia przelewu, w tym stałych zleceń;</w:t>
      </w:r>
    </w:p>
    <w:p w14:paraId="02624EDE" w14:textId="77777777" w:rsidR="00F4359F" w:rsidRPr="007B20B5" w:rsidRDefault="00F4359F" w:rsidP="00F4359F">
      <w:pPr>
        <w:pStyle w:val="Akapitzlist"/>
        <w:spacing w:before="240" w:after="240" w:line="340" w:lineRule="atLeast"/>
        <w:jc w:val="both"/>
        <w:rPr>
          <w:rFonts w:ascii="Times New Roman" w:hAnsi="Times New Roman"/>
          <w:sz w:val="24"/>
          <w:szCs w:val="24"/>
        </w:rPr>
      </w:pPr>
    </w:p>
    <w:p w14:paraId="4E383B97" w14:textId="12D782C3" w:rsidR="006216B4" w:rsidRPr="007B20B5" w:rsidRDefault="000B7F90" w:rsidP="00905F95">
      <w:pPr>
        <w:pStyle w:val="Akapitzlist"/>
        <w:numPr>
          <w:ilvl w:val="0"/>
          <w:numId w:val="31"/>
        </w:num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wykonywaniu transakcji </w:t>
      </w:r>
      <w:r w:rsidR="009A4B84">
        <w:rPr>
          <w:rFonts w:ascii="Times New Roman" w:hAnsi="Times New Roman"/>
          <w:sz w:val="24"/>
          <w:szCs w:val="24"/>
        </w:rPr>
        <w:t>płatniczych wymienionych powyżej</w:t>
      </w:r>
      <w:r w:rsidRPr="007B20B5">
        <w:rPr>
          <w:rFonts w:ascii="Times New Roman" w:hAnsi="Times New Roman"/>
          <w:sz w:val="24"/>
          <w:szCs w:val="24"/>
        </w:rPr>
        <w:t>, w ciężar środków pieniężnych udostępnionych użytkownikowi z tytułu kredytu, a w przypadku instytucji płatniczej lub instytucji pieniądza elektronicznego – kredyt</w:t>
      </w:r>
      <w:r w:rsidR="009A4B84">
        <w:rPr>
          <w:rFonts w:ascii="Times New Roman" w:hAnsi="Times New Roman"/>
          <w:sz w:val="24"/>
          <w:szCs w:val="24"/>
        </w:rPr>
        <w:t>u, o którym mowa w art. 74 ust. </w:t>
      </w:r>
      <w:r w:rsidRPr="007B20B5">
        <w:rPr>
          <w:rFonts w:ascii="Times New Roman" w:hAnsi="Times New Roman"/>
          <w:sz w:val="24"/>
          <w:szCs w:val="24"/>
        </w:rPr>
        <w:t>3 lub art. 132j ust. 3</w:t>
      </w:r>
      <w:r w:rsidR="009A4B84">
        <w:rPr>
          <w:rFonts w:ascii="Times New Roman" w:hAnsi="Times New Roman"/>
          <w:sz w:val="24"/>
          <w:szCs w:val="24"/>
        </w:rPr>
        <w:t xml:space="preserve"> ustawy o usługach płatniczych</w:t>
      </w:r>
      <w:r w:rsidRPr="007B20B5">
        <w:rPr>
          <w:rFonts w:ascii="Times New Roman" w:hAnsi="Times New Roman"/>
          <w:sz w:val="24"/>
          <w:szCs w:val="24"/>
        </w:rPr>
        <w:t>;</w:t>
      </w:r>
    </w:p>
    <w:p w14:paraId="10783CBE" w14:textId="77777777" w:rsidR="00F4359F" w:rsidRPr="007B20B5" w:rsidRDefault="00F4359F" w:rsidP="00F4359F">
      <w:pPr>
        <w:pStyle w:val="Akapitzlist"/>
        <w:spacing w:before="240" w:after="240" w:line="340" w:lineRule="atLeast"/>
        <w:ind w:left="360"/>
        <w:jc w:val="both"/>
        <w:rPr>
          <w:rFonts w:ascii="Times New Roman" w:hAnsi="Times New Roman"/>
          <w:sz w:val="24"/>
          <w:szCs w:val="24"/>
        </w:rPr>
      </w:pPr>
    </w:p>
    <w:p w14:paraId="34A3682E" w14:textId="77777777" w:rsidR="006216B4" w:rsidRPr="007B20B5" w:rsidRDefault="000B7F90" w:rsidP="00905F95">
      <w:pPr>
        <w:pStyle w:val="Akapitzlist"/>
        <w:numPr>
          <w:ilvl w:val="0"/>
          <w:numId w:val="31"/>
        </w:numPr>
        <w:spacing w:before="240" w:after="240" w:line="340" w:lineRule="atLeast"/>
        <w:jc w:val="both"/>
        <w:rPr>
          <w:rFonts w:ascii="Times New Roman" w:hAnsi="Times New Roman"/>
          <w:sz w:val="24"/>
          <w:szCs w:val="24"/>
        </w:rPr>
      </w:pPr>
      <w:r w:rsidRPr="007B20B5">
        <w:rPr>
          <w:rFonts w:ascii="Times New Roman" w:hAnsi="Times New Roman"/>
          <w:sz w:val="24"/>
          <w:szCs w:val="24"/>
        </w:rPr>
        <w:t>wydawaniu instrumentów płatniczych;</w:t>
      </w:r>
    </w:p>
    <w:p w14:paraId="05C0CBD2" w14:textId="77777777" w:rsidR="00F4359F" w:rsidRPr="007B20B5" w:rsidRDefault="00F4359F" w:rsidP="00F4359F">
      <w:pPr>
        <w:pStyle w:val="Akapitzlist"/>
        <w:spacing w:before="240" w:after="240" w:line="340" w:lineRule="atLeast"/>
        <w:ind w:left="360"/>
        <w:jc w:val="both"/>
        <w:rPr>
          <w:rFonts w:ascii="Times New Roman" w:hAnsi="Times New Roman"/>
          <w:sz w:val="24"/>
          <w:szCs w:val="24"/>
        </w:rPr>
      </w:pPr>
    </w:p>
    <w:p w14:paraId="7085A2CA" w14:textId="6CCA7F7A" w:rsidR="006216B4" w:rsidRPr="007B20B5" w:rsidRDefault="000B7F90" w:rsidP="00362EB4">
      <w:pPr>
        <w:pStyle w:val="Akapitzlist"/>
        <w:numPr>
          <w:ilvl w:val="0"/>
          <w:numId w:val="31"/>
        </w:numPr>
        <w:spacing w:before="240" w:after="240" w:line="340" w:lineRule="atLeast"/>
        <w:jc w:val="both"/>
        <w:rPr>
          <w:rFonts w:ascii="Times New Roman" w:hAnsi="Times New Roman"/>
          <w:sz w:val="24"/>
          <w:szCs w:val="24"/>
        </w:rPr>
      </w:pPr>
      <w:r w:rsidRPr="007B20B5">
        <w:rPr>
          <w:rFonts w:ascii="Times New Roman" w:hAnsi="Times New Roman"/>
          <w:sz w:val="24"/>
          <w:szCs w:val="24"/>
        </w:rPr>
        <w:lastRenderedPageBreak/>
        <w:t>umożliwianiu akceptowania instrumentów płatniczych oraz wykonywania transakcji płatniczych, zainicjowanych instrumentem płatniczym płatnika przez akceptanta lub za jego pośrednictwem, polegających w szczególności na obsłudze autoryzacji, przesyłaniu do wydawcy instrumentu płatniczego lub systemów płatności zleceń płatniczych płatnika lub akceptanta, mających na celu przekazanie akceptantowi należnyc</w:t>
      </w:r>
      <w:r w:rsidR="009A4B84">
        <w:rPr>
          <w:rFonts w:ascii="Times New Roman" w:hAnsi="Times New Roman"/>
          <w:sz w:val="24"/>
          <w:szCs w:val="24"/>
        </w:rPr>
        <w:t>h mu środków, z </w:t>
      </w:r>
      <w:r w:rsidRPr="007B20B5">
        <w:rPr>
          <w:rFonts w:ascii="Times New Roman" w:hAnsi="Times New Roman"/>
          <w:sz w:val="24"/>
          <w:szCs w:val="24"/>
        </w:rPr>
        <w:t xml:space="preserve">wyłączeniem czynności polegających na rozliczaniu </w:t>
      </w:r>
      <w:r w:rsidR="009A4B84">
        <w:rPr>
          <w:rFonts w:ascii="Times New Roman" w:hAnsi="Times New Roman"/>
          <w:sz w:val="24"/>
          <w:szCs w:val="24"/>
        </w:rPr>
        <w:t>i rozrachunku tych transakcji w </w:t>
      </w:r>
      <w:r w:rsidRPr="007B20B5">
        <w:rPr>
          <w:rFonts w:ascii="Times New Roman" w:hAnsi="Times New Roman"/>
          <w:sz w:val="24"/>
          <w:szCs w:val="24"/>
        </w:rPr>
        <w:t>ramach systemu płatności w rozumieniu ustawy o ostateczności rozrachunku (</w:t>
      </w:r>
      <w:proofErr w:type="spellStart"/>
      <w:r w:rsidRPr="007B20B5">
        <w:rPr>
          <w:rFonts w:ascii="Times New Roman" w:hAnsi="Times New Roman"/>
          <w:sz w:val="24"/>
          <w:szCs w:val="24"/>
        </w:rPr>
        <w:t>acquiring</w:t>
      </w:r>
      <w:proofErr w:type="spellEnd"/>
      <w:r w:rsidRPr="007B20B5">
        <w:rPr>
          <w:rFonts w:ascii="Times New Roman" w:hAnsi="Times New Roman"/>
          <w:sz w:val="24"/>
          <w:szCs w:val="24"/>
        </w:rPr>
        <w:t>);</w:t>
      </w:r>
    </w:p>
    <w:p w14:paraId="07B35497" w14:textId="77777777" w:rsidR="00F4359F" w:rsidRPr="007B20B5" w:rsidRDefault="00F4359F" w:rsidP="00362EB4">
      <w:pPr>
        <w:pStyle w:val="Akapitzlist"/>
        <w:spacing w:before="240" w:after="240" w:line="340" w:lineRule="atLeast"/>
        <w:ind w:left="360"/>
        <w:jc w:val="both"/>
        <w:rPr>
          <w:rFonts w:ascii="Times New Roman" w:hAnsi="Times New Roman"/>
          <w:sz w:val="24"/>
          <w:szCs w:val="24"/>
        </w:rPr>
      </w:pPr>
    </w:p>
    <w:p w14:paraId="0DD939E8" w14:textId="5A2DD797" w:rsidR="00D458F5" w:rsidRDefault="000B7F90" w:rsidP="00362EB4">
      <w:pPr>
        <w:pStyle w:val="Akapitzlist"/>
        <w:numPr>
          <w:ilvl w:val="0"/>
          <w:numId w:val="31"/>
        </w:numPr>
        <w:spacing w:before="240" w:after="240" w:line="340" w:lineRule="atLeast"/>
        <w:jc w:val="both"/>
        <w:rPr>
          <w:rFonts w:ascii="Times New Roman" w:hAnsi="Times New Roman"/>
          <w:sz w:val="24"/>
          <w:szCs w:val="24"/>
        </w:rPr>
      </w:pPr>
      <w:r w:rsidRPr="007B20B5">
        <w:rPr>
          <w:rFonts w:ascii="Times New Roman" w:hAnsi="Times New Roman"/>
          <w:sz w:val="24"/>
          <w:szCs w:val="24"/>
        </w:rPr>
        <w:t>świadczeniu usługi przekazu pieniężnego</w:t>
      </w:r>
      <w:r w:rsidR="00114674" w:rsidRPr="007B20B5">
        <w:rPr>
          <w:rFonts w:ascii="Times New Roman" w:hAnsi="Times New Roman"/>
          <w:sz w:val="24"/>
          <w:szCs w:val="24"/>
        </w:rPr>
        <w:t>;</w:t>
      </w:r>
    </w:p>
    <w:p w14:paraId="44FE8EAB" w14:textId="77777777" w:rsidR="00362EB4" w:rsidRPr="00362EB4" w:rsidRDefault="00362EB4" w:rsidP="00362EB4">
      <w:pPr>
        <w:pStyle w:val="Akapitzlist"/>
        <w:spacing w:before="240" w:after="240" w:line="340" w:lineRule="atLeast"/>
        <w:ind w:left="360"/>
        <w:jc w:val="both"/>
        <w:rPr>
          <w:rFonts w:ascii="Times New Roman" w:hAnsi="Times New Roman"/>
          <w:sz w:val="24"/>
          <w:szCs w:val="24"/>
        </w:rPr>
      </w:pPr>
    </w:p>
    <w:p w14:paraId="3055785B" w14:textId="77777777" w:rsidR="00682F26" w:rsidRPr="007B20B5" w:rsidRDefault="00E724AE" w:rsidP="00362EB4">
      <w:pPr>
        <w:pStyle w:val="Akapitzlist"/>
        <w:numPr>
          <w:ilvl w:val="0"/>
          <w:numId w:val="39"/>
        </w:numPr>
        <w:spacing w:before="240" w:after="240" w:line="340" w:lineRule="atLeast"/>
        <w:jc w:val="both"/>
        <w:rPr>
          <w:rFonts w:ascii="Times New Roman" w:hAnsi="Times New Roman"/>
          <w:sz w:val="24"/>
          <w:szCs w:val="24"/>
        </w:rPr>
      </w:pPr>
      <w:r w:rsidRPr="007B20B5">
        <w:rPr>
          <w:rFonts w:ascii="Times New Roman" w:hAnsi="Times New Roman"/>
          <w:b/>
          <w:sz w:val="24"/>
          <w:szCs w:val="24"/>
        </w:rPr>
        <w:t xml:space="preserve">pkt 3 </w:t>
      </w:r>
      <w:r w:rsidR="003A58EA" w:rsidRPr="007B20B5">
        <w:rPr>
          <w:rFonts w:ascii="Times New Roman" w:hAnsi="Times New Roman"/>
          <w:sz w:val="24"/>
          <w:szCs w:val="24"/>
        </w:rPr>
        <w:t>zawiera definicję płatności.</w:t>
      </w:r>
    </w:p>
    <w:p w14:paraId="0E0119FA" w14:textId="59F6F92C" w:rsidR="00E724AE" w:rsidRPr="007B20B5" w:rsidRDefault="00DA37DC" w:rsidP="00362EB4">
      <w:pPr>
        <w:spacing w:before="240" w:after="240" w:line="340" w:lineRule="atLeast"/>
        <w:jc w:val="both"/>
        <w:rPr>
          <w:rFonts w:ascii="Times New Roman" w:hAnsi="Times New Roman"/>
          <w:sz w:val="24"/>
          <w:szCs w:val="24"/>
        </w:rPr>
      </w:pPr>
      <w:r w:rsidRPr="007B20B5">
        <w:rPr>
          <w:rFonts w:ascii="Times New Roman" w:hAnsi="Times New Roman"/>
          <w:sz w:val="24"/>
          <w:szCs w:val="24"/>
        </w:rPr>
        <w:t>Zgodnie z art. 243a pkt 3 dyrektywy VAT „p</w:t>
      </w:r>
      <w:r w:rsidR="00E724AE" w:rsidRPr="007B20B5">
        <w:rPr>
          <w:rFonts w:ascii="Times New Roman" w:hAnsi="Times New Roman"/>
          <w:sz w:val="24"/>
          <w:szCs w:val="24"/>
        </w:rPr>
        <w:t>łatność</w:t>
      </w:r>
      <w:r w:rsidRPr="007B20B5">
        <w:rPr>
          <w:rFonts w:ascii="Times New Roman" w:hAnsi="Times New Roman"/>
          <w:sz w:val="24"/>
          <w:szCs w:val="24"/>
        </w:rPr>
        <w:t>”</w:t>
      </w:r>
      <w:r w:rsidR="00E724AE" w:rsidRPr="007B20B5">
        <w:rPr>
          <w:rFonts w:ascii="Times New Roman" w:hAnsi="Times New Roman"/>
          <w:sz w:val="24"/>
          <w:szCs w:val="24"/>
        </w:rPr>
        <w:t xml:space="preserve"> oznacza, z wyjątkiem wyłączeń przewidzianych w art. 3 dyrektywy PSD2, transakcję płatniczą zdefiniowaną w art. 4 pkt 5 tej dyrektywy lub usługę przekazu pieniężnego zdefiniowaną w art. 4 pkt 22 tej dyrektywy.</w:t>
      </w:r>
    </w:p>
    <w:p w14:paraId="7A42724F" w14:textId="5ABA68FC" w:rsidR="000E6C22" w:rsidRDefault="00DA37DC" w:rsidP="00362EB4">
      <w:pPr>
        <w:pStyle w:val="p"/>
        <w:spacing w:before="240" w:after="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Definicję płatności</w:t>
      </w:r>
      <w:r w:rsidR="000E6C22" w:rsidRPr="007B20B5">
        <w:rPr>
          <w:rFonts w:ascii="Times New Roman" w:hAnsi="Times New Roman" w:cs="Times New Roman"/>
          <w:color w:val="auto"/>
          <w:sz w:val="24"/>
          <w:szCs w:val="24"/>
        </w:rPr>
        <w:t xml:space="preserve"> uwzględniającej wyjątki z ar</w:t>
      </w:r>
      <w:r w:rsidRPr="007B20B5">
        <w:rPr>
          <w:rFonts w:ascii="Times New Roman" w:hAnsi="Times New Roman" w:cs="Times New Roman"/>
          <w:color w:val="auto"/>
          <w:sz w:val="24"/>
          <w:szCs w:val="24"/>
        </w:rPr>
        <w:t xml:space="preserve">t. 3 </w:t>
      </w:r>
      <w:r w:rsidR="00A1106F">
        <w:rPr>
          <w:rFonts w:ascii="Times New Roman" w:hAnsi="Times New Roman" w:cs="Times New Roman"/>
          <w:color w:val="auto"/>
          <w:sz w:val="24"/>
          <w:szCs w:val="24"/>
        </w:rPr>
        <w:t xml:space="preserve">dyrektywy </w:t>
      </w:r>
      <w:r w:rsidRPr="007B20B5">
        <w:rPr>
          <w:rFonts w:ascii="Times New Roman" w:hAnsi="Times New Roman" w:cs="Times New Roman"/>
          <w:color w:val="auto"/>
          <w:sz w:val="24"/>
          <w:szCs w:val="24"/>
        </w:rPr>
        <w:t xml:space="preserve">PSD2 oraz charakterystykę </w:t>
      </w:r>
      <w:r w:rsidR="000E6C22" w:rsidRPr="007B20B5">
        <w:rPr>
          <w:rFonts w:ascii="Times New Roman" w:hAnsi="Times New Roman" w:cs="Times New Roman"/>
          <w:color w:val="auto"/>
          <w:sz w:val="24"/>
          <w:szCs w:val="24"/>
        </w:rPr>
        <w:t>transakcji</w:t>
      </w:r>
      <w:r w:rsidR="008E6623"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 xml:space="preserve">płatniczej z art. 4 pkt 5 </w:t>
      </w:r>
      <w:r w:rsidR="00A1106F">
        <w:rPr>
          <w:rFonts w:ascii="Times New Roman" w:hAnsi="Times New Roman" w:cs="Times New Roman"/>
          <w:color w:val="auto"/>
          <w:sz w:val="24"/>
          <w:szCs w:val="24"/>
        </w:rPr>
        <w:t xml:space="preserve">dyrektywy </w:t>
      </w:r>
      <w:r w:rsidRPr="007B20B5">
        <w:rPr>
          <w:rFonts w:ascii="Times New Roman" w:hAnsi="Times New Roman" w:cs="Times New Roman"/>
          <w:color w:val="auto"/>
          <w:sz w:val="24"/>
          <w:szCs w:val="24"/>
        </w:rPr>
        <w:t>PSD2 a także usługi przekazu pieniężnego</w:t>
      </w:r>
      <w:r w:rsidR="00A1106F">
        <w:rPr>
          <w:rFonts w:ascii="Times New Roman" w:hAnsi="Times New Roman" w:cs="Times New Roman"/>
          <w:color w:val="auto"/>
          <w:sz w:val="24"/>
          <w:szCs w:val="24"/>
        </w:rPr>
        <w:t xml:space="preserve"> z art. </w:t>
      </w:r>
      <w:r w:rsidR="000E6C22" w:rsidRPr="007B20B5">
        <w:rPr>
          <w:rFonts w:ascii="Times New Roman" w:hAnsi="Times New Roman" w:cs="Times New Roman"/>
          <w:color w:val="auto"/>
          <w:sz w:val="24"/>
          <w:szCs w:val="24"/>
        </w:rPr>
        <w:t xml:space="preserve">4 pkt 22 </w:t>
      </w:r>
      <w:r w:rsidR="00A1106F">
        <w:rPr>
          <w:rFonts w:ascii="Times New Roman" w:hAnsi="Times New Roman" w:cs="Times New Roman"/>
          <w:color w:val="auto"/>
          <w:sz w:val="24"/>
          <w:szCs w:val="24"/>
        </w:rPr>
        <w:t xml:space="preserve">dyrektywy </w:t>
      </w:r>
      <w:r w:rsidR="000E6C22" w:rsidRPr="007B20B5">
        <w:rPr>
          <w:rFonts w:ascii="Times New Roman" w:hAnsi="Times New Roman" w:cs="Times New Roman"/>
          <w:color w:val="auto"/>
          <w:sz w:val="24"/>
          <w:szCs w:val="24"/>
        </w:rPr>
        <w:t>PSD2,</w:t>
      </w:r>
      <w:r w:rsidR="008E6623"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znajdziemy kolejno w art. 6 ustawy o usługach płatniczych</w:t>
      </w:r>
      <w:r w:rsidR="000E6C22" w:rsidRPr="007B20B5">
        <w:rPr>
          <w:rFonts w:ascii="Times New Roman" w:hAnsi="Times New Roman" w:cs="Times New Roman"/>
          <w:color w:val="auto"/>
          <w:sz w:val="24"/>
          <w:szCs w:val="24"/>
        </w:rPr>
        <w:t xml:space="preserve"> (określaj</w:t>
      </w:r>
      <w:r w:rsidR="009A4B84">
        <w:rPr>
          <w:rFonts w:ascii="Times New Roman" w:hAnsi="Times New Roman" w:cs="Times New Roman"/>
          <w:color w:val="auto"/>
          <w:sz w:val="24"/>
          <w:szCs w:val="24"/>
        </w:rPr>
        <w:t>ącym wyjątki), art. 2 pkt </w:t>
      </w:r>
      <w:r w:rsidRPr="007B20B5">
        <w:rPr>
          <w:rFonts w:ascii="Times New Roman" w:hAnsi="Times New Roman" w:cs="Times New Roman"/>
          <w:color w:val="auto"/>
          <w:sz w:val="24"/>
          <w:szCs w:val="24"/>
        </w:rPr>
        <w:t>29 tej ustawy</w:t>
      </w:r>
      <w:r w:rsidR="000E6C22" w:rsidRPr="007B20B5">
        <w:rPr>
          <w:rFonts w:ascii="Times New Roman" w:hAnsi="Times New Roman" w:cs="Times New Roman"/>
          <w:color w:val="auto"/>
          <w:sz w:val="24"/>
          <w:szCs w:val="24"/>
        </w:rPr>
        <w:t xml:space="preserve"> (określającym</w:t>
      </w:r>
      <w:r w:rsidR="008E6623" w:rsidRPr="007B20B5">
        <w:rPr>
          <w:rFonts w:ascii="Times New Roman" w:hAnsi="Times New Roman" w:cs="Times New Roman"/>
          <w:color w:val="auto"/>
          <w:sz w:val="24"/>
          <w:szCs w:val="24"/>
        </w:rPr>
        <w:t xml:space="preserve"> </w:t>
      </w:r>
      <w:r w:rsidR="000E6C22" w:rsidRPr="007B20B5">
        <w:rPr>
          <w:rFonts w:ascii="Times New Roman" w:hAnsi="Times New Roman" w:cs="Times New Roman"/>
          <w:color w:val="auto"/>
          <w:sz w:val="24"/>
          <w:szCs w:val="24"/>
        </w:rPr>
        <w:t>pojęcie transakcji pł</w:t>
      </w:r>
      <w:r w:rsidRPr="007B20B5">
        <w:rPr>
          <w:rFonts w:ascii="Times New Roman" w:hAnsi="Times New Roman" w:cs="Times New Roman"/>
          <w:color w:val="auto"/>
          <w:sz w:val="24"/>
          <w:szCs w:val="24"/>
        </w:rPr>
        <w:t>atniczej) oraz art. 3 ust. 3 tej ustawy</w:t>
      </w:r>
      <w:r w:rsidR="000E6C22" w:rsidRPr="007B20B5">
        <w:rPr>
          <w:rFonts w:ascii="Times New Roman" w:hAnsi="Times New Roman" w:cs="Times New Roman"/>
          <w:color w:val="auto"/>
          <w:sz w:val="24"/>
          <w:szCs w:val="24"/>
        </w:rPr>
        <w:t xml:space="preserve"> (definiującym usługę przekazu</w:t>
      </w:r>
      <w:r w:rsidR="008E6623"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pieniężnego).</w:t>
      </w:r>
    </w:p>
    <w:p w14:paraId="65422E3B" w14:textId="7BE5EC3E" w:rsidR="003C1352" w:rsidRPr="007B20B5" w:rsidRDefault="003C1352" w:rsidP="003C1352">
      <w:pPr>
        <w:pStyle w:val="p"/>
        <w:spacing w:before="240" w:after="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Z</w:t>
      </w:r>
      <w:r w:rsidRPr="003C1352">
        <w:rPr>
          <w:rFonts w:ascii="Times New Roman" w:hAnsi="Times New Roman" w:cs="Times New Roman"/>
          <w:color w:val="auto"/>
          <w:sz w:val="24"/>
          <w:szCs w:val="24"/>
        </w:rPr>
        <w:t xml:space="preserve">arówno art. 3 </w:t>
      </w:r>
      <w:r>
        <w:rPr>
          <w:rFonts w:ascii="Times New Roman" w:hAnsi="Times New Roman" w:cs="Times New Roman"/>
          <w:color w:val="auto"/>
          <w:sz w:val="24"/>
          <w:szCs w:val="24"/>
        </w:rPr>
        <w:t>dyrektywy PSD2, jak i transponujący go art. 6 ustawy o usługach płatniczych</w:t>
      </w:r>
      <w:r w:rsidRPr="003C1352">
        <w:rPr>
          <w:rFonts w:ascii="Times New Roman" w:hAnsi="Times New Roman" w:cs="Times New Roman"/>
          <w:color w:val="auto"/>
          <w:sz w:val="24"/>
          <w:szCs w:val="24"/>
        </w:rPr>
        <w:t xml:space="preserve"> nie zawierają wyłączeń odnoszących się do samego zakresu pojęcia transakcji płatniczych czy, w węższym zakresie, usługi przekazu pieniężnego, odnoszą się one natomiast, do samego zakresu stosowania, kolejno przepisów </w:t>
      </w:r>
      <w:r>
        <w:rPr>
          <w:rFonts w:ascii="Times New Roman" w:hAnsi="Times New Roman" w:cs="Times New Roman"/>
          <w:color w:val="auto"/>
          <w:sz w:val="24"/>
          <w:szCs w:val="24"/>
        </w:rPr>
        <w:t xml:space="preserve">tej dyrektywy oraz tej ustawy. </w:t>
      </w:r>
      <w:r w:rsidRPr="003C1352">
        <w:rPr>
          <w:rFonts w:ascii="Times New Roman" w:hAnsi="Times New Roman" w:cs="Times New Roman"/>
          <w:color w:val="auto"/>
          <w:sz w:val="24"/>
          <w:szCs w:val="24"/>
        </w:rPr>
        <w:t>Natomiast w przypadku proponowanego p</w:t>
      </w:r>
      <w:r>
        <w:rPr>
          <w:rFonts w:ascii="Times New Roman" w:hAnsi="Times New Roman" w:cs="Times New Roman"/>
          <w:color w:val="auto"/>
          <w:sz w:val="24"/>
          <w:szCs w:val="24"/>
        </w:rPr>
        <w:t xml:space="preserve">rzepisu mamy do czynienie z </w:t>
      </w:r>
      <w:r w:rsidRPr="003C1352">
        <w:rPr>
          <w:rFonts w:ascii="Times New Roman" w:hAnsi="Times New Roman" w:cs="Times New Roman"/>
          <w:color w:val="auto"/>
          <w:sz w:val="24"/>
          <w:szCs w:val="24"/>
        </w:rPr>
        <w:t>sytuacją odwrotną tj. pojęcie płatności zostało ograniczone (czyli nie obejmuje</w:t>
      </w:r>
      <w:r>
        <w:rPr>
          <w:rFonts w:ascii="Times New Roman" w:hAnsi="Times New Roman" w:cs="Times New Roman"/>
          <w:color w:val="auto"/>
          <w:sz w:val="24"/>
          <w:szCs w:val="24"/>
        </w:rPr>
        <w:t xml:space="preserve"> czynności wskazanych w art. 6</w:t>
      </w:r>
      <w:r w:rsidRPr="003C135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3C1352">
        <w:rPr>
          <w:rFonts w:ascii="Times New Roman" w:hAnsi="Times New Roman" w:cs="Times New Roman"/>
          <w:color w:val="auto"/>
          <w:sz w:val="24"/>
          <w:szCs w:val="24"/>
        </w:rPr>
        <w:t>Takie wyłączenie jest zatem zasadne</w:t>
      </w:r>
      <w:r>
        <w:rPr>
          <w:rFonts w:ascii="Times New Roman" w:hAnsi="Times New Roman" w:cs="Times New Roman"/>
          <w:color w:val="auto"/>
          <w:sz w:val="24"/>
          <w:szCs w:val="24"/>
        </w:rPr>
        <w:t>.</w:t>
      </w:r>
    </w:p>
    <w:p w14:paraId="693B4EFB" w14:textId="6CF3AB31" w:rsidR="000233D2" w:rsidRPr="007B20B5" w:rsidRDefault="000233D2" w:rsidP="000233D2">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Płatnością jest zatem transakcja płatnicza (czyli zainicjowana przez płatnika lub odbiorcę wpłata, transfer lub wypłata środków pieniężnych) lub usł</w:t>
      </w:r>
      <w:r w:rsidR="009A4B84">
        <w:rPr>
          <w:rFonts w:ascii="Times New Roman" w:hAnsi="Times New Roman" w:cs="Times New Roman"/>
          <w:color w:val="auto"/>
          <w:sz w:val="24"/>
          <w:szCs w:val="24"/>
        </w:rPr>
        <w:t>uga przekazu pieniężnego (czyli </w:t>
      </w:r>
      <w:r w:rsidRPr="007B20B5">
        <w:rPr>
          <w:rFonts w:ascii="Times New Roman" w:hAnsi="Times New Roman" w:cs="Times New Roman"/>
          <w:color w:val="auto"/>
          <w:sz w:val="24"/>
          <w:szCs w:val="24"/>
        </w:rPr>
        <w:t>usługa płatnicza świadczona bez pośrednictwa rachunku płatniczego prowadzonego dla płatnika, polegająca na transferze do odbiorcy lub do innego dostawcy przyjmującego środki pieniężne dla odbiorcy środków pieniężnych otrzymanych od płatnika lub polegająca na przyjęciu środków pieniężnych dla odbiorcy i ich udostępnieniu odbiorcy), z wyłączeniem</w:t>
      </w:r>
      <w:r w:rsidR="0070215C" w:rsidRPr="007B20B5">
        <w:rPr>
          <w:rFonts w:ascii="Times New Roman" w:hAnsi="Times New Roman" w:cs="Times New Roman"/>
          <w:color w:val="auto"/>
          <w:sz w:val="24"/>
          <w:szCs w:val="24"/>
        </w:rPr>
        <w:t>:</w:t>
      </w:r>
    </w:p>
    <w:p w14:paraId="766BAEA9" w14:textId="383EA5EF"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dokonywanych wyłącznie w gotówce bezpośrednio między płatnikiem a odbiorcą;</w:t>
      </w:r>
    </w:p>
    <w:p w14:paraId="1C1881E2" w14:textId="417B7275"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między płatnikiem a odbiorcą, dokonywanych za pośrednictwem umocowanej osoby wykonującej czynności zmierzają</w:t>
      </w:r>
      <w:r w:rsidR="009A4B84">
        <w:rPr>
          <w:rFonts w:ascii="Times New Roman" w:hAnsi="Times New Roman" w:cs="Times New Roman"/>
          <w:color w:val="auto"/>
          <w:sz w:val="24"/>
          <w:szCs w:val="24"/>
        </w:rPr>
        <w:t xml:space="preserve">ce do zawarcia przez płatnika </w:t>
      </w:r>
      <w:r w:rsidR="009A4B84">
        <w:rPr>
          <w:rFonts w:ascii="Times New Roman" w:hAnsi="Times New Roman" w:cs="Times New Roman"/>
          <w:color w:val="auto"/>
          <w:sz w:val="24"/>
          <w:szCs w:val="24"/>
        </w:rPr>
        <w:lastRenderedPageBreak/>
        <w:t>i </w:t>
      </w:r>
      <w:r w:rsidRPr="007B20B5">
        <w:rPr>
          <w:rFonts w:ascii="Times New Roman" w:hAnsi="Times New Roman" w:cs="Times New Roman"/>
          <w:color w:val="auto"/>
          <w:sz w:val="24"/>
          <w:szCs w:val="24"/>
        </w:rPr>
        <w:t>odbiorcę oznaczonej umowy lub zawierającej taką umowę, w imieniu lub na rzecz wyłącznie płatnika albo wyłącznie odbiorcy;</w:t>
      </w:r>
    </w:p>
    <w:p w14:paraId="733B7192" w14:textId="32A1FD8F"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transportu banknotów i monet, w szczególności ich odbierania, przetwarzania oraz dostarczania;</w:t>
      </w:r>
    </w:p>
    <w:p w14:paraId="4A80F044" w14:textId="0B892720"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w ramach wykonywanego niezawodowo gromadzenia i dostarczania gotówki w toku działalności niezarobkowej, w szczególności zbierania i wydatkowania środków pieniężnych w ramach zbiórek publicznych;</w:t>
      </w:r>
    </w:p>
    <w:p w14:paraId="4F8E2EDA" w14:textId="50EBC22A"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usług, w ramach których odbiorca, na żądanie płatnika zgłoszone przed wykonaniem transakcji płatniczej mającej na celu dokonanie zapłaty za</w:t>
      </w:r>
      <w:r w:rsidR="009A4B84">
        <w:rPr>
          <w:rFonts w:ascii="Times New Roman" w:hAnsi="Times New Roman" w:cs="Times New Roman"/>
          <w:color w:val="auto"/>
          <w:sz w:val="24"/>
          <w:szCs w:val="24"/>
        </w:rPr>
        <w:t xml:space="preserve"> zakupione towary lub usługi, w </w:t>
      </w:r>
      <w:r w:rsidRPr="007B20B5">
        <w:rPr>
          <w:rFonts w:ascii="Times New Roman" w:hAnsi="Times New Roman" w:cs="Times New Roman"/>
          <w:color w:val="auto"/>
          <w:sz w:val="24"/>
          <w:szCs w:val="24"/>
        </w:rPr>
        <w:t>ramach tej transakcji płatniczej wypłaca płatnikowi gotówkę (usług „</w:t>
      </w:r>
      <w:proofErr w:type="spellStart"/>
      <w:r w:rsidRPr="007B20B5">
        <w:rPr>
          <w:rFonts w:ascii="Times New Roman" w:hAnsi="Times New Roman" w:cs="Times New Roman"/>
          <w:color w:val="auto"/>
          <w:sz w:val="24"/>
          <w:szCs w:val="24"/>
        </w:rPr>
        <w:t>cash</w:t>
      </w:r>
      <w:proofErr w:type="spellEnd"/>
      <w:r w:rsidRPr="007B20B5">
        <w:rPr>
          <w:rFonts w:ascii="Times New Roman" w:hAnsi="Times New Roman" w:cs="Times New Roman"/>
          <w:color w:val="auto"/>
          <w:sz w:val="24"/>
          <w:szCs w:val="24"/>
        </w:rPr>
        <w:t xml:space="preserve"> </w:t>
      </w:r>
      <w:proofErr w:type="spellStart"/>
      <w:r w:rsidRPr="007B20B5">
        <w:rPr>
          <w:rFonts w:ascii="Times New Roman" w:hAnsi="Times New Roman" w:cs="Times New Roman"/>
          <w:color w:val="auto"/>
          <w:sz w:val="24"/>
          <w:szCs w:val="24"/>
        </w:rPr>
        <w:t>back</w:t>
      </w:r>
      <w:proofErr w:type="spellEnd"/>
      <w:r w:rsidRPr="007B20B5">
        <w:rPr>
          <w:rFonts w:ascii="Times New Roman" w:hAnsi="Times New Roman" w:cs="Times New Roman"/>
          <w:color w:val="auto"/>
          <w:sz w:val="24"/>
          <w:szCs w:val="24"/>
        </w:rPr>
        <w:t>”);</w:t>
      </w:r>
    </w:p>
    <w:p w14:paraId="1CA84C58" w14:textId="74CBA194"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wymiany walutowej z gotówki na gotówkę bez pośrednictwa rachunku płatniczego;</w:t>
      </w:r>
    </w:p>
    <w:p w14:paraId="7F859C10" w14:textId="43029564"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opartych na jednym z następujących dokumentów w postaci papierowej, wystawionych na dostawcę w celu postawienia środków pieniężnych do dyspozycji odbiorcy:</w:t>
      </w:r>
    </w:p>
    <w:p w14:paraId="78659D85" w14:textId="3A49F994" w:rsidR="00E22C0D"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czeku zgodnego z Konwencją w spraw</w:t>
      </w:r>
      <w:r w:rsidR="009A4B84">
        <w:rPr>
          <w:rFonts w:ascii="Times New Roman" w:hAnsi="Times New Roman" w:cs="Times New Roman"/>
          <w:color w:val="auto"/>
          <w:sz w:val="24"/>
          <w:szCs w:val="24"/>
        </w:rPr>
        <w:t>ie jednolitej ustawy o czekach</w:t>
      </w:r>
      <w:r w:rsidR="009A4B84">
        <w:rPr>
          <w:rStyle w:val="Odwoanieprzypisudolnego"/>
          <w:rFonts w:ascii="Times New Roman" w:hAnsi="Times New Roman" w:cs="Times New Roman"/>
          <w:color w:val="auto"/>
          <w:sz w:val="24"/>
          <w:szCs w:val="24"/>
        </w:rPr>
        <w:footnoteReference w:id="16"/>
      </w:r>
      <w:r w:rsidRPr="007B20B5">
        <w:rPr>
          <w:rFonts w:ascii="Times New Roman" w:hAnsi="Times New Roman" w:cs="Times New Roman"/>
          <w:color w:val="auto"/>
          <w:sz w:val="24"/>
          <w:szCs w:val="24"/>
        </w:rPr>
        <w:t>,</w:t>
      </w:r>
    </w:p>
    <w:p w14:paraId="4EEFF181" w14:textId="77777777" w:rsidR="00E22C0D"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czeku podobnego do czeku, o którym mowa w lit. a, który podlega przepisom państw członkowskich niebędących stroną konwencji, o której mowa w lit. a,</w:t>
      </w:r>
    </w:p>
    <w:p w14:paraId="3260DCB7" w14:textId="3D0A9EF6" w:rsidR="00E22C0D"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weksla trasowanego zgodnego z Konwencją w sprawie jednolitej ustawy o w</w:t>
      </w:r>
      <w:r w:rsidR="002F7731">
        <w:rPr>
          <w:rFonts w:ascii="Times New Roman" w:hAnsi="Times New Roman" w:cs="Times New Roman"/>
          <w:color w:val="auto"/>
          <w:sz w:val="24"/>
          <w:szCs w:val="24"/>
        </w:rPr>
        <w:t>ekslach trasowanych i własnych</w:t>
      </w:r>
      <w:r w:rsidR="002F7731">
        <w:rPr>
          <w:rStyle w:val="Odwoanieprzypisudolnego"/>
          <w:rFonts w:ascii="Times New Roman" w:hAnsi="Times New Roman" w:cs="Times New Roman"/>
          <w:color w:val="auto"/>
          <w:sz w:val="24"/>
          <w:szCs w:val="24"/>
        </w:rPr>
        <w:footnoteReference w:id="17"/>
      </w:r>
      <w:r w:rsidRPr="007B20B5">
        <w:rPr>
          <w:rFonts w:ascii="Times New Roman" w:hAnsi="Times New Roman" w:cs="Times New Roman"/>
          <w:color w:val="auto"/>
          <w:sz w:val="24"/>
          <w:szCs w:val="24"/>
        </w:rPr>
        <w:t>,</w:t>
      </w:r>
    </w:p>
    <w:p w14:paraId="4FAF2395" w14:textId="369A7325" w:rsidR="00E22C0D"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weksla trasowanego podobnego do weksla, o którym mowa w lit. c, który podlega przepisom państw członkowskich niebędących stroną </w:t>
      </w:r>
      <w:r w:rsidR="009A4B84">
        <w:rPr>
          <w:rFonts w:ascii="Times New Roman" w:hAnsi="Times New Roman" w:cs="Times New Roman"/>
          <w:color w:val="auto"/>
          <w:sz w:val="24"/>
          <w:szCs w:val="24"/>
        </w:rPr>
        <w:t>konwencji, o której mowa w lit. </w:t>
      </w:r>
      <w:r w:rsidRPr="007B20B5">
        <w:rPr>
          <w:rFonts w:ascii="Times New Roman" w:hAnsi="Times New Roman" w:cs="Times New Roman"/>
          <w:color w:val="auto"/>
          <w:sz w:val="24"/>
          <w:szCs w:val="24"/>
        </w:rPr>
        <w:t>c,</w:t>
      </w:r>
    </w:p>
    <w:p w14:paraId="42F6B5F4" w14:textId="77777777" w:rsidR="00E22C0D"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znaku legitymacyjnego, w tym voucherów,</w:t>
      </w:r>
    </w:p>
    <w:p w14:paraId="3DB21C31" w14:textId="77777777" w:rsidR="00E22C0D"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czeku podróżnego,</w:t>
      </w:r>
    </w:p>
    <w:p w14:paraId="6CE24245" w14:textId="74F047FC" w:rsidR="000233D2" w:rsidRPr="007B20B5" w:rsidRDefault="000233D2" w:rsidP="00E22C0D">
      <w:pPr>
        <w:pStyle w:val="p"/>
        <w:numPr>
          <w:ilvl w:val="0"/>
          <w:numId w:val="34"/>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przekazu pocztowego w rozumieniu aktów Światowego Związku Pocztowego;</w:t>
      </w:r>
    </w:p>
    <w:p w14:paraId="3F155218" w14:textId="1262EC8A"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dokonywanych w ramach systemu płatności lub w ramach systemu rozrachunku papierów wartościowych, o którym mowa w art. 1 pkt 2 ustawy o ostateczności rozrachunku;</w:t>
      </w:r>
    </w:p>
    <w:p w14:paraId="2FFB3478" w14:textId="069BA52A"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dokonywanych w związku z obs</w:t>
      </w:r>
      <w:r w:rsidR="009A4B84">
        <w:rPr>
          <w:rFonts w:ascii="Times New Roman" w:hAnsi="Times New Roman" w:cs="Times New Roman"/>
          <w:color w:val="auto"/>
          <w:sz w:val="24"/>
          <w:szCs w:val="24"/>
        </w:rPr>
        <w:t xml:space="preserve">ługą instrumentów finansowych </w:t>
      </w:r>
      <w:r w:rsidR="009A4B84">
        <w:rPr>
          <w:rFonts w:ascii="Times New Roman" w:hAnsi="Times New Roman" w:cs="Times New Roman"/>
          <w:color w:val="auto"/>
          <w:sz w:val="24"/>
          <w:szCs w:val="24"/>
        </w:rPr>
        <w:lastRenderedPageBreak/>
        <w:t>i </w:t>
      </w:r>
      <w:r w:rsidRPr="007B20B5">
        <w:rPr>
          <w:rFonts w:ascii="Times New Roman" w:hAnsi="Times New Roman" w:cs="Times New Roman"/>
          <w:color w:val="auto"/>
          <w:sz w:val="24"/>
          <w:szCs w:val="24"/>
        </w:rPr>
        <w:t>wynikających z nich praw, w tym dywidend, innych dochodów, oraz transakcji dokonywanych w związku ze sprzedażą lub umorz</w:t>
      </w:r>
      <w:r w:rsidR="009A4B84">
        <w:rPr>
          <w:rFonts w:ascii="Times New Roman" w:hAnsi="Times New Roman" w:cs="Times New Roman"/>
          <w:color w:val="auto"/>
          <w:sz w:val="24"/>
          <w:szCs w:val="24"/>
        </w:rPr>
        <w:t>eniem papierów wartościowych, w</w:t>
      </w:r>
      <w:r w:rsidR="002F7731">
        <w:rPr>
          <w:rFonts w:ascii="Times New Roman" w:hAnsi="Times New Roman" w:cs="Times New Roman"/>
          <w:color w:val="auto"/>
          <w:sz w:val="24"/>
          <w:szCs w:val="24"/>
        </w:rPr>
        <w:t> </w:t>
      </w:r>
      <w:r w:rsidRPr="007B20B5">
        <w:rPr>
          <w:rFonts w:ascii="Times New Roman" w:hAnsi="Times New Roman" w:cs="Times New Roman"/>
          <w:color w:val="auto"/>
          <w:sz w:val="24"/>
          <w:szCs w:val="24"/>
        </w:rPr>
        <w:t>szczególności dokonywanych przez podmioty wymienione w pkt 8 lub podmioty podlegające nadzorowi sprawowanemu na podstawie u</w:t>
      </w:r>
      <w:r w:rsidR="002F7731">
        <w:rPr>
          <w:rFonts w:ascii="Times New Roman" w:hAnsi="Times New Roman" w:cs="Times New Roman"/>
          <w:color w:val="auto"/>
          <w:sz w:val="24"/>
          <w:szCs w:val="24"/>
        </w:rPr>
        <w:t>stawy z dnia 21 lipca 2006 r. o </w:t>
      </w:r>
      <w:r w:rsidRPr="007B20B5">
        <w:rPr>
          <w:rFonts w:ascii="Times New Roman" w:hAnsi="Times New Roman" w:cs="Times New Roman"/>
          <w:color w:val="auto"/>
          <w:sz w:val="24"/>
          <w:szCs w:val="24"/>
        </w:rPr>
        <w:t>nadzorze nad rynki</w:t>
      </w:r>
      <w:r w:rsidR="009A4B84">
        <w:rPr>
          <w:rFonts w:ascii="Times New Roman" w:hAnsi="Times New Roman" w:cs="Times New Roman"/>
          <w:color w:val="auto"/>
          <w:sz w:val="24"/>
          <w:szCs w:val="24"/>
        </w:rPr>
        <w:t>em finansowym</w:t>
      </w:r>
      <w:r w:rsidR="009A4B84">
        <w:rPr>
          <w:rStyle w:val="Odwoanieprzypisudolnego"/>
          <w:rFonts w:ascii="Times New Roman" w:hAnsi="Times New Roman" w:cs="Times New Roman"/>
          <w:color w:val="auto"/>
          <w:sz w:val="24"/>
          <w:szCs w:val="24"/>
        </w:rPr>
        <w:footnoteReference w:id="18"/>
      </w:r>
      <w:r w:rsidRPr="007B20B5">
        <w:rPr>
          <w:rFonts w:ascii="Times New Roman" w:hAnsi="Times New Roman" w:cs="Times New Roman"/>
          <w:color w:val="auto"/>
          <w:sz w:val="24"/>
          <w:szCs w:val="24"/>
        </w:rPr>
        <w:t>;</w:t>
      </w:r>
    </w:p>
    <w:p w14:paraId="53189996" w14:textId="00907362"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usług świadczonych przez dostawców usług technicznych, wspierających świadczenie usług płatniczych, jeżeli nie wchodzą oni w posiadanie środków pieniężnych będących przedmiotem transakcji płatniczej, w szczególności usług przetwarzania i przechowywania danych, usług powierniczych i ochrony prywatności, usług przekazywania między płatnikiem a odbiorcą informacji o transakcji płatni</w:t>
      </w:r>
      <w:r w:rsidR="009A4B84">
        <w:rPr>
          <w:rFonts w:ascii="Times New Roman" w:hAnsi="Times New Roman" w:cs="Times New Roman"/>
          <w:color w:val="auto"/>
          <w:sz w:val="24"/>
          <w:szCs w:val="24"/>
        </w:rPr>
        <w:t>czej, uwierzytelniania danych i </w:t>
      </w:r>
      <w:r w:rsidRPr="007B20B5">
        <w:rPr>
          <w:rFonts w:ascii="Times New Roman" w:hAnsi="Times New Roman" w:cs="Times New Roman"/>
          <w:color w:val="auto"/>
          <w:sz w:val="24"/>
          <w:szCs w:val="24"/>
        </w:rPr>
        <w:t>podmiotów, dostarczania technologii informatycznych (IT) i sieci komunikacyjnych, dostarczania i utrzymania terminali i urządzeń wykorzystywanych do świadczenia usług płatniczych, z wyjątkiem usług inicjowania transakcji płatniczej i usług dostępu do informacji o rachunku;</w:t>
      </w:r>
    </w:p>
    <w:p w14:paraId="71C8FFF5" w14:textId="426B4E8D"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usług opartych na instrumentach płatniczych, któr</w:t>
      </w:r>
      <w:r w:rsidR="002F7731">
        <w:rPr>
          <w:rFonts w:ascii="Times New Roman" w:hAnsi="Times New Roman" w:cs="Times New Roman"/>
          <w:color w:val="auto"/>
          <w:sz w:val="24"/>
          <w:szCs w:val="24"/>
        </w:rPr>
        <w:t>e można wykorzystywać jedynie w </w:t>
      </w:r>
      <w:r w:rsidRPr="007B20B5">
        <w:rPr>
          <w:rFonts w:ascii="Times New Roman" w:hAnsi="Times New Roman" w:cs="Times New Roman"/>
          <w:color w:val="auto"/>
          <w:sz w:val="24"/>
          <w:szCs w:val="24"/>
        </w:rPr>
        <w:t>ograniczony sposób i które spełniają co najmniej jeden z poniższych warunków:</w:t>
      </w:r>
    </w:p>
    <w:p w14:paraId="1BB6E861" w14:textId="77777777" w:rsidR="00E22C0D" w:rsidRPr="007B20B5" w:rsidRDefault="000233D2" w:rsidP="00E22C0D">
      <w:pPr>
        <w:pStyle w:val="p"/>
        <w:numPr>
          <w:ilvl w:val="0"/>
          <w:numId w:val="35"/>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pozwalają posiadaczowi nabywać towary lub usługi wyłącznie w placówkach wydawców tych instrumentów lub w ramach ograniczonej sieci podmiotów związanych umową handlową bezpośrednio z zawodowym wydawcą tych instrumentów,</w:t>
      </w:r>
    </w:p>
    <w:p w14:paraId="37E9F83C" w14:textId="77777777" w:rsidR="00E22C0D" w:rsidRPr="007B20B5" w:rsidRDefault="000233D2" w:rsidP="00E22C0D">
      <w:pPr>
        <w:pStyle w:val="p"/>
        <w:numPr>
          <w:ilvl w:val="0"/>
          <w:numId w:val="35"/>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służą wyłącznie do nabywania bardzo ograniczonego zakresu towarów lub usług,</w:t>
      </w:r>
    </w:p>
    <w:p w14:paraId="3679CF7F" w14:textId="25E4DBA2" w:rsidR="000233D2" w:rsidRPr="007B20B5" w:rsidRDefault="000233D2" w:rsidP="00DF292B">
      <w:pPr>
        <w:pStyle w:val="p"/>
        <w:numPr>
          <w:ilvl w:val="0"/>
          <w:numId w:val="35"/>
        </w:numPr>
        <w:spacing w:before="240" w:line="340" w:lineRule="atLeast"/>
        <w:ind w:hanging="357"/>
        <w:rPr>
          <w:rFonts w:ascii="Times New Roman" w:hAnsi="Times New Roman" w:cs="Times New Roman"/>
          <w:color w:val="auto"/>
          <w:sz w:val="24"/>
          <w:szCs w:val="24"/>
        </w:rPr>
      </w:pPr>
      <w:r w:rsidRPr="007B20B5">
        <w:rPr>
          <w:rFonts w:ascii="Times New Roman" w:hAnsi="Times New Roman" w:cs="Times New Roman"/>
          <w:color w:val="auto"/>
          <w:sz w:val="24"/>
          <w:szCs w:val="24"/>
        </w:rPr>
        <w:t>mogą być używane wyłącznie w jednym państwie członkowskim, jeżeli instrumenty takie są dostarczane na wniosek przedsiębiorcy lub jednostki sektora finansów publicznych, są regulowane ze względu na określone cele społeczne lub podatkowe przez krajowy lub samorządowy organ administracji publicznej i służą do nabycia określonych towarów lub usług od dostawców związanych z wydawcą umową handlową;</w:t>
      </w:r>
    </w:p>
    <w:p w14:paraId="7A1A1187" w14:textId="3B506D72" w:rsidR="000233D2" w:rsidRPr="007B20B5" w:rsidRDefault="000233D2" w:rsidP="00DF292B">
      <w:pPr>
        <w:pStyle w:val="p"/>
        <w:numPr>
          <w:ilvl w:val="0"/>
          <w:numId w:val="33"/>
        </w:numPr>
        <w:spacing w:before="240" w:after="240" w:line="340" w:lineRule="atLeast"/>
        <w:ind w:hanging="357"/>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przeprowadzanych przez przedsiębiorcę telekomunikacyjnego, dokonywanych obok usług telekomunikacyjnych na rzecz użytkownika końcowego, doliczany</w:t>
      </w:r>
      <w:r w:rsidR="00C10576" w:rsidRPr="007B20B5">
        <w:rPr>
          <w:rFonts w:ascii="Times New Roman" w:hAnsi="Times New Roman" w:cs="Times New Roman"/>
          <w:color w:val="auto"/>
          <w:sz w:val="24"/>
          <w:szCs w:val="24"/>
        </w:rPr>
        <w:t>ch do należności za usługi tele</w:t>
      </w:r>
      <w:r w:rsidRPr="007B20B5">
        <w:rPr>
          <w:rFonts w:ascii="Times New Roman" w:hAnsi="Times New Roman" w:cs="Times New Roman"/>
          <w:color w:val="auto"/>
          <w:sz w:val="24"/>
          <w:szCs w:val="24"/>
        </w:rPr>
        <w:t>komunikacyjne:</w:t>
      </w:r>
    </w:p>
    <w:p w14:paraId="181FA38C" w14:textId="77777777" w:rsidR="00DF292B" w:rsidRPr="007B20B5" w:rsidRDefault="00DF292B" w:rsidP="00DF292B">
      <w:pPr>
        <w:pStyle w:val="Akapitzlist"/>
        <w:numPr>
          <w:ilvl w:val="0"/>
          <w:numId w:val="40"/>
        </w:numPr>
        <w:spacing w:before="240" w:after="240" w:line="340" w:lineRule="atLeast"/>
        <w:jc w:val="both"/>
        <w:rPr>
          <w:rFonts w:ascii="Times New Roman" w:hAnsi="Times New Roman"/>
          <w:sz w:val="24"/>
          <w:szCs w:val="24"/>
        </w:rPr>
      </w:pPr>
      <w:r w:rsidRPr="007B20B5">
        <w:rPr>
          <w:rFonts w:ascii="Times New Roman" w:hAnsi="Times New Roman"/>
          <w:sz w:val="24"/>
          <w:szCs w:val="24"/>
        </w:rPr>
        <w:t>w celu nabycia treści cyfrowych lub usług głosowych, niezależnie od urządzenia stosowanego do nabycia lub wykorzystania treści cyfrowych lub</w:t>
      </w:r>
    </w:p>
    <w:p w14:paraId="4EB9EB77" w14:textId="10D1E018" w:rsidR="00DF292B" w:rsidRPr="007B20B5" w:rsidRDefault="00DF292B" w:rsidP="00DF292B">
      <w:pPr>
        <w:pStyle w:val="Akapitzlist"/>
        <w:numPr>
          <w:ilvl w:val="0"/>
          <w:numId w:val="40"/>
        </w:num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dokonywanych za pomocą urządzenia elektronicznego lub z jego użyciem, jeżeli transakcja płatnicza jest przeprowadzana w ramach zbiórek publicznych lub w celu </w:t>
      </w:r>
      <w:r w:rsidRPr="007B20B5">
        <w:rPr>
          <w:rFonts w:ascii="Times New Roman" w:hAnsi="Times New Roman"/>
          <w:sz w:val="24"/>
          <w:szCs w:val="24"/>
        </w:rPr>
        <w:lastRenderedPageBreak/>
        <w:t>zakupu biletów, w szczególności komunikacyjnych, parkingowych oraz biletów wstępu na imprezy artystyczne, rozrywkowe lub sportowe</w:t>
      </w:r>
    </w:p>
    <w:p w14:paraId="767E842C" w14:textId="2A15B440" w:rsidR="00DF292B" w:rsidRPr="007B20B5" w:rsidRDefault="00DF292B" w:rsidP="00DF292B">
      <w:pPr>
        <w:spacing w:before="240" w:after="240" w:line="340" w:lineRule="atLeast"/>
        <w:ind w:left="360"/>
        <w:jc w:val="both"/>
        <w:rPr>
          <w:rFonts w:ascii="Times New Roman" w:hAnsi="Times New Roman"/>
          <w:sz w:val="24"/>
          <w:szCs w:val="24"/>
        </w:rPr>
      </w:pPr>
      <w:r w:rsidRPr="007B20B5">
        <w:rPr>
          <w:rFonts w:ascii="Times New Roman" w:hAnsi="Times New Roman"/>
          <w:sz w:val="24"/>
          <w:szCs w:val="24"/>
        </w:rPr>
        <w:t>– jeżeli wartość pojedynczej transakcji płatniczej, o której mowa w lit. a lub b, nie przekracza równowartości w walucie polskiej 50 euro oraz łączna wartość transakcji płatniczych dotyczących jednego użytkownika końcowego, także w przypadku gdy należności za usługi telekomunikacyjne są opłacane z góry, nie przekracza równowartości w walucie polskiej 300 euro miesięcznie, przy czym kwoty wyrażone w euro oblicza się przy zastosowaniu kursu średniego ogłaszanego przez NBP, obowiązującego w dni</w:t>
      </w:r>
      <w:r w:rsidR="002F7731">
        <w:rPr>
          <w:rFonts w:ascii="Times New Roman" w:hAnsi="Times New Roman"/>
          <w:sz w:val="24"/>
          <w:szCs w:val="24"/>
        </w:rPr>
        <w:t>u 31 </w:t>
      </w:r>
      <w:r w:rsidRPr="007B20B5">
        <w:rPr>
          <w:rFonts w:ascii="Times New Roman" w:hAnsi="Times New Roman"/>
          <w:sz w:val="24"/>
          <w:szCs w:val="24"/>
        </w:rPr>
        <w:t>października poprzedniego roku;</w:t>
      </w:r>
    </w:p>
    <w:p w14:paraId="296951D4" w14:textId="43249D5F" w:rsidR="000233D2" w:rsidRPr="007B20B5" w:rsidRDefault="000233D2" w:rsidP="00DF292B">
      <w:pPr>
        <w:pStyle w:val="p"/>
        <w:numPr>
          <w:ilvl w:val="0"/>
          <w:numId w:val="33"/>
        </w:numPr>
        <w:spacing w:before="240" w:after="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przeprowadzanych między dostawcami, ich agentami lub oddziałami na ich własny rachunek;</w:t>
      </w:r>
    </w:p>
    <w:p w14:paraId="4874F2C1" w14:textId="46928D10"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transakcji płatniczych i usług dodatkowych, o których mowa w art. 74 ust. 1 pkt 1</w:t>
      </w:r>
      <w:r w:rsidR="002F7731">
        <w:rPr>
          <w:rFonts w:ascii="Times New Roman" w:hAnsi="Times New Roman" w:cs="Times New Roman"/>
          <w:color w:val="auto"/>
          <w:sz w:val="24"/>
          <w:szCs w:val="24"/>
        </w:rPr>
        <w:t xml:space="preserve"> ustawy o usługach płatniczych</w:t>
      </w:r>
      <w:r w:rsidRPr="007B20B5">
        <w:rPr>
          <w:rFonts w:ascii="Times New Roman" w:hAnsi="Times New Roman" w:cs="Times New Roman"/>
          <w:color w:val="auto"/>
          <w:sz w:val="24"/>
          <w:szCs w:val="24"/>
        </w:rPr>
        <w:t>, ściśle powiązanych ze świadczeniem usług płatniczych, przeprowadzanych między jednostką dominującą a jednostką zależną lub między jednostkami zależnymi od tej samej jednostki dominującej, z udziałem dostawcy należącego do tej samej grupy;</w:t>
      </w:r>
    </w:p>
    <w:p w14:paraId="4991AD8E" w14:textId="592BB067"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usług wypłat gotówki przy użyciu bankomatów, świadczonych przez podmioty działające na rzecz co najmniej jednego wydawcy instrumentów płatniczych i niebędące stroną umowy ramowej z osobą wypłacającą gotówkę z rachunku płatniczego przy użyciu bankomatu, jeżeli podmioty te nie świadczą innych usług płatniczych;</w:t>
      </w:r>
    </w:p>
    <w:p w14:paraId="410CDEC1" w14:textId="19E81DA5" w:rsidR="000233D2" w:rsidRPr="007B20B5" w:rsidRDefault="000233D2" w:rsidP="00905F95">
      <w:pPr>
        <w:pStyle w:val="p"/>
        <w:numPr>
          <w:ilvl w:val="0"/>
          <w:numId w:val="33"/>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usług wykonywanych wyłącznie z wykorzystaniem papierowych książeczek oszczędnościowych, w przypadku gdy wszelkie transak</w:t>
      </w:r>
      <w:r w:rsidR="002F7731">
        <w:rPr>
          <w:rFonts w:ascii="Times New Roman" w:hAnsi="Times New Roman" w:cs="Times New Roman"/>
          <w:color w:val="auto"/>
          <w:sz w:val="24"/>
          <w:szCs w:val="24"/>
        </w:rPr>
        <w:t>cje są rejestrowane wyłącznie w </w:t>
      </w:r>
      <w:r w:rsidRPr="007B20B5">
        <w:rPr>
          <w:rFonts w:ascii="Times New Roman" w:hAnsi="Times New Roman" w:cs="Times New Roman"/>
          <w:color w:val="auto"/>
          <w:sz w:val="24"/>
          <w:szCs w:val="24"/>
        </w:rPr>
        <w:t>tych książeczkach.</w:t>
      </w:r>
    </w:p>
    <w:p w14:paraId="3C90A46F" w14:textId="2F081E8A" w:rsidR="00870A60" w:rsidRPr="007B20B5" w:rsidRDefault="0002271D" w:rsidP="00171256">
      <w:pPr>
        <w:pStyle w:val="p"/>
        <w:spacing w:before="240" w:line="340" w:lineRule="atLeast"/>
        <w:rPr>
          <w:rFonts w:ascii="Times New Roman" w:hAnsi="Times New Roman" w:cs="Times New Roman"/>
          <w:sz w:val="24"/>
          <w:szCs w:val="24"/>
        </w:rPr>
      </w:pPr>
      <w:r w:rsidRPr="007B20B5">
        <w:rPr>
          <w:rFonts w:ascii="Times New Roman" w:hAnsi="Times New Roman" w:cs="Times New Roman"/>
          <w:color w:val="auto"/>
          <w:sz w:val="24"/>
          <w:szCs w:val="24"/>
        </w:rPr>
        <w:t xml:space="preserve">Z powyższego wynika, że </w:t>
      </w:r>
      <w:r w:rsidR="00885F16" w:rsidRPr="007B20B5">
        <w:rPr>
          <w:rFonts w:ascii="Times New Roman" w:hAnsi="Times New Roman" w:cs="Times New Roman"/>
          <w:sz w:val="24"/>
          <w:szCs w:val="24"/>
        </w:rPr>
        <w:t xml:space="preserve">rozliczenia pomiędzy dostawcami usług płatniczych (przepływy środków między </w:t>
      </w:r>
      <w:r w:rsidR="00053369" w:rsidRPr="007B20B5">
        <w:rPr>
          <w:rFonts w:ascii="Times New Roman" w:hAnsi="Times New Roman" w:cs="Times New Roman"/>
          <w:sz w:val="24"/>
          <w:szCs w:val="24"/>
        </w:rPr>
        <w:t>dostawcą usług płatniczych</w:t>
      </w:r>
      <w:r w:rsidR="00885F16" w:rsidRPr="007B20B5">
        <w:rPr>
          <w:rFonts w:ascii="Times New Roman" w:hAnsi="Times New Roman" w:cs="Times New Roman"/>
          <w:sz w:val="24"/>
          <w:szCs w:val="24"/>
        </w:rPr>
        <w:t xml:space="preserve"> płatnika i </w:t>
      </w:r>
      <w:r w:rsidR="00053369" w:rsidRPr="007B20B5">
        <w:rPr>
          <w:rFonts w:ascii="Times New Roman" w:hAnsi="Times New Roman" w:cs="Times New Roman"/>
          <w:sz w:val="24"/>
          <w:szCs w:val="24"/>
        </w:rPr>
        <w:t>dostawcą usług płatniczych</w:t>
      </w:r>
      <w:r w:rsidR="00885F16" w:rsidRPr="007B20B5">
        <w:rPr>
          <w:rFonts w:ascii="Times New Roman" w:hAnsi="Times New Roman" w:cs="Times New Roman"/>
          <w:sz w:val="24"/>
          <w:szCs w:val="24"/>
        </w:rPr>
        <w:t xml:space="preserve"> odbiorcy</w:t>
      </w:r>
      <w:r w:rsidR="00EE7AEA" w:rsidRPr="007B20B5">
        <w:rPr>
          <w:rFonts w:ascii="Times New Roman" w:hAnsi="Times New Roman" w:cs="Times New Roman"/>
          <w:sz w:val="24"/>
          <w:szCs w:val="24"/>
        </w:rPr>
        <w:t>, faktycznie pochodzących od płatnika i przeznaczonych dla odbiorcy płatności</w:t>
      </w:r>
      <w:r w:rsidR="00885F16" w:rsidRPr="007B20B5">
        <w:rPr>
          <w:rFonts w:ascii="Times New Roman" w:hAnsi="Times New Roman" w:cs="Times New Roman"/>
          <w:sz w:val="24"/>
          <w:szCs w:val="24"/>
        </w:rPr>
        <w:t>) nie będą objęte zakresem tej ustawy, a tym samym nie będą ewidencjonowane.</w:t>
      </w:r>
      <w:r w:rsidR="00171256" w:rsidRPr="007B20B5">
        <w:rPr>
          <w:rFonts w:ascii="Times New Roman" w:hAnsi="Times New Roman" w:cs="Times New Roman"/>
          <w:sz w:val="24"/>
          <w:szCs w:val="24"/>
        </w:rPr>
        <w:t xml:space="preserve"> Powyższe dotyczy również transakcji przeprowadzanych</w:t>
      </w:r>
      <w:r w:rsidR="003358B8" w:rsidRPr="007B20B5">
        <w:rPr>
          <w:rFonts w:ascii="Times New Roman" w:hAnsi="Times New Roman" w:cs="Times New Roman"/>
          <w:sz w:val="24"/>
          <w:szCs w:val="24"/>
        </w:rPr>
        <w:t xml:space="preserve"> między dostawcami usług </w:t>
      </w:r>
      <w:r w:rsidR="00201B6C" w:rsidRPr="007B20B5">
        <w:rPr>
          <w:rFonts w:ascii="Times New Roman" w:hAnsi="Times New Roman" w:cs="Times New Roman"/>
          <w:sz w:val="24"/>
          <w:szCs w:val="24"/>
        </w:rPr>
        <w:t>płatniczych, ich agentami lub odd</w:t>
      </w:r>
      <w:r w:rsidR="00171256" w:rsidRPr="007B20B5">
        <w:rPr>
          <w:rFonts w:ascii="Times New Roman" w:hAnsi="Times New Roman" w:cs="Times New Roman"/>
          <w:sz w:val="24"/>
          <w:szCs w:val="24"/>
        </w:rPr>
        <w:t>ziałami na ich własny rachunek.</w:t>
      </w:r>
      <w:r w:rsidR="005E5174" w:rsidRPr="007B20B5">
        <w:rPr>
          <w:rFonts w:ascii="Times New Roman" w:hAnsi="Times New Roman" w:cs="Times New Roman"/>
          <w:sz w:val="24"/>
          <w:szCs w:val="24"/>
        </w:rPr>
        <w:t xml:space="preserve"> </w:t>
      </w:r>
      <w:r w:rsidR="005E5174" w:rsidRPr="007B20B5">
        <w:rPr>
          <w:rFonts w:ascii="Times New Roman" w:hAnsi="Times New Roman" w:cs="Times New Roman"/>
          <w:color w:val="auto"/>
          <w:sz w:val="24"/>
          <w:szCs w:val="24"/>
        </w:rPr>
        <w:t>Przepis art. 54 ust. 1 ustawy o usługach płatniczych zawiera wyjaśnienie, w jaki sposób muszą być wykonywane płatności, tj. dostawca usług płatniczych płatnika jest obowiązany przekazać środki do dostawcy usług płatniczych odbiorcy płatności, który będzie musiał uznać rachunek płatniczy w określonym terminie po otrzymaniu zlecenia płatniczego. Zlecenie płatnicze oznacza instrukcję płatnika skierowaną do jego dostawcy usług płatniczych z żądaniem wykonania transakcji płatniczej. Dostawcy usług płatniczych realizują swoje własne płatności, nie zlecają ich innym dostawcom usług płatniczych</w:t>
      </w:r>
      <w:r w:rsidR="00114674" w:rsidRPr="007B20B5">
        <w:rPr>
          <w:rFonts w:ascii="Times New Roman" w:hAnsi="Times New Roman" w:cs="Times New Roman"/>
          <w:color w:val="auto"/>
          <w:sz w:val="24"/>
          <w:szCs w:val="24"/>
        </w:rPr>
        <w:t>;</w:t>
      </w:r>
    </w:p>
    <w:p w14:paraId="63A776B2" w14:textId="77777777" w:rsidR="00682F26" w:rsidRPr="007B20B5" w:rsidRDefault="00C10576"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b/>
          <w:color w:val="auto"/>
          <w:sz w:val="24"/>
          <w:szCs w:val="24"/>
        </w:rPr>
        <w:t xml:space="preserve">pkt 4 </w:t>
      </w:r>
      <w:r w:rsidR="00DF292B" w:rsidRPr="007B20B5">
        <w:rPr>
          <w:rFonts w:ascii="Times New Roman" w:hAnsi="Times New Roman" w:cs="Times New Roman"/>
          <w:b/>
          <w:color w:val="auto"/>
          <w:sz w:val="24"/>
          <w:szCs w:val="24"/>
        </w:rPr>
        <w:t>wprowadza</w:t>
      </w:r>
      <w:r w:rsidR="003A58EA" w:rsidRPr="007B20B5">
        <w:rPr>
          <w:rFonts w:ascii="Times New Roman" w:hAnsi="Times New Roman" w:cs="Times New Roman"/>
          <w:color w:val="auto"/>
          <w:sz w:val="24"/>
          <w:szCs w:val="24"/>
        </w:rPr>
        <w:t xml:space="preserve"> definicję płatnika.</w:t>
      </w:r>
    </w:p>
    <w:p w14:paraId="487766B3" w14:textId="2A816E52" w:rsidR="00C10576" w:rsidRPr="007B20B5" w:rsidRDefault="00C10576"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lastRenderedPageBreak/>
        <w:t>Zgodnie z art. 243a pkt 4 dyrektywy VAT „płatnik” oznacza płatnika zdefiniowanego w art. 4 pkt 8 dyrektywy PSD2.</w:t>
      </w:r>
    </w:p>
    <w:p w14:paraId="10217FE6" w14:textId="509F104B" w:rsidR="00C10576" w:rsidRPr="007B20B5" w:rsidRDefault="00C10576" w:rsidP="00C1057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Pojęcie płatnika z art. 4 pkt 8 dyrektywy PSD2 ma swój polski odpowiednik w art. 2 pkt 22 ustawy o usługach płatniczych. Zgodnie z tym przypisem płatnikiem jest osoba fizyczna, osoba prawna oraz jednostka organizacyjna niebędąca osobą prawną, której ustawa przyznaje zdolność prawną, składająca zlecenie płatnicze.</w:t>
      </w:r>
      <w:r w:rsidR="009818B7" w:rsidRPr="007B20B5">
        <w:rPr>
          <w:rFonts w:ascii="Times New Roman" w:hAnsi="Times New Roman" w:cs="Times New Roman"/>
          <w:color w:val="auto"/>
          <w:sz w:val="24"/>
          <w:szCs w:val="24"/>
        </w:rPr>
        <w:t xml:space="preserve"> Zatem płatnik jest pierwotnym nadawcą środków;</w:t>
      </w:r>
    </w:p>
    <w:p w14:paraId="38472494" w14:textId="77777777" w:rsidR="00682F26" w:rsidRPr="007B20B5" w:rsidRDefault="00DF292B"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w</w:t>
      </w:r>
      <w:r w:rsidRPr="007B20B5">
        <w:rPr>
          <w:rFonts w:ascii="Times New Roman" w:hAnsi="Times New Roman" w:cs="Times New Roman"/>
          <w:b/>
          <w:color w:val="auto"/>
          <w:sz w:val="24"/>
          <w:szCs w:val="24"/>
        </w:rPr>
        <w:t xml:space="preserve"> </w:t>
      </w:r>
      <w:r w:rsidR="00C10576" w:rsidRPr="007B20B5">
        <w:rPr>
          <w:rFonts w:ascii="Times New Roman" w:hAnsi="Times New Roman" w:cs="Times New Roman"/>
          <w:b/>
          <w:color w:val="auto"/>
          <w:sz w:val="24"/>
          <w:szCs w:val="24"/>
        </w:rPr>
        <w:t xml:space="preserve">pkt 5 </w:t>
      </w:r>
      <w:r w:rsidRPr="007B20B5">
        <w:rPr>
          <w:rFonts w:ascii="Times New Roman" w:hAnsi="Times New Roman" w:cs="Times New Roman"/>
          <w:color w:val="auto"/>
          <w:sz w:val="24"/>
          <w:szCs w:val="24"/>
        </w:rPr>
        <w:t>zdefiniowano odbiorcę</w:t>
      </w:r>
      <w:r w:rsidR="003A58EA" w:rsidRPr="007B20B5">
        <w:rPr>
          <w:rFonts w:ascii="Times New Roman" w:hAnsi="Times New Roman" w:cs="Times New Roman"/>
          <w:color w:val="auto"/>
          <w:sz w:val="24"/>
          <w:szCs w:val="24"/>
        </w:rPr>
        <w:t xml:space="preserve"> płatności.</w:t>
      </w:r>
    </w:p>
    <w:p w14:paraId="475E8F54" w14:textId="1C532127" w:rsidR="00C10576" w:rsidRPr="007B20B5" w:rsidRDefault="00C10576"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Zgodnie z art. 243a pkt 5 dyrektywy VAT „odbiorca płatności” oznacza odbiorcę zdefiniowanego w art. 4 pkt 9 dyrektywy PSD2</w:t>
      </w:r>
      <w:r w:rsidR="00E831CE" w:rsidRPr="007B20B5">
        <w:rPr>
          <w:rFonts w:ascii="Times New Roman" w:hAnsi="Times New Roman" w:cs="Times New Roman"/>
          <w:color w:val="auto"/>
          <w:sz w:val="24"/>
          <w:szCs w:val="24"/>
        </w:rPr>
        <w:t>, który został transponowany w art. 2 pkt 18 ustawy o usługach płatniczych</w:t>
      </w:r>
      <w:r w:rsidRPr="007B20B5">
        <w:rPr>
          <w:rFonts w:ascii="Times New Roman" w:hAnsi="Times New Roman" w:cs="Times New Roman"/>
          <w:color w:val="auto"/>
          <w:sz w:val="24"/>
          <w:szCs w:val="24"/>
        </w:rPr>
        <w:t>.</w:t>
      </w:r>
    </w:p>
    <w:p w14:paraId="57121937" w14:textId="304AEC37" w:rsidR="00E831CE" w:rsidRPr="007B20B5" w:rsidRDefault="00E831CE" w:rsidP="00C1057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Stosownie do art. 2 pkt 18 ustawy o usługach płatniczych</w:t>
      </w:r>
      <w:r w:rsidR="00C10576"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przez odbiorcę rozumie się osobę fizyczną, osobę prawną oraz jednostkę organizacyjną niebędącą osobą prawną, której ustawa przyznaje zdolność prawną, będącą odbiorcą środków pieniężnych stanowiących przedmiot transakcji płatniczej.</w:t>
      </w:r>
      <w:r w:rsidR="009818B7" w:rsidRPr="007B20B5">
        <w:rPr>
          <w:rFonts w:ascii="Times New Roman" w:hAnsi="Times New Roman" w:cs="Times New Roman"/>
          <w:color w:val="auto"/>
          <w:sz w:val="24"/>
          <w:szCs w:val="24"/>
        </w:rPr>
        <w:t xml:space="preserve"> Definicja odbiorcy płatności wskazuje zatem, że jest nim osoba fizyczna lub prawna, która jest zamierzonym odbiorcą środków będących przedmiotem transakcji płatniczej. W rezultacie zamierzony odbiorca oznacza beneficjenta końcowego</w:t>
      </w:r>
      <w:r w:rsidR="00114674" w:rsidRPr="007B20B5">
        <w:rPr>
          <w:rFonts w:ascii="Times New Roman" w:hAnsi="Times New Roman" w:cs="Times New Roman"/>
          <w:color w:val="auto"/>
          <w:sz w:val="24"/>
          <w:szCs w:val="24"/>
        </w:rPr>
        <w:t>;</w:t>
      </w:r>
    </w:p>
    <w:p w14:paraId="27D4D001" w14:textId="77777777" w:rsidR="00682F26" w:rsidRPr="007B20B5" w:rsidRDefault="00114674"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w</w:t>
      </w:r>
      <w:r w:rsidRPr="007B20B5">
        <w:rPr>
          <w:rFonts w:ascii="Times New Roman" w:hAnsi="Times New Roman" w:cs="Times New Roman"/>
          <w:b/>
          <w:color w:val="auto"/>
          <w:sz w:val="24"/>
          <w:szCs w:val="24"/>
        </w:rPr>
        <w:t xml:space="preserve"> </w:t>
      </w:r>
      <w:r w:rsidR="00E831CE" w:rsidRPr="007B20B5">
        <w:rPr>
          <w:rFonts w:ascii="Times New Roman" w:hAnsi="Times New Roman" w:cs="Times New Roman"/>
          <w:b/>
          <w:color w:val="auto"/>
          <w:sz w:val="24"/>
          <w:szCs w:val="24"/>
        </w:rPr>
        <w:t xml:space="preserve">pkt 6 </w:t>
      </w:r>
      <w:r w:rsidRPr="007B20B5">
        <w:rPr>
          <w:rFonts w:ascii="Times New Roman" w:hAnsi="Times New Roman" w:cs="Times New Roman"/>
          <w:color w:val="auto"/>
          <w:sz w:val="24"/>
          <w:szCs w:val="24"/>
        </w:rPr>
        <w:t xml:space="preserve">wprowadzono </w:t>
      </w:r>
      <w:r w:rsidR="003A58EA" w:rsidRPr="007B20B5">
        <w:rPr>
          <w:rFonts w:ascii="Times New Roman" w:hAnsi="Times New Roman" w:cs="Times New Roman"/>
          <w:color w:val="auto"/>
          <w:sz w:val="24"/>
          <w:szCs w:val="24"/>
        </w:rPr>
        <w:t xml:space="preserve">definicję </w:t>
      </w:r>
      <w:r w:rsidR="00FD0ECD" w:rsidRPr="007B20B5">
        <w:rPr>
          <w:rFonts w:ascii="Times New Roman" w:hAnsi="Times New Roman" w:cs="Times New Roman"/>
          <w:color w:val="auto"/>
          <w:sz w:val="24"/>
          <w:szCs w:val="24"/>
        </w:rPr>
        <w:t>państwa członkowskiego pochodzenia</w:t>
      </w:r>
      <w:r w:rsidR="003A58EA" w:rsidRPr="007B20B5">
        <w:rPr>
          <w:rFonts w:ascii="Times New Roman" w:hAnsi="Times New Roman" w:cs="Times New Roman"/>
          <w:color w:val="auto"/>
          <w:sz w:val="24"/>
          <w:szCs w:val="24"/>
        </w:rPr>
        <w:t>.</w:t>
      </w:r>
    </w:p>
    <w:p w14:paraId="0468A589" w14:textId="33E6D13D" w:rsidR="00EC32A0" w:rsidRPr="007B20B5" w:rsidRDefault="00E831CE"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Zgodnie z art. 243a pkt 6 dyrektywy VAT „państwo członkowskie pochodzenia” oznacza państwo członkowskie pochodzenia zdefiniowane w art. 4 pkt 1 dyrektywy PSD2. </w:t>
      </w:r>
      <w:r w:rsidR="00EC32A0" w:rsidRPr="007B20B5">
        <w:rPr>
          <w:rFonts w:ascii="Times New Roman" w:hAnsi="Times New Roman" w:cs="Times New Roman"/>
          <w:color w:val="auto"/>
          <w:sz w:val="24"/>
          <w:szCs w:val="24"/>
        </w:rPr>
        <w:t>Ustawa o </w:t>
      </w:r>
      <w:r w:rsidRPr="007B20B5">
        <w:rPr>
          <w:rFonts w:ascii="Times New Roman" w:hAnsi="Times New Roman" w:cs="Times New Roman"/>
          <w:color w:val="auto"/>
          <w:sz w:val="24"/>
          <w:szCs w:val="24"/>
        </w:rPr>
        <w:t>usługach płatniczych w art. 2 pkt 17</w:t>
      </w:r>
      <w:r w:rsidR="002F7731">
        <w:rPr>
          <w:rFonts w:ascii="Times New Roman" w:hAnsi="Times New Roman" w:cs="Times New Roman"/>
          <w:color w:val="auto"/>
          <w:sz w:val="24"/>
          <w:szCs w:val="24"/>
        </w:rPr>
        <w:t>,</w:t>
      </w:r>
      <w:r w:rsidR="002F7731" w:rsidRPr="002F7731">
        <w:rPr>
          <w:rFonts w:ascii="Times New Roman" w:hAnsi="Times New Roman" w:cs="Times New Roman"/>
          <w:color w:val="auto"/>
          <w:sz w:val="24"/>
          <w:szCs w:val="24"/>
        </w:rPr>
        <w:t xml:space="preserve"> </w:t>
      </w:r>
      <w:r w:rsidR="002F7731">
        <w:rPr>
          <w:rFonts w:ascii="Times New Roman" w:hAnsi="Times New Roman" w:cs="Times New Roman"/>
          <w:color w:val="auto"/>
          <w:sz w:val="24"/>
          <w:szCs w:val="24"/>
        </w:rPr>
        <w:t>transponującym ww. przepis dyrektywy PSD2,</w:t>
      </w:r>
      <w:r w:rsidRPr="007B20B5">
        <w:rPr>
          <w:rFonts w:ascii="Times New Roman" w:hAnsi="Times New Roman" w:cs="Times New Roman"/>
          <w:color w:val="auto"/>
          <w:sz w:val="24"/>
          <w:szCs w:val="24"/>
        </w:rPr>
        <w:t xml:space="preserve"> posługuje się pojęciem „macierzyste państwo członkowskie”.</w:t>
      </w:r>
    </w:p>
    <w:p w14:paraId="37533644" w14:textId="77777777" w:rsidR="00682F26" w:rsidRPr="007B20B5" w:rsidRDefault="00EC32A0" w:rsidP="00E831CE">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Zatem państwo członkowskie pochodzenia, o którym mowa w art. 4 pkt 1 dyrektywy PSD2 </w:t>
      </w:r>
      <w:r w:rsidR="00114674" w:rsidRPr="007B20B5">
        <w:rPr>
          <w:rFonts w:ascii="Times New Roman" w:hAnsi="Times New Roman" w:cs="Times New Roman"/>
          <w:color w:val="auto"/>
          <w:sz w:val="24"/>
          <w:szCs w:val="24"/>
        </w:rPr>
        <w:t xml:space="preserve">to </w:t>
      </w:r>
      <w:r w:rsidRPr="007B20B5">
        <w:rPr>
          <w:rFonts w:ascii="Times New Roman" w:hAnsi="Times New Roman" w:cs="Times New Roman"/>
          <w:color w:val="auto"/>
          <w:sz w:val="24"/>
          <w:szCs w:val="24"/>
        </w:rPr>
        <w:t>odpowiednio macierzyste państwo członk</w:t>
      </w:r>
      <w:r w:rsidR="00114674" w:rsidRPr="007B20B5">
        <w:rPr>
          <w:rFonts w:ascii="Times New Roman" w:hAnsi="Times New Roman" w:cs="Times New Roman"/>
          <w:color w:val="auto"/>
          <w:sz w:val="24"/>
          <w:szCs w:val="24"/>
        </w:rPr>
        <w:t xml:space="preserve">owskie z art. 2 pkt 17 ustawy o </w:t>
      </w:r>
      <w:r w:rsidRPr="007B20B5">
        <w:rPr>
          <w:rFonts w:ascii="Times New Roman" w:hAnsi="Times New Roman" w:cs="Times New Roman"/>
          <w:color w:val="auto"/>
          <w:sz w:val="24"/>
          <w:szCs w:val="24"/>
        </w:rPr>
        <w:t>usługach płatniczych, czyli państwo członkowskie, na terenie którego dostawca lub wydawca pieniądza elektronicznego ma swoją siedzibę albo, jeżeli podmiot ten</w:t>
      </w:r>
      <w:r w:rsidR="00905F95" w:rsidRPr="007B20B5">
        <w:rPr>
          <w:rFonts w:ascii="Times New Roman" w:hAnsi="Times New Roman" w:cs="Times New Roman"/>
          <w:color w:val="auto"/>
          <w:sz w:val="24"/>
          <w:szCs w:val="24"/>
        </w:rPr>
        <w:t xml:space="preserve"> nie posiada siedziby zgodnie z </w:t>
      </w:r>
      <w:r w:rsidRPr="007B20B5">
        <w:rPr>
          <w:rFonts w:ascii="Times New Roman" w:hAnsi="Times New Roman" w:cs="Times New Roman"/>
          <w:color w:val="auto"/>
          <w:sz w:val="24"/>
          <w:szCs w:val="24"/>
        </w:rPr>
        <w:t>właściwym dla niego prawem państwa członkow</w:t>
      </w:r>
      <w:r w:rsidR="00114674" w:rsidRPr="007B20B5">
        <w:rPr>
          <w:rFonts w:ascii="Times New Roman" w:hAnsi="Times New Roman" w:cs="Times New Roman"/>
          <w:color w:val="auto"/>
          <w:sz w:val="24"/>
          <w:szCs w:val="24"/>
        </w:rPr>
        <w:t xml:space="preserve">skiego, państwo członkowskie, w </w:t>
      </w:r>
      <w:r w:rsidRPr="007B20B5">
        <w:rPr>
          <w:rFonts w:ascii="Times New Roman" w:hAnsi="Times New Roman" w:cs="Times New Roman"/>
          <w:color w:val="auto"/>
          <w:sz w:val="24"/>
          <w:szCs w:val="24"/>
        </w:rPr>
        <w:t>którym znajduje się jego główne miejsce wykonywania działalności.</w:t>
      </w:r>
    </w:p>
    <w:p w14:paraId="1514ED17" w14:textId="04D630C2" w:rsidR="006835D3" w:rsidRPr="007B20B5" w:rsidRDefault="007317A9" w:rsidP="00E831CE">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Definicja ta będzie miała zastosowanie wyłącznie do d</w:t>
      </w:r>
      <w:r w:rsidR="002F7731">
        <w:rPr>
          <w:rFonts w:ascii="Times New Roman" w:hAnsi="Times New Roman" w:cs="Times New Roman"/>
          <w:color w:val="auto"/>
          <w:sz w:val="24"/>
          <w:szCs w:val="24"/>
        </w:rPr>
        <w:t>ziału XI, aby uniknąć pomyłek z </w:t>
      </w:r>
      <w:r w:rsidRPr="007B20B5">
        <w:rPr>
          <w:rFonts w:ascii="Times New Roman" w:hAnsi="Times New Roman" w:cs="Times New Roman"/>
          <w:color w:val="auto"/>
          <w:sz w:val="24"/>
          <w:szCs w:val="24"/>
        </w:rPr>
        <w:t>państwem członkowskim siedziby do celów VAT;</w:t>
      </w:r>
    </w:p>
    <w:p w14:paraId="671B70B5" w14:textId="77777777" w:rsidR="00682F26" w:rsidRPr="007B20B5" w:rsidRDefault="00EC32A0"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b/>
          <w:color w:val="auto"/>
          <w:sz w:val="24"/>
          <w:szCs w:val="24"/>
        </w:rPr>
        <w:t xml:space="preserve">pkt 7 </w:t>
      </w:r>
      <w:r w:rsidR="00FD0ECD" w:rsidRPr="007B20B5">
        <w:rPr>
          <w:rFonts w:ascii="Times New Roman" w:hAnsi="Times New Roman" w:cs="Times New Roman"/>
          <w:color w:val="auto"/>
          <w:sz w:val="24"/>
          <w:szCs w:val="24"/>
        </w:rPr>
        <w:t>zawiera definicję przyjmującego państwa członkowskiego.</w:t>
      </w:r>
    </w:p>
    <w:p w14:paraId="43AE15BC" w14:textId="032D86BB" w:rsidR="00EC32A0" w:rsidRPr="007B20B5" w:rsidRDefault="00EC32A0"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Zgodnie z art. 243a pkt 7 dyrektywy VAT „przyjmujące państwo członkowskie” oznacza przyjmujące państwo członkowskie zdefiniowane w art. 4</w:t>
      </w:r>
      <w:r w:rsidR="002F7731">
        <w:rPr>
          <w:rFonts w:ascii="Times New Roman" w:hAnsi="Times New Roman" w:cs="Times New Roman"/>
          <w:color w:val="auto"/>
          <w:sz w:val="24"/>
          <w:szCs w:val="24"/>
        </w:rPr>
        <w:t xml:space="preserve"> pkt 1 dyrektywy PSD2. Ustawa o </w:t>
      </w:r>
      <w:r w:rsidRPr="007B20B5">
        <w:rPr>
          <w:rFonts w:ascii="Times New Roman" w:hAnsi="Times New Roman" w:cs="Times New Roman"/>
          <w:color w:val="auto"/>
          <w:sz w:val="24"/>
          <w:szCs w:val="24"/>
        </w:rPr>
        <w:t xml:space="preserve">usługach płatniczych </w:t>
      </w:r>
      <w:r w:rsidR="007317A9" w:rsidRPr="007B20B5">
        <w:rPr>
          <w:rFonts w:ascii="Times New Roman" w:hAnsi="Times New Roman" w:cs="Times New Roman"/>
          <w:color w:val="auto"/>
          <w:sz w:val="24"/>
          <w:szCs w:val="24"/>
        </w:rPr>
        <w:t xml:space="preserve">w art. 2 pkt 6 </w:t>
      </w:r>
      <w:r w:rsidR="002F7731">
        <w:rPr>
          <w:rFonts w:ascii="Times New Roman" w:hAnsi="Times New Roman" w:cs="Times New Roman"/>
          <w:color w:val="auto"/>
          <w:sz w:val="24"/>
          <w:szCs w:val="24"/>
        </w:rPr>
        <w:t xml:space="preserve">transponującym ww. przepis dyrektywy PSD2 </w:t>
      </w:r>
      <w:r w:rsidRPr="007B20B5">
        <w:rPr>
          <w:rFonts w:ascii="Times New Roman" w:hAnsi="Times New Roman" w:cs="Times New Roman"/>
          <w:color w:val="auto"/>
          <w:sz w:val="24"/>
          <w:szCs w:val="24"/>
        </w:rPr>
        <w:t xml:space="preserve">w to </w:t>
      </w:r>
      <w:r w:rsidRPr="007B20B5">
        <w:rPr>
          <w:rFonts w:ascii="Times New Roman" w:hAnsi="Times New Roman" w:cs="Times New Roman"/>
          <w:color w:val="auto"/>
          <w:sz w:val="24"/>
          <w:szCs w:val="24"/>
        </w:rPr>
        <w:lastRenderedPageBreak/>
        <w:t>miejsce posługuje się pojęciem „goszczące państwo członkowskie”</w:t>
      </w:r>
      <w:r w:rsidR="00905F95" w:rsidRPr="007B20B5">
        <w:rPr>
          <w:rFonts w:ascii="Times New Roman" w:hAnsi="Times New Roman" w:cs="Times New Roman"/>
          <w:color w:val="auto"/>
          <w:sz w:val="24"/>
          <w:szCs w:val="24"/>
        </w:rPr>
        <w:t>.</w:t>
      </w:r>
    </w:p>
    <w:p w14:paraId="7ED370BA" w14:textId="2C3CA229" w:rsidR="00EC32A0" w:rsidRPr="007B20B5" w:rsidRDefault="00905F95" w:rsidP="00EC32A0">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Zgodnie z art. 2 pkt 6 ustawy o usługach płatniczych p</w:t>
      </w:r>
      <w:r w:rsidR="00EC32A0" w:rsidRPr="007B20B5">
        <w:rPr>
          <w:rFonts w:ascii="Times New Roman" w:hAnsi="Times New Roman" w:cs="Times New Roman"/>
          <w:color w:val="auto"/>
          <w:sz w:val="24"/>
          <w:szCs w:val="24"/>
        </w:rPr>
        <w:t>rzez goszczące państwo członkowskie rozumie się państwo członkowskie inne niż macierzyste państwo członkowskie, w którym dostawca świadczy usługi płatnicze, w tym za pośrednictwem agenta prowadzącego działalność w tym państwie lub przez znajdujący się w tym państwie oddział, lub wydawca pieniądza elektronicznego wydaje pieniądz elektroniczny, w tym przez znajdujący się w tym państwie oddział</w:t>
      </w:r>
      <w:r w:rsidR="007317A9" w:rsidRPr="007B20B5">
        <w:rPr>
          <w:rFonts w:ascii="Times New Roman" w:hAnsi="Times New Roman" w:cs="Times New Roman"/>
          <w:color w:val="auto"/>
          <w:sz w:val="24"/>
          <w:szCs w:val="24"/>
        </w:rPr>
        <w:t>;</w:t>
      </w:r>
    </w:p>
    <w:p w14:paraId="5784579F" w14:textId="77777777" w:rsidR="00682F26" w:rsidRPr="007B20B5" w:rsidRDefault="00905F95"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b/>
          <w:color w:val="auto"/>
          <w:sz w:val="24"/>
          <w:szCs w:val="24"/>
        </w:rPr>
        <w:t xml:space="preserve">pkt 8 </w:t>
      </w:r>
      <w:r w:rsidR="00FD0ECD" w:rsidRPr="007B20B5">
        <w:rPr>
          <w:rFonts w:ascii="Times New Roman" w:hAnsi="Times New Roman" w:cs="Times New Roman"/>
          <w:color w:val="auto"/>
          <w:sz w:val="24"/>
          <w:szCs w:val="24"/>
        </w:rPr>
        <w:t>zawiera definicję rachunku płatniczego.</w:t>
      </w:r>
    </w:p>
    <w:p w14:paraId="612F87DE" w14:textId="058150CC" w:rsidR="007317A9" w:rsidRPr="007B20B5" w:rsidRDefault="00061F4F"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Zgodnie z art. 243a pkt 8 dyrektywy VAT „rachunek płatniczy” oznacza rachunek płatniczy zdefiniowa</w:t>
      </w:r>
      <w:r w:rsidR="002F7731">
        <w:rPr>
          <w:rFonts w:ascii="Times New Roman" w:hAnsi="Times New Roman" w:cs="Times New Roman"/>
          <w:color w:val="auto"/>
          <w:sz w:val="24"/>
          <w:szCs w:val="24"/>
        </w:rPr>
        <w:t>ny w art. 4 pkt 12 dyrektywy PSD2</w:t>
      </w:r>
      <w:r w:rsidRPr="007B20B5">
        <w:rPr>
          <w:rFonts w:ascii="Times New Roman" w:hAnsi="Times New Roman" w:cs="Times New Roman"/>
          <w:color w:val="auto"/>
          <w:sz w:val="24"/>
          <w:szCs w:val="24"/>
        </w:rPr>
        <w:t>. Przepis ten został zaimplementowany w ustawie o usługa</w:t>
      </w:r>
      <w:r w:rsidR="007317A9" w:rsidRPr="007B20B5">
        <w:rPr>
          <w:rFonts w:ascii="Times New Roman" w:hAnsi="Times New Roman" w:cs="Times New Roman"/>
          <w:color w:val="auto"/>
          <w:sz w:val="24"/>
          <w:szCs w:val="24"/>
        </w:rPr>
        <w:t>ch płatniczych w art. 2 pkt 25.</w:t>
      </w:r>
    </w:p>
    <w:p w14:paraId="109E8C19" w14:textId="777C2776" w:rsidR="00061F4F" w:rsidRPr="007B20B5" w:rsidRDefault="00061F4F" w:rsidP="007317A9">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Zgodnie ze wskazanym przepisem rachunek płatniczy to rachunek prowadzony dla jednego lub większej liczby użytkowników służący do wykonywania transakcji płatniczych, przy czym przez rachunek płatniczy rozumie się także rachunek bankowy oraz rachunek członka spółdzielczej kasy oszczędnościowo-kredytowej, jeżeli rachunki te służą do wykonywania transakcji płatniczych.</w:t>
      </w:r>
    </w:p>
    <w:p w14:paraId="04E3377F" w14:textId="77777777" w:rsidR="00682F26" w:rsidRPr="007B20B5" w:rsidRDefault="00CA5952"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b/>
          <w:color w:val="auto"/>
          <w:sz w:val="24"/>
          <w:szCs w:val="24"/>
        </w:rPr>
        <w:t xml:space="preserve">pkt 9 </w:t>
      </w:r>
      <w:r w:rsidR="00FD0ECD" w:rsidRPr="007B20B5">
        <w:rPr>
          <w:rFonts w:ascii="Times New Roman" w:hAnsi="Times New Roman" w:cs="Times New Roman"/>
          <w:color w:val="auto"/>
          <w:sz w:val="24"/>
          <w:szCs w:val="24"/>
        </w:rPr>
        <w:t xml:space="preserve">wprowadza definicję </w:t>
      </w:r>
      <w:r w:rsidR="007317A9" w:rsidRPr="007B20B5">
        <w:rPr>
          <w:rFonts w:ascii="Times New Roman" w:hAnsi="Times New Roman" w:cs="Times New Roman"/>
          <w:color w:val="auto"/>
          <w:sz w:val="24"/>
          <w:szCs w:val="24"/>
        </w:rPr>
        <w:t>IBAN</w:t>
      </w:r>
      <w:r w:rsidR="00682F26" w:rsidRPr="007B20B5">
        <w:rPr>
          <w:rFonts w:ascii="Times New Roman" w:hAnsi="Times New Roman" w:cs="Times New Roman"/>
          <w:color w:val="auto"/>
          <w:sz w:val="24"/>
          <w:szCs w:val="24"/>
        </w:rPr>
        <w:t>.</w:t>
      </w:r>
    </w:p>
    <w:p w14:paraId="73C93801" w14:textId="1BD4C081" w:rsidR="00CA5952" w:rsidRPr="007B20B5" w:rsidRDefault="003A58EA" w:rsidP="00682F26">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w:t>
      </w:r>
      <w:r w:rsidR="00CA5952" w:rsidRPr="007B20B5">
        <w:rPr>
          <w:rFonts w:ascii="Times New Roman" w:hAnsi="Times New Roman" w:cs="Times New Roman"/>
          <w:color w:val="auto"/>
          <w:sz w:val="24"/>
          <w:szCs w:val="24"/>
        </w:rPr>
        <w:t>IBAN</w:t>
      </w:r>
      <w:r w:rsidRPr="007B20B5">
        <w:rPr>
          <w:rFonts w:ascii="Times New Roman" w:hAnsi="Times New Roman" w:cs="Times New Roman"/>
          <w:color w:val="auto"/>
          <w:sz w:val="24"/>
          <w:szCs w:val="24"/>
        </w:rPr>
        <w:t>”</w:t>
      </w:r>
      <w:r w:rsidR="00CA5952" w:rsidRPr="007B20B5">
        <w:rPr>
          <w:rFonts w:ascii="Times New Roman" w:hAnsi="Times New Roman" w:cs="Times New Roman"/>
          <w:color w:val="auto"/>
          <w:sz w:val="24"/>
          <w:szCs w:val="24"/>
        </w:rPr>
        <w:t xml:space="preserve"> oznacza</w:t>
      </w:r>
      <w:r w:rsidR="00FD0ECD" w:rsidRPr="007B20B5">
        <w:rPr>
          <w:rFonts w:ascii="Times New Roman" w:hAnsi="Times New Roman" w:cs="Times New Roman"/>
          <w:color w:val="auto"/>
          <w:sz w:val="24"/>
          <w:szCs w:val="24"/>
        </w:rPr>
        <w:t>,</w:t>
      </w:r>
      <w:r w:rsidR="00CA5952" w:rsidRPr="007B20B5">
        <w:rPr>
          <w:rFonts w:ascii="Times New Roman" w:hAnsi="Times New Roman" w:cs="Times New Roman"/>
          <w:color w:val="auto"/>
          <w:sz w:val="24"/>
          <w:szCs w:val="24"/>
        </w:rPr>
        <w:t xml:space="preserve"> zdefiniowany w art. 2 pkt 15 rozporządzenia 260/2012</w:t>
      </w:r>
      <w:r w:rsidR="00FD0ECD" w:rsidRPr="007B20B5">
        <w:rPr>
          <w:rFonts w:ascii="Times New Roman" w:hAnsi="Times New Roman" w:cs="Times New Roman"/>
          <w:color w:val="auto"/>
          <w:sz w:val="24"/>
          <w:szCs w:val="24"/>
        </w:rPr>
        <w:t xml:space="preserve">, </w:t>
      </w:r>
      <w:r w:rsidR="00CA5952" w:rsidRPr="007B20B5">
        <w:rPr>
          <w:rFonts w:ascii="Times New Roman" w:hAnsi="Times New Roman" w:cs="Times New Roman"/>
          <w:color w:val="auto"/>
          <w:sz w:val="24"/>
          <w:szCs w:val="24"/>
        </w:rPr>
        <w:t>międzynarodowy numer identyfikacyjny rachunku płatniczego, który jednoznacznie wskazuje indywidualny rachunek płatniczy w państwie członkowskim i którego elementy są określone w normie Międzynarodowej Organizacji Normalizacyjnej (ISO);</w:t>
      </w:r>
    </w:p>
    <w:p w14:paraId="69C658DD" w14:textId="77777777" w:rsidR="002873B8" w:rsidRPr="007B20B5" w:rsidRDefault="00CA5952" w:rsidP="00B50976">
      <w:pPr>
        <w:pStyle w:val="p"/>
        <w:numPr>
          <w:ilvl w:val="0"/>
          <w:numId w:val="39"/>
        </w:numPr>
        <w:spacing w:before="240" w:line="340" w:lineRule="atLeast"/>
        <w:rPr>
          <w:rFonts w:ascii="Times New Roman" w:hAnsi="Times New Roman" w:cs="Times New Roman"/>
          <w:color w:val="auto"/>
          <w:sz w:val="24"/>
          <w:szCs w:val="24"/>
        </w:rPr>
      </w:pPr>
      <w:r w:rsidRPr="007B20B5">
        <w:rPr>
          <w:rFonts w:ascii="Times New Roman" w:hAnsi="Times New Roman" w:cs="Times New Roman"/>
          <w:b/>
          <w:color w:val="auto"/>
          <w:sz w:val="24"/>
          <w:szCs w:val="24"/>
        </w:rPr>
        <w:t xml:space="preserve">pkt 10 </w:t>
      </w:r>
      <w:r w:rsidR="00FD0ECD" w:rsidRPr="007B20B5">
        <w:rPr>
          <w:rFonts w:ascii="Times New Roman" w:hAnsi="Times New Roman" w:cs="Times New Roman"/>
          <w:color w:val="auto"/>
          <w:sz w:val="24"/>
          <w:szCs w:val="24"/>
        </w:rPr>
        <w:t xml:space="preserve">wprowadza definicję </w:t>
      </w:r>
      <w:r w:rsidR="00682F26" w:rsidRPr="007B20B5">
        <w:rPr>
          <w:rFonts w:ascii="Times New Roman" w:hAnsi="Times New Roman" w:cs="Times New Roman"/>
          <w:color w:val="auto"/>
          <w:sz w:val="24"/>
          <w:szCs w:val="24"/>
        </w:rPr>
        <w:t>BIC</w:t>
      </w:r>
      <w:r w:rsidR="002873B8" w:rsidRPr="007B20B5">
        <w:rPr>
          <w:rFonts w:ascii="Times New Roman" w:hAnsi="Times New Roman" w:cs="Times New Roman"/>
          <w:color w:val="auto"/>
          <w:sz w:val="24"/>
          <w:szCs w:val="24"/>
        </w:rPr>
        <w:t>.</w:t>
      </w:r>
    </w:p>
    <w:p w14:paraId="2D4A82E1" w14:textId="794C045A" w:rsidR="00CA5952" w:rsidRPr="007B20B5" w:rsidRDefault="00682F26" w:rsidP="002873B8">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w:t>
      </w:r>
      <w:r w:rsidR="00FD0ECD" w:rsidRPr="007B20B5">
        <w:rPr>
          <w:rFonts w:ascii="Times New Roman" w:hAnsi="Times New Roman" w:cs="Times New Roman"/>
          <w:color w:val="auto"/>
          <w:sz w:val="24"/>
          <w:szCs w:val="24"/>
        </w:rPr>
        <w:t>BIC</w:t>
      </w:r>
      <w:r w:rsidRPr="007B20B5">
        <w:rPr>
          <w:rFonts w:ascii="Times New Roman" w:hAnsi="Times New Roman" w:cs="Times New Roman"/>
          <w:color w:val="auto"/>
          <w:sz w:val="24"/>
          <w:szCs w:val="24"/>
        </w:rPr>
        <w:t>”</w:t>
      </w:r>
      <w:r w:rsidR="00FD0ECD" w:rsidRPr="007B20B5">
        <w:rPr>
          <w:rFonts w:ascii="Times New Roman" w:hAnsi="Times New Roman" w:cs="Times New Roman"/>
          <w:color w:val="auto"/>
          <w:sz w:val="24"/>
          <w:szCs w:val="24"/>
        </w:rPr>
        <w:t xml:space="preserve"> oznacza, </w:t>
      </w:r>
      <w:r w:rsidR="00CA5952" w:rsidRPr="007B20B5">
        <w:rPr>
          <w:rFonts w:ascii="Times New Roman" w:hAnsi="Times New Roman" w:cs="Times New Roman"/>
          <w:color w:val="auto"/>
          <w:sz w:val="24"/>
          <w:szCs w:val="24"/>
        </w:rPr>
        <w:t xml:space="preserve">zdefiniowany w art. 2 pkt 16 rozporządzenia </w:t>
      </w:r>
      <w:r w:rsidR="00FD0ECD" w:rsidRPr="007B20B5">
        <w:rPr>
          <w:rFonts w:ascii="Times New Roman" w:hAnsi="Times New Roman" w:cs="Times New Roman"/>
          <w:color w:val="auto"/>
          <w:sz w:val="24"/>
          <w:szCs w:val="24"/>
        </w:rPr>
        <w:t>260/2012,</w:t>
      </w:r>
      <w:r w:rsidR="00CA5952" w:rsidRPr="007B20B5">
        <w:rPr>
          <w:rFonts w:ascii="Times New Roman" w:hAnsi="Times New Roman" w:cs="Times New Roman"/>
          <w:color w:val="auto"/>
          <w:sz w:val="24"/>
          <w:szCs w:val="24"/>
        </w:rPr>
        <w:t xml:space="preserve"> kod identyfikacyjny instytucji, który jednoznacznie wskazuje dostawcę usług płatniczych i którego elementy są określone w normie ISO;</w:t>
      </w:r>
    </w:p>
    <w:p w14:paraId="63A770E2" w14:textId="7CD3305D" w:rsidR="00CA5952" w:rsidRPr="007B20B5" w:rsidRDefault="004A2683" w:rsidP="00061F4F">
      <w:pPr>
        <w:pStyle w:val="p"/>
        <w:spacing w:before="240" w:line="340" w:lineRule="atLeast"/>
        <w:rPr>
          <w:rFonts w:ascii="Times New Roman" w:hAnsi="Times New Roman" w:cs="Times New Roman"/>
          <w:b/>
          <w:color w:val="auto"/>
          <w:sz w:val="24"/>
          <w:szCs w:val="24"/>
        </w:rPr>
      </w:pPr>
      <w:r w:rsidRPr="007B20B5">
        <w:rPr>
          <w:rFonts w:ascii="Times New Roman" w:hAnsi="Times New Roman" w:cs="Times New Roman"/>
          <w:b/>
          <w:color w:val="auto"/>
          <w:sz w:val="24"/>
          <w:szCs w:val="24"/>
        </w:rPr>
        <w:t>Art. 110b</w:t>
      </w:r>
      <w:r w:rsidR="00682F26" w:rsidRPr="007B20B5">
        <w:rPr>
          <w:rFonts w:ascii="Times New Roman" w:hAnsi="Times New Roman" w:cs="Times New Roman"/>
          <w:b/>
          <w:color w:val="auto"/>
          <w:sz w:val="24"/>
          <w:szCs w:val="24"/>
        </w:rPr>
        <w:t xml:space="preserve"> ustawy o VAT</w:t>
      </w:r>
    </w:p>
    <w:p w14:paraId="7DB7E7D2" w14:textId="7460133B" w:rsidR="00F328C6" w:rsidRDefault="00E74DBD" w:rsidP="008744FF">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Zgodnie z projektowanym </w:t>
      </w:r>
      <w:r w:rsidRPr="007B20B5">
        <w:rPr>
          <w:rFonts w:ascii="Times New Roman" w:hAnsi="Times New Roman" w:cs="Times New Roman"/>
          <w:b/>
          <w:color w:val="auto"/>
          <w:sz w:val="24"/>
          <w:szCs w:val="24"/>
        </w:rPr>
        <w:t>art. 110</w:t>
      </w:r>
      <w:r w:rsidR="00272DCE" w:rsidRPr="007B20B5">
        <w:rPr>
          <w:rFonts w:ascii="Times New Roman" w:hAnsi="Times New Roman" w:cs="Times New Roman"/>
          <w:b/>
          <w:color w:val="auto"/>
          <w:sz w:val="24"/>
          <w:szCs w:val="24"/>
        </w:rPr>
        <w:t>b ust. 1 ustawy o VAT</w:t>
      </w:r>
      <w:r w:rsidR="00272DCE"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dostawcy usług płatniczych</w:t>
      </w:r>
      <w:r w:rsidR="00272DCE"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są obowiązani</w:t>
      </w:r>
      <w:r w:rsidR="00272DCE" w:rsidRPr="007B20B5">
        <w:rPr>
          <w:rFonts w:ascii="Times New Roman" w:hAnsi="Times New Roman" w:cs="Times New Roman"/>
          <w:color w:val="auto"/>
          <w:sz w:val="24"/>
          <w:szCs w:val="24"/>
        </w:rPr>
        <w:t xml:space="preserve"> prowadzić</w:t>
      </w:r>
      <w:r w:rsidRPr="007B20B5">
        <w:rPr>
          <w:rFonts w:ascii="Times New Roman" w:hAnsi="Times New Roman" w:cs="Times New Roman"/>
          <w:color w:val="auto"/>
          <w:sz w:val="24"/>
          <w:szCs w:val="24"/>
        </w:rPr>
        <w:t>,</w:t>
      </w:r>
      <w:r w:rsidR="00272DCE" w:rsidRPr="007B20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za każdy kwartał, ewidencję od</w:t>
      </w:r>
      <w:r w:rsidR="002873B8" w:rsidRPr="007B20B5">
        <w:rPr>
          <w:rFonts w:ascii="Times New Roman" w:hAnsi="Times New Roman" w:cs="Times New Roman"/>
          <w:color w:val="auto"/>
          <w:sz w:val="24"/>
          <w:szCs w:val="24"/>
        </w:rPr>
        <w:t xml:space="preserve">biorców płatności i płatności </w:t>
      </w:r>
      <w:r w:rsidR="00E2582D">
        <w:rPr>
          <w:rFonts w:ascii="Times New Roman" w:hAnsi="Times New Roman" w:cs="Times New Roman"/>
          <w:color w:val="auto"/>
          <w:sz w:val="24"/>
          <w:szCs w:val="24"/>
        </w:rPr>
        <w:t xml:space="preserve">transgranicznych </w:t>
      </w:r>
      <w:r w:rsidR="002873B8" w:rsidRPr="007B20B5">
        <w:rPr>
          <w:rFonts w:ascii="Times New Roman" w:hAnsi="Times New Roman" w:cs="Times New Roman"/>
          <w:color w:val="auto"/>
          <w:sz w:val="24"/>
          <w:szCs w:val="24"/>
        </w:rPr>
        <w:t>w </w:t>
      </w:r>
      <w:r w:rsidRPr="007B20B5">
        <w:rPr>
          <w:rFonts w:ascii="Times New Roman" w:hAnsi="Times New Roman" w:cs="Times New Roman"/>
          <w:color w:val="auto"/>
          <w:sz w:val="24"/>
          <w:szCs w:val="24"/>
        </w:rPr>
        <w:t>odniesieniu do świadczonych usług płatniczych</w:t>
      </w:r>
      <w:r w:rsidR="00E2582D">
        <w:rPr>
          <w:rFonts w:ascii="Times New Roman" w:hAnsi="Times New Roman" w:cs="Times New Roman"/>
          <w:color w:val="auto"/>
          <w:sz w:val="24"/>
          <w:szCs w:val="24"/>
        </w:rPr>
        <w:t xml:space="preserve">, </w:t>
      </w:r>
      <w:r w:rsidR="00E2582D" w:rsidRPr="00E2582D">
        <w:rPr>
          <w:rFonts w:ascii="Times New Roman" w:hAnsi="Times New Roman" w:cs="Times New Roman"/>
          <w:color w:val="auto"/>
          <w:sz w:val="24"/>
          <w:szCs w:val="24"/>
        </w:rPr>
        <w:t>jeżeli w ciągu kwartału , dostawca usług płatniczych świadczy na rzecz tego samego odbiorcy płatności, usługi płatnicze odpowiadające ponad 25 płatnościom transgranicznym</w:t>
      </w:r>
      <w:r w:rsidRPr="007B20B5">
        <w:rPr>
          <w:rFonts w:ascii="Times New Roman" w:hAnsi="Times New Roman" w:cs="Times New Roman"/>
          <w:color w:val="auto"/>
          <w:sz w:val="24"/>
          <w:szCs w:val="24"/>
        </w:rPr>
        <w:t>.</w:t>
      </w:r>
    </w:p>
    <w:p w14:paraId="24CEA217" w14:textId="32590A70" w:rsidR="008744FF" w:rsidRPr="007B20B5" w:rsidRDefault="008744FF" w:rsidP="00183878">
      <w:pPr>
        <w:pStyle w:val="p"/>
        <w:spacing w:before="240" w:after="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Z powyższego wynika, że</w:t>
      </w:r>
      <w:r w:rsidRPr="008744FF">
        <w:rPr>
          <w:rFonts w:ascii="Times New Roman" w:hAnsi="Times New Roman" w:cs="Times New Roman"/>
          <w:color w:val="auto"/>
          <w:sz w:val="24"/>
          <w:szCs w:val="24"/>
        </w:rPr>
        <w:t xml:space="preserve"> dostawca usług płatniczych będzie musiał prowadzić ewidencję na temat danego odbiorcy płatności i płatności tylko wówczas, gdy łączna liczba płatności </w:t>
      </w:r>
      <w:r w:rsidRPr="008744FF">
        <w:rPr>
          <w:rFonts w:ascii="Times New Roman" w:hAnsi="Times New Roman" w:cs="Times New Roman"/>
          <w:color w:val="auto"/>
          <w:sz w:val="24"/>
          <w:szCs w:val="24"/>
        </w:rPr>
        <w:lastRenderedPageBreak/>
        <w:t>transgranicznych na rzecz tego samego odbiorcy płatności</w:t>
      </w:r>
      <w:r>
        <w:rPr>
          <w:rFonts w:ascii="Times New Roman" w:hAnsi="Times New Roman" w:cs="Times New Roman"/>
          <w:color w:val="auto"/>
          <w:sz w:val="24"/>
          <w:szCs w:val="24"/>
        </w:rPr>
        <w:t xml:space="preserve"> przekroczy próg 25 płatności w </w:t>
      </w:r>
      <w:r w:rsidRPr="008744FF">
        <w:rPr>
          <w:rFonts w:ascii="Times New Roman" w:hAnsi="Times New Roman" w:cs="Times New Roman"/>
          <w:color w:val="auto"/>
          <w:sz w:val="24"/>
          <w:szCs w:val="24"/>
        </w:rPr>
        <w:t>kwartale. Próg jest obliczany dla każdego dostawcy usług płatniczych świadczącego usługę płatniczą na rzecz odbiorcy. W takim przypadku, jeżeli próg zostanie przekroczony w obrębie dostawcy usług płatniczych, dostawca ten zgłosi transakcje. Próg powinien być liczony na podstawie każdej indywidulanej płatności otrzymanej przez odbiorcę płatności, a nie na podstawie partii płatności otrzymywanych okresowo. To właśnie informacje dotyczące indywidualnej płatności między pierwotnym płatnikiem a zamierzonym odbiorcą będą musiały zostać uwzględnione w rejestrach.</w:t>
      </w:r>
      <w:r>
        <w:rPr>
          <w:rFonts w:ascii="Times New Roman" w:hAnsi="Times New Roman" w:cs="Times New Roman"/>
          <w:color w:val="auto"/>
          <w:sz w:val="24"/>
          <w:szCs w:val="24"/>
        </w:rPr>
        <w:t xml:space="preserve"> </w:t>
      </w:r>
      <w:r w:rsidR="00E82905">
        <w:rPr>
          <w:rFonts w:ascii="Times New Roman" w:hAnsi="Times New Roman" w:cs="Times New Roman"/>
          <w:color w:val="auto"/>
          <w:sz w:val="24"/>
          <w:szCs w:val="24"/>
        </w:rPr>
        <w:t>Przepis ten</w:t>
      </w:r>
      <w:r w:rsidR="00162FB6">
        <w:rPr>
          <w:rFonts w:ascii="Times New Roman" w:hAnsi="Times New Roman" w:cs="Times New Roman"/>
          <w:color w:val="auto"/>
          <w:sz w:val="24"/>
          <w:szCs w:val="24"/>
        </w:rPr>
        <w:t xml:space="preserve"> stanowi implementację art. </w:t>
      </w:r>
      <w:r w:rsidRPr="008744FF">
        <w:rPr>
          <w:rFonts w:ascii="Times New Roman" w:hAnsi="Times New Roman" w:cs="Times New Roman"/>
          <w:color w:val="auto"/>
          <w:sz w:val="24"/>
          <w:szCs w:val="24"/>
        </w:rPr>
        <w:t xml:space="preserve">243b </w:t>
      </w:r>
      <w:r w:rsidR="00162FB6">
        <w:rPr>
          <w:rFonts w:ascii="Times New Roman" w:hAnsi="Times New Roman" w:cs="Times New Roman"/>
          <w:color w:val="auto"/>
          <w:sz w:val="24"/>
          <w:szCs w:val="24"/>
        </w:rPr>
        <w:t xml:space="preserve">ust. 1 akapit pierwszy i akapit drugi zdanie pierwsze </w:t>
      </w:r>
      <w:r w:rsidR="00E82905">
        <w:rPr>
          <w:rFonts w:ascii="Times New Roman" w:hAnsi="Times New Roman" w:cs="Times New Roman"/>
          <w:color w:val="auto"/>
          <w:sz w:val="24"/>
          <w:szCs w:val="24"/>
        </w:rPr>
        <w:t xml:space="preserve">oraz ust. 2 akapit pierwszy </w:t>
      </w:r>
      <w:r w:rsidRPr="008744FF">
        <w:rPr>
          <w:rFonts w:ascii="Times New Roman" w:hAnsi="Times New Roman" w:cs="Times New Roman"/>
          <w:color w:val="auto"/>
          <w:sz w:val="24"/>
          <w:szCs w:val="24"/>
        </w:rPr>
        <w:t>dyrektywy VAT.</w:t>
      </w:r>
    </w:p>
    <w:p w14:paraId="360BA08A" w14:textId="0FEB60D7" w:rsidR="002B0817" w:rsidRDefault="00F328C6" w:rsidP="00183878">
      <w:pPr>
        <w:pStyle w:val="Tekstpodstawowy"/>
        <w:spacing w:before="240" w:after="240" w:line="340" w:lineRule="atLeast"/>
        <w:jc w:val="both"/>
      </w:pPr>
      <w:r w:rsidRPr="007B20B5">
        <w:t xml:space="preserve">Dodawany </w:t>
      </w:r>
      <w:r w:rsidRPr="007B20B5">
        <w:rPr>
          <w:b/>
        </w:rPr>
        <w:t>art.</w:t>
      </w:r>
      <w:r w:rsidRPr="007B20B5">
        <w:t xml:space="preserve"> </w:t>
      </w:r>
      <w:r w:rsidRPr="007B20B5">
        <w:rPr>
          <w:b/>
        </w:rPr>
        <w:t>110b ust.</w:t>
      </w:r>
      <w:r w:rsidR="000D6901">
        <w:rPr>
          <w:b/>
        </w:rPr>
        <w:t xml:space="preserve"> 2</w:t>
      </w:r>
      <w:r w:rsidRPr="007B20B5">
        <w:rPr>
          <w:b/>
        </w:rPr>
        <w:t xml:space="preserve"> ustawy o VAT</w:t>
      </w:r>
      <w:r w:rsidR="00162FB6" w:rsidRPr="00162FB6">
        <w:t xml:space="preserve">, stanowiący implementację art. 243b ust. 1 </w:t>
      </w:r>
      <w:r w:rsidR="00162FB6">
        <w:t>akapit drugi</w:t>
      </w:r>
      <w:r w:rsidR="00162FB6" w:rsidRPr="00162FB6">
        <w:t xml:space="preserve"> zdanie drugie dyrektywy VAT,</w:t>
      </w:r>
      <w:r w:rsidRPr="007B20B5">
        <w:rPr>
          <w:b/>
        </w:rPr>
        <w:t xml:space="preserve"> </w:t>
      </w:r>
      <w:r w:rsidRPr="007B20B5">
        <w:t xml:space="preserve">doprecyzowuje, </w:t>
      </w:r>
      <w:r w:rsidR="007C0254" w:rsidRPr="007B20B5">
        <w:t xml:space="preserve">że płatność uznaje się za transgraniczną w przypadku, gdy </w:t>
      </w:r>
      <w:r w:rsidR="005F3D1E" w:rsidRPr="007B20B5">
        <w:t>płatnik znajduje się na terytorium jednego państwa członkowskiego, a odbiorca płatności znajduje się na terytorium innego państwa członkowskiego lub terytorium państwa trzeciego.</w:t>
      </w:r>
      <w:r w:rsidR="00E9196B" w:rsidRPr="007B20B5">
        <w:t xml:space="preserve"> </w:t>
      </w:r>
      <w:r w:rsidR="002F4532" w:rsidRPr="007B20B5">
        <w:t xml:space="preserve">Z płatnością transgraniczną </w:t>
      </w:r>
      <w:r w:rsidR="00E52299" w:rsidRPr="007B20B5">
        <w:t xml:space="preserve">będziemy mieć </w:t>
      </w:r>
      <w:r w:rsidR="002F4532" w:rsidRPr="007B20B5">
        <w:t>do czynienia wtedy</w:t>
      </w:r>
      <w:r w:rsidR="007D4F2F" w:rsidRPr="007B20B5">
        <w:t>,</w:t>
      </w:r>
      <w:r w:rsidR="002F4532" w:rsidRPr="007B20B5">
        <w:t xml:space="preserve"> </w:t>
      </w:r>
      <w:r w:rsidR="002B0817" w:rsidRPr="007B20B5">
        <w:t xml:space="preserve">gdy środki pieniężne będą przekazywane od płatnika zlokalizowanego </w:t>
      </w:r>
      <w:r w:rsidR="00183878">
        <w:t>w </w:t>
      </w:r>
      <w:r w:rsidR="002B0817" w:rsidRPr="007B20B5">
        <w:t>państwie członkowskim do odbiorcy zlokalizowanego w innym pańs</w:t>
      </w:r>
      <w:r w:rsidR="00AF0B4E">
        <w:t>twie członkowskim bądź poza UE.</w:t>
      </w:r>
      <w:r w:rsidR="00183878">
        <w:t xml:space="preserve"> </w:t>
      </w:r>
      <w:r w:rsidR="002873B8" w:rsidRPr="007B20B5">
        <w:t>Zatem</w:t>
      </w:r>
      <w:r w:rsidR="002B0817" w:rsidRPr="007B20B5">
        <w:t xml:space="preserve"> płatności krajowe nie będą objęte zakresem </w:t>
      </w:r>
      <w:r w:rsidR="007D4F2F" w:rsidRPr="007B20B5">
        <w:t xml:space="preserve">niniejszej </w:t>
      </w:r>
      <w:r w:rsidR="002B0817" w:rsidRPr="007B20B5">
        <w:t>regulacji.</w:t>
      </w:r>
    </w:p>
    <w:p w14:paraId="196DA1C1" w14:textId="2A32C8B7" w:rsidR="00151BB7" w:rsidRPr="007B20B5" w:rsidRDefault="00151BB7" w:rsidP="00183878">
      <w:pPr>
        <w:pStyle w:val="Tekstpodstawowy"/>
        <w:spacing w:before="240" w:after="240" w:line="340" w:lineRule="atLeast"/>
        <w:jc w:val="both"/>
      </w:pPr>
      <w:r>
        <w:t>W związku z tym, jeżeli zarówno płatnik, jak i odbiorca płatności znajdują się na terytorium tego samego państwa członkowskiego lub poza UE, nowe obowiązki nie mają zastosowania.</w:t>
      </w:r>
    </w:p>
    <w:p w14:paraId="019866E3" w14:textId="2EC0D240" w:rsidR="00E2582D" w:rsidRPr="00E2582D" w:rsidRDefault="00E9196B" w:rsidP="00E2582D">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Dla celów stosowania tego przepisu w </w:t>
      </w:r>
      <w:r w:rsidR="00EA44B5">
        <w:rPr>
          <w:rFonts w:ascii="Times New Roman" w:hAnsi="Times New Roman" w:cs="Times New Roman"/>
          <w:color w:val="auto"/>
          <w:sz w:val="24"/>
          <w:szCs w:val="24"/>
        </w:rPr>
        <w:t xml:space="preserve">projektowanym </w:t>
      </w:r>
      <w:r w:rsidRPr="00E2582D">
        <w:rPr>
          <w:rFonts w:ascii="Times New Roman" w:hAnsi="Times New Roman" w:cs="Times New Roman"/>
          <w:b/>
          <w:color w:val="auto"/>
          <w:sz w:val="24"/>
          <w:szCs w:val="24"/>
        </w:rPr>
        <w:t>art. 110</w:t>
      </w:r>
      <w:r w:rsidR="00E2582D" w:rsidRPr="00E2582D">
        <w:rPr>
          <w:rFonts w:ascii="Times New Roman" w:hAnsi="Times New Roman" w:cs="Times New Roman"/>
          <w:b/>
          <w:color w:val="auto"/>
          <w:sz w:val="24"/>
          <w:szCs w:val="24"/>
        </w:rPr>
        <w:t>b</w:t>
      </w:r>
      <w:r w:rsidRPr="00E2582D">
        <w:rPr>
          <w:rFonts w:ascii="Times New Roman" w:hAnsi="Times New Roman" w:cs="Times New Roman"/>
          <w:b/>
          <w:color w:val="auto"/>
          <w:sz w:val="24"/>
          <w:szCs w:val="24"/>
        </w:rPr>
        <w:t xml:space="preserve"> </w:t>
      </w:r>
      <w:r w:rsidR="00E2582D" w:rsidRPr="00E2582D">
        <w:rPr>
          <w:rFonts w:ascii="Times New Roman" w:hAnsi="Times New Roman" w:cs="Times New Roman"/>
          <w:b/>
          <w:color w:val="auto"/>
          <w:sz w:val="24"/>
          <w:szCs w:val="24"/>
        </w:rPr>
        <w:t xml:space="preserve">ust. 3 </w:t>
      </w:r>
      <w:r w:rsidR="00EA44B5" w:rsidRPr="00E2582D">
        <w:rPr>
          <w:rFonts w:ascii="Times New Roman" w:hAnsi="Times New Roman" w:cs="Times New Roman"/>
          <w:b/>
          <w:color w:val="auto"/>
          <w:sz w:val="24"/>
          <w:szCs w:val="24"/>
        </w:rPr>
        <w:t>ustawy o VAT</w:t>
      </w:r>
      <w:r w:rsidR="00EA44B5">
        <w:rPr>
          <w:rFonts w:ascii="Times New Roman" w:hAnsi="Times New Roman" w:cs="Times New Roman"/>
          <w:color w:val="auto"/>
          <w:sz w:val="24"/>
          <w:szCs w:val="24"/>
        </w:rPr>
        <w:t xml:space="preserve"> </w:t>
      </w:r>
      <w:r w:rsidRPr="007B20B5">
        <w:rPr>
          <w:rFonts w:ascii="Times New Roman" w:hAnsi="Times New Roman" w:cs="Times New Roman"/>
          <w:color w:val="auto"/>
          <w:sz w:val="24"/>
          <w:szCs w:val="24"/>
        </w:rPr>
        <w:t>określono</w:t>
      </w:r>
      <w:r w:rsidR="00E2582D">
        <w:rPr>
          <w:rFonts w:ascii="Times New Roman" w:hAnsi="Times New Roman" w:cs="Times New Roman"/>
          <w:color w:val="auto"/>
          <w:sz w:val="24"/>
          <w:szCs w:val="24"/>
        </w:rPr>
        <w:t xml:space="preserve"> </w:t>
      </w:r>
      <w:r w:rsidR="00E2582D" w:rsidRPr="00E2582D">
        <w:rPr>
          <w:rFonts w:ascii="Times New Roman" w:hAnsi="Times New Roman" w:cs="Times New Roman"/>
          <w:color w:val="auto"/>
          <w:sz w:val="24"/>
          <w:szCs w:val="24"/>
        </w:rPr>
        <w:t>kryteria ustalania czy płatność jest płatnością transgraniczną</w:t>
      </w:r>
      <w:r w:rsidRPr="007B20B5">
        <w:rPr>
          <w:rFonts w:ascii="Times New Roman" w:hAnsi="Times New Roman" w:cs="Times New Roman"/>
          <w:color w:val="auto"/>
          <w:sz w:val="24"/>
          <w:szCs w:val="24"/>
        </w:rPr>
        <w:t xml:space="preserve">, </w:t>
      </w:r>
      <w:r w:rsidR="00E2582D">
        <w:rPr>
          <w:rFonts w:ascii="Times New Roman" w:hAnsi="Times New Roman" w:cs="Times New Roman"/>
          <w:color w:val="auto"/>
          <w:sz w:val="24"/>
          <w:szCs w:val="24"/>
        </w:rPr>
        <w:t xml:space="preserve">czyli </w:t>
      </w:r>
      <w:r w:rsidRPr="007B20B5">
        <w:rPr>
          <w:rFonts w:ascii="Times New Roman" w:hAnsi="Times New Roman" w:cs="Times New Roman"/>
          <w:color w:val="auto"/>
          <w:sz w:val="24"/>
          <w:szCs w:val="24"/>
        </w:rPr>
        <w:t xml:space="preserve">kiedy uznaje się, że płatnik znajduje się na terytorium państwa członkowskiego, a odbiorca płatności znajduje się na terytorium państwa członkowskiego </w:t>
      </w:r>
      <w:r w:rsidR="00E2582D">
        <w:rPr>
          <w:rFonts w:ascii="Times New Roman" w:hAnsi="Times New Roman" w:cs="Times New Roman"/>
          <w:color w:val="auto"/>
          <w:sz w:val="24"/>
          <w:szCs w:val="24"/>
        </w:rPr>
        <w:t>albo</w:t>
      </w:r>
      <w:r w:rsidRPr="007B20B5">
        <w:rPr>
          <w:rFonts w:ascii="Times New Roman" w:hAnsi="Times New Roman" w:cs="Times New Roman"/>
          <w:color w:val="auto"/>
          <w:sz w:val="24"/>
          <w:szCs w:val="24"/>
        </w:rPr>
        <w:t xml:space="preserve"> na terytorium państwa trzeciego.</w:t>
      </w:r>
      <w:r w:rsidR="00E2582D">
        <w:rPr>
          <w:rFonts w:ascii="Times New Roman" w:hAnsi="Times New Roman" w:cs="Times New Roman"/>
          <w:color w:val="auto"/>
          <w:sz w:val="24"/>
          <w:szCs w:val="24"/>
        </w:rPr>
        <w:t xml:space="preserve"> </w:t>
      </w:r>
      <w:r w:rsidR="00E2582D" w:rsidRPr="00E2582D">
        <w:rPr>
          <w:rFonts w:ascii="Times New Roman" w:hAnsi="Times New Roman" w:cs="Times New Roman"/>
          <w:color w:val="auto"/>
          <w:sz w:val="24"/>
          <w:szCs w:val="24"/>
        </w:rPr>
        <w:t>Na ich podstawie dostawca usług płatniczych określa, czy podlega obowiązkowi ewidencyjnemu czy nie.</w:t>
      </w:r>
      <w:r w:rsidR="00162FB6">
        <w:rPr>
          <w:rFonts w:ascii="Times New Roman" w:hAnsi="Times New Roman" w:cs="Times New Roman"/>
          <w:color w:val="auto"/>
          <w:sz w:val="24"/>
          <w:szCs w:val="24"/>
        </w:rPr>
        <w:t xml:space="preserve"> Przepis ten stanowi implementację art. 243c</w:t>
      </w:r>
      <w:r w:rsidR="00162FB6" w:rsidRPr="008744FF">
        <w:rPr>
          <w:rFonts w:ascii="Times New Roman" w:hAnsi="Times New Roman" w:cs="Times New Roman"/>
          <w:color w:val="auto"/>
          <w:sz w:val="24"/>
          <w:szCs w:val="24"/>
        </w:rPr>
        <w:t xml:space="preserve"> dyrektywy VAT.</w:t>
      </w:r>
    </w:p>
    <w:p w14:paraId="4EAFB3A8" w14:textId="2FFBBDE4" w:rsidR="00E2582D" w:rsidRPr="00E2582D" w:rsidRDefault="00E2582D" w:rsidP="00E2582D">
      <w:pPr>
        <w:pStyle w:val="p"/>
        <w:spacing w:before="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Zgodnie z </w:t>
      </w:r>
      <w:r w:rsidRPr="00162FB6">
        <w:rPr>
          <w:rFonts w:ascii="Times New Roman" w:hAnsi="Times New Roman" w:cs="Times New Roman"/>
          <w:b/>
          <w:color w:val="auto"/>
          <w:sz w:val="24"/>
          <w:szCs w:val="24"/>
        </w:rPr>
        <w:t>art. 110b ust. 3 pkt 1 ustawy o VAT</w:t>
      </w:r>
      <w:r w:rsidRPr="00E2582D">
        <w:rPr>
          <w:rFonts w:ascii="Times New Roman" w:hAnsi="Times New Roman" w:cs="Times New Roman"/>
          <w:color w:val="auto"/>
          <w:sz w:val="24"/>
          <w:szCs w:val="24"/>
        </w:rPr>
        <w:t xml:space="preserve"> za lokalizację płatnika uważa się państwo członkowskie określone identyfikatorem rachunku płatniczego płatnika. W rozporządzeniu 260/2012 ustalono, że identyfikatorem indywidualnego rachunku płatniczego w państwie członkowskim jest IBAN – międzynarodowy numer rachunku bankowego. Jeżeli płatność jest realizowana za pośrednictwem usługi płatniczej nieobjętej tym rozporządzeniem (które ma zastosowanie wyłącznie do poleceń przelewu i poleceń zapłaty w euro), lokalizację płatnika można określić za pomocą innego identyfikatora rachunku płatniczego płatnika (np. e-</w:t>
      </w:r>
      <w:proofErr w:type="spellStart"/>
      <w:r w:rsidRPr="00E2582D">
        <w:rPr>
          <w:rFonts w:ascii="Times New Roman" w:hAnsi="Times New Roman" w:cs="Times New Roman"/>
          <w:color w:val="auto"/>
          <w:sz w:val="24"/>
          <w:szCs w:val="24"/>
        </w:rPr>
        <w:t>Wallet</w:t>
      </w:r>
      <w:proofErr w:type="spellEnd"/>
      <w:r w:rsidRPr="00E2582D">
        <w:rPr>
          <w:rFonts w:ascii="Times New Roman" w:hAnsi="Times New Roman" w:cs="Times New Roman"/>
          <w:color w:val="auto"/>
          <w:sz w:val="24"/>
          <w:szCs w:val="24"/>
        </w:rPr>
        <w:t xml:space="preserve"> nie wydaje nr IBAN lecz wydaje nr rachunków płatniczych – te podmioty muszą być w stanie skontaktować się z klientem bez względu na to czy jest on płatnikiem czy odbiorcą).</w:t>
      </w:r>
    </w:p>
    <w:p w14:paraId="458C1FC7" w14:textId="6C9DFD14" w:rsidR="00E2582D" w:rsidRPr="00E2582D"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 xml:space="preserve">Istnieją również transakcje płatnicze (przekazy pieniężne), w których środki są przekazywane odbiorcy bez tworzenia rachunku płatniczego przypisanego płatnikowi. W wypadku gdy środki pieniężne nie są przekazywane na żaden rachunek płatniczy, za lokalizację płatnika uważa się </w:t>
      </w:r>
      <w:r w:rsidRPr="00E2582D">
        <w:rPr>
          <w:rFonts w:ascii="Times New Roman" w:hAnsi="Times New Roman" w:cs="Times New Roman"/>
          <w:color w:val="auto"/>
          <w:sz w:val="24"/>
          <w:szCs w:val="24"/>
        </w:rPr>
        <w:lastRenderedPageBreak/>
        <w:t>państwo członkowskie, określone innym identyfikatorem, który jednoznacznie identyfikuje płatnika i podaje jego lokalizację. W przypadku braku takich iden</w:t>
      </w:r>
      <w:r w:rsidR="008744FF">
        <w:rPr>
          <w:rFonts w:ascii="Times New Roman" w:hAnsi="Times New Roman" w:cs="Times New Roman"/>
          <w:color w:val="auto"/>
          <w:sz w:val="24"/>
          <w:szCs w:val="24"/>
        </w:rPr>
        <w:t>tyfikatorów przyjmuje się, że </w:t>
      </w:r>
      <w:r w:rsidRPr="00E2582D">
        <w:rPr>
          <w:rFonts w:ascii="Times New Roman" w:hAnsi="Times New Roman" w:cs="Times New Roman"/>
          <w:color w:val="auto"/>
          <w:sz w:val="24"/>
          <w:szCs w:val="24"/>
        </w:rPr>
        <w:t>płatnik znajduje się w państwie członkowskim określonym identyfikatorem dostawcy usług płatniczych działającego w imieniu płatnika. Identyfikatorem dostawcy usług płatniczych płatnika jest BIC lub inny kod identyfikacyjny instytucji, który jednoznacznie go identyfikuje oraz podaje jego lokalizację (np. w przypadku transferu środków przez Western Union stosuje się kod identyfikacyjny instytucji, który jednoznacznie wskazuje dostawcę usług płatniczych i</w:t>
      </w:r>
      <w:r w:rsidR="008744FF">
        <w:rPr>
          <w:rFonts w:ascii="Times New Roman" w:hAnsi="Times New Roman" w:cs="Times New Roman"/>
          <w:color w:val="auto"/>
          <w:sz w:val="24"/>
          <w:szCs w:val="24"/>
        </w:rPr>
        <w:t> </w:t>
      </w:r>
      <w:r w:rsidRPr="00E2582D">
        <w:rPr>
          <w:rFonts w:ascii="Times New Roman" w:hAnsi="Times New Roman" w:cs="Times New Roman"/>
          <w:color w:val="auto"/>
          <w:sz w:val="24"/>
          <w:szCs w:val="24"/>
        </w:rPr>
        <w:t>którego elementy są określone w normie ISO (BIC) lub jakikolwiek inny kod identyfikujący dostawcę).</w:t>
      </w:r>
    </w:p>
    <w:p w14:paraId="2BAC023E" w14:textId="44E63431" w:rsidR="00E2582D" w:rsidRPr="00E2582D" w:rsidRDefault="008744FF" w:rsidP="00E2582D">
      <w:pPr>
        <w:pStyle w:val="p"/>
        <w:spacing w:before="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Zgodnie z </w:t>
      </w:r>
      <w:r w:rsidR="00162FB6">
        <w:rPr>
          <w:rFonts w:ascii="Times New Roman" w:hAnsi="Times New Roman" w:cs="Times New Roman"/>
          <w:b/>
          <w:color w:val="auto"/>
          <w:sz w:val="24"/>
          <w:szCs w:val="24"/>
        </w:rPr>
        <w:t>art. 110b ust. 3</w:t>
      </w:r>
      <w:r w:rsidR="00E2582D" w:rsidRPr="00162FB6">
        <w:rPr>
          <w:rFonts w:ascii="Times New Roman" w:hAnsi="Times New Roman" w:cs="Times New Roman"/>
          <w:b/>
          <w:color w:val="auto"/>
          <w:sz w:val="24"/>
          <w:szCs w:val="24"/>
        </w:rPr>
        <w:t xml:space="preserve"> pkt 2 ustawy o VAT</w:t>
      </w:r>
      <w:r w:rsidR="00E2582D" w:rsidRPr="00E2582D">
        <w:rPr>
          <w:rFonts w:ascii="Times New Roman" w:hAnsi="Times New Roman" w:cs="Times New Roman"/>
          <w:color w:val="auto"/>
          <w:sz w:val="24"/>
          <w:szCs w:val="24"/>
        </w:rPr>
        <w:t xml:space="preserve"> za lokalizację odbiorcy płatności uw</w:t>
      </w:r>
      <w:r>
        <w:rPr>
          <w:rFonts w:ascii="Times New Roman" w:hAnsi="Times New Roman" w:cs="Times New Roman"/>
          <w:color w:val="auto"/>
          <w:sz w:val="24"/>
          <w:szCs w:val="24"/>
        </w:rPr>
        <w:t>aża się państwo członkowskie albo</w:t>
      </w:r>
      <w:r w:rsidR="00E2582D" w:rsidRPr="00E2582D">
        <w:rPr>
          <w:rFonts w:ascii="Times New Roman" w:hAnsi="Times New Roman" w:cs="Times New Roman"/>
          <w:color w:val="auto"/>
          <w:sz w:val="24"/>
          <w:szCs w:val="24"/>
        </w:rPr>
        <w:t xml:space="preserve"> państwo trzecie określone identyfikatorem rachunku płatniczego (IBAN), na który przekazywane są środki pieniężne. W wypadku gdy środki pieniężne przekazywane są na rachunek płatniczy identyfikowany za pomocą innego identyfikatora niż IBAN, lub gdy nie są przekazywane na żaden rachunek płatniczy, za lokalizację odbiorcy uw</w:t>
      </w:r>
      <w:r>
        <w:rPr>
          <w:rFonts w:ascii="Times New Roman" w:hAnsi="Times New Roman" w:cs="Times New Roman"/>
          <w:color w:val="auto"/>
          <w:sz w:val="24"/>
          <w:szCs w:val="24"/>
        </w:rPr>
        <w:t>aża się państwo członkowskie albo</w:t>
      </w:r>
      <w:r w:rsidR="00E2582D" w:rsidRPr="00E2582D">
        <w:rPr>
          <w:rFonts w:ascii="Times New Roman" w:hAnsi="Times New Roman" w:cs="Times New Roman"/>
          <w:color w:val="auto"/>
          <w:sz w:val="24"/>
          <w:szCs w:val="24"/>
        </w:rPr>
        <w:t xml:space="preserve"> państwo trzecie określone innym identyfikatorem, który jednoznacznie identyfikuje odbiorcę płatności i podaj</w:t>
      </w:r>
      <w:r>
        <w:rPr>
          <w:rFonts w:ascii="Times New Roman" w:hAnsi="Times New Roman" w:cs="Times New Roman"/>
          <w:color w:val="auto"/>
          <w:sz w:val="24"/>
          <w:szCs w:val="24"/>
        </w:rPr>
        <w:t>e jego lokalizację. Natomiast w </w:t>
      </w:r>
      <w:r w:rsidR="00E2582D" w:rsidRPr="00E2582D">
        <w:rPr>
          <w:rFonts w:ascii="Times New Roman" w:hAnsi="Times New Roman" w:cs="Times New Roman"/>
          <w:color w:val="auto"/>
          <w:sz w:val="24"/>
          <w:szCs w:val="24"/>
        </w:rPr>
        <w:t>przypadku braku takich identyfikatorów lokalizację odbiorcy płatności ustala się w oparciu o identyfikator dostawcy usług płatniczych działającego w imieniu odbiorcy. Identyfikatorem dostawcy usług pła</w:t>
      </w:r>
      <w:r w:rsidR="007E2496">
        <w:rPr>
          <w:rFonts w:ascii="Times New Roman" w:hAnsi="Times New Roman" w:cs="Times New Roman"/>
          <w:color w:val="auto"/>
          <w:sz w:val="24"/>
          <w:szCs w:val="24"/>
        </w:rPr>
        <w:t>tniczych dostawcy jest BIC lub</w:t>
      </w:r>
      <w:r w:rsidR="00E2582D" w:rsidRPr="00E2582D">
        <w:rPr>
          <w:rFonts w:ascii="Times New Roman" w:hAnsi="Times New Roman" w:cs="Times New Roman"/>
          <w:color w:val="auto"/>
          <w:sz w:val="24"/>
          <w:szCs w:val="24"/>
        </w:rPr>
        <w:t xml:space="preserve"> inny kod identyfikacyjny instytucji, który jednoznacznie go identyfikuje oraz podaje jego lokalizację.</w:t>
      </w:r>
    </w:p>
    <w:p w14:paraId="00DEBC0D" w14:textId="35495114" w:rsidR="00E2582D" w:rsidRPr="00E2582D"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Należy zauważyć, że lokalizacja płatnika lub odbiorcy płatności jest określana na podstawie kodu BIC lub innego kodu identyfikacyjnego dostawcy jed</w:t>
      </w:r>
      <w:r w:rsidR="008744FF">
        <w:rPr>
          <w:rFonts w:ascii="Times New Roman" w:hAnsi="Times New Roman" w:cs="Times New Roman"/>
          <w:color w:val="auto"/>
          <w:sz w:val="24"/>
          <w:szCs w:val="24"/>
        </w:rPr>
        <w:t>ynie w przypadkach, gdy żaden z </w:t>
      </w:r>
      <w:r w:rsidRPr="00E2582D">
        <w:rPr>
          <w:rFonts w:ascii="Times New Roman" w:hAnsi="Times New Roman" w:cs="Times New Roman"/>
          <w:color w:val="auto"/>
          <w:sz w:val="24"/>
          <w:szCs w:val="24"/>
        </w:rPr>
        <w:t>identyfikatorów płatnika lub odbiorcy płatności nie ma zastosowania.</w:t>
      </w:r>
    </w:p>
    <w:p w14:paraId="7BE0E2AF" w14:textId="77777777" w:rsidR="00E2582D" w:rsidRPr="00E2582D"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Podczas przetwarzania płatności dostawcy usług płatniczych wymieniają różnego rodzaju elementy danych, które umożliwiają identyfikację płatnika, ale mogą się różnić w zależności od metody płatności.</w:t>
      </w:r>
    </w:p>
    <w:p w14:paraId="7D655AF8" w14:textId="77777777" w:rsidR="00E2582D" w:rsidRPr="00E2582D"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W przypadku poleceń przelewu i poleceń zapłaty, rozporządzenie 260/2012 oraz zbiory zasad dotyczących poleceń przelewu i poleceń zapłaty wymagają wymiany IBAN płatnika pomiędzy dostawcami usług płatniczych podczas przetwarzania transakcji płatniczej.</w:t>
      </w:r>
    </w:p>
    <w:p w14:paraId="345FCA2A" w14:textId="624BA725" w:rsidR="00E2582D" w:rsidRPr="00E2582D"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 xml:space="preserve">W przypadku płatności kartą płatniczą, informacje potrzebne do ustalenia lokalizacji płatnika są dostępne za pośrednictwem numeru karty, który musi zostać przekazany w celu zainicjowania płatności. Wykorzystując PAN i BIN karty, </w:t>
      </w:r>
      <w:r w:rsidR="008744FF">
        <w:rPr>
          <w:rFonts w:ascii="Times New Roman" w:hAnsi="Times New Roman" w:cs="Times New Roman"/>
          <w:color w:val="auto"/>
          <w:sz w:val="24"/>
          <w:szCs w:val="24"/>
        </w:rPr>
        <w:t>dostawcy usług płatniczych są w </w:t>
      </w:r>
      <w:r w:rsidRPr="00E2582D">
        <w:rPr>
          <w:rFonts w:ascii="Times New Roman" w:hAnsi="Times New Roman" w:cs="Times New Roman"/>
          <w:color w:val="auto"/>
          <w:sz w:val="24"/>
          <w:szCs w:val="24"/>
        </w:rPr>
        <w:t>stanie prześledzić wydawcę karty, a tym samym kraj pochodzenia płatności oraz tożsamość pierwotnego płatnika.</w:t>
      </w:r>
    </w:p>
    <w:p w14:paraId="59DB80A7" w14:textId="77777777" w:rsidR="00E2582D" w:rsidRPr="00E2582D"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 xml:space="preserve">Instytucje przekazu pieniężnego, takie jak Western Union, nie posiadają informacji o płatniku ani odbiorcy płatności, ponieważ ich model biznesowy opiera się na anonimowości obu tych </w:t>
      </w:r>
      <w:r w:rsidRPr="00E2582D">
        <w:rPr>
          <w:rFonts w:ascii="Times New Roman" w:hAnsi="Times New Roman" w:cs="Times New Roman"/>
          <w:color w:val="auto"/>
          <w:sz w:val="24"/>
          <w:szCs w:val="24"/>
        </w:rPr>
        <w:lastRenderedPageBreak/>
        <w:t>podmiotów. Niemniej jednak, są one świadome, który dostawca usług płatniczych jest tym, który uruchamia proces, a tym samym, skąd pochodzą środki.</w:t>
      </w:r>
    </w:p>
    <w:p w14:paraId="717B9B1D" w14:textId="29027777" w:rsidR="00E2582D" w:rsidRPr="007B20B5" w:rsidRDefault="00E2582D" w:rsidP="00E2582D">
      <w:pPr>
        <w:pStyle w:val="p"/>
        <w:spacing w:before="240" w:line="340" w:lineRule="atLeast"/>
        <w:rPr>
          <w:rFonts w:ascii="Times New Roman" w:hAnsi="Times New Roman" w:cs="Times New Roman"/>
          <w:color w:val="auto"/>
          <w:sz w:val="24"/>
          <w:szCs w:val="24"/>
        </w:rPr>
      </w:pPr>
      <w:r w:rsidRPr="00E2582D">
        <w:rPr>
          <w:rFonts w:ascii="Times New Roman" w:hAnsi="Times New Roman" w:cs="Times New Roman"/>
          <w:color w:val="auto"/>
          <w:sz w:val="24"/>
          <w:szCs w:val="24"/>
        </w:rPr>
        <w:t xml:space="preserve">Wreszcie, dostawcy pieniądza elektronicznego (jak </w:t>
      </w:r>
      <w:proofErr w:type="spellStart"/>
      <w:r w:rsidRPr="00E2582D">
        <w:rPr>
          <w:rFonts w:ascii="Times New Roman" w:hAnsi="Times New Roman" w:cs="Times New Roman"/>
          <w:color w:val="auto"/>
          <w:sz w:val="24"/>
          <w:szCs w:val="24"/>
        </w:rPr>
        <w:t>Paypal</w:t>
      </w:r>
      <w:proofErr w:type="spellEnd"/>
      <w:r w:rsidRPr="00E2582D">
        <w:rPr>
          <w:rFonts w:ascii="Times New Roman" w:hAnsi="Times New Roman" w:cs="Times New Roman"/>
          <w:color w:val="auto"/>
          <w:sz w:val="24"/>
          <w:szCs w:val="24"/>
        </w:rPr>
        <w:t>)</w:t>
      </w:r>
      <w:r w:rsidR="008744FF">
        <w:rPr>
          <w:rFonts w:ascii="Times New Roman" w:hAnsi="Times New Roman" w:cs="Times New Roman"/>
          <w:color w:val="auto"/>
          <w:sz w:val="24"/>
          <w:szCs w:val="24"/>
        </w:rPr>
        <w:t xml:space="preserve"> posiadają informacje zarówno o </w:t>
      </w:r>
      <w:r w:rsidRPr="00E2582D">
        <w:rPr>
          <w:rFonts w:ascii="Times New Roman" w:hAnsi="Times New Roman" w:cs="Times New Roman"/>
          <w:color w:val="auto"/>
          <w:sz w:val="24"/>
          <w:szCs w:val="24"/>
        </w:rPr>
        <w:t>płatniku, jak i o odbiorcy płatności, ponieważ obaj muszą założyć konto u danego dostawcy, aby móc korzystać z jego usług. W związku z tym mogą oni bardzo łatwo uzyskać informacje o początkowym płatniku.</w:t>
      </w:r>
    </w:p>
    <w:p w14:paraId="30D1ED44" w14:textId="0B427E05" w:rsidR="00E644A9" w:rsidRPr="007B20B5" w:rsidRDefault="00E644A9" w:rsidP="00183878">
      <w:pPr>
        <w:pStyle w:val="p"/>
        <w:spacing w:before="240" w:after="0" w:line="340" w:lineRule="atLeast"/>
        <w:rPr>
          <w:rFonts w:ascii="Times New Roman" w:hAnsi="Times New Roman" w:cs="Times New Roman"/>
          <w:color w:val="auto"/>
          <w:sz w:val="24"/>
          <w:szCs w:val="24"/>
        </w:rPr>
      </w:pPr>
    </w:p>
    <w:p w14:paraId="6755348F" w14:textId="426C9A45" w:rsidR="00183878" w:rsidRDefault="003D63B3" w:rsidP="00E644A9">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 xml:space="preserve">Sposób obliczania powyższego progu został określony w </w:t>
      </w:r>
      <w:r w:rsidR="000D6901">
        <w:rPr>
          <w:rFonts w:ascii="Times New Roman" w:hAnsi="Times New Roman" w:cs="Times New Roman"/>
          <w:b/>
          <w:color w:val="auto"/>
          <w:sz w:val="24"/>
          <w:szCs w:val="24"/>
        </w:rPr>
        <w:t>art. 110b ust. 4</w:t>
      </w:r>
      <w:r w:rsidRPr="007B20B5">
        <w:rPr>
          <w:rFonts w:ascii="Times New Roman" w:hAnsi="Times New Roman" w:cs="Times New Roman"/>
          <w:b/>
          <w:color w:val="auto"/>
          <w:sz w:val="24"/>
          <w:szCs w:val="24"/>
        </w:rPr>
        <w:t xml:space="preserve"> ustawy o VAT</w:t>
      </w:r>
      <w:r w:rsidR="00E82905" w:rsidRPr="00E82905">
        <w:rPr>
          <w:rFonts w:ascii="Times New Roman" w:hAnsi="Times New Roman" w:cs="Times New Roman"/>
          <w:color w:val="auto"/>
          <w:sz w:val="24"/>
          <w:szCs w:val="24"/>
        </w:rPr>
        <w:t>, który stanowi</w:t>
      </w:r>
      <w:r w:rsidR="00E82905">
        <w:rPr>
          <w:rFonts w:ascii="Times New Roman" w:hAnsi="Times New Roman" w:cs="Times New Roman"/>
          <w:color w:val="auto"/>
          <w:sz w:val="24"/>
          <w:szCs w:val="24"/>
        </w:rPr>
        <w:t xml:space="preserve"> implementację art. 243b ust. 2</w:t>
      </w:r>
      <w:r w:rsidR="00E82905" w:rsidRPr="00E82905">
        <w:rPr>
          <w:rFonts w:ascii="Times New Roman" w:hAnsi="Times New Roman" w:cs="Times New Roman"/>
          <w:color w:val="auto"/>
          <w:sz w:val="24"/>
          <w:szCs w:val="24"/>
        </w:rPr>
        <w:t xml:space="preserve"> akapit drugi dyrektywy VAT</w:t>
      </w:r>
      <w:r w:rsidRPr="007B20B5">
        <w:rPr>
          <w:rFonts w:ascii="Times New Roman" w:hAnsi="Times New Roman" w:cs="Times New Roman"/>
          <w:color w:val="auto"/>
          <w:sz w:val="24"/>
          <w:szCs w:val="24"/>
        </w:rPr>
        <w:t xml:space="preserve">. Zgodnie z tym przepisem </w:t>
      </w:r>
      <w:r w:rsidR="00E00879" w:rsidRPr="007B20B5">
        <w:rPr>
          <w:rFonts w:ascii="Times New Roman" w:hAnsi="Times New Roman" w:cs="Times New Roman"/>
          <w:color w:val="auto"/>
          <w:sz w:val="24"/>
          <w:szCs w:val="24"/>
        </w:rPr>
        <w:t>l</w:t>
      </w:r>
      <w:r w:rsidR="00E644A9" w:rsidRPr="007B20B5">
        <w:rPr>
          <w:rFonts w:ascii="Times New Roman" w:hAnsi="Times New Roman" w:cs="Times New Roman"/>
          <w:color w:val="auto"/>
          <w:sz w:val="24"/>
          <w:szCs w:val="24"/>
        </w:rPr>
        <w:t xml:space="preserve">iczbę płatności </w:t>
      </w:r>
      <w:r w:rsidR="00E00879" w:rsidRPr="007B20B5">
        <w:rPr>
          <w:rFonts w:ascii="Times New Roman" w:hAnsi="Times New Roman" w:cs="Times New Roman"/>
          <w:color w:val="auto"/>
          <w:sz w:val="24"/>
          <w:szCs w:val="24"/>
        </w:rPr>
        <w:t xml:space="preserve">transgranicznych </w:t>
      </w:r>
      <w:r w:rsidR="00E644A9" w:rsidRPr="007B20B5">
        <w:rPr>
          <w:rFonts w:ascii="Times New Roman" w:hAnsi="Times New Roman" w:cs="Times New Roman"/>
          <w:color w:val="auto"/>
          <w:sz w:val="24"/>
          <w:szCs w:val="24"/>
        </w:rPr>
        <w:t>oblicza się poprzez odniesienie do usług płatniczych świadczonych przez dostawcę usług płatniczych w podziale na poszczególne państwa członkowskie</w:t>
      </w:r>
      <w:r w:rsidR="00E00879" w:rsidRPr="007B20B5">
        <w:rPr>
          <w:rFonts w:ascii="Times New Roman" w:hAnsi="Times New Roman" w:cs="Times New Roman"/>
          <w:color w:val="auto"/>
          <w:sz w:val="24"/>
          <w:szCs w:val="24"/>
        </w:rPr>
        <w:t xml:space="preserve"> i poszczególne identyfikatory</w:t>
      </w:r>
      <w:r w:rsidR="00183878">
        <w:rPr>
          <w:rFonts w:ascii="Times New Roman" w:hAnsi="Times New Roman" w:cs="Times New Roman"/>
          <w:color w:val="auto"/>
          <w:sz w:val="24"/>
          <w:szCs w:val="24"/>
        </w:rPr>
        <w:t>.</w:t>
      </w:r>
    </w:p>
    <w:p w14:paraId="64AF3CB3" w14:textId="77777777" w:rsidR="00A26BC5" w:rsidRDefault="00E00879" w:rsidP="0062155D">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Z powyższego wynika zatem, że po pierwsze p</w:t>
      </w:r>
      <w:r w:rsidR="00E644A9" w:rsidRPr="007B20B5">
        <w:rPr>
          <w:rFonts w:ascii="Times New Roman" w:hAnsi="Times New Roman" w:cs="Times New Roman"/>
          <w:color w:val="auto"/>
          <w:sz w:val="24"/>
          <w:szCs w:val="24"/>
        </w:rPr>
        <w:t xml:space="preserve">róg 25 transgranicznych płatności ma być kalkulowany odrębnie dla poszczególnych </w:t>
      </w:r>
      <w:r w:rsidRPr="007B20B5">
        <w:rPr>
          <w:rFonts w:ascii="Times New Roman" w:hAnsi="Times New Roman" w:cs="Times New Roman"/>
          <w:color w:val="auto"/>
          <w:sz w:val="24"/>
          <w:szCs w:val="24"/>
        </w:rPr>
        <w:t>państw członkowskich</w:t>
      </w:r>
      <w:r w:rsidR="00E644A9" w:rsidRPr="007B20B5">
        <w:rPr>
          <w:rFonts w:ascii="Times New Roman" w:hAnsi="Times New Roman" w:cs="Times New Roman"/>
          <w:color w:val="auto"/>
          <w:sz w:val="24"/>
          <w:szCs w:val="24"/>
        </w:rPr>
        <w:t xml:space="preserve">, w których wykonane zostały usługi płatnicze (dostawcy usług płatniczych obliczają próg na poziomie krajowym, na podstawie miejsca świadczenia przez nich usług płatniczych). </w:t>
      </w:r>
      <w:r w:rsidR="00183878" w:rsidRPr="00183878">
        <w:rPr>
          <w:rFonts w:ascii="Times New Roman" w:hAnsi="Times New Roman" w:cs="Times New Roman"/>
          <w:color w:val="auto"/>
          <w:sz w:val="24"/>
          <w:szCs w:val="24"/>
        </w:rPr>
        <w:t>Próg oblicza się biorąc pod uwagę usługi płatnicze świadczone przez dostawcę usług płatniczych w jednym państwie członkowskim</w:t>
      </w:r>
      <w:r w:rsidR="00183878">
        <w:rPr>
          <w:rFonts w:ascii="Times New Roman" w:hAnsi="Times New Roman" w:cs="Times New Roman"/>
          <w:color w:val="auto"/>
          <w:sz w:val="24"/>
          <w:szCs w:val="24"/>
        </w:rPr>
        <w:t>.</w:t>
      </w:r>
      <w:r w:rsidR="00183878" w:rsidRPr="00183878">
        <w:rPr>
          <w:rFonts w:ascii="Times New Roman" w:hAnsi="Times New Roman" w:cs="Times New Roman"/>
          <w:color w:val="auto"/>
          <w:sz w:val="24"/>
          <w:szCs w:val="24"/>
        </w:rPr>
        <w:t xml:space="preserve"> </w:t>
      </w:r>
      <w:r w:rsidR="00E644A9" w:rsidRPr="007B20B5">
        <w:rPr>
          <w:rFonts w:ascii="Times New Roman" w:hAnsi="Times New Roman" w:cs="Times New Roman"/>
          <w:color w:val="auto"/>
          <w:sz w:val="24"/>
          <w:szCs w:val="24"/>
        </w:rPr>
        <w:t xml:space="preserve">Oznacza to, że próg dotyczy poszczególnych państw członkowskich, a nie jest to próg </w:t>
      </w:r>
      <w:r w:rsidR="00D42AE6">
        <w:rPr>
          <w:rFonts w:ascii="Times New Roman" w:hAnsi="Times New Roman" w:cs="Times New Roman"/>
          <w:color w:val="auto"/>
          <w:sz w:val="24"/>
          <w:szCs w:val="24"/>
        </w:rPr>
        <w:t>globalny (np.: jeżeli bank z siedzibą w Polsce</w:t>
      </w:r>
      <w:r w:rsidR="00E644A9" w:rsidRPr="007B20B5">
        <w:rPr>
          <w:rFonts w:ascii="Times New Roman" w:hAnsi="Times New Roman" w:cs="Times New Roman"/>
          <w:color w:val="auto"/>
          <w:sz w:val="24"/>
          <w:szCs w:val="24"/>
        </w:rPr>
        <w:t xml:space="preserve"> posiada odd</w:t>
      </w:r>
      <w:r w:rsidR="00D42AE6">
        <w:rPr>
          <w:rFonts w:ascii="Times New Roman" w:hAnsi="Times New Roman" w:cs="Times New Roman"/>
          <w:color w:val="auto"/>
          <w:sz w:val="24"/>
          <w:szCs w:val="24"/>
        </w:rPr>
        <w:t>ziały w Niemczech</w:t>
      </w:r>
      <w:r w:rsidR="00183878">
        <w:rPr>
          <w:rFonts w:ascii="Times New Roman" w:hAnsi="Times New Roman" w:cs="Times New Roman"/>
          <w:color w:val="auto"/>
          <w:sz w:val="24"/>
          <w:szCs w:val="24"/>
        </w:rPr>
        <w:t>, a </w:t>
      </w:r>
      <w:r w:rsidR="00E644A9" w:rsidRPr="007B20B5">
        <w:rPr>
          <w:rFonts w:ascii="Times New Roman" w:hAnsi="Times New Roman" w:cs="Times New Roman"/>
          <w:color w:val="auto"/>
          <w:sz w:val="24"/>
          <w:szCs w:val="24"/>
        </w:rPr>
        <w:t xml:space="preserve">oddziały te realizują łącznie ponad 25 płatności </w:t>
      </w:r>
      <w:r w:rsidR="00EA44B5">
        <w:rPr>
          <w:rFonts w:ascii="Times New Roman" w:hAnsi="Times New Roman" w:cs="Times New Roman"/>
          <w:color w:val="auto"/>
          <w:sz w:val="24"/>
          <w:szCs w:val="24"/>
        </w:rPr>
        <w:t xml:space="preserve">na </w:t>
      </w:r>
      <w:r w:rsidR="00E644A9" w:rsidRPr="007B20B5">
        <w:rPr>
          <w:rFonts w:ascii="Times New Roman" w:hAnsi="Times New Roman" w:cs="Times New Roman"/>
          <w:color w:val="auto"/>
          <w:sz w:val="24"/>
          <w:szCs w:val="24"/>
        </w:rPr>
        <w:t xml:space="preserve">rzecz tego samego odbiorcy płatności, wówczas </w:t>
      </w:r>
      <w:r w:rsidR="00D42AE6">
        <w:rPr>
          <w:rFonts w:ascii="Times New Roman" w:hAnsi="Times New Roman" w:cs="Times New Roman"/>
          <w:color w:val="auto"/>
          <w:sz w:val="24"/>
          <w:szCs w:val="24"/>
        </w:rPr>
        <w:t>należy prowadzić rejestr i przekazywać</w:t>
      </w:r>
      <w:r w:rsidR="00E644A9" w:rsidRPr="007B20B5">
        <w:rPr>
          <w:rFonts w:ascii="Times New Roman" w:hAnsi="Times New Roman" w:cs="Times New Roman"/>
          <w:color w:val="auto"/>
          <w:sz w:val="24"/>
          <w:szCs w:val="24"/>
        </w:rPr>
        <w:t xml:space="preserve"> informacje do </w:t>
      </w:r>
      <w:r w:rsidR="00D42AE6">
        <w:rPr>
          <w:rFonts w:ascii="Times New Roman" w:hAnsi="Times New Roman" w:cs="Times New Roman"/>
          <w:color w:val="auto"/>
          <w:sz w:val="24"/>
          <w:szCs w:val="24"/>
        </w:rPr>
        <w:t>Niemiec</w:t>
      </w:r>
      <w:r w:rsidR="00E644A9" w:rsidRPr="007B20B5">
        <w:rPr>
          <w:rFonts w:ascii="Times New Roman" w:hAnsi="Times New Roman" w:cs="Times New Roman"/>
          <w:color w:val="auto"/>
          <w:sz w:val="24"/>
          <w:szCs w:val="24"/>
        </w:rPr>
        <w:t>).</w:t>
      </w:r>
    </w:p>
    <w:p w14:paraId="72FD1105" w14:textId="60670B79" w:rsidR="00A26BC5" w:rsidRDefault="00E644A9" w:rsidP="0062155D">
      <w:pPr>
        <w:pStyle w:val="p"/>
        <w:spacing w:before="240" w:line="340" w:lineRule="atLeast"/>
        <w:rPr>
          <w:rFonts w:ascii="Times New Roman" w:hAnsi="Times New Roman" w:cs="Times New Roman"/>
          <w:sz w:val="24"/>
          <w:szCs w:val="24"/>
        </w:rPr>
      </w:pPr>
      <w:r w:rsidRPr="007B20B5">
        <w:rPr>
          <w:rFonts w:ascii="Times New Roman" w:hAnsi="Times New Roman" w:cs="Times New Roman"/>
          <w:color w:val="auto"/>
          <w:sz w:val="24"/>
          <w:szCs w:val="24"/>
        </w:rPr>
        <w:t>Po drugie obliczenia dokonuje się w podziale na poszczególne identyfikatory odbiorcy płatności</w:t>
      </w:r>
      <w:r w:rsidR="00B217C3">
        <w:rPr>
          <w:rFonts w:ascii="Times New Roman" w:hAnsi="Times New Roman" w:cs="Times New Roman"/>
          <w:color w:val="auto"/>
          <w:sz w:val="24"/>
          <w:szCs w:val="24"/>
        </w:rPr>
        <w:t xml:space="preserve">, </w:t>
      </w:r>
      <w:r w:rsidR="000D6901">
        <w:rPr>
          <w:rFonts w:ascii="Times New Roman" w:hAnsi="Times New Roman" w:cs="Times New Roman"/>
          <w:color w:val="auto"/>
          <w:sz w:val="24"/>
          <w:szCs w:val="24"/>
        </w:rPr>
        <w:t>o których mowa w </w:t>
      </w:r>
      <w:r w:rsidR="00B217C3" w:rsidRPr="007B20B5">
        <w:rPr>
          <w:rFonts w:ascii="Times New Roman" w:hAnsi="Times New Roman" w:cs="Times New Roman"/>
          <w:color w:val="auto"/>
          <w:sz w:val="24"/>
          <w:szCs w:val="24"/>
        </w:rPr>
        <w:t xml:space="preserve">art. </w:t>
      </w:r>
      <w:r w:rsidR="00B217C3">
        <w:rPr>
          <w:rFonts w:ascii="Times New Roman" w:hAnsi="Times New Roman" w:cs="Times New Roman"/>
          <w:color w:val="auto"/>
          <w:sz w:val="24"/>
          <w:szCs w:val="24"/>
        </w:rPr>
        <w:t>110</w:t>
      </w:r>
      <w:r w:rsidR="00162FB6">
        <w:rPr>
          <w:rFonts w:ascii="Times New Roman" w:hAnsi="Times New Roman" w:cs="Times New Roman"/>
          <w:color w:val="auto"/>
          <w:sz w:val="24"/>
          <w:szCs w:val="24"/>
        </w:rPr>
        <w:t>b</w:t>
      </w:r>
      <w:r w:rsidR="00B217C3" w:rsidRPr="007B20B5">
        <w:rPr>
          <w:rFonts w:ascii="Times New Roman" w:hAnsi="Times New Roman" w:cs="Times New Roman"/>
          <w:color w:val="auto"/>
          <w:sz w:val="24"/>
          <w:szCs w:val="24"/>
        </w:rPr>
        <w:t xml:space="preserve"> </w:t>
      </w:r>
      <w:r w:rsidR="00162FB6">
        <w:rPr>
          <w:rFonts w:ascii="Times New Roman" w:hAnsi="Times New Roman" w:cs="Times New Roman"/>
          <w:color w:val="auto"/>
          <w:sz w:val="24"/>
          <w:szCs w:val="24"/>
        </w:rPr>
        <w:t xml:space="preserve">ust. 3 </w:t>
      </w:r>
      <w:r w:rsidR="00B217C3">
        <w:rPr>
          <w:rFonts w:ascii="Times New Roman" w:hAnsi="Times New Roman" w:cs="Times New Roman"/>
          <w:color w:val="auto"/>
          <w:sz w:val="24"/>
          <w:szCs w:val="24"/>
        </w:rPr>
        <w:t>pkt</w:t>
      </w:r>
      <w:r w:rsidR="00B217C3" w:rsidRPr="007B20B5">
        <w:rPr>
          <w:rFonts w:ascii="Times New Roman" w:hAnsi="Times New Roman" w:cs="Times New Roman"/>
          <w:color w:val="auto"/>
          <w:sz w:val="24"/>
          <w:szCs w:val="24"/>
        </w:rPr>
        <w:t xml:space="preserve"> 2</w:t>
      </w:r>
      <w:r w:rsidRPr="007B20B5">
        <w:rPr>
          <w:rFonts w:ascii="Times New Roman" w:hAnsi="Times New Roman" w:cs="Times New Roman"/>
          <w:color w:val="auto"/>
          <w:sz w:val="24"/>
          <w:szCs w:val="24"/>
        </w:rPr>
        <w:t xml:space="preserve"> – czyli jeżeli odbiorca płatności posiada kilka identyfikatorów, obliczenie powinno być dokonywane dla każdego odbiorcy płatności wed</w:t>
      </w:r>
      <w:r w:rsidR="00183878">
        <w:rPr>
          <w:rFonts w:ascii="Times New Roman" w:hAnsi="Times New Roman" w:cs="Times New Roman"/>
          <w:color w:val="auto"/>
          <w:sz w:val="24"/>
          <w:szCs w:val="24"/>
        </w:rPr>
        <w:t>ług tych identyfikatorów (czyli </w:t>
      </w:r>
      <w:r w:rsidRPr="007B20B5">
        <w:rPr>
          <w:rFonts w:ascii="Times New Roman" w:hAnsi="Times New Roman" w:cs="Times New Roman"/>
          <w:color w:val="auto"/>
          <w:sz w:val="24"/>
          <w:szCs w:val="24"/>
        </w:rPr>
        <w:t>jeden próg na jeden identyfikator).</w:t>
      </w:r>
      <w:r w:rsidR="00E00879" w:rsidRPr="007B20B5">
        <w:rPr>
          <w:rFonts w:ascii="Times New Roman" w:hAnsi="Times New Roman" w:cs="Times New Roman"/>
          <w:sz w:val="24"/>
          <w:szCs w:val="24"/>
        </w:rPr>
        <w:t xml:space="preserve"> </w:t>
      </w:r>
      <w:r w:rsidR="007E2496">
        <w:rPr>
          <w:rFonts w:ascii="Times New Roman" w:hAnsi="Times New Roman" w:cs="Times New Roman"/>
          <w:sz w:val="24"/>
          <w:szCs w:val="24"/>
        </w:rPr>
        <w:t>Stosując tę zasadę, dostawcy usług płatniczych będą musieli wziąć pod uwagę wszystkie płatności transgraniczne dokonane na jeden IBAN</w:t>
      </w:r>
      <w:r w:rsidR="00A26BC5">
        <w:rPr>
          <w:rFonts w:ascii="Times New Roman" w:hAnsi="Times New Roman" w:cs="Times New Roman"/>
          <w:sz w:val="24"/>
          <w:szCs w:val="24"/>
        </w:rPr>
        <w:t>. J</w:t>
      </w:r>
      <w:r w:rsidR="007E2496">
        <w:rPr>
          <w:rFonts w:ascii="Times New Roman" w:hAnsi="Times New Roman" w:cs="Times New Roman"/>
          <w:sz w:val="24"/>
          <w:szCs w:val="24"/>
        </w:rPr>
        <w:t xml:space="preserve">eżeli </w:t>
      </w:r>
      <w:r w:rsidR="00A26BC5">
        <w:rPr>
          <w:rFonts w:ascii="Times New Roman" w:hAnsi="Times New Roman" w:cs="Times New Roman"/>
          <w:sz w:val="24"/>
          <w:szCs w:val="24"/>
        </w:rPr>
        <w:t>ilość płatności transgranicznych wykonanych na ten IBAN w danym kwartale przekroczy 25 wówczas dostawca usług płatniczych będzie musiał wykazać wszystkie te transakcje w ewidencji.</w:t>
      </w:r>
    </w:p>
    <w:p w14:paraId="68A11A60" w14:textId="01F87A11" w:rsidR="00AD2F5B" w:rsidRPr="007B20B5" w:rsidRDefault="0062155D" w:rsidP="0062155D">
      <w:pPr>
        <w:pStyle w:val="p"/>
        <w:spacing w:before="240" w:line="340" w:lineRule="atLeast"/>
        <w:rPr>
          <w:rFonts w:ascii="Times New Roman" w:hAnsi="Times New Roman" w:cs="Times New Roman"/>
          <w:color w:val="auto"/>
          <w:sz w:val="24"/>
          <w:szCs w:val="24"/>
        </w:rPr>
      </w:pPr>
      <w:r>
        <w:rPr>
          <w:rFonts w:ascii="Times New Roman" w:hAnsi="Times New Roman" w:cs="Times New Roman"/>
          <w:sz w:val="24"/>
          <w:szCs w:val="24"/>
        </w:rPr>
        <w:t>Natomiast j</w:t>
      </w:r>
      <w:r w:rsidR="00E00879" w:rsidRPr="007B20B5">
        <w:rPr>
          <w:rFonts w:ascii="Times New Roman" w:hAnsi="Times New Roman" w:cs="Times New Roman"/>
          <w:color w:val="auto"/>
          <w:sz w:val="24"/>
          <w:szCs w:val="24"/>
        </w:rPr>
        <w:t xml:space="preserve">eżeli odbiorca płatności posiada kilka identyfikatorów, </w:t>
      </w:r>
      <w:r>
        <w:rPr>
          <w:rFonts w:ascii="Times New Roman" w:hAnsi="Times New Roman" w:cs="Times New Roman"/>
          <w:color w:val="auto"/>
          <w:sz w:val="24"/>
          <w:szCs w:val="24"/>
        </w:rPr>
        <w:t xml:space="preserve">a </w:t>
      </w:r>
      <w:r w:rsidRPr="007B20B5">
        <w:rPr>
          <w:rFonts w:ascii="Times New Roman" w:hAnsi="Times New Roman" w:cs="Times New Roman"/>
          <w:color w:val="auto"/>
          <w:sz w:val="24"/>
          <w:szCs w:val="24"/>
        </w:rPr>
        <w:t>dostawca usług płatniczych może zidentyfikować posiadacza różnych rachunków i osobę kryjącą się za innymi identyfikatorami jako tego samego odbiorcę płatności</w:t>
      </w:r>
      <w:r>
        <w:rPr>
          <w:rFonts w:ascii="Times New Roman" w:hAnsi="Times New Roman" w:cs="Times New Roman"/>
          <w:color w:val="auto"/>
          <w:sz w:val="24"/>
          <w:szCs w:val="24"/>
        </w:rPr>
        <w:t>,</w:t>
      </w:r>
      <w:r w:rsidRPr="007B20B5">
        <w:rPr>
          <w:rFonts w:ascii="Times New Roman" w:hAnsi="Times New Roman" w:cs="Times New Roman"/>
          <w:color w:val="auto"/>
          <w:sz w:val="24"/>
          <w:szCs w:val="24"/>
        </w:rPr>
        <w:t xml:space="preserve"> </w:t>
      </w:r>
      <w:r w:rsidR="00E00879" w:rsidRPr="007B20B5">
        <w:rPr>
          <w:rFonts w:ascii="Times New Roman" w:hAnsi="Times New Roman" w:cs="Times New Roman"/>
          <w:color w:val="auto"/>
          <w:sz w:val="24"/>
          <w:szCs w:val="24"/>
        </w:rPr>
        <w:t>obliczenie powinno być dokonane dla każdego odbiorcy płatności</w:t>
      </w:r>
      <w:r w:rsidR="00297D3B">
        <w:rPr>
          <w:rFonts w:ascii="Times New Roman" w:hAnsi="Times New Roman" w:cs="Times New Roman"/>
          <w:color w:val="auto"/>
          <w:sz w:val="24"/>
          <w:szCs w:val="24"/>
        </w:rPr>
        <w:t>.</w:t>
      </w:r>
      <w:r w:rsidR="00E00879" w:rsidRPr="007B20B5">
        <w:rPr>
          <w:rFonts w:ascii="Times New Roman" w:hAnsi="Times New Roman" w:cs="Times New Roman"/>
          <w:color w:val="auto"/>
          <w:sz w:val="24"/>
          <w:szCs w:val="24"/>
        </w:rPr>
        <w:t xml:space="preserve"> </w:t>
      </w:r>
      <w:r w:rsidR="00297D3B">
        <w:rPr>
          <w:rFonts w:ascii="Times New Roman" w:hAnsi="Times New Roman" w:cs="Times New Roman"/>
          <w:color w:val="auto"/>
          <w:sz w:val="24"/>
          <w:szCs w:val="24"/>
        </w:rPr>
        <w:t>C</w:t>
      </w:r>
      <w:r w:rsidR="00E644A9" w:rsidRPr="007B20B5">
        <w:rPr>
          <w:rFonts w:ascii="Times New Roman" w:hAnsi="Times New Roman" w:cs="Times New Roman"/>
          <w:color w:val="auto"/>
          <w:sz w:val="24"/>
          <w:szCs w:val="24"/>
        </w:rPr>
        <w:t xml:space="preserve">hodzi o sytuację, gdy odbiorca </w:t>
      </w:r>
      <w:r>
        <w:rPr>
          <w:rFonts w:ascii="Times New Roman" w:hAnsi="Times New Roman" w:cs="Times New Roman"/>
          <w:color w:val="auto"/>
          <w:sz w:val="24"/>
          <w:szCs w:val="24"/>
        </w:rPr>
        <w:t>płatności posiada</w:t>
      </w:r>
      <w:r w:rsidR="00E644A9" w:rsidRPr="007B20B5">
        <w:rPr>
          <w:rFonts w:ascii="Times New Roman" w:hAnsi="Times New Roman" w:cs="Times New Roman"/>
          <w:color w:val="auto"/>
          <w:sz w:val="24"/>
          <w:szCs w:val="24"/>
        </w:rPr>
        <w:t xml:space="preserve"> np</w:t>
      </w:r>
      <w:r>
        <w:rPr>
          <w:rFonts w:ascii="Times New Roman" w:hAnsi="Times New Roman" w:cs="Times New Roman"/>
          <w:color w:val="auto"/>
          <w:sz w:val="24"/>
          <w:szCs w:val="24"/>
        </w:rPr>
        <w:t xml:space="preserve">. dwa rachunki </w:t>
      </w:r>
      <w:r w:rsidR="00297D3B">
        <w:rPr>
          <w:rFonts w:ascii="Times New Roman" w:hAnsi="Times New Roman" w:cs="Times New Roman"/>
          <w:color w:val="auto"/>
          <w:sz w:val="24"/>
          <w:szCs w:val="24"/>
        </w:rPr>
        <w:t xml:space="preserve">płatnicze </w:t>
      </w:r>
      <w:r>
        <w:rPr>
          <w:rFonts w:ascii="Times New Roman" w:hAnsi="Times New Roman" w:cs="Times New Roman"/>
          <w:color w:val="auto"/>
          <w:sz w:val="24"/>
          <w:szCs w:val="24"/>
        </w:rPr>
        <w:t>u tego samego dostawcy usług płatniczych i</w:t>
      </w:r>
      <w:r w:rsidR="00E82905">
        <w:rPr>
          <w:rFonts w:ascii="Times New Roman" w:hAnsi="Times New Roman" w:cs="Times New Roman"/>
          <w:color w:val="auto"/>
          <w:sz w:val="24"/>
          <w:szCs w:val="24"/>
        </w:rPr>
        <w:t> </w:t>
      </w:r>
      <w:r>
        <w:rPr>
          <w:rFonts w:ascii="Times New Roman" w:hAnsi="Times New Roman" w:cs="Times New Roman"/>
          <w:color w:val="auto"/>
          <w:sz w:val="24"/>
          <w:szCs w:val="24"/>
        </w:rPr>
        <w:t>ten</w:t>
      </w:r>
      <w:r w:rsidR="00E644A9" w:rsidRPr="007B20B5">
        <w:rPr>
          <w:rFonts w:ascii="Times New Roman" w:hAnsi="Times New Roman" w:cs="Times New Roman"/>
          <w:color w:val="auto"/>
          <w:sz w:val="24"/>
          <w:szCs w:val="24"/>
        </w:rPr>
        <w:t xml:space="preserve"> może zidentyfikować, że pod tymi rachunkami kryje się ten sam odbiorca</w:t>
      </w:r>
      <w:r w:rsidR="00297D3B">
        <w:rPr>
          <w:rFonts w:ascii="Times New Roman" w:hAnsi="Times New Roman" w:cs="Times New Roman"/>
          <w:color w:val="auto"/>
          <w:sz w:val="24"/>
          <w:szCs w:val="24"/>
        </w:rPr>
        <w:t xml:space="preserve"> - </w:t>
      </w:r>
      <w:r w:rsidR="00E644A9" w:rsidRPr="007B20B5">
        <w:rPr>
          <w:rFonts w:ascii="Times New Roman" w:hAnsi="Times New Roman" w:cs="Times New Roman"/>
          <w:color w:val="auto"/>
          <w:sz w:val="24"/>
          <w:szCs w:val="24"/>
        </w:rPr>
        <w:t xml:space="preserve">wówczas te dwa rachunki </w:t>
      </w:r>
      <w:r w:rsidR="00297D3B">
        <w:rPr>
          <w:rFonts w:ascii="Times New Roman" w:hAnsi="Times New Roman" w:cs="Times New Roman"/>
          <w:color w:val="auto"/>
          <w:sz w:val="24"/>
          <w:szCs w:val="24"/>
        </w:rPr>
        <w:t xml:space="preserve">należy uznać za jeden dla celów porównania z progiem i uwzględnić w obliczeniach wszystkie płatności na oba </w:t>
      </w:r>
      <w:r w:rsidR="00297D3B">
        <w:rPr>
          <w:rFonts w:ascii="Times New Roman" w:hAnsi="Times New Roman" w:cs="Times New Roman"/>
          <w:color w:val="auto"/>
          <w:sz w:val="24"/>
          <w:szCs w:val="24"/>
        </w:rPr>
        <w:lastRenderedPageBreak/>
        <w:t>rachunki</w:t>
      </w:r>
      <w:r>
        <w:rPr>
          <w:rFonts w:ascii="Times New Roman" w:hAnsi="Times New Roman" w:cs="Times New Roman"/>
          <w:color w:val="auto"/>
          <w:sz w:val="24"/>
          <w:szCs w:val="24"/>
        </w:rPr>
        <w:t>.</w:t>
      </w:r>
    </w:p>
    <w:p w14:paraId="22DD0BA2" w14:textId="58FBB5E0" w:rsidR="00EB46AC" w:rsidRPr="00C13703" w:rsidRDefault="00DE7CCE" w:rsidP="007D0FAF">
      <w:pPr>
        <w:pStyle w:val="p"/>
        <w:spacing w:before="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Należy zauważyć, że o</w:t>
      </w:r>
      <w:r w:rsidR="0022130F" w:rsidRPr="007B20B5">
        <w:rPr>
          <w:rFonts w:ascii="Times New Roman" w:hAnsi="Times New Roman" w:cs="Times New Roman"/>
          <w:color w:val="auto"/>
          <w:sz w:val="24"/>
          <w:szCs w:val="24"/>
        </w:rPr>
        <w:t>bowiązki określone w niniejszej ustawie nie mają zastosowania do dostawców usług płatniczych nieobjętych zakresem stosowania ustawy o us</w:t>
      </w:r>
      <w:r w:rsidR="0062155D">
        <w:rPr>
          <w:rFonts w:ascii="Times New Roman" w:hAnsi="Times New Roman" w:cs="Times New Roman"/>
          <w:color w:val="auto"/>
          <w:sz w:val="24"/>
          <w:szCs w:val="24"/>
        </w:rPr>
        <w:t xml:space="preserve">ługach płatniczych. </w:t>
      </w:r>
      <w:r w:rsidR="000D2E3C" w:rsidRPr="000D2E3C">
        <w:rPr>
          <w:rFonts w:ascii="Times New Roman" w:hAnsi="Times New Roman" w:cs="Times New Roman"/>
          <w:color w:val="auto"/>
          <w:sz w:val="24"/>
          <w:szCs w:val="24"/>
        </w:rPr>
        <w:t>Obowiązkiem</w:t>
      </w:r>
      <w:r w:rsidR="000D2E3C">
        <w:rPr>
          <w:rFonts w:ascii="Times New Roman" w:hAnsi="Times New Roman" w:cs="Times New Roman"/>
          <w:color w:val="auto"/>
          <w:sz w:val="24"/>
          <w:szCs w:val="24"/>
        </w:rPr>
        <w:t xml:space="preserve"> ewidencyjnym nie będą</w:t>
      </w:r>
      <w:r w:rsidR="000D2E3C" w:rsidRPr="000D2E3C">
        <w:rPr>
          <w:rFonts w:ascii="Times New Roman" w:hAnsi="Times New Roman" w:cs="Times New Roman"/>
          <w:color w:val="auto"/>
          <w:sz w:val="24"/>
          <w:szCs w:val="24"/>
        </w:rPr>
        <w:t xml:space="preserve"> </w:t>
      </w:r>
      <w:r w:rsidR="000D2E3C">
        <w:rPr>
          <w:rFonts w:ascii="Times New Roman" w:hAnsi="Times New Roman" w:cs="Times New Roman"/>
          <w:color w:val="auto"/>
          <w:sz w:val="24"/>
          <w:szCs w:val="24"/>
        </w:rPr>
        <w:t xml:space="preserve">zatem </w:t>
      </w:r>
      <w:r w:rsidR="000D2E3C" w:rsidRPr="000D2E3C">
        <w:rPr>
          <w:rFonts w:ascii="Times New Roman" w:hAnsi="Times New Roman" w:cs="Times New Roman"/>
          <w:color w:val="auto"/>
          <w:sz w:val="24"/>
          <w:szCs w:val="24"/>
        </w:rPr>
        <w:t>objęci dostawcy usług</w:t>
      </w:r>
      <w:r>
        <w:rPr>
          <w:rFonts w:ascii="Times New Roman" w:hAnsi="Times New Roman" w:cs="Times New Roman"/>
          <w:color w:val="auto"/>
          <w:sz w:val="24"/>
          <w:szCs w:val="24"/>
        </w:rPr>
        <w:t xml:space="preserve"> płatniczych odbiorcy</w:t>
      </w:r>
      <w:r w:rsidR="00E82905">
        <w:rPr>
          <w:rFonts w:ascii="Times New Roman" w:hAnsi="Times New Roman" w:cs="Times New Roman"/>
          <w:color w:val="auto"/>
          <w:sz w:val="24"/>
          <w:szCs w:val="24"/>
        </w:rPr>
        <w:t xml:space="preserve"> </w:t>
      </w:r>
      <w:r w:rsidR="00EC0891">
        <w:rPr>
          <w:rFonts w:ascii="Times New Roman" w:hAnsi="Times New Roman" w:cs="Times New Roman"/>
          <w:color w:val="auto"/>
          <w:sz w:val="24"/>
          <w:szCs w:val="24"/>
        </w:rPr>
        <w:t>płatności</w:t>
      </w:r>
      <w:r>
        <w:rPr>
          <w:rFonts w:ascii="Times New Roman" w:hAnsi="Times New Roman" w:cs="Times New Roman"/>
          <w:color w:val="auto"/>
          <w:sz w:val="24"/>
          <w:szCs w:val="24"/>
        </w:rPr>
        <w:t xml:space="preserve"> spoza UE.</w:t>
      </w:r>
      <w:r w:rsidR="008A4B23">
        <w:rPr>
          <w:rFonts w:ascii="Times New Roman" w:hAnsi="Times New Roman" w:cs="Times New Roman"/>
          <w:color w:val="auto"/>
          <w:sz w:val="24"/>
          <w:szCs w:val="24"/>
        </w:rPr>
        <w:t xml:space="preserve"> </w:t>
      </w:r>
      <w:r w:rsidR="008A4B23" w:rsidRPr="00C13703">
        <w:rPr>
          <w:rFonts w:ascii="Times New Roman" w:hAnsi="Times New Roman" w:cs="Times New Roman"/>
          <w:color w:val="auto"/>
          <w:sz w:val="24"/>
          <w:szCs w:val="24"/>
        </w:rPr>
        <w:t xml:space="preserve">Zgodnie z dodanym </w:t>
      </w:r>
      <w:r w:rsidR="008A4B23" w:rsidRPr="00C13703">
        <w:rPr>
          <w:rFonts w:ascii="Times New Roman" w:hAnsi="Times New Roman" w:cs="Times New Roman"/>
          <w:b/>
          <w:color w:val="auto"/>
          <w:sz w:val="24"/>
          <w:szCs w:val="24"/>
        </w:rPr>
        <w:t>art</w:t>
      </w:r>
      <w:r w:rsidR="000D6901" w:rsidRPr="00C13703">
        <w:rPr>
          <w:rFonts w:ascii="Times New Roman" w:hAnsi="Times New Roman" w:cs="Times New Roman"/>
          <w:b/>
          <w:color w:val="auto"/>
          <w:sz w:val="24"/>
          <w:szCs w:val="24"/>
        </w:rPr>
        <w:t>. 110b ust. 5</w:t>
      </w:r>
      <w:r w:rsidR="008A4B23" w:rsidRPr="00C13703">
        <w:rPr>
          <w:rFonts w:ascii="Times New Roman" w:hAnsi="Times New Roman" w:cs="Times New Roman"/>
          <w:b/>
          <w:color w:val="auto"/>
          <w:sz w:val="24"/>
          <w:szCs w:val="24"/>
        </w:rPr>
        <w:t xml:space="preserve"> ustawy o VAT </w:t>
      </w:r>
      <w:r w:rsidR="008A4B23" w:rsidRPr="00C13703">
        <w:rPr>
          <w:rFonts w:ascii="Times New Roman" w:hAnsi="Times New Roman" w:cs="Times New Roman"/>
          <w:color w:val="auto"/>
          <w:sz w:val="24"/>
          <w:szCs w:val="24"/>
        </w:rPr>
        <w:t>w</w:t>
      </w:r>
      <w:r w:rsidR="007D0FAF" w:rsidRPr="00C13703">
        <w:rPr>
          <w:rFonts w:ascii="Times New Roman" w:hAnsi="Times New Roman" w:cs="Times New Roman"/>
          <w:color w:val="auto"/>
          <w:sz w:val="24"/>
          <w:szCs w:val="24"/>
        </w:rPr>
        <w:t xml:space="preserve">ymóg prowadzenia ewidencji nie dotyczy </w:t>
      </w:r>
      <w:r w:rsidR="008A4B23" w:rsidRPr="00C13703">
        <w:rPr>
          <w:rFonts w:ascii="Times New Roman" w:hAnsi="Times New Roman" w:cs="Times New Roman"/>
          <w:color w:val="auto"/>
          <w:sz w:val="24"/>
          <w:szCs w:val="24"/>
        </w:rPr>
        <w:t xml:space="preserve">również </w:t>
      </w:r>
      <w:r w:rsidR="007D0FAF" w:rsidRPr="00C13703">
        <w:rPr>
          <w:rFonts w:ascii="Times New Roman" w:hAnsi="Times New Roman" w:cs="Times New Roman"/>
          <w:color w:val="auto"/>
          <w:sz w:val="24"/>
          <w:szCs w:val="24"/>
        </w:rPr>
        <w:t>usług płatniczych świadczonych przez dostawcę usług płatniczych płatnika w odniesieniu do jakiejkolwiek płatności, w przypadku której c</w:t>
      </w:r>
      <w:r w:rsidR="008A4B23" w:rsidRPr="00C13703">
        <w:rPr>
          <w:rFonts w:ascii="Times New Roman" w:hAnsi="Times New Roman" w:cs="Times New Roman"/>
          <w:color w:val="auto"/>
          <w:sz w:val="24"/>
          <w:szCs w:val="24"/>
        </w:rPr>
        <w:t>o najmniej jeden z </w:t>
      </w:r>
      <w:r w:rsidR="007D0FAF" w:rsidRPr="00C13703">
        <w:rPr>
          <w:rFonts w:ascii="Times New Roman" w:hAnsi="Times New Roman" w:cs="Times New Roman"/>
          <w:color w:val="auto"/>
          <w:sz w:val="24"/>
          <w:szCs w:val="24"/>
        </w:rPr>
        <w:t>dostawców usług płatniczych obiorcy płatno</w:t>
      </w:r>
      <w:r w:rsidR="005D76EC" w:rsidRPr="00C13703">
        <w:rPr>
          <w:rFonts w:ascii="Times New Roman" w:hAnsi="Times New Roman" w:cs="Times New Roman"/>
          <w:color w:val="auto"/>
          <w:sz w:val="24"/>
          <w:szCs w:val="24"/>
        </w:rPr>
        <w:t>ści</w:t>
      </w:r>
      <w:r w:rsidR="007D0FAF" w:rsidRPr="00C13703">
        <w:rPr>
          <w:rFonts w:ascii="Times New Roman" w:hAnsi="Times New Roman" w:cs="Times New Roman"/>
          <w:color w:val="auto"/>
          <w:sz w:val="24"/>
          <w:szCs w:val="24"/>
        </w:rPr>
        <w:t xml:space="preserve"> znajduje się w państwie członkowskim.</w:t>
      </w:r>
      <w:r w:rsidR="00F12992" w:rsidRPr="00C13703">
        <w:rPr>
          <w:rFonts w:ascii="Times New Roman" w:hAnsi="Times New Roman" w:cs="Times New Roman"/>
          <w:color w:val="auto"/>
          <w:sz w:val="24"/>
          <w:szCs w:val="24"/>
        </w:rPr>
        <w:t xml:space="preserve"> Dostawca usług płatniczych znajduje się w państwie członkowskim</w:t>
      </w:r>
      <w:r w:rsidR="007D0FAF" w:rsidRPr="00C13703">
        <w:rPr>
          <w:rFonts w:ascii="Times New Roman" w:hAnsi="Times New Roman" w:cs="Times New Roman"/>
          <w:color w:val="auto"/>
          <w:sz w:val="24"/>
          <w:szCs w:val="24"/>
        </w:rPr>
        <w:t xml:space="preserve"> </w:t>
      </w:r>
      <w:r w:rsidR="00F12992" w:rsidRPr="00C13703">
        <w:rPr>
          <w:rFonts w:ascii="Times New Roman" w:hAnsi="Times New Roman" w:cs="Times New Roman"/>
          <w:color w:val="auto"/>
          <w:sz w:val="24"/>
          <w:szCs w:val="24"/>
        </w:rPr>
        <w:t xml:space="preserve">gdy jego kod identyfikacyjny instytucji (BIC) lub inny kod identyfikacyjny instytucji odnosi się do tego państwa członkowskiego. </w:t>
      </w:r>
      <w:r w:rsidR="00762223" w:rsidRPr="00C13703">
        <w:rPr>
          <w:rFonts w:ascii="Times New Roman" w:hAnsi="Times New Roman" w:cs="Times New Roman"/>
          <w:color w:val="auto"/>
          <w:sz w:val="24"/>
          <w:szCs w:val="24"/>
        </w:rPr>
        <w:t>Przepis ten zwalnia dostawc</w:t>
      </w:r>
      <w:r w:rsidR="002A1207" w:rsidRPr="00C13703">
        <w:rPr>
          <w:rFonts w:ascii="Times New Roman" w:hAnsi="Times New Roman" w:cs="Times New Roman"/>
          <w:color w:val="auto"/>
          <w:sz w:val="24"/>
          <w:szCs w:val="24"/>
        </w:rPr>
        <w:t>ów usług płatniczych płatnika z </w:t>
      </w:r>
      <w:r w:rsidR="00762223" w:rsidRPr="00C13703">
        <w:rPr>
          <w:rFonts w:ascii="Times New Roman" w:hAnsi="Times New Roman" w:cs="Times New Roman"/>
          <w:color w:val="auto"/>
          <w:sz w:val="24"/>
          <w:szCs w:val="24"/>
        </w:rPr>
        <w:t>obowiązku prowadzenia ewidencji, jeżeli obowiązek ten w odniesieniu do danej płatności dotyczy dostawców usług płatniczych odbiorcy</w:t>
      </w:r>
      <w:r w:rsidR="00375EDA">
        <w:rPr>
          <w:rFonts w:ascii="Times New Roman" w:hAnsi="Times New Roman" w:cs="Times New Roman"/>
          <w:color w:val="auto"/>
          <w:sz w:val="24"/>
          <w:szCs w:val="24"/>
        </w:rPr>
        <w:t xml:space="preserve"> płatności</w:t>
      </w:r>
      <w:r w:rsidR="00762223" w:rsidRPr="00C13703">
        <w:rPr>
          <w:rFonts w:ascii="Times New Roman" w:hAnsi="Times New Roman" w:cs="Times New Roman"/>
          <w:color w:val="auto"/>
          <w:sz w:val="24"/>
          <w:szCs w:val="24"/>
        </w:rPr>
        <w:t>. Określenie, czy istnieje taki obowiązek, czy nie, dokonywane jest w odniesieniu do każdej płatności.</w:t>
      </w:r>
    </w:p>
    <w:p w14:paraId="5E3AF64F" w14:textId="16F738C7" w:rsidR="00EB46AC" w:rsidRPr="00C13703" w:rsidRDefault="00EB46AC" w:rsidP="007D0FAF">
      <w:pPr>
        <w:pStyle w:val="p"/>
        <w:spacing w:before="240" w:line="340" w:lineRule="atLeast"/>
        <w:rPr>
          <w:rFonts w:ascii="Times New Roman" w:hAnsi="Times New Roman" w:cs="Times New Roman"/>
          <w:color w:val="auto"/>
          <w:sz w:val="24"/>
          <w:szCs w:val="24"/>
        </w:rPr>
      </w:pPr>
      <w:r w:rsidRPr="00C13703">
        <w:rPr>
          <w:rFonts w:ascii="Times New Roman" w:hAnsi="Times New Roman" w:cs="Times New Roman"/>
          <w:color w:val="auto"/>
          <w:sz w:val="24"/>
          <w:szCs w:val="24"/>
        </w:rPr>
        <w:t>Weryfikacja obowiązku sprawozdawczego w oparciu o kod indentyfikacyjny instytucji (BIC) m</w:t>
      </w:r>
      <w:r w:rsidR="007D0FAF" w:rsidRPr="00C13703">
        <w:rPr>
          <w:rFonts w:ascii="Times New Roman" w:hAnsi="Times New Roman" w:cs="Times New Roman"/>
          <w:color w:val="auto"/>
          <w:sz w:val="24"/>
          <w:szCs w:val="24"/>
        </w:rPr>
        <w:t>a ułatwić dostawcy usług płatniczych płatnika zorientowanie się, czy obowiązek prowadzenia ewidencji ma do niego zastosowanie, czy też nie.</w:t>
      </w:r>
    </w:p>
    <w:p w14:paraId="6D58C381" w14:textId="706E5A3C" w:rsidR="00375EDA" w:rsidRPr="00375EDA" w:rsidRDefault="00E660F1" w:rsidP="00375EDA">
      <w:pPr>
        <w:pStyle w:val="p"/>
        <w:spacing w:before="240" w:line="340" w:lineRule="atLeast"/>
        <w:rPr>
          <w:rFonts w:ascii="Times New Roman" w:hAnsi="Times New Roman" w:cs="Times New Roman"/>
          <w:color w:val="auto"/>
          <w:sz w:val="24"/>
          <w:szCs w:val="24"/>
        </w:rPr>
      </w:pPr>
      <w:r w:rsidRPr="00C13703">
        <w:rPr>
          <w:rFonts w:ascii="Times New Roman" w:hAnsi="Times New Roman" w:cs="Times New Roman"/>
          <w:color w:val="auto"/>
          <w:sz w:val="24"/>
          <w:szCs w:val="24"/>
        </w:rPr>
        <w:t xml:space="preserve">Powyższy przepis zwalnia </w:t>
      </w:r>
      <w:r w:rsidRPr="00EC0891">
        <w:rPr>
          <w:rFonts w:ascii="Times New Roman" w:hAnsi="Times New Roman" w:cs="Times New Roman"/>
          <w:color w:val="auto"/>
          <w:sz w:val="24"/>
          <w:szCs w:val="24"/>
        </w:rPr>
        <w:t>dostawcę usług płatniczych płatnika</w:t>
      </w:r>
      <w:r w:rsidRPr="00C13703">
        <w:rPr>
          <w:rFonts w:ascii="Times New Roman" w:hAnsi="Times New Roman" w:cs="Times New Roman"/>
          <w:color w:val="auto"/>
          <w:sz w:val="24"/>
          <w:szCs w:val="24"/>
        </w:rPr>
        <w:t xml:space="preserve"> z obowiązku prowadzenia ewidencji w przypadku płatności wewnątrzunijnych.</w:t>
      </w:r>
      <w:r w:rsidR="002A1207" w:rsidRPr="00C13703">
        <w:rPr>
          <w:rFonts w:ascii="Times New Roman" w:hAnsi="Times New Roman" w:cs="Times New Roman"/>
          <w:color w:val="auto"/>
          <w:sz w:val="24"/>
          <w:szCs w:val="24"/>
        </w:rPr>
        <w:t xml:space="preserve"> </w:t>
      </w:r>
      <w:r w:rsidR="00C13703">
        <w:rPr>
          <w:rFonts w:ascii="Times New Roman" w:hAnsi="Times New Roman" w:cs="Times New Roman"/>
          <w:color w:val="auto"/>
          <w:sz w:val="24"/>
          <w:szCs w:val="24"/>
        </w:rPr>
        <w:t xml:space="preserve">Projektowany przepis określa również, że </w:t>
      </w:r>
      <w:r w:rsidR="00C13703" w:rsidRPr="00C13703">
        <w:rPr>
          <w:rFonts w:ascii="Times New Roman" w:hAnsi="Times New Roman" w:cs="Times New Roman"/>
          <w:color w:val="auto"/>
          <w:sz w:val="24"/>
          <w:szCs w:val="24"/>
        </w:rPr>
        <w:t xml:space="preserve">na dostawcach usług płatniczych płatnika będzie ciążył </w:t>
      </w:r>
      <w:r w:rsidR="002A1207" w:rsidRPr="00C13703">
        <w:rPr>
          <w:rFonts w:ascii="Times New Roman" w:hAnsi="Times New Roman" w:cs="Times New Roman"/>
          <w:color w:val="auto"/>
          <w:sz w:val="24"/>
          <w:szCs w:val="24"/>
        </w:rPr>
        <w:t>ob</w:t>
      </w:r>
      <w:r w:rsidRPr="00C13703">
        <w:rPr>
          <w:rFonts w:ascii="Times New Roman" w:hAnsi="Times New Roman" w:cs="Times New Roman"/>
          <w:color w:val="auto"/>
          <w:sz w:val="24"/>
          <w:szCs w:val="24"/>
        </w:rPr>
        <w:t xml:space="preserve">owiązek prowadzenia ewidencji </w:t>
      </w:r>
      <w:r w:rsidR="002A1207" w:rsidRPr="00C13703">
        <w:rPr>
          <w:rFonts w:ascii="Times New Roman" w:hAnsi="Times New Roman" w:cs="Times New Roman"/>
          <w:color w:val="auto"/>
          <w:sz w:val="24"/>
          <w:szCs w:val="24"/>
        </w:rPr>
        <w:t>w</w:t>
      </w:r>
      <w:r w:rsidR="00C13703" w:rsidRPr="00C13703">
        <w:rPr>
          <w:rFonts w:ascii="Times New Roman" w:hAnsi="Times New Roman" w:cs="Times New Roman"/>
          <w:color w:val="auto"/>
          <w:sz w:val="24"/>
          <w:szCs w:val="24"/>
        </w:rPr>
        <w:t xml:space="preserve"> przypadku </w:t>
      </w:r>
      <w:r w:rsidR="002A1207" w:rsidRPr="00C13703">
        <w:rPr>
          <w:rFonts w:ascii="Times New Roman" w:hAnsi="Times New Roman" w:cs="Times New Roman"/>
          <w:color w:val="auto"/>
          <w:sz w:val="24"/>
          <w:szCs w:val="24"/>
        </w:rPr>
        <w:t>płatności transgra</w:t>
      </w:r>
      <w:r w:rsidRPr="00C13703">
        <w:rPr>
          <w:rFonts w:ascii="Times New Roman" w:hAnsi="Times New Roman" w:cs="Times New Roman"/>
          <w:color w:val="auto"/>
          <w:sz w:val="24"/>
          <w:szCs w:val="24"/>
        </w:rPr>
        <w:t xml:space="preserve">nicznych </w:t>
      </w:r>
      <w:r w:rsidR="00C13703">
        <w:rPr>
          <w:rFonts w:ascii="Times New Roman" w:hAnsi="Times New Roman" w:cs="Times New Roman"/>
          <w:color w:val="auto"/>
          <w:sz w:val="24"/>
          <w:szCs w:val="24"/>
        </w:rPr>
        <w:t xml:space="preserve">wyłącznie </w:t>
      </w:r>
      <w:r w:rsidR="00C13703" w:rsidRPr="00C13703">
        <w:rPr>
          <w:rFonts w:ascii="Times New Roman" w:hAnsi="Times New Roman" w:cs="Times New Roman"/>
          <w:color w:val="auto"/>
          <w:sz w:val="24"/>
          <w:szCs w:val="24"/>
        </w:rPr>
        <w:t xml:space="preserve">jeżeli </w:t>
      </w:r>
      <w:r w:rsidR="002B765E">
        <w:rPr>
          <w:rFonts w:ascii="Times New Roman" w:hAnsi="Times New Roman" w:cs="Times New Roman"/>
          <w:color w:val="auto"/>
          <w:sz w:val="24"/>
          <w:szCs w:val="24"/>
        </w:rPr>
        <w:t xml:space="preserve">żaden z </w:t>
      </w:r>
      <w:r w:rsidRPr="0087593F">
        <w:rPr>
          <w:rFonts w:ascii="Times New Roman" w:hAnsi="Times New Roman" w:cs="Times New Roman"/>
          <w:color w:val="auto"/>
          <w:sz w:val="24"/>
          <w:szCs w:val="24"/>
        </w:rPr>
        <w:t>dostawc</w:t>
      </w:r>
      <w:r w:rsidR="002B765E">
        <w:rPr>
          <w:rFonts w:ascii="Times New Roman" w:hAnsi="Times New Roman" w:cs="Times New Roman"/>
          <w:color w:val="auto"/>
          <w:sz w:val="24"/>
          <w:szCs w:val="24"/>
        </w:rPr>
        <w:t>ów</w:t>
      </w:r>
      <w:r w:rsidR="002A1207" w:rsidRPr="0087593F">
        <w:rPr>
          <w:rFonts w:ascii="Times New Roman" w:hAnsi="Times New Roman" w:cs="Times New Roman"/>
          <w:color w:val="auto"/>
          <w:sz w:val="24"/>
          <w:szCs w:val="24"/>
        </w:rPr>
        <w:t xml:space="preserve"> usług płatniczych odbiorcy płatności nie znajduj</w:t>
      </w:r>
      <w:r w:rsidR="002B765E">
        <w:rPr>
          <w:rFonts w:ascii="Times New Roman" w:hAnsi="Times New Roman" w:cs="Times New Roman"/>
          <w:color w:val="auto"/>
          <w:sz w:val="24"/>
          <w:szCs w:val="24"/>
        </w:rPr>
        <w:t>e</w:t>
      </w:r>
      <w:r w:rsidR="002A1207" w:rsidRPr="00C13703">
        <w:rPr>
          <w:rFonts w:ascii="Times New Roman" w:hAnsi="Times New Roman" w:cs="Times New Roman"/>
          <w:color w:val="auto"/>
          <w:sz w:val="24"/>
          <w:szCs w:val="24"/>
        </w:rPr>
        <w:t xml:space="preserve"> się w państwie członkowskim</w:t>
      </w:r>
      <w:r w:rsidR="00EA44B5">
        <w:rPr>
          <w:rFonts w:ascii="Times New Roman" w:hAnsi="Times New Roman" w:cs="Times New Roman"/>
          <w:color w:val="auto"/>
          <w:sz w:val="24"/>
          <w:szCs w:val="24"/>
        </w:rPr>
        <w:t xml:space="preserve"> (czyli tzw. </w:t>
      </w:r>
      <w:r w:rsidRPr="00C13703">
        <w:rPr>
          <w:rFonts w:ascii="Times New Roman" w:hAnsi="Times New Roman" w:cs="Times New Roman"/>
          <w:color w:val="auto"/>
          <w:sz w:val="24"/>
          <w:szCs w:val="24"/>
        </w:rPr>
        <w:t>płatnoś</w:t>
      </w:r>
      <w:r w:rsidR="002B765E">
        <w:rPr>
          <w:rFonts w:ascii="Times New Roman" w:hAnsi="Times New Roman" w:cs="Times New Roman"/>
          <w:color w:val="auto"/>
          <w:sz w:val="24"/>
          <w:szCs w:val="24"/>
        </w:rPr>
        <w:t>ć</w:t>
      </w:r>
      <w:r w:rsidRPr="00C13703">
        <w:rPr>
          <w:rFonts w:ascii="Times New Roman" w:hAnsi="Times New Roman" w:cs="Times New Roman"/>
          <w:color w:val="auto"/>
          <w:sz w:val="24"/>
          <w:szCs w:val="24"/>
        </w:rPr>
        <w:t xml:space="preserve"> </w:t>
      </w:r>
      <w:r w:rsidR="00EA44B5" w:rsidRPr="00C13703">
        <w:rPr>
          <w:rFonts w:ascii="Times New Roman" w:hAnsi="Times New Roman" w:cs="Times New Roman"/>
          <w:color w:val="auto"/>
          <w:sz w:val="24"/>
          <w:szCs w:val="24"/>
        </w:rPr>
        <w:t>poza unijn</w:t>
      </w:r>
      <w:r w:rsidR="002B765E">
        <w:rPr>
          <w:rFonts w:ascii="Times New Roman" w:hAnsi="Times New Roman" w:cs="Times New Roman"/>
          <w:color w:val="auto"/>
          <w:sz w:val="24"/>
          <w:szCs w:val="24"/>
        </w:rPr>
        <w:t>a</w:t>
      </w:r>
      <w:r w:rsidRPr="00C13703">
        <w:rPr>
          <w:rFonts w:ascii="Times New Roman" w:hAnsi="Times New Roman" w:cs="Times New Roman"/>
          <w:color w:val="auto"/>
          <w:sz w:val="24"/>
          <w:szCs w:val="24"/>
        </w:rPr>
        <w:t>)</w:t>
      </w:r>
      <w:r w:rsidR="00C13703" w:rsidRPr="00C13703">
        <w:rPr>
          <w:rFonts w:ascii="Times New Roman" w:hAnsi="Times New Roman" w:cs="Times New Roman"/>
          <w:color w:val="auto"/>
          <w:sz w:val="24"/>
          <w:szCs w:val="24"/>
        </w:rPr>
        <w:t>.</w:t>
      </w:r>
      <w:r w:rsidR="00C13703">
        <w:rPr>
          <w:rFonts w:ascii="Times New Roman" w:hAnsi="Times New Roman" w:cs="Times New Roman"/>
          <w:color w:val="auto"/>
          <w:sz w:val="24"/>
          <w:szCs w:val="24"/>
        </w:rPr>
        <w:t xml:space="preserve"> </w:t>
      </w:r>
      <w:r w:rsidR="00E62DB8" w:rsidRPr="00E62DB8">
        <w:rPr>
          <w:rFonts w:ascii="Times New Roman" w:hAnsi="Times New Roman" w:cs="Times New Roman"/>
          <w:color w:val="auto"/>
          <w:sz w:val="24"/>
          <w:szCs w:val="24"/>
        </w:rPr>
        <w:t>Możliwe jest</w:t>
      </w:r>
      <w:r w:rsidR="00E62DB8">
        <w:rPr>
          <w:rFonts w:ascii="Times New Roman" w:hAnsi="Times New Roman" w:cs="Times New Roman"/>
          <w:color w:val="auto"/>
          <w:sz w:val="24"/>
          <w:szCs w:val="24"/>
        </w:rPr>
        <w:t xml:space="preserve"> bowiem</w:t>
      </w:r>
      <w:r w:rsidR="00E62DB8" w:rsidRPr="00E62DB8">
        <w:rPr>
          <w:rFonts w:ascii="Times New Roman" w:hAnsi="Times New Roman" w:cs="Times New Roman"/>
          <w:color w:val="auto"/>
          <w:sz w:val="24"/>
          <w:szCs w:val="24"/>
        </w:rPr>
        <w:t>, że w realizacji jednej płatności od płatnika do odbiorcy uczestniczy szereg dostawców usług płatniczych (dochodzi do szeregu transferów środków pieniężnych między poszczególnymi dostawcami usług płatniczych). Jeżeli w tym łańcuchu na jednym z dostawcy usług płatniczych odbiorcy</w:t>
      </w:r>
      <w:r w:rsidR="00E62DB8">
        <w:rPr>
          <w:rFonts w:ascii="Times New Roman" w:hAnsi="Times New Roman" w:cs="Times New Roman"/>
          <w:color w:val="auto"/>
          <w:sz w:val="24"/>
          <w:szCs w:val="24"/>
        </w:rPr>
        <w:t xml:space="preserve"> płatności</w:t>
      </w:r>
      <w:r w:rsidR="00E62DB8" w:rsidRPr="00E62DB8">
        <w:rPr>
          <w:rFonts w:ascii="Times New Roman" w:hAnsi="Times New Roman" w:cs="Times New Roman"/>
          <w:color w:val="auto"/>
          <w:sz w:val="24"/>
          <w:szCs w:val="24"/>
        </w:rPr>
        <w:t xml:space="preserve"> spoczywa obowiązek prowa</w:t>
      </w:r>
      <w:r w:rsidR="00E62DB8">
        <w:rPr>
          <w:rFonts w:ascii="Times New Roman" w:hAnsi="Times New Roman" w:cs="Times New Roman"/>
          <w:color w:val="auto"/>
          <w:sz w:val="24"/>
          <w:szCs w:val="24"/>
        </w:rPr>
        <w:t>dzenia ewidencji, to wówczas dostawca usług płatniczych</w:t>
      </w:r>
      <w:r w:rsidR="00E62DB8" w:rsidRPr="00E62DB8">
        <w:rPr>
          <w:rFonts w:ascii="Times New Roman" w:hAnsi="Times New Roman" w:cs="Times New Roman"/>
          <w:color w:val="auto"/>
          <w:sz w:val="24"/>
          <w:szCs w:val="24"/>
        </w:rPr>
        <w:t xml:space="preserve"> płatnika nie ma obowiązku prowadzenia takiej ewidencji, nawet jeśli niektórzy z dostawców usług płatniczych odbiorcy w łańcuchu mają siedzibę poza UE. Inaczej mówiąc </w:t>
      </w:r>
      <w:r w:rsidR="00375EDA">
        <w:rPr>
          <w:rFonts w:ascii="Times New Roman" w:hAnsi="Times New Roman" w:cs="Times New Roman"/>
          <w:color w:val="auto"/>
          <w:sz w:val="24"/>
          <w:szCs w:val="24"/>
        </w:rPr>
        <w:t xml:space="preserve">gdy dostawcy usług płatniczych </w:t>
      </w:r>
      <w:r w:rsidR="00375EDA" w:rsidRPr="00375EDA">
        <w:rPr>
          <w:rFonts w:ascii="Times New Roman" w:hAnsi="Times New Roman" w:cs="Times New Roman"/>
          <w:color w:val="auto"/>
          <w:sz w:val="24"/>
          <w:szCs w:val="24"/>
        </w:rPr>
        <w:t xml:space="preserve">odbiorcy </w:t>
      </w:r>
      <w:r w:rsidR="00375EDA">
        <w:rPr>
          <w:rFonts w:ascii="Times New Roman" w:hAnsi="Times New Roman" w:cs="Times New Roman"/>
          <w:color w:val="auto"/>
          <w:sz w:val="24"/>
          <w:szCs w:val="24"/>
        </w:rPr>
        <w:t xml:space="preserve">płatności </w:t>
      </w:r>
      <w:r w:rsidR="00375EDA" w:rsidRPr="00375EDA">
        <w:rPr>
          <w:rFonts w:ascii="Times New Roman" w:hAnsi="Times New Roman" w:cs="Times New Roman"/>
          <w:color w:val="auto"/>
          <w:sz w:val="24"/>
          <w:szCs w:val="24"/>
        </w:rPr>
        <w:t xml:space="preserve">znajdują się w państwie członkowskim, obowiązek sprawozdawczy spoczywa wyłącznie na nich. Jeżeli w łańcuchu płatności ze strony odbiorcy </w:t>
      </w:r>
      <w:r w:rsidR="00375EDA">
        <w:rPr>
          <w:rFonts w:ascii="Times New Roman" w:hAnsi="Times New Roman" w:cs="Times New Roman"/>
          <w:color w:val="auto"/>
          <w:sz w:val="24"/>
          <w:szCs w:val="24"/>
        </w:rPr>
        <w:t>płatności uczestniczy więcej niż jeden dostawca usług płatniczych</w:t>
      </w:r>
      <w:r w:rsidR="00375EDA" w:rsidRPr="00375EDA">
        <w:rPr>
          <w:rFonts w:ascii="Times New Roman" w:hAnsi="Times New Roman" w:cs="Times New Roman"/>
          <w:color w:val="auto"/>
          <w:sz w:val="24"/>
          <w:szCs w:val="24"/>
        </w:rPr>
        <w:t>, wszyscy oni będą odpow</w:t>
      </w:r>
      <w:r w:rsidR="00375EDA">
        <w:rPr>
          <w:rFonts w:ascii="Times New Roman" w:hAnsi="Times New Roman" w:cs="Times New Roman"/>
          <w:color w:val="auto"/>
          <w:sz w:val="24"/>
          <w:szCs w:val="24"/>
        </w:rPr>
        <w:t>iedzialni za zgłaszanie danych.</w:t>
      </w:r>
      <w:r w:rsidR="00E26321">
        <w:rPr>
          <w:rFonts w:ascii="Times New Roman" w:hAnsi="Times New Roman" w:cs="Times New Roman"/>
          <w:color w:val="auto"/>
          <w:sz w:val="24"/>
          <w:szCs w:val="24"/>
        </w:rPr>
        <w:t xml:space="preserve"> </w:t>
      </w:r>
    </w:p>
    <w:p w14:paraId="6C674125" w14:textId="54889087" w:rsidR="00E26321" w:rsidRDefault="00C13703" w:rsidP="007D0FAF">
      <w:pPr>
        <w:pStyle w:val="p"/>
        <w:spacing w:before="240" w:line="340" w:lineRule="atLeast"/>
        <w:rPr>
          <w:rFonts w:ascii="Times New Roman" w:hAnsi="Times New Roman" w:cs="Times New Roman"/>
          <w:color w:val="auto"/>
          <w:sz w:val="24"/>
          <w:szCs w:val="24"/>
        </w:rPr>
      </w:pPr>
      <w:r>
        <w:rPr>
          <w:rFonts w:ascii="Times New Roman" w:hAnsi="Times New Roman" w:cs="Times New Roman"/>
          <w:color w:val="auto"/>
          <w:sz w:val="24"/>
          <w:szCs w:val="24"/>
        </w:rPr>
        <w:t>Taka regulacja ma na celu uniknięcie dublowania tych samych transakcji płatniczych przez dwa podmioty – z jednej strony przez dostawcę usług płatniczych płatnika, a z drugiej strony przez dostawcę usług płatniczych odbiorcy płatności.</w:t>
      </w:r>
    </w:p>
    <w:p w14:paraId="2967DF7F" w14:textId="77777777" w:rsidR="00E26321" w:rsidRPr="00E26321" w:rsidRDefault="00E26321" w:rsidP="00E26321">
      <w:pPr>
        <w:pStyle w:val="p"/>
        <w:spacing w:before="240" w:line="340" w:lineRule="atLeast"/>
        <w:rPr>
          <w:rFonts w:ascii="Times New Roman" w:hAnsi="Times New Roman" w:cs="Times New Roman"/>
          <w:color w:val="auto"/>
          <w:sz w:val="24"/>
          <w:szCs w:val="24"/>
        </w:rPr>
      </w:pPr>
      <w:r w:rsidRPr="00E26321">
        <w:rPr>
          <w:rFonts w:ascii="Times New Roman" w:hAnsi="Times New Roman" w:cs="Times New Roman"/>
          <w:color w:val="auto"/>
          <w:sz w:val="24"/>
          <w:szCs w:val="24"/>
        </w:rPr>
        <w:t xml:space="preserve">Wreszcie, ostatnie zdanie projektowanego przepisu ustanawia specjalną zasadę dotyczącą obliczania progu, a mianowicie nawet jeśli płatność nie jest zgłaszana przez dostawcę usług </w:t>
      </w:r>
      <w:r w:rsidRPr="00E26321">
        <w:rPr>
          <w:rFonts w:ascii="Times New Roman" w:hAnsi="Times New Roman" w:cs="Times New Roman"/>
          <w:color w:val="auto"/>
          <w:sz w:val="24"/>
          <w:szCs w:val="24"/>
        </w:rPr>
        <w:lastRenderedPageBreak/>
        <w:t>płatniczych płatnika, jest ona nadal uwzględniana przy obliczaniu i sumowaniu progu 25 płatności transgranicznych.</w:t>
      </w:r>
    </w:p>
    <w:p w14:paraId="10F5C62F" w14:textId="77777777" w:rsidR="00E26321" w:rsidRPr="00E26321" w:rsidRDefault="00E26321" w:rsidP="00E26321">
      <w:pPr>
        <w:pStyle w:val="p"/>
        <w:spacing w:before="240" w:line="340" w:lineRule="atLeast"/>
        <w:rPr>
          <w:rFonts w:ascii="Times New Roman" w:hAnsi="Times New Roman" w:cs="Times New Roman"/>
          <w:color w:val="auto"/>
          <w:sz w:val="24"/>
          <w:szCs w:val="24"/>
        </w:rPr>
      </w:pPr>
      <w:r w:rsidRPr="00E26321">
        <w:rPr>
          <w:rFonts w:ascii="Times New Roman" w:hAnsi="Times New Roman" w:cs="Times New Roman"/>
          <w:color w:val="auto"/>
          <w:sz w:val="24"/>
          <w:szCs w:val="24"/>
        </w:rPr>
        <w:t>Przykład: dostawca usług płatniczych płatnika z państwa członkowskiego 1 wykonuje transakcje płatnicze na rzecz odbiorcy, który posiada rachunek płatniczy w państwie członkowskim 2 oraz inny w państwie trzecim. W ciągu danego kwartału dostawca usług płatniczych płatnika wykonuje 30 płatności na rachunek płatniczy w państwie członkowskim 2 i 20 płatności na rachunek płatniczy w państwie trzecim.</w:t>
      </w:r>
    </w:p>
    <w:p w14:paraId="3FC0B1A5" w14:textId="77777777" w:rsidR="00E26321" w:rsidRPr="00E26321" w:rsidRDefault="00E26321" w:rsidP="00E26321">
      <w:pPr>
        <w:pStyle w:val="p"/>
        <w:spacing w:before="240" w:line="340" w:lineRule="atLeast"/>
        <w:rPr>
          <w:rFonts w:ascii="Times New Roman" w:hAnsi="Times New Roman" w:cs="Times New Roman"/>
          <w:color w:val="auto"/>
          <w:sz w:val="24"/>
          <w:szCs w:val="24"/>
        </w:rPr>
      </w:pPr>
      <w:r w:rsidRPr="00E26321">
        <w:rPr>
          <w:rFonts w:ascii="Times New Roman" w:hAnsi="Times New Roman" w:cs="Times New Roman"/>
          <w:color w:val="auto"/>
          <w:sz w:val="24"/>
          <w:szCs w:val="24"/>
        </w:rPr>
        <w:t>Przy zastosowaniu przepisów projektowanego art. 110b ust. 1 ustawy o VAT spełnione są wszystkie warunki do uruchomienia obowiązku sprawozdawczego, jednak dostawca usług płatniczych płatnika nie będzie zgłaszał płatności na rachunek płatniczy w państwie członkowskim 2, ponieważ zostaną one zgłoszone przez dostawcę usług płatniczych odbiorcy płatności w państwie członkowskim 2.</w:t>
      </w:r>
    </w:p>
    <w:p w14:paraId="679B027E" w14:textId="5E6BE619" w:rsidR="00E26321" w:rsidRPr="00C13703" w:rsidRDefault="00E26321" w:rsidP="00E26321">
      <w:pPr>
        <w:pStyle w:val="p"/>
        <w:spacing w:before="240" w:line="340" w:lineRule="atLeast"/>
        <w:rPr>
          <w:rFonts w:ascii="Times New Roman" w:hAnsi="Times New Roman" w:cs="Times New Roman"/>
          <w:color w:val="auto"/>
          <w:sz w:val="24"/>
          <w:szCs w:val="24"/>
        </w:rPr>
      </w:pPr>
      <w:r w:rsidRPr="00E26321">
        <w:rPr>
          <w:rFonts w:ascii="Times New Roman" w:hAnsi="Times New Roman" w:cs="Times New Roman"/>
          <w:color w:val="auto"/>
          <w:sz w:val="24"/>
          <w:szCs w:val="24"/>
        </w:rPr>
        <w:t>Będzie on jednak musiał zgłosić płatności na rachunek płatniczy w państwie trzecim, ponieważ próg musi być obliczony z uwzględnieniem płatności na rachunek płatniczy w państwie członkowskim 2, a zatem przekracza 25 płatności transgranicznych.</w:t>
      </w:r>
    </w:p>
    <w:p w14:paraId="6D8E5385" w14:textId="74505BDE" w:rsidR="00E92DD0" w:rsidRPr="007B20B5" w:rsidRDefault="00506933" w:rsidP="00061F4F">
      <w:pPr>
        <w:pStyle w:val="p"/>
        <w:spacing w:before="240" w:line="340" w:lineRule="atLeast"/>
        <w:rPr>
          <w:rFonts w:ascii="Times New Roman" w:hAnsi="Times New Roman" w:cs="Times New Roman"/>
          <w:b/>
          <w:color w:val="auto"/>
          <w:sz w:val="24"/>
          <w:szCs w:val="24"/>
        </w:rPr>
      </w:pPr>
      <w:r w:rsidRPr="007B20B5">
        <w:rPr>
          <w:rFonts w:ascii="Times New Roman" w:hAnsi="Times New Roman" w:cs="Times New Roman"/>
          <w:b/>
          <w:color w:val="auto"/>
          <w:sz w:val="24"/>
          <w:szCs w:val="24"/>
        </w:rPr>
        <w:t>A</w:t>
      </w:r>
      <w:r w:rsidR="004A2683" w:rsidRPr="007B20B5">
        <w:rPr>
          <w:rFonts w:ascii="Times New Roman" w:hAnsi="Times New Roman" w:cs="Times New Roman"/>
          <w:b/>
          <w:color w:val="auto"/>
          <w:sz w:val="24"/>
          <w:szCs w:val="24"/>
        </w:rPr>
        <w:t>rt. 110</w:t>
      </w:r>
      <w:r w:rsidR="0048257F">
        <w:rPr>
          <w:rFonts w:ascii="Times New Roman" w:hAnsi="Times New Roman" w:cs="Times New Roman"/>
          <w:b/>
          <w:color w:val="auto"/>
          <w:sz w:val="24"/>
          <w:szCs w:val="24"/>
        </w:rPr>
        <w:t>c</w:t>
      </w:r>
      <w:r w:rsidRPr="007B20B5">
        <w:rPr>
          <w:rFonts w:ascii="Times New Roman" w:hAnsi="Times New Roman" w:cs="Times New Roman"/>
          <w:b/>
          <w:color w:val="auto"/>
          <w:sz w:val="24"/>
          <w:szCs w:val="24"/>
        </w:rPr>
        <w:t xml:space="preserve"> ustawy o VAT</w:t>
      </w:r>
    </w:p>
    <w:p w14:paraId="075A9D1B" w14:textId="49E15A25" w:rsidR="000D516A" w:rsidRPr="007B20B5" w:rsidRDefault="000D516A" w:rsidP="00061F4F">
      <w:pPr>
        <w:pStyle w:val="p"/>
        <w:spacing w:before="240" w:line="340" w:lineRule="atLeast"/>
        <w:rPr>
          <w:rFonts w:ascii="Times New Roman" w:hAnsi="Times New Roman" w:cs="Times New Roman"/>
          <w:color w:val="auto"/>
          <w:sz w:val="24"/>
          <w:szCs w:val="24"/>
        </w:rPr>
      </w:pPr>
      <w:r w:rsidRPr="007B20B5">
        <w:rPr>
          <w:rFonts w:ascii="Times New Roman" w:hAnsi="Times New Roman" w:cs="Times New Roman"/>
          <w:color w:val="auto"/>
          <w:sz w:val="24"/>
          <w:szCs w:val="24"/>
        </w:rPr>
        <w:t>Art. 110</w:t>
      </w:r>
      <w:r w:rsidR="0048257F">
        <w:rPr>
          <w:rFonts w:ascii="Times New Roman" w:hAnsi="Times New Roman" w:cs="Times New Roman"/>
          <w:color w:val="auto"/>
          <w:sz w:val="24"/>
          <w:szCs w:val="24"/>
        </w:rPr>
        <w:t>c</w:t>
      </w:r>
      <w:r w:rsidRPr="007B20B5">
        <w:rPr>
          <w:rFonts w:ascii="Times New Roman" w:hAnsi="Times New Roman" w:cs="Times New Roman"/>
          <w:color w:val="auto"/>
          <w:sz w:val="24"/>
          <w:szCs w:val="24"/>
        </w:rPr>
        <w:t xml:space="preserve"> ustawy o VA</w:t>
      </w:r>
      <w:r w:rsidR="004C7962" w:rsidRPr="007B20B5">
        <w:rPr>
          <w:rFonts w:ascii="Times New Roman" w:hAnsi="Times New Roman" w:cs="Times New Roman"/>
          <w:color w:val="auto"/>
          <w:sz w:val="24"/>
          <w:szCs w:val="24"/>
        </w:rPr>
        <w:t>T stanowi implementację art. 243d</w:t>
      </w:r>
      <w:r w:rsidRPr="007B20B5">
        <w:rPr>
          <w:rFonts w:ascii="Times New Roman" w:hAnsi="Times New Roman" w:cs="Times New Roman"/>
          <w:color w:val="auto"/>
          <w:sz w:val="24"/>
          <w:szCs w:val="24"/>
        </w:rPr>
        <w:t xml:space="preserve"> dyrektywy VAT</w:t>
      </w:r>
      <w:r w:rsidR="00272DCE" w:rsidRPr="007B20B5">
        <w:rPr>
          <w:rFonts w:ascii="Times New Roman" w:hAnsi="Times New Roman" w:cs="Times New Roman"/>
          <w:color w:val="auto"/>
          <w:sz w:val="24"/>
          <w:szCs w:val="24"/>
        </w:rPr>
        <w:t>.</w:t>
      </w:r>
    </w:p>
    <w:p w14:paraId="446CFFA7" w14:textId="336AF3BA" w:rsidR="00272DCE" w:rsidRPr="007B20B5" w:rsidRDefault="006C3C49" w:rsidP="00061F4F">
      <w:pPr>
        <w:pStyle w:val="p"/>
        <w:spacing w:before="240" w:line="340" w:lineRule="atLeast"/>
        <w:rPr>
          <w:rFonts w:ascii="Times New Roman" w:hAnsi="Times New Roman" w:cs="Times New Roman"/>
          <w:color w:val="auto"/>
          <w:sz w:val="24"/>
          <w:szCs w:val="24"/>
        </w:rPr>
      </w:pPr>
      <w:r w:rsidRPr="006C3C49">
        <w:rPr>
          <w:rFonts w:ascii="Times New Roman" w:hAnsi="Times New Roman" w:cs="Times New Roman"/>
          <w:color w:val="auto"/>
          <w:sz w:val="24"/>
          <w:szCs w:val="24"/>
        </w:rPr>
        <w:t xml:space="preserve">Szczegółowy zakres danych, które </w:t>
      </w:r>
      <w:r w:rsidR="007F445F">
        <w:rPr>
          <w:rFonts w:ascii="Times New Roman" w:hAnsi="Times New Roman" w:cs="Times New Roman"/>
          <w:color w:val="auto"/>
          <w:sz w:val="24"/>
          <w:szCs w:val="24"/>
        </w:rPr>
        <w:t xml:space="preserve">powinna zawierać </w:t>
      </w:r>
      <w:r>
        <w:rPr>
          <w:rFonts w:ascii="Times New Roman" w:hAnsi="Times New Roman" w:cs="Times New Roman"/>
          <w:color w:val="auto"/>
          <w:sz w:val="24"/>
          <w:szCs w:val="24"/>
        </w:rPr>
        <w:t>ewidencja</w:t>
      </w:r>
      <w:r w:rsidRPr="006C3C49">
        <w:rPr>
          <w:rFonts w:ascii="Times New Roman" w:hAnsi="Times New Roman" w:cs="Times New Roman"/>
          <w:color w:val="auto"/>
          <w:sz w:val="24"/>
          <w:szCs w:val="24"/>
        </w:rPr>
        <w:t xml:space="preserve"> </w:t>
      </w:r>
      <w:r w:rsidR="007F445F" w:rsidRPr="007B20B5">
        <w:rPr>
          <w:rFonts w:ascii="Times New Roman" w:hAnsi="Times New Roman" w:cs="Times New Roman"/>
          <w:color w:val="auto"/>
          <w:sz w:val="24"/>
          <w:szCs w:val="24"/>
        </w:rPr>
        <w:t>prowadzona przez dostawców usług płatniczych</w:t>
      </w:r>
      <w:r w:rsidR="007F445F">
        <w:rPr>
          <w:rFonts w:ascii="Times New Roman" w:hAnsi="Times New Roman" w:cs="Times New Roman"/>
          <w:color w:val="auto"/>
          <w:sz w:val="24"/>
          <w:szCs w:val="24"/>
        </w:rPr>
        <w:t xml:space="preserve"> określa </w:t>
      </w:r>
      <w:r w:rsidRPr="006C3C49">
        <w:rPr>
          <w:rFonts w:ascii="Times New Roman" w:hAnsi="Times New Roman" w:cs="Times New Roman"/>
          <w:color w:val="auto"/>
          <w:sz w:val="24"/>
          <w:szCs w:val="24"/>
        </w:rPr>
        <w:t xml:space="preserve">projektowany </w:t>
      </w:r>
      <w:r w:rsidR="007F445F" w:rsidRPr="007B20B5">
        <w:rPr>
          <w:rFonts w:ascii="Times New Roman" w:hAnsi="Times New Roman" w:cs="Times New Roman"/>
          <w:b/>
          <w:color w:val="auto"/>
          <w:sz w:val="24"/>
          <w:szCs w:val="24"/>
        </w:rPr>
        <w:t>art. 110</w:t>
      </w:r>
      <w:r w:rsidR="0048257F">
        <w:rPr>
          <w:rFonts w:ascii="Times New Roman" w:hAnsi="Times New Roman" w:cs="Times New Roman"/>
          <w:b/>
          <w:color w:val="auto"/>
          <w:sz w:val="24"/>
          <w:szCs w:val="24"/>
        </w:rPr>
        <w:t>c</w:t>
      </w:r>
      <w:r w:rsidR="007F445F" w:rsidRPr="007B20B5">
        <w:rPr>
          <w:rFonts w:ascii="Times New Roman" w:hAnsi="Times New Roman" w:cs="Times New Roman"/>
          <w:b/>
          <w:color w:val="auto"/>
          <w:sz w:val="24"/>
          <w:szCs w:val="24"/>
        </w:rPr>
        <w:t xml:space="preserve"> ustawy o VAT</w:t>
      </w:r>
      <w:r w:rsidR="007F445F">
        <w:rPr>
          <w:rFonts w:ascii="Times New Roman" w:hAnsi="Times New Roman" w:cs="Times New Roman"/>
          <w:b/>
          <w:color w:val="auto"/>
          <w:sz w:val="24"/>
          <w:szCs w:val="24"/>
        </w:rPr>
        <w:t>.</w:t>
      </w:r>
      <w:r w:rsidR="007F445F" w:rsidRPr="007B20B5">
        <w:rPr>
          <w:rFonts w:ascii="Times New Roman" w:hAnsi="Times New Roman" w:cs="Times New Roman"/>
          <w:color w:val="auto"/>
          <w:sz w:val="24"/>
          <w:szCs w:val="24"/>
        </w:rPr>
        <w:t xml:space="preserve"> </w:t>
      </w:r>
      <w:r w:rsidR="007F445F">
        <w:rPr>
          <w:rFonts w:ascii="Times New Roman" w:hAnsi="Times New Roman" w:cs="Times New Roman"/>
          <w:color w:val="auto"/>
          <w:sz w:val="24"/>
          <w:szCs w:val="24"/>
        </w:rPr>
        <w:t>Zgodnie z tym przepisem,</w:t>
      </w:r>
      <w:r w:rsidR="00272DCE" w:rsidRPr="007B20B5">
        <w:rPr>
          <w:rFonts w:ascii="Times New Roman" w:hAnsi="Times New Roman" w:cs="Times New Roman"/>
          <w:color w:val="auto"/>
          <w:sz w:val="24"/>
          <w:szCs w:val="24"/>
        </w:rPr>
        <w:t xml:space="preserve"> ewidencja prowadzona przez dostawców usług płatniczych, powinna zawierać następujące informacje:</w:t>
      </w:r>
    </w:p>
    <w:p w14:paraId="29D9AED2" w14:textId="225974E0" w:rsidR="0040282E" w:rsidRPr="007B20B5" w:rsidRDefault="00876DA3" w:rsidP="0040282E">
      <w:pPr>
        <w:pStyle w:val="p"/>
        <w:numPr>
          <w:ilvl w:val="0"/>
          <w:numId w:val="41"/>
        </w:numPr>
        <w:spacing w:before="120" w:line="340" w:lineRule="atLeas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BIC lub </w:t>
      </w:r>
      <w:r w:rsidR="00207E3C" w:rsidRPr="007B20B5">
        <w:rPr>
          <w:rFonts w:ascii="Times New Roman" w:eastAsia="Calibri" w:hAnsi="Times New Roman" w:cs="Times New Roman"/>
          <w:color w:val="auto"/>
          <w:sz w:val="24"/>
          <w:szCs w:val="24"/>
          <w:lang w:eastAsia="en-US"/>
        </w:rPr>
        <w:t>inny kod identyfikacyjny instytucji, który jednoznacznie identyfikuje dostawcę usług płatniczych;</w:t>
      </w:r>
    </w:p>
    <w:p w14:paraId="5A775A4A" w14:textId="77777777" w:rsidR="00A061DB" w:rsidRPr="00A061DB" w:rsidRDefault="00207E3C" w:rsidP="00A061DB">
      <w:pPr>
        <w:pStyle w:val="p"/>
        <w:numPr>
          <w:ilvl w:val="0"/>
          <w:numId w:val="41"/>
        </w:numPr>
        <w:spacing w:before="120" w:line="340" w:lineRule="atLeast"/>
        <w:rPr>
          <w:rFonts w:ascii="Times New Roman" w:hAnsi="Times New Roman"/>
          <w:bCs/>
          <w:sz w:val="24"/>
          <w:szCs w:val="24"/>
        </w:rPr>
      </w:pPr>
      <w:r w:rsidRPr="007B20B5">
        <w:rPr>
          <w:rFonts w:ascii="Times New Roman" w:eastAsia="Calibri" w:hAnsi="Times New Roman" w:cs="Times New Roman"/>
          <w:color w:val="auto"/>
          <w:sz w:val="24"/>
          <w:szCs w:val="24"/>
          <w:lang w:eastAsia="en-US"/>
        </w:rPr>
        <w:t xml:space="preserve">imię i nazwisko lub nazwę odbiorcy płatności </w:t>
      </w:r>
      <w:r w:rsidR="00A061DB" w:rsidRPr="00A061DB">
        <w:rPr>
          <w:rFonts w:ascii="Times New Roman" w:hAnsi="Times New Roman"/>
          <w:bCs/>
          <w:sz w:val="24"/>
          <w:szCs w:val="24"/>
        </w:rPr>
        <w:t>zgodnie z danymi posiadanymi przez dostawcę usług płatniczych;</w:t>
      </w:r>
    </w:p>
    <w:p w14:paraId="5C4859F6" w14:textId="5CE57955" w:rsidR="0040282E" w:rsidRPr="007B20B5" w:rsidRDefault="009D5F28" w:rsidP="009D5F28">
      <w:pPr>
        <w:pStyle w:val="p"/>
        <w:numPr>
          <w:ilvl w:val="0"/>
          <w:numId w:val="41"/>
        </w:numPr>
        <w:spacing w:before="120" w:line="340" w:lineRule="atLeast"/>
        <w:rPr>
          <w:rFonts w:ascii="Times New Roman" w:eastAsia="Calibri" w:hAnsi="Times New Roman" w:cs="Times New Roman"/>
          <w:color w:val="auto"/>
          <w:sz w:val="24"/>
          <w:szCs w:val="24"/>
          <w:lang w:eastAsia="en-US"/>
        </w:rPr>
      </w:pPr>
      <w:r w:rsidRPr="009D5F28">
        <w:rPr>
          <w:rFonts w:ascii="Times New Roman" w:eastAsia="Calibri" w:hAnsi="Times New Roman" w:cs="Times New Roman"/>
          <w:color w:val="auto"/>
          <w:sz w:val="24"/>
          <w:szCs w:val="24"/>
          <w:lang w:eastAsia="en-US"/>
        </w:rPr>
        <w:t xml:space="preserve">numer, za pomocą którego odbiorca płatności jest zidentyfikowany na potrzeby podatku lub podatku od wartości dodanej lub inny numer, za pomocą którego </w:t>
      </w:r>
      <w:r w:rsidR="00A72750">
        <w:rPr>
          <w:rFonts w:ascii="Times New Roman" w:eastAsia="Calibri" w:hAnsi="Times New Roman" w:cs="Times New Roman"/>
          <w:color w:val="auto"/>
          <w:sz w:val="24"/>
          <w:szCs w:val="24"/>
          <w:lang w:eastAsia="en-US"/>
        </w:rPr>
        <w:t>odbiorca</w:t>
      </w:r>
      <w:r w:rsidRPr="009D5F28">
        <w:rPr>
          <w:rFonts w:ascii="Times New Roman" w:eastAsia="Calibri" w:hAnsi="Times New Roman" w:cs="Times New Roman"/>
          <w:color w:val="auto"/>
          <w:sz w:val="24"/>
          <w:szCs w:val="24"/>
          <w:lang w:eastAsia="en-US"/>
        </w:rPr>
        <w:t xml:space="preserve"> płatności jest zidentyfikowany dla celów po</w:t>
      </w:r>
      <w:r>
        <w:rPr>
          <w:rFonts w:ascii="Times New Roman" w:eastAsia="Calibri" w:hAnsi="Times New Roman" w:cs="Times New Roman"/>
          <w:color w:val="auto"/>
          <w:sz w:val="24"/>
          <w:szCs w:val="24"/>
          <w:lang w:eastAsia="en-US"/>
        </w:rPr>
        <w:t>datkowych, jeżeli jest dostępny</w:t>
      </w:r>
      <w:r w:rsidR="00207E3C" w:rsidRPr="007B20B5">
        <w:rPr>
          <w:rFonts w:ascii="Times New Roman" w:eastAsia="Calibri" w:hAnsi="Times New Roman" w:cs="Times New Roman"/>
          <w:color w:val="auto"/>
          <w:sz w:val="24"/>
          <w:szCs w:val="24"/>
          <w:lang w:eastAsia="en-US"/>
        </w:rPr>
        <w:t>;</w:t>
      </w:r>
    </w:p>
    <w:p w14:paraId="04ABD886" w14:textId="6585D1FB" w:rsidR="0040282E" w:rsidRPr="007B20B5" w:rsidRDefault="00207E3C" w:rsidP="0040282E">
      <w:pPr>
        <w:pStyle w:val="p"/>
        <w:numPr>
          <w:ilvl w:val="0"/>
          <w:numId w:val="41"/>
        </w:numPr>
        <w:spacing w:before="120" w:line="340" w:lineRule="atLeast"/>
        <w:rPr>
          <w:rFonts w:ascii="Times New Roman" w:eastAsia="Calibri" w:hAnsi="Times New Roman" w:cs="Times New Roman"/>
          <w:color w:val="auto"/>
          <w:sz w:val="24"/>
          <w:szCs w:val="24"/>
          <w:lang w:eastAsia="en-US"/>
        </w:rPr>
      </w:pPr>
      <w:r w:rsidRPr="007B20B5">
        <w:rPr>
          <w:rFonts w:ascii="Times New Roman" w:eastAsia="Calibri" w:hAnsi="Times New Roman" w:cs="Times New Roman"/>
          <w:color w:val="auto"/>
          <w:sz w:val="24"/>
          <w:szCs w:val="24"/>
          <w:lang w:eastAsia="en-US"/>
        </w:rPr>
        <w:t xml:space="preserve">IBAN, </w:t>
      </w:r>
      <w:r w:rsidR="00E62DB8">
        <w:rPr>
          <w:rFonts w:ascii="Times New Roman" w:eastAsia="Calibri" w:hAnsi="Times New Roman" w:cs="Times New Roman"/>
          <w:color w:val="auto"/>
          <w:sz w:val="24"/>
          <w:szCs w:val="24"/>
          <w:lang w:eastAsia="en-US"/>
        </w:rPr>
        <w:t xml:space="preserve">a </w:t>
      </w:r>
      <w:r w:rsidRPr="007B20B5">
        <w:rPr>
          <w:rFonts w:ascii="Times New Roman" w:eastAsia="Calibri" w:hAnsi="Times New Roman" w:cs="Times New Roman"/>
          <w:color w:val="auto"/>
          <w:sz w:val="24"/>
          <w:szCs w:val="24"/>
          <w:lang w:eastAsia="en-US"/>
        </w:rPr>
        <w:t>jeżeli IBAN nie jest dostępny, inny identyfikator, który jednoznacznie identyfikuje odbiorcę płatności oraz podaje jego lokalizację;</w:t>
      </w:r>
    </w:p>
    <w:p w14:paraId="4A25281D" w14:textId="6F47B3DA" w:rsidR="0040282E" w:rsidRPr="007B20B5" w:rsidRDefault="00876DA3" w:rsidP="0040282E">
      <w:pPr>
        <w:pStyle w:val="p"/>
        <w:numPr>
          <w:ilvl w:val="0"/>
          <w:numId w:val="41"/>
        </w:numPr>
        <w:spacing w:before="120" w:line="340" w:lineRule="atLeas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BIC lub </w:t>
      </w:r>
      <w:r w:rsidR="00207E3C" w:rsidRPr="007B20B5">
        <w:rPr>
          <w:rFonts w:ascii="Times New Roman" w:eastAsia="Calibri" w:hAnsi="Times New Roman" w:cs="Times New Roman"/>
          <w:color w:val="auto"/>
          <w:sz w:val="24"/>
          <w:szCs w:val="24"/>
          <w:lang w:eastAsia="en-US"/>
        </w:rPr>
        <w:t>inny kod identyfikacyjny instytucji, który jednoznacznie identyfikuje dostawcę usług płatniczych działającego w imieniu odbiorcy płatności oraz podaje jego lokalizację, w przypadku gdy odbiorca płatności otrzymuje środki pieniężne nie mając rachunku płatniczego;</w:t>
      </w:r>
    </w:p>
    <w:p w14:paraId="0D065417" w14:textId="6ABE2EBA" w:rsidR="0040282E" w:rsidRPr="007B20B5" w:rsidRDefault="00207E3C" w:rsidP="0040282E">
      <w:pPr>
        <w:pStyle w:val="p"/>
        <w:numPr>
          <w:ilvl w:val="0"/>
          <w:numId w:val="41"/>
        </w:numPr>
        <w:spacing w:before="120" w:line="340" w:lineRule="atLeast"/>
        <w:rPr>
          <w:rFonts w:ascii="Times New Roman" w:eastAsia="Calibri" w:hAnsi="Times New Roman" w:cs="Times New Roman"/>
          <w:color w:val="auto"/>
          <w:sz w:val="24"/>
          <w:szCs w:val="24"/>
          <w:lang w:eastAsia="en-US"/>
        </w:rPr>
      </w:pPr>
      <w:r w:rsidRPr="007B20B5">
        <w:rPr>
          <w:rFonts w:ascii="Times New Roman" w:eastAsia="Calibri" w:hAnsi="Times New Roman" w:cs="Times New Roman"/>
          <w:color w:val="auto"/>
          <w:sz w:val="24"/>
          <w:szCs w:val="24"/>
          <w:lang w:eastAsia="en-US"/>
        </w:rPr>
        <w:lastRenderedPageBreak/>
        <w:t xml:space="preserve">adres odbiorcy płatności, </w:t>
      </w:r>
      <w:r w:rsidR="00A061DB">
        <w:rPr>
          <w:rFonts w:ascii="Times New Roman" w:eastAsia="Calibri" w:hAnsi="Times New Roman" w:cs="Times New Roman"/>
          <w:color w:val="auto"/>
          <w:sz w:val="24"/>
          <w:szCs w:val="24"/>
          <w:lang w:eastAsia="en-US"/>
        </w:rPr>
        <w:t xml:space="preserve">jeżeli jest dostępny, </w:t>
      </w:r>
      <w:r w:rsidR="00A061DB" w:rsidRPr="00A061DB">
        <w:rPr>
          <w:rFonts w:ascii="Times New Roman" w:eastAsia="Calibri" w:hAnsi="Times New Roman" w:cs="Times New Roman"/>
          <w:color w:val="auto"/>
          <w:sz w:val="24"/>
          <w:szCs w:val="24"/>
          <w:lang w:eastAsia="en-US"/>
        </w:rPr>
        <w:t>zgodnie z danymi posiadanymi przez dostawcę usług płatniczych</w:t>
      </w:r>
      <w:r w:rsidRPr="007B20B5">
        <w:rPr>
          <w:rFonts w:ascii="Times New Roman" w:eastAsia="Calibri" w:hAnsi="Times New Roman" w:cs="Times New Roman"/>
          <w:color w:val="auto"/>
          <w:sz w:val="24"/>
          <w:szCs w:val="24"/>
          <w:lang w:eastAsia="en-US"/>
        </w:rPr>
        <w:t>;</w:t>
      </w:r>
    </w:p>
    <w:p w14:paraId="70D8725F" w14:textId="2F26F032" w:rsidR="00207E3C" w:rsidRPr="008C6CDC" w:rsidRDefault="00207E3C" w:rsidP="008C6CDC">
      <w:pPr>
        <w:pStyle w:val="p"/>
        <w:numPr>
          <w:ilvl w:val="0"/>
          <w:numId w:val="41"/>
        </w:numPr>
        <w:spacing w:before="120" w:line="340" w:lineRule="atLeast"/>
        <w:rPr>
          <w:rFonts w:ascii="Times New Roman" w:eastAsia="Calibri" w:hAnsi="Times New Roman" w:cs="Times New Roman"/>
          <w:color w:val="auto"/>
          <w:sz w:val="24"/>
          <w:szCs w:val="24"/>
          <w:lang w:eastAsia="en-US"/>
        </w:rPr>
      </w:pPr>
      <w:r w:rsidRPr="007B20B5">
        <w:rPr>
          <w:rFonts w:ascii="Times New Roman" w:eastAsia="Calibri" w:hAnsi="Times New Roman" w:cs="Times New Roman"/>
          <w:color w:val="auto"/>
          <w:sz w:val="24"/>
          <w:szCs w:val="24"/>
          <w:lang w:eastAsia="en-US"/>
        </w:rPr>
        <w:t>dane dotyczące</w:t>
      </w:r>
      <w:r w:rsidR="008C6CDC">
        <w:rPr>
          <w:rFonts w:ascii="Times New Roman" w:eastAsia="Calibri" w:hAnsi="Times New Roman" w:cs="Times New Roman"/>
          <w:color w:val="auto"/>
          <w:sz w:val="24"/>
          <w:szCs w:val="24"/>
          <w:lang w:eastAsia="en-US"/>
        </w:rPr>
        <w:t xml:space="preserve"> </w:t>
      </w:r>
      <w:r w:rsidRPr="008C6CDC">
        <w:rPr>
          <w:rFonts w:ascii="Times New Roman" w:eastAsia="Calibri" w:hAnsi="Times New Roman" w:cs="Times New Roman"/>
          <w:color w:val="auto"/>
          <w:sz w:val="24"/>
          <w:szCs w:val="24"/>
          <w:lang w:eastAsia="en-US"/>
        </w:rPr>
        <w:t>płatności transgranicznych</w:t>
      </w:r>
      <w:r w:rsidR="008C6CDC">
        <w:rPr>
          <w:rFonts w:ascii="Times New Roman" w:eastAsia="Calibri" w:hAnsi="Times New Roman" w:cs="Times New Roman"/>
          <w:color w:val="auto"/>
          <w:sz w:val="24"/>
          <w:szCs w:val="24"/>
          <w:lang w:eastAsia="en-US"/>
        </w:rPr>
        <w:t xml:space="preserve"> oraz </w:t>
      </w:r>
      <w:r w:rsidRPr="008C6CDC">
        <w:rPr>
          <w:rFonts w:ascii="Times New Roman" w:eastAsia="Calibri" w:hAnsi="Times New Roman" w:cs="Times New Roman"/>
          <w:color w:val="auto"/>
          <w:sz w:val="24"/>
          <w:szCs w:val="24"/>
          <w:lang w:eastAsia="en-US"/>
        </w:rPr>
        <w:t>zwrotów płatności zidentyfikowanych jako odnoszące się do płatności transgranicznych</w:t>
      </w:r>
      <w:r w:rsidR="008C6CDC">
        <w:rPr>
          <w:rFonts w:ascii="Times New Roman" w:eastAsia="Calibri" w:hAnsi="Times New Roman" w:cs="Times New Roman"/>
          <w:color w:val="auto"/>
          <w:sz w:val="24"/>
          <w:szCs w:val="24"/>
          <w:lang w:eastAsia="en-US"/>
        </w:rPr>
        <w:t>:</w:t>
      </w:r>
    </w:p>
    <w:p w14:paraId="5173BECF" w14:textId="313A89C2" w:rsidR="008C6CDC" w:rsidRPr="007B20B5" w:rsidRDefault="00207E3C" w:rsidP="008C6CDC">
      <w:pPr>
        <w:pStyle w:val="p"/>
        <w:numPr>
          <w:ilvl w:val="0"/>
          <w:numId w:val="49"/>
        </w:numPr>
        <w:spacing w:before="120" w:after="120" w:line="340" w:lineRule="atLeast"/>
        <w:rPr>
          <w:rFonts w:ascii="Times New Roman" w:eastAsia="Calibri" w:hAnsi="Times New Roman" w:cs="Times New Roman"/>
          <w:color w:val="auto"/>
          <w:sz w:val="24"/>
          <w:szCs w:val="24"/>
          <w:lang w:eastAsia="en-US"/>
        </w:rPr>
      </w:pPr>
      <w:r w:rsidRPr="007B20B5">
        <w:rPr>
          <w:rFonts w:ascii="Times New Roman" w:eastAsia="Calibri" w:hAnsi="Times New Roman" w:cs="Times New Roman"/>
          <w:color w:val="auto"/>
          <w:sz w:val="24"/>
          <w:szCs w:val="24"/>
          <w:lang w:eastAsia="en-US"/>
        </w:rPr>
        <w:t>datę i godzinę dokonania płatności lub zwrotu płatności;</w:t>
      </w:r>
    </w:p>
    <w:p w14:paraId="7FD42E83" w14:textId="2DC3AFD2" w:rsidR="008C6CDC" w:rsidRPr="008C6CDC" w:rsidRDefault="00207E3C" w:rsidP="008C6CDC">
      <w:pPr>
        <w:pStyle w:val="p"/>
        <w:numPr>
          <w:ilvl w:val="0"/>
          <w:numId w:val="49"/>
        </w:numPr>
        <w:spacing w:before="120" w:after="120" w:line="340" w:lineRule="atLeast"/>
        <w:rPr>
          <w:rFonts w:ascii="Times New Roman" w:eastAsia="Calibri" w:hAnsi="Times New Roman" w:cs="Times New Roman"/>
          <w:color w:val="auto"/>
          <w:sz w:val="24"/>
          <w:szCs w:val="24"/>
          <w:lang w:eastAsia="en-US"/>
        </w:rPr>
      </w:pPr>
      <w:r w:rsidRPr="008C6CDC">
        <w:rPr>
          <w:rFonts w:ascii="Times New Roman" w:eastAsia="Calibri" w:hAnsi="Times New Roman" w:cs="Times New Roman"/>
          <w:color w:val="auto"/>
          <w:sz w:val="24"/>
          <w:szCs w:val="24"/>
          <w:lang w:eastAsia="en-US"/>
        </w:rPr>
        <w:t>kwotę i walutę płatności lub zwrotu płatności;</w:t>
      </w:r>
    </w:p>
    <w:p w14:paraId="71523613" w14:textId="1F7ED573" w:rsidR="008C6CDC" w:rsidRPr="008C6CDC" w:rsidRDefault="00207E3C" w:rsidP="008C6CDC">
      <w:pPr>
        <w:pStyle w:val="p"/>
        <w:numPr>
          <w:ilvl w:val="0"/>
          <w:numId w:val="49"/>
        </w:numPr>
        <w:spacing w:before="120" w:after="120" w:line="340" w:lineRule="atLeast"/>
        <w:rPr>
          <w:rFonts w:ascii="Times New Roman" w:eastAsia="Calibri" w:hAnsi="Times New Roman" w:cs="Times New Roman"/>
          <w:color w:val="auto"/>
          <w:sz w:val="24"/>
          <w:szCs w:val="24"/>
          <w:lang w:eastAsia="en-US"/>
        </w:rPr>
      </w:pPr>
      <w:r w:rsidRPr="008C6CDC">
        <w:rPr>
          <w:rFonts w:ascii="Times New Roman" w:eastAsia="Calibri" w:hAnsi="Times New Roman" w:cs="Times New Roman"/>
          <w:color w:val="auto"/>
          <w:sz w:val="24"/>
          <w:szCs w:val="24"/>
          <w:lang w:eastAsia="en-US"/>
        </w:rPr>
        <w:t>państwo członkowskie pochodzenia płatności otrzymanej</w:t>
      </w:r>
      <w:r w:rsidR="00876DA3" w:rsidRPr="008C6CDC">
        <w:rPr>
          <w:rFonts w:ascii="Times New Roman" w:eastAsia="Calibri" w:hAnsi="Times New Roman" w:cs="Times New Roman"/>
          <w:color w:val="auto"/>
          <w:sz w:val="24"/>
          <w:szCs w:val="24"/>
          <w:lang w:eastAsia="en-US"/>
        </w:rPr>
        <w:t xml:space="preserve"> przez odbiorcę płatności lub w </w:t>
      </w:r>
      <w:r w:rsidRPr="008C6CDC">
        <w:rPr>
          <w:rFonts w:ascii="Times New Roman" w:eastAsia="Calibri" w:hAnsi="Times New Roman" w:cs="Times New Roman"/>
          <w:color w:val="auto"/>
          <w:sz w:val="24"/>
          <w:szCs w:val="24"/>
          <w:lang w:eastAsia="en-US"/>
        </w:rPr>
        <w:t>imieniu odbiorcy płatności</w:t>
      </w:r>
      <w:r w:rsidR="00E62DB8">
        <w:rPr>
          <w:rFonts w:ascii="Times New Roman" w:eastAsia="Calibri" w:hAnsi="Times New Roman" w:cs="Times New Roman"/>
          <w:color w:val="auto"/>
          <w:sz w:val="24"/>
          <w:szCs w:val="24"/>
          <w:lang w:eastAsia="en-US"/>
        </w:rPr>
        <w:t xml:space="preserve"> lub</w:t>
      </w:r>
      <w:r w:rsidRPr="008C6CDC">
        <w:rPr>
          <w:rFonts w:ascii="Times New Roman" w:eastAsia="Calibri" w:hAnsi="Times New Roman" w:cs="Times New Roman"/>
          <w:color w:val="auto"/>
          <w:sz w:val="24"/>
          <w:szCs w:val="24"/>
          <w:lang w:eastAsia="en-US"/>
        </w:rPr>
        <w:t xml:space="preserve">, </w:t>
      </w:r>
      <w:r w:rsidR="00E62DB8">
        <w:rPr>
          <w:rFonts w:ascii="Times New Roman" w:eastAsia="Calibri" w:hAnsi="Times New Roman" w:cs="Times New Roman"/>
          <w:color w:val="auto"/>
          <w:sz w:val="24"/>
          <w:szCs w:val="24"/>
          <w:lang w:eastAsia="en-US"/>
        </w:rPr>
        <w:t xml:space="preserve">odpowiednio </w:t>
      </w:r>
      <w:r w:rsidR="003666B2" w:rsidRPr="008C6CDC">
        <w:rPr>
          <w:rFonts w:ascii="Times New Roman" w:eastAsia="Calibri" w:hAnsi="Times New Roman" w:cs="Times New Roman"/>
          <w:color w:val="auto"/>
          <w:sz w:val="24"/>
          <w:szCs w:val="24"/>
          <w:lang w:eastAsia="en-US"/>
        </w:rPr>
        <w:t xml:space="preserve">państwo członkowskie przeznaczenia zwrotu płatności, </w:t>
      </w:r>
      <w:r w:rsidRPr="008C6CDC">
        <w:rPr>
          <w:rFonts w:ascii="Times New Roman" w:eastAsia="Calibri" w:hAnsi="Times New Roman" w:cs="Times New Roman"/>
          <w:color w:val="auto"/>
          <w:sz w:val="24"/>
          <w:szCs w:val="24"/>
          <w:lang w:eastAsia="en-US"/>
        </w:rPr>
        <w:t>oraz informacje</w:t>
      </w:r>
      <w:r w:rsidR="00E62DB8">
        <w:rPr>
          <w:rFonts w:ascii="Times New Roman" w:eastAsia="Calibri" w:hAnsi="Times New Roman" w:cs="Times New Roman"/>
          <w:color w:val="auto"/>
          <w:sz w:val="24"/>
          <w:szCs w:val="24"/>
          <w:lang w:eastAsia="en-US"/>
        </w:rPr>
        <w:t>,</w:t>
      </w:r>
      <w:r w:rsidRPr="008C6CDC">
        <w:rPr>
          <w:rFonts w:ascii="Times New Roman" w:eastAsia="Calibri" w:hAnsi="Times New Roman" w:cs="Times New Roman"/>
          <w:color w:val="auto"/>
          <w:sz w:val="24"/>
          <w:szCs w:val="24"/>
          <w:lang w:eastAsia="en-US"/>
        </w:rPr>
        <w:t xml:space="preserve"> </w:t>
      </w:r>
      <w:r w:rsidR="00E62DB8" w:rsidRPr="00E62DB8">
        <w:rPr>
          <w:rFonts w:ascii="Times New Roman" w:eastAsia="Calibri" w:hAnsi="Times New Roman" w:cs="Times New Roman"/>
          <w:color w:val="auto"/>
          <w:sz w:val="24"/>
          <w:szCs w:val="24"/>
          <w:lang w:eastAsia="en-US"/>
        </w:rPr>
        <w:t>o których mowa w art. 110b ust. 3</w:t>
      </w:r>
      <w:r w:rsidR="00E62DB8">
        <w:rPr>
          <w:rFonts w:ascii="Times New Roman" w:eastAsia="Calibri" w:hAnsi="Times New Roman" w:cs="Times New Roman"/>
          <w:color w:val="auto"/>
          <w:sz w:val="24"/>
          <w:szCs w:val="24"/>
          <w:lang w:eastAsia="en-US"/>
        </w:rPr>
        <w:t xml:space="preserve">, </w:t>
      </w:r>
      <w:r w:rsidRPr="008C6CDC">
        <w:rPr>
          <w:rFonts w:ascii="Times New Roman" w:eastAsia="Calibri" w:hAnsi="Times New Roman" w:cs="Times New Roman"/>
          <w:color w:val="auto"/>
          <w:sz w:val="24"/>
          <w:szCs w:val="24"/>
          <w:lang w:eastAsia="en-US"/>
        </w:rPr>
        <w:t>wykorzystane do określenia miejsca pochodzenia lub przeznaczenia płatności lub zwrotu płatnoś</w:t>
      </w:r>
      <w:r w:rsidR="00876DA3" w:rsidRPr="008C6CDC">
        <w:rPr>
          <w:rFonts w:ascii="Times New Roman" w:eastAsia="Calibri" w:hAnsi="Times New Roman" w:cs="Times New Roman"/>
          <w:color w:val="auto"/>
          <w:sz w:val="24"/>
          <w:szCs w:val="24"/>
          <w:lang w:eastAsia="en-US"/>
        </w:rPr>
        <w:t>ci</w:t>
      </w:r>
      <w:r w:rsidRPr="008C6CDC">
        <w:rPr>
          <w:rFonts w:ascii="Times New Roman" w:eastAsia="Calibri" w:hAnsi="Times New Roman" w:cs="Times New Roman"/>
          <w:color w:val="auto"/>
          <w:sz w:val="24"/>
          <w:szCs w:val="24"/>
          <w:lang w:eastAsia="en-US"/>
        </w:rPr>
        <w:t>;</w:t>
      </w:r>
    </w:p>
    <w:p w14:paraId="2BD7F2A9" w14:textId="332EF248" w:rsidR="008C6CDC" w:rsidRPr="008C6CDC" w:rsidRDefault="00207E3C" w:rsidP="008C6CDC">
      <w:pPr>
        <w:pStyle w:val="p"/>
        <w:numPr>
          <w:ilvl w:val="0"/>
          <w:numId w:val="49"/>
        </w:numPr>
        <w:spacing w:before="120" w:after="120" w:line="340" w:lineRule="atLeast"/>
        <w:rPr>
          <w:rFonts w:ascii="Times New Roman" w:eastAsia="Calibri" w:hAnsi="Times New Roman" w:cs="Times New Roman"/>
          <w:color w:val="auto"/>
          <w:sz w:val="24"/>
          <w:szCs w:val="24"/>
          <w:lang w:eastAsia="en-US"/>
        </w:rPr>
      </w:pPr>
      <w:r w:rsidRPr="008C6CDC">
        <w:rPr>
          <w:rFonts w:ascii="Times New Roman" w:eastAsia="Calibri" w:hAnsi="Times New Roman" w:cs="Times New Roman"/>
          <w:color w:val="auto"/>
          <w:sz w:val="24"/>
          <w:szCs w:val="24"/>
          <w:lang w:eastAsia="en-US"/>
        </w:rPr>
        <w:t>informacje,</w:t>
      </w:r>
      <w:r w:rsidR="00E62DB8" w:rsidRPr="00E62DB8">
        <w:t xml:space="preserve"> </w:t>
      </w:r>
      <w:r w:rsidR="00E62DB8" w:rsidRPr="00E62DB8">
        <w:rPr>
          <w:rFonts w:ascii="Times New Roman" w:eastAsia="Calibri" w:hAnsi="Times New Roman" w:cs="Times New Roman"/>
          <w:color w:val="auto"/>
          <w:sz w:val="24"/>
          <w:szCs w:val="24"/>
          <w:lang w:eastAsia="en-US"/>
        </w:rPr>
        <w:t>inne niż wymienione w lit. a-c</w:t>
      </w:r>
      <w:r w:rsidR="00E62DB8">
        <w:rPr>
          <w:rFonts w:ascii="Times New Roman" w:eastAsia="Calibri" w:hAnsi="Times New Roman" w:cs="Times New Roman"/>
          <w:color w:val="auto"/>
          <w:sz w:val="24"/>
          <w:szCs w:val="24"/>
          <w:lang w:eastAsia="en-US"/>
        </w:rPr>
        <w:t>,</w:t>
      </w:r>
      <w:r w:rsidRPr="008C6CDC">
        <w:rPr>
          <w:rFonts w:ascii="Times New Roman" w:eastAsia="Calibri" w:hAnsi="Times New Roman" w:cs="Times New Roman"/>
          <w:color w:val="auto"/>
          <w:sz w:val="24"/>
          <w:szCs w:val="24"/>
          <w:lang w:eastAsia="en-US"/>
        </w:rPr>
        <w:t xml:space="preserve"> które jednoznacznie identyfikują płatność;</w:t>
      </w:r>
    </w:p>
    <w:p w14:paraId="0ACC8016" w14:textId="593C9B6E" w:rsidR="00822207" w:rsidRPr="008C6CDC" w:rsidRDefault="00207E3C" w:rsidP="008C6CDC">
      <w:pPr>
        <w:pStyle w:val="p"/>
        <w:numPr>
          <w:ilvl w:val="0"/>
          <w:numId w:val="49"/>
        </w:numPr>
        <w:spacing w:before="120" w:after="120" w:line="340" w:lineRule="atLeast"/>
        <w:rPr>
          <w:rFonts w:ascii="Times New Roman" w:eastAsia="Calibri" w:hAnsi="Times New Roman" w:cs="Times New Roman"/>
          <w:color w:val="auto"/>
          <w:sz w:val="24"/>
          <w:szCs w:val="24"/>
          <w:lang w:eastAsia="en-US"/>
        </w:rPr>
      </w:pPr>
      <w:r w:rsidRPr="008C6CDC">
        <w:rPr>
          <w:rFonts w:ascii="Times New Roman" w:eastAsia="Calibri" w:hAnsi="Times New Roman" w:cs="Times New Roman"/>
          <w:color w:val="auto"/>
          <w:sz w:val="24"/>
          <w:szCs w:val="24"/>
          <w:lang w:eastAsia="en-US"/>
        </w:rPr>
        <w:t>informacj</w:t>
      </w:r>
      <w:r w:rsidR="00E62DB8">
        <w:rPr>
          <w:rFonts w:ascii="Times New Roman" w:eastAsia="Calibri" w:hAnsi="Times New Roman" w:cs="Times New Roman"/>
          <w:color w:val="auto"/>
          <w:sz w:val="24"/>
          <w:szCs w:val="24"/>
          <w:lang w:eastAsia="en-US"/>
        </w:rPr>
        <w:t>ę</w:t>
      </w:r>
      <w:r w:rsidRPr="008C6CDC">
        <w:rPr>
          <w:rFonts w:ascii="Times New Roman" w:eastAsia="Calibri" w:hAnsi="Times New Roman" w:cs="Times New Roman"/>
          <w:color w:val="auto"/>
          <w:sz w:val="24"/>
          <w:szCs w:val="24"/>
          <w:lang w:eastAsia="en-US"/>
        </w:rPr>
        <w:t xml:space="preserve">, że płatność jest inicjowana </w:t>
      </w:r>
      <w:r w:rsidR="00876DA3" w:rsidRPr="008C6CDC">
        <w:rPr>
          <w:rFonts w:ascii="Times New Roman" w:eastAsia="Calibri" w:hAnsi="Times New Roman" w:cs="Times New Roman"/>
          <w:color w:val="auto"/>
          <w:sz w:val="24"/>
          <w:szCs w:val="24"/>
          <w:lang w:eastAsia="en-US"/>
        </w:rPr>
        <w:t>w fizycznym lokalu akceptanta.</w:t>
      </w:r>
    </w:p>
    <w:p w14:paraId="24DAA2BA" w14:textId="0523BF2E" w:rsidR="000D516A" w:rsidRPr="007B20B5" w:rsidRDefault="000D516A" w:rsidP="00876DA3">
      <w:pPr>
        <w:spacing w:before="240" w:line="340" w:lineRule="atLeast"/>
        <w:jc w:val="both"/>
        <w:rPr>
          <w:rFonts w:ascii="Times New Roman" w:hAnsi="Times New Roman"/>
          <w:sz w:val="24"/>
          <w:szCs w:val="24"/>
        </w:rPr>
      </w:pPr>
      <w:r w:rsidRPr="007B20B5">
        <w:rPr>
          <w:rFonts w:ascii="Times New Roman" w:hAnsi="Times New Roman"/>
          <w:sz w:val="24"/>
          <w:szCs w:val="24"/>
        </w:rPr>
        <w:t>Niektóre z elementów danych wymaganych na mocy art. 110</w:t>
      </w:r>
      <w:r w:rsidR="008C6CDC">
        <w:rPr>
          <w:rFonts w:ascii="Times New Roman" w:hAnsi="Times New Roman"/>
          <w:sz w:val="24"/>
          <w:szCs w:val="24"/>
        </w:rPr>
        <w:t>c</w:t>
      </w:r>
      <w:r w:rsidRPr="007B20B5">
        <w:rPr>
          <w:rFonts w:ascii="Times New Roman" w:hAnsi="Times New Roman"/>
          <w:sz w:val="24"/>
          <w:szCs w:val="24"/>
        </w:rPr>
        <w:t xml:space="preserve"> są fakultatywne i muszą zostać podane jedynie w zakresie posiadanej przez dostawcę usług płatniczych wiedzy. Zostało to wprowadzone specjalnie w celu uniknięcia żądania elementów danych, które mogą nie być dostępne dla wszystkich dostawców usług płatniczych, ponieważ (i) albo nie są obowiązkowe dla przetwarzania transakcji płatniczej (np. numer VAT, adres, nazwa w przypadku poleceń przelewu lub poleceń zapłaty), albo (ii) ich format nie jest zharmonizowany (np. nazwa i adres w przypadku polecenia przelewu).</w:t>
      </w:r>
    </w:p>
    <w:p w14:paraId="29984AD2" w14:textId="06764B0B" w:rsidR="00E9457D" w:rsidRPr="007B20B5" w:rsidRDefault="00E9457D" w:rsidP="00E9457D">
      <w:pPr>
        <w:spacing w:before="240" w:line="340" w:lineRule="atLeast"/>
        <w:jc w:val="both"/>
        <w:rPr>
          <w:rFonts w:ascii="Times New Roman" w:hAnsi="Times New Roman"/>
          <w:sz w:val="24"/>
          <w:szCs w:val="24"/>
        </w:rPr>
      </w:pPr>
      <w:r w:rsidRPr="007B20B5">
        <w:rPr>
          <w:rFonts w:ascii="Times New Roman" w:hAnsi="Times New Roman"/>
          <w:sz w:val="24"/>
          <w:szCs w:val="24"/>
        </w:rPr>
        <w:t>Wymagane są informacje, które są dostępne dla dostawcy usług płatniczych. Pozostałe informacje, które mogą nie być dostępne miałyby być przekazywane tylko, o ile są dostępne dla dostawcy usług płatniczych (np. kompletność adresu może być różna u różnych dostawców usług płatniczych – możliwe jest, że dostawca usług płatniczych płatnika nie zna dokładnego adresu odbiorcy płatności na podstawie informacji podanych przez płatnika w momencie inicjowania płatności, jednak dostawca usług płatniczych odbiorcy płatności zawsze będzie posiadał te informacje w swoich rejestrach).</w:t>
      </w:r>
    </w:p>
    <w:p w14:paraId="527B2A03" w14:textId="77777777" w:rsidR="00E9457D" w:rsidRPr="007B20B5" w:rsidRDefault="00E9457D" w:rsidP="00E9457D">
      <w:pPr>
        <w:spacing w:before="240" w:line="340" w:lineRule="atLeast"/>
        <w:jc w:val="both"/>
        <w:rPr>
          <w:rFonts w:ascii="Times New Roman" w:hAnsi="Times New Roman"/>
          <w:sz w:val="24"/>
          <w:szCs w:val="24"/>
        </w:rPr>
      </w:pPr>
      <w:r w:rsidRPr="007B20B5">
        <w:rPr>
          <w:rFonts w:ascii="Times New Roman" w:hAnsi="Times New Roman"/>
          <w:sz w:val="24"/>
          <w:szCs w:val="24"/>
        </w:rPr>
        <w:t>Dostawcy usług płatniczych muszą w stosownych przypadkach prowadzić ewidencję wszelkich podatkowych numerów identyfikacyjnych lub numerów VAT danego odbiorcy. Numery identyfikacyjne VAT (krajowe lub w ramach procedury OSS</w:t>
      </w:r>
      <w:r w:rsidR="00822207" w:rsidRPr="007B20B5">
        <w:rPr>
          <w:rFonts w:ascii="Times New Roman" w:hAnsi="Times New Roman"/>
          <w:sz w:val="24"/>
          <w:szCs w:val="24"/>
        </w:rPr>
        <w:t>, IOSS</w:t>
      </w:r>
      <w:r w:rsidRPr="007B20B5">
        <w:rPr>
          <w:rFonts w:ascii="Times New Roman" w:hAnsi="Times New Roman"/>
          <w:sz w:val="24"/>
          <w:szCs w:val="24"/>
        </w:rPr>
        <w:t xml:space="preserve">) są niezbędne organom podatkowym państw członkowskich do identyfikacji podatników VAT i do sprawdzania ich informacji na temat płatności z odpowiednimi deklaracjami i </w:t>
      </w:r>
      <w:r w:rsidR="00822207" w:rsidRPr="007B20B5">
        <w:rPr>
          <w:rFonts w:ascii="Times New Roman" w:hAnsi="Times New Roman"/>
          <w:sz w:val="24"/>
          <w:szCs w:val="24"/>
        </w:rPr>
        <w:t>płatnościami z tytułu VAT lub w </w:t>
      </w:r>
      <w:r w:rsidRPr="007B20B5">
        <w:rPr>
          <w:rFonts w:ascii="Times New Roman" w:hAnsi="Times New Roman"/>
          <w:sz w:val="24"/>
          <w:szCs w:val="24"/>
        </w:rPr>
        <w:t>ramach OSS</w:t>
      </w:r>
      <w:r w:rsidR="00822207" w:rsidRPr="007B20B5">
        <w:rPr>
          <w:rFonts w:ascii="Times New Roman" w:hAnsi="Times New Roman"/>
          <w:sz w:val="24"/>
          <w:szCs w:val="24"/>
        </w:rPr>
        <w:t>/IOSS</w:t>
      </w:r>
      <w:r w:rsidRPr="007B20B5">
        <w:rPr>
          <w:rFonts w:ascii="Times New Roman" w:hAnsi="Times New Roman"/>
          <w:sz w:val="24"/>
          <w:szCs w:val="24"/>
        </w:rPr>
        <w:t xml:space="preserve">. Dostawcy usług płatniczych mogą nie znać numeru identyfikacyjnego VAT odbiorcy (gdy odbiorca nie ma takiego numeru lub posiada go, ale nie ujawnia go dostawcy usług płatniczych). Z tego względu ten element danych, choć bardzo cenny dla krzyżowego sprawdzenia informacji w CESOP, jest wymagany tylko wtedy, gdy jest dostępny dla dostawcy usług płatniczych. W takim wypadku organy podatkowe będą musiały uruchomić </w:t>
      </w:r>
      <w:r w:rsidRPr="007B20B5">
        <w:rPr>
          <w:rFonts w:ascii="Times New Roman" w:hAnsi="Times New Roman"/>
          <w:sz w:val="24"/>
          <w:szCs w:val="24"/>
        </w:rPr>
        <w:lastRenderedPageBreak/>
        <w:t>niezbędne procedury (na szczeblu krajowym lub z wykorzystaniem współpracy administracyjnej), aby ustalić, czy dany odbiorca jest podatnikiem i czy powstają w danym przypadku zobowiązania z tytułu podatku VAT.</w:t>
      </w:r>
    </w:p>
    <w:p w14:paraId="1C45892A" w14:textId="4769F09F" w:rsidR="000D516A" w:rsidRPr="007B20B5" w:rsidRDefault="00A575E2" w:rsidP="0028760B">
      <w:pPr>
        <w:spacing w:before="240" w:line="340" w:lineRule="atLeast"/>
        <w:jc w:val="both"/>
        <w:rPr>
          <w:rFonts w:ascii="Times New Roman" w:hAnsi="Times New Roman"/>
          <w:sz w:val="24"/>
          <w:szCs w:val="24"/>
        </w:rPr>
      </w:pPr>
      <w:r w:rsidRPr="007B20B5">
        <w:rPr>
          <w:rFonts w:ascii="Times New Roman" w:hAnsi="Times New Roman"/>
          <w:sz w:val="24"/>
          <w:szCs w:val="24"/>
        </w:rPr>
        <w:t>W świetle powyższego, dostawca usług płatniczych będzie obowiązany do ewidencjonowania informacji określonych w art. 110</w:t>
      </w:r>
      <w:r w:rsidR="008C6CDC">
        <w:rPr>
          <w:rFonts w:ascii="Times New Roman" w:hAnsi="Times New Roman"/>
          <w:sz w:val="24"/>
          <w:szCs w:val="24"/>
        </w:rPr>
        <w:t>c</w:t>
      </w:r>
      <w:r w:rsidRPr="007B20B5">
        <w:rPr>
          <w:rFonts w:ascii="Times New Roman" w:hAnsi="Times New Roman"/>
          <w:sz w:val="24"/>
          <w:szCs w:val="24"/>
        </w:rPr>
        <w:t xml:space="preserve"> ustawy o VAT, </w:t>
      </w:r>
      <w:r w:rsidR="00F328C6" w:rsidRPr="007B20B5">
        <w:rPr>
          <w:rFonts w:ascii="Times New Roman" w:hAnsi="Times New Roman"/>
          <w:sz w:val="24"/>
          <w:szCs w:val="24"/>
        </w:rPr>
        <w:t>dotyczących</w:t>
      </w:r>
      <w:r w:rsidRPr="007B20B5">
        <w:rPr>
          <w:rFonts w:ascii="Times New Roman" w:hAnsi="Times New Roman"/>
          <w:sz w:val="24"/>
          <w:szCs w:val="24"/>
        </w:rPr>
        <w:t xml:space="preserve"> usług płatniczych świadczonych przez niego w odniesieniu do płatności transgranicznych.</w:t>
      </w:r>
    </w:p>
    <w:p w14:paraId="4E01C3C1" w14:textId="78AF7B14" w:rsidR="00095BD0" w:rsidRDefault="00095BD0" w:rsidP="0028760B">
      <w:pPr>
        <w:spacing w:before="240" w:after="360" w:line="340" w:lineRule="atLeast"/>
        <w:jc w:val="both"/>
        <w:rPr>
          <w:rFonts w:ascii="Times New Roman" w:hAnsi="Times New Roman"/>
          <w:sz w:val="24"/>
          <w:szCs w:val="24"/>
        </w:rPr>
      </w:pPr>
      <w:r w:rsidRPr="007B20B5">
        <w:rPr>
          <w:rFonts w:ascii="Times New Roman" w:hAnsi="Times New Roman"/>
          <w:sz w:val="24"/>
          <w:szCs w:val="24"/>
        </w:rPr>
        <w:t xml:space="preserve">Należy zauważyć, że rejestry, które mają być prowadzone przez dostawców usług </w:t>
      </w:r>
      <w:r w:rsidR="00840149" w:rsidRPr="007B20B5">
        <w:rPr>
          <w:rFonts w:ascii="Times New Roman" w:hAnsi="Times New Roman"/>
          <w:sz w:val="24"/>
          <w:szCs w:val="24"/>
        </w:rPr>
        <w:t>płatniczych</w:t>
      </w:r>
      <w:r w:rsidRPr="007B20B5">
        <w:rPr>
          <w:rFonts w:ascii="Times New Roman" w:hAnsi="Times New Roman"/>
          <w:sz w:val="24"/>
          <w:szCs w:val="24"/>
        </w:rPr>
        <w:t xml:space="preserve">, będą zawierały jedynie informacje umożliwiające identyfikację dostawcy usług płatniczych prowadzącego rejestr, odbiorcy </w:t>
      </w:r>
      <w:r w:rsidR="00E12C95">
        <w:rPr>
          <w:rFonts w:ascii="Times New Roman" w:hAnsi="Times New Roman"/>
          <w:sz w:val="24"/>
          <w:szCs w:val="24"/>
        </w:rPr>
        <w:t xml:space="preserve">płatności </w:t>
      </w:r>
      <w:r w:rsidRPr="007B20B5">
        <w:rPr>
          <w:rFonts w:ascii="Times New Roman" w:hAnsi="Times New Roman"/>
          <w:sz w:val="24"/>
          <w:szCs w:val="24"/>
        </w:rPr>
        <w:t xml:space="preserve">oraz informacje o płatnościach otrzymanych przez </w:t>
      </w:r>
      <w:r w:rsidR="00E12C95">
        <w:rPr>
          <w:rFonts w:ascii="Times New Roman" w:hAnsi="Times New Roman"/>
          <w:sz w:val="24"/>
          <w:szCs w:val="24"/>
        </w:rPr>
        <w:t xml:space="preserve">tego </w:t>
      </w:r>
      <w:r w:rsidRPr="007B20B5">
        <w:rPr>
          <w:rFonts w:ascii="Times New Roman" w:hAnsi="Times New Roman"/>
          <w:sz w:val="24"/>
          <w:szCs w:val="24"/>
        </w:rPr>
        <w:t xml:space="preserve">odbiorcę. Informacje identyfikacyjne dotyczące </w:t>
      </w:r>
      <w:r w:rsidR="00840149" w:rsidRPr="007B20B5">
        <w:rPr>
          <w:rFonts w:ascii="Times New Roman" w:hAnsi="Times New Roman"/>
          <w:sz w:val="24"/>
          <w:szCs w:val="24"/>
        </w:rPr>
        <w:t>płatników</w:t>
      </w:r>
      <w:r w:rsidRPr="007B20B5">
        <w:rPr>
          <w:rFonts w:ascii="Times New Roman" w:hAnsi="Times New Roman"/>
          <w:sz w:val="24"/>
          <w:szCs w:val="24"/>
        </w:rPr>
        <w:t xml:space="preserve"> nie będą włączone do ewidencji, ponieważ nie są one niezbędne do wykrywania oszustw związanych z podatkiem VAT. Ponadto dostawcy usług </w:t>
      </w:r>
      <w:r w:rsidR="00840149" w:rsidRPr="007B20B5">
        <w:rPr>
          <w:rFonts w:ascii="Times New Roman" w:hAnsi="Times New Roman"/>
          <w:sz w:val="24"/>
          <w:szCs w:val="24"/>
        </w:rPr>
        <w:t>płatniczych</w:t>
      </w:r>
      <w:r w:rsidRPr="007B20B5">
        <w:rPr>
          <w:rFonts w:ascii="Times New Roman" w:hAnsi="Times New Roman"/>
          <w:sz w:val="24"/>
          <w:szCs w:val="24"/>
        </w:rPr>
        <w:t xml:space="preserve"> nie zawsze wiedzą</w:t>
      </w:r>
      <w:r w:rsidR="00840149" w:rsidRPr="007B20B5">
        <w:rPr>
          <w:rFonts w:ascii="Times New Roman" w:hAnsi="Times New Roman"/>
          <w:sz w:val="24"/>
          <w:szCs w:val="24"/>
        </w:rPr>
        <w:t xml:space="preserve">, czy </w:t>
      </w:r>
      <w:r w:rsidRPr="007B20B5">
        <w:rPr>
          <w:rFonts w:ascii="Times New Roman" w:hAnsi="Times New Roman"/>
          <w:sz w:val="24"/>
          <w:szCs w:val="24"/>
        </w:rPr>
        <w:t>pł</w:t>
      </w:r>
      <w:r w:rsidR="00840149" w:rsidRPr="007B20B5">
        <w:rPr>
          <w:rFonts w:ascii="Times New Roman" w:hAnsi="Times New Roman"/>
          <w:sz w:val="24"/>
          <w:szCs w:val="24"/>
        </w:rPr>
        <w:t>atnic</w:t>
      </w:r>
      <w:r w:rsidRPr="007B20B5">
        <w:rPr>
          <w:rFonts w:ascii="Times New Roman" w:hAnsi="Times New Roman"/>
          <w:sz w:val="24"/>
          <w:szCs w:val="24"/>
        </w:rPr>
        <w:t>y są podatnikami czy tylko prywatnymi konsumentami. Dlatego też</w:t>
      </w:r>
      <w:r w:rsidR="00840149" w:rsidRPr="007B20B5">
        <w:rPr>
          <w:rFonts w:ascii="Times New Roman" w:hAnsi="Times New Roman"/>
          <w:sz w:val="24"/>
          <w:szCs w:val="24"/>
        </w:rPr>
        <w:t xml:space="preserve"> w przypadku przekroczenia progu 25 transakcji, dostawca usług płatniczych będzie musiał przechowywać informacje dotyczące wszystkich płatności otrzymanych przez danego odbiorcę, bez rozróżnienia na płatności </w:t>
      </w:r>
      <w:r w:rsidR="003E75D9">
        <w:rPr>
          <w:rFonts w:ascii="Times New Roman" w:hAnsi="Times New Roman"/>
          <w:sz w:val="24"/>
          <w:szCs w:val="24"/>
        </w:rPr>
        <w:t>dokonane</w:t>
      </w:r>
      <w:r w:rsidR="00840149" w:rsidRPr="007B20B5">
        <w:rPr>
          <w:rFonts w:ascii="Times New Roman" w:hAnsi="Times New Roman"/>
          <w:sz w:val="24"/>
          <w:szCs w:val="24"/>
        </w:rPr>
        <w:t xml:space="preserve"> przez konsumentów lub przedsiębiorców prowadzących działalność gospodarczą.</w:t>
      </w:r>
    </w:p>
    <w:p w14:paraId="4791F634" w14:textId="77777777" w:rsidR="0048257F" w:rsidRPr="0048257F" w:rsidRDefault="0048257F" w:rsidP="0048257F">
      <w:pPr>
        <w:spacing w:before="240" w:after="360" w:line="340" w:lineRule="atLeast"/>
        <w:jc w:val="both"/>
        <w:rPr>
          <w:rFonts w:ascii="Times New Roman" w:hAnsi="Times New Roman"/>
          <w:b/>
          <w:sz w:val="24"/>
          <w:szCs w:val="24"/>
        </w:rPr>
      </w:pPr>
      <w:r w:rsidRPr="0048257F">
        <w:rPr>
          <w:rFonts w:ascii="Times New Roman" w:hAnsi="Times New Roman"/>
          <w:b/>
          <w:sz w:val="24"/>
          <w:szCs w:val="24"/>
        </w:rPr>
        <w:t>Art. 110d ustawy o VAT</w:t>
      </w:r>
    </w:p>
    <w:p w14:paraId="0ACE4D4B" w14:textId="77777777" w:rsidR="0028760B" w:rsidRDefault="0048257F" w:rsidP="0028760B">
      <w:pPr>
        <w:spacing w:before="240" w:after="240" w:line="340" w:lineRule="atLeast"/>
        <w:jc w:val="both"/>
        <w:rPr>
          <w:rFonts w:ascii="Times New Roman" w:hAnsi="Times New Roman"/>
          <w:sz w:val="24"/>
          <w:szCs w:val="24"/>
        </w:rPr>
      </w:pPr>
      <w:r>
        <w:rPr>
          <w:rFonts w:ascii="Times New Roman" w:hAnsi="Times New Roman"/>
          <w:sz w:val="24"/>
          <w:szCs w:val="24"/>
        </w:rPr>
        <w:t>Art. 110d</w:t>
      </w:r>
      <w:r w:rsidRPr="0048257F">
        <w:rPr>
          <w:rFonts w:ascii="Times New Roman" w:hAnsi="Times New Roman"/>
          <w:sz w:val="24"/>
          <w:szCs w:val="24"/>
        </w:rPr>
        <w:t xml:space="preserve"> ustawy o VAT stanowi impleme</w:t>
      </w:r>
      <w:r>
        <w:rPr>
          <w:rFonts w:ascii="Times New Roman" w:hAnsi="Times New Roman"/>
          <w:sz w:val="24"/>
          <w:szCs w:val="24"/>
        </w:rPr>
        <w:t>ntację art. 243b ust. 4</w:t>
      </w:r>
      <w:r w:rsidRPr="0048257F">
        <w:rPr>
          <w:rFonts w:ascii="Times New Roman" w:hAnsi="Times New Roman"/>
          <w:sz w:val="24"/>
          <w:szCs w:val="24"/>
        </w:rPr>
        <w:t xml:space="preserve"> </w:t>
      </w:r>
      <w:r>
        <w:rPr>
          <w:rFonts w:ascii="Times New Roman" w:hAnsi="Times New Roman"/>
          <w:sz w:val="24"/>
          <w:szCs w:val="24"/>
        </w:rPr>
        <w:t xml:space="preserve">lit. a </w:t>
      </w:r>
      <w:r w:rsidRPr="0048257F">
        <w:rPr>
          <w:rFonts w:ascii="Times New Roman" w:hAnsi="Times New Roman"/>
          <w:sz w:val="24"/>
          <w:szCs w:val="24"/>
        </w:rPr>
        <w:t>dyrektywy VAT</w:t>
      </w:r>
      <w:r>
        <w:rPr>
          <w:rFonts w:ascii="Times New Roman" w:hAnsi="Times New Roman"/>
          <w:sz w:val="24"/>
          <w:szCs w:val="24"/>
        </w:rPr>
        <w:t>.</w:t>
      </w:r>
    </w:p>
    <w:p w14:paraId="3489CCAB" w14:textId="2777EE5F" w:rsidR="0048257F" w:rsidRDefault="0048257F" w:rsidP="0028760B">
      <w:pPr>
        <w:spacing w:before="240" w:after="240" w:line="340" w:lineRule="atLeast"/>
        <w:jc w:val="both"/>
        <w:rPr>
          <w:rFonts w:ascii="Times New Roman" w:hAnsi="Times New Roman"/>
          <w:sz w:val="24"/>
          <w:szCs w:val="24"/>
        </w:rPr>
      </w:pPr>
      <w:r>
        <w:rPr>
          <w:rFonts w:ascii="Times New Roman" w:hAnsi="Times New Roman"/>
          <w:sz w:val="24"/>
          <w:szCs w:val="24"/>
        </w:rPr>
        <w:t>Zgodnie z projektowanym art. 110d</w:t>
      </w:r>
      <w:r w:rsidRPr="0048257F">
        <w:rPr>
          <w:rFonts w:ascii="Times New Roman" w:hAnsi="Times New Roman"/>
          <w:sz w:val="24"/>
          <w:szCs w:val="24"/>
        </w:rPr>
        <w:t xml:space="preserve"> ustawy o VAT ewidencję prowadzoną na podstawie proponowanego art. 110b ust. 1 ustawy o VAT należy przechowywać przez okres 3 lat od zakończenia roku podatkowego, w którym nastąpiła płatność. Przepis ten stanowi transpozycję art. 243b ust. 4 lit. a dyrektywy VAT, który wprost reguluje zharmonizowany w całej Unii Europejskiej okres przechowywania wskazanej ewidencji.</w:t>
      </w:r>
    </w:p>
    <w:p w14:paraId="4E4F130A" w14:textId="4486874D" w:rsidR="0048257F" w:rsidRPr="0048257F" w:rsidRDefault="0048257F" w:rsidP="0028760B">
      <w:pPr>
        <w:spacing w:before="240" w:after="240" w:line="340" w:lineRule="atLeast"/>
        <w:jc w:val="both"/>
        <w:rPr>
          <w:rFonts w:ascii="Times New Roman" w:hAnsi="Times New Roman"/>
          <w:b/>
          <w:sz w:val="24"/>
          <w:szCs w:val="24"/>
        </w:rPr>
      </w:pPr>
      <w:r w:rsidRPr="0048257F">
        <w:rPr>
          <w:rFonts w:ascii="Times New Roman" w:hAnsi="Times New Roman"/>
          <w:b/>
          <w:sz w:val="24"/>
          <w:szCs w:val="24"/>
        </w:rPr>
        <w:t>Art. 110e ustawy o VAT</w:t>
      </w:r>
    </w:p>
    <w:p w14:paraId="257D7FB5" w14:textId="710CBEAC" w:rsidR="0048257F" w:rsidRPr="0048257F" w:rsidRDefault="0048257F" w:rsidP="0028760B">
      <w:pPr>
        <w:spacing w:before="240" w:after="240" w:line="340" w:lineRule="atLeast"/>
        <w:jc w:val="both"/>
        <w:rPr>
          <w:rFonts w:ascii="Times New Roman" w:hAnsi="Times New Roman"/>
          <w:sz w:val="24"/>
          <w:szCs w:val="24"/>
        </w:rPr>
      </w:pPr>
      <w:r>
        <w:rPr>
          <w:rFonts w:ascii="Times New Roman" w:hAnsi="Times New Roman"/>
          <w:sz w:val="24"/>
          <w:szCs w:val="24"/>
        </w:rPr>
        <w:t>Art. 110e</w:t>
      </w:r>
      <w:r w:rsidRPr="0048257F">
        <w:rPr>
          <w:rFonts w:ascii="Times New Roman" w:hAnsi="Times New Roman"/>
          <w:sz w:val="24"/>
          <w:szCs w:val="24"/>
        </w:rPr>
        <w:t xml:space="preserve"> ustawy o VAT stanowi impleme</w:t>
      </w:r>
      <w:r>
        <w:rPr>
          <w:rFonts w:ascii="Times New Roman" w:hAnsi="Times New Roman"/>
          <w:sz w:val="24"/>
          <w:szCs w:val="24"/>
        </w:rPr>
        <w:t>ntację art. 243b ust. 4</w:t>
      </w:r>
      <w:r w:rsidRPr="0048257F">
        <w:rPr>
          <w:rFonts w:ascii="Times New Roman" w:hAnsi="Times New Roman"/>
          <w:sz w:val="24"/>
          <w:szCs w:val="24"/>
        </w:rPr>
        <w:t xml:space="preserve"> </w:t>
      </w:r>
      <w:r>
        <w:rPr>
          <w:rFonts w:ascii="Times New Roman" w:hAnsi="Times New Roman"/>
          <w:sz w:val="24"/>
          <w:szCs w:val="24"/>
        </w:rPr>
        <w:t xml:space="preserve">lit. b </w:t>
      </w:r>
      <w:r w:rsidRPr="0048257F">
        <w:rPr>
          <w:rFonts w:ascii="Times New Roman" w:hAnsi="Times New Roman"/>
          <w:sz w:val="24"/>
          <w:szCs w:val="24"/>
        </w:rPr>
        <w:t>dyrektywy VAT</w:t>
      </w:r>
      <w:r>
        <w:rPr>
          <w:rFonts w:ascii="Times New Roman" w:hAnsi="Times New Roman"/>
          <w:sz w:val="24"/>
          <w:szCs w:val="24"/>
        </w:rPr>
        <w:t>.</w:t>
      </w:r>
      <w:r w:rsidRPr="0048257F">
        <w:rPr>
          <w:rFonts w:ascii="Times New Roman" w:hAnsi="Times New Roman"/>
          <w:sz w:val="24"/>
          <w:szCs w:val="24"/>
        </w:rPr>
        <w:t xml:space="preserve"> Z</w:t>
      </w:r>
      <w:r>
        <w:rPr>
          <w:rFonts w:ascii="Times New Roman" w:hAnsi="Times New Roman"/>
          <w:sz w:val="24"/>
          <w:szCs w:val="24"/>
        </w:rPr>
        <w:t>godnie z projektowanym art. 110e</w:t>
      </w:r>
      <w:r w:rsidRPr="0048257F">
        <w:rPr>
          <w:rFonts w:ascii="Times New Roman" w:hAnsi="Times New Roman"/>
          <w:sz w:val="24"/>
          <w:szCs w:val="24"/>
        </w:rPr>
        <w:t xml:space="preserve"> ustawy o VAT ewidencja prowadzona przez dostawców jest udostępniana zgodnie z art. 24b rozporządzenia 904/2010, czyli w terminie do końca miesiąca następującego po upływie kwartału, w którym nastąpiła płatność, za pomocą standardowego formularza elektronicznego, państwu członkowskiemu pochodzenia dostawcy usług płatniczych. Natomiast w przypadku gdy dostawca usług płatniczych świadczy usługi płatnicze w państwie członkowskim innym niż państwo członkowskie pochodzenia, ewidencja jest udostępniana przyjmującym państwom członkowskim. Dodany przepis jedynie odsyła do przepisu ww. rozporządzenia, gdyż przedmiotowe rozporządzenie jest bezpośrednio stosowane we wszystkich państwach członkowskich i nie wymaga implementacji do krajowego porządku prawnego. Ponadto przepis ten zawiera wyraźnie wskazanie, że w przypadku dostawców usług </w:t>
      </w:r>
      <w:r w:rsidRPr="0048257F">
        <w:rPr>
          <w:rFonts w:ascii="Times New Roman" w:hAnsi="Times New Roman"/>
          <w:sz w:val="24"/>
          <w:szCs w:val="24"/>
        </w:rPr>
        <w:lastRenderedPageBreak/>
        <w:t>płatniczych dla których państwem członkowskim pochodzenia lub przyjmującym państwom członkowskim jest Rzeczpospolita Polska, ewidencję udostępnia się Szefowi Krajowej Administracji Skarbowej.</w:t>
      </w:r>
    </w:p>
    <w:p w14:paraId="29423E49" w14:textId="59181F19" w:rsidR="0048257F" w:rsidRDefault="0048257F" w:rsidP="0048257F">
      <w:pPr>
        <w:spacing w:before="240" w:after="360" w:line="340" w:lineRule="atLeast"/>
        <w:jc w:val="both"/>
        <w:rPr>
          <w:rFonts w:ascii="Times New Roman" w:hAnsi="Times New Roman"/>
          <w:sz w:val="24"/>
          <w:szCs w:val="24"/>
        </w:rPr>
      </w:pPr>
      <w:r w:rsidRPr="0048257F">
        <w:rPr>
          <w:rFonts w:ascii="Times New Roman" w:hAnsi="Times New Roman"/>
          <w:sz w:val="24"/>
          <w:szCs w:val="24"/>
        </w:rPr>
        <w:t xml:space="preserve">Generalnie dostawca usług płatniczych będzie musiał zgłaszać usługi płatnicze, które świadczy w macierzystym państwie członkowskim, do tego państwa członkowskiego, a usługi płatnicze, które świadczy w innych państwach członkowskich z oddziałem lub bez oddziału - do tych </w:t>
      </w:r>
      <w:r w:rsidR="00E30F7B">
        <w:rPr>
          <w:rFonts w:ascii="Times New Roman" w:hAnsi="Times New Roman"/>
          <w:sz w:val="24"/>
          <w:szCs w:val="24"/>
        </w:rPr>
        <w:t>przyjmujących (</w:t>
      </w:r>
      <w:r w:rsidRPr="0048257F">
        <w:rPr>
          <w:rFonts w:ascii="Times New Roman" w:hAnsi="Times New Roman"/>
          <w:sz w:val="24"/>
          <w:szCs w:val="24"/>
        </w:rPr>
        <w:t>goszczących</w:t>
      </w:r>
      <w:r w:rsidR="00E30F7B">
        <w:rPr>
          <w:rFonts w:ascii="Times New Roman" w:hAnsi="Times New Roman"/>
          <w:sz w:val="24"/>
          <w:szCs w:val="24"/>
        </w:rPr>
        <w:t>)</w:t>
      </w:r>
      <w:r w:rsidRPr="0048257F">
        <w:rPr>
          <w:rFonts w:ascii="Times New Roman" w:hAnsi="Times New Roman"/>
          <w:sz w:val="24"/>
          <w:szCs w:val="24"/>
        </w:rPr>
        <w:t xml:space="preserve"> państw członkowskich. Dostawca usług płatniczych może według własnego uznania zorganizować wypełnianie obowiązku prowadzenia rejestrów wewnętrznie, ale dane muszą zostać przekazane do odpowiedniego rodzimego lub goszczącego państwa członkowskiego.</w:t>
      </w:r>
    </w:p>
    <w:p w14:paraId="1E78F06B" w14:textId="3A8B4B71" w:rsidR="004046ED" w:rsidRDefault="004046ED" w:rsidP="004046ED">
      <w:pPr>
        <w:pStyle w:val="Akapitzlist"/>
        <w:numPr>
          <w:ilvl w:val="0"/>
          <w:numId w:val="48"/>
        </w:numPr>
        <w:spacing w:before="240" w:after="360" w:line="340" w:lineRule="atLeast"/>
        <w:jc w:val="both"/>
        <w:rPr>
          <w:rFonts w:ascii="Times New Roman" w:hAnsi="Times New Roman"/>
          <w:b/>
          <w:sz w:val="24"/>
          <w:szCs w:val="24"/>
        </w:rPr>
      </w:pPr>
      <w:r w:rsidRPr="004046ED">
        <w:rPr>
          <w:rFonts w:ascii="Times New Roman" w:hAnsi="Times New Roman"/>
          <w:b/>
          <w:sz w:val="24"/>
          <w:szCs w:val="24"/>
        </w:rPr>
        <w:t>Zmiany w ustawie o KAS (art. 2)</w:t>
      </w:r>
    </w:p>
    <w:p w14:paraId="3E372124" w14:textId="77777777" w:rsidR="004B59C1" w:rsidRPr="004B59C1" w:rsidRDefault="004B59C1" w:rsidP="004B59C1">
      <w:pPr>
        <w:spacing w:before="240" w:after="360" w:line="340" w:lineRule="atLeast"/>
        <w:jc w:val="both"/>
        <w:rPr>
          <w:rFonts w:ascii="Times New Roman" w:hAnsi="Times New Roman"/>
          <w:sz w:val="24"/>
          <w:szCs w:val="24"/>
        </w:rPr>
      </w:pPr>
      <w:r w:rsidRPr="004B59C1">
        <w:rPr>
          <w:rFonts w:ascii="Times New Roman" w:hAnsi="Times New Roman"/>
          <w:sz w:val="24"/>
          <w:szCs w:val="24"/>
        </w:rPr>
        <w:t>Zgodnie z art. 24b ust. 2 rozporządzenia 904/2010 wprowadzonego rozporządzeniem 2020/283 państwa członkowskie/administracje podatkowe nie są zobowiązane do przechowywania danych dotyczących płatności we własnym systemie. Rozporządzenie dopuszcza jednak możliwość przechowywania tych danych przez państwa członkowskie („może przechowywać dane”). W związku z tym każda administracja podatkowa może zdecydować, czy chce przechowywać dane do własnego użytku, czy też nie.</w:t>
      </w:r>
    </w:p>
    <w:p w14:paraId="156DB812" w14:textId="77777777" w:rsidR="006145AE" w:rsidRPr="006145AE" w:rsidRDefault="006145AE" w:rsidP="006145AE">
      <w:pPr>
        <w:spacing w:before="240" w:after="360" w:line="340" w:lineRule="atLeast"/>
        <w:jc w:val="both"/>
        <w:rPr>
          <w:rFonts w:ascii="Times New Roman" w:hAnsi="Times New Roman"/>
          <w:sz w:val="24"/>
          <w:szCs w:val="24"/>
        </w:rPr>
      </w:pPr>
      <w:r w:rsidRPr="006145AE">
        <w:rPr>
          <w:rFonts w:ascii="Times New Roman" w:hAnsi="Times New Roman"/>
          <w:sz w:val="24"/>
          <w:szCs w:val="24"/>
        </w:rPr>
        <w:t xml:space="preserve">Polska korzystając z tej możliwości wprowadza zmiany w ustawie o KAS poprzez dodanie w </w:t>
      </w:r>
      <w:r w:rsidRPr="001A782D">
        <w:rPr>
          <w:rFonts w:ascii="Times New Roman" w:hAnsi="Times New Roman"/>
          <w:b/>
          <w:sz w:val="24"/>
          <w:szCs w:val="24"/>
        </w:rPr>
        <w:t>art. 35 w ust. 3 w pkt 1 lit. g</w:t>
      </w:r>
      <w:r w:rsidRPr="006145AE">
        <w:rPr>
          <w:rFonts w:ascii="Times New Roman" w:hAnsi="Times New Roman"/>
          <w:sz w:val="24"/>
          <w:szCs w:val="24"/>
        </w:rPr>
        <w:t>, wskazującej, że Centralny Rejestr Danych Podatkowych służy do gromadzenia i przetwarzania ewidencji, o której mowa w art. 110b ust. 1 ustawy o VAT.</w:t>
      </w:r>
    </w:p>
    <w:p w14:paraId="1FE99697" w14:textId="0E0EA97A" w:rsidR="00A978F8" w:rsidRPr="001631B2" w:rsidRDefault="006145AE" w:rsidP="00A978F8">
      <w:pPr>
        <w:spacing w:before="240" w:after="360" w:line="340" w:lineRule="atLeast"/>
        <w:jc w:val="both"/>
        <w:rPr>
          <w:rFonts w:ascii="Times New Roman" w:hAnsi="Times New Roman"/>
          <w:sz w:val="24"/>
          <w:szCs w:val="24"/>
          <w:highlight w:val="yellow"/>
        </w:rPr>
      </w:pPr>
      <w:r w:rsidRPr="006145AE">
        <w:rPr>
          <w:rFonts w:ascii="Times New Roman" w:hAnsi="Times New Roman"/>
          <w:sz w:val="24"/>
          <w:szCs w:val="24"/>
        </w:rPr>
        <w:t>Przewiduje się, że dane będą zgromadzone i  przetwarzane na podstawie dodanej w art. 35 ust. 3 w pkt 1 lit. g. Dane te będą przechowywane oraz przetwarzane przez Szefa Krajowej Administracji Skarbowej przez 5 lat, licząc od końca roku kalendarzowego, w którym upłynął termin przekazania  danych wynikających z ewidencji, a po upływie tego okresu usuwane. Przechowywanie danych jest niezbędne dla polskiej administracji podatkowej dla celów analitycznych i dowodowych. W zamyśle projektodawcy przepisów, użyte w art. 24b  rozporządzenia 904/2010 określenie „</w:t>
      </w:r>
      <w:bookmarkStart w:id="0" w:name="_GoBack"/>
      <w:bookmarkEnd w:id="0"/>
      <w:r w:rsidRPr="006145AE">
        <w:rPr>
          <w:rFonts w:ascii="Times New Roman" w:hAnsi="Times New Roman"/>
          <w:sz w:val="24"/>
          <w:szCs w:val="24"/>
        </w:rPr>
        <w:t xml:space="preserve">przechowywanie”  powinno obejmować także możliwość przetwarzania przechowywanych danych w celu ich wykorzystywania przez państwa członkowskie do swoich celów m.in. analitycznych.  Dodatkowo w celu wprowadzenia rozwiązania dotyczącego przechowywania tych danych i ich usuwania zmieniono więc brzmienie </w:t>
      </w:r>
      <w:r w:rsidRPr="001A782D">
        <w:rPr>
          <w:rFonts w:ascii="Times New Roman" w:hAnsi="Times New Roman"/>
          <w:b/>
          <w:sz w:val="24"/>
          <w:szCs w:val="24"/>
        </w:rPr>
        <w:t>art. 47b ustawy o KAS</w:t>
      </w:r>
      <w:r w:rsidRPr="006145AE">
        <w:rPr>
          <w:rFonts w:ascii="Times New Roman" w:hAnsi="Times New Roman"/>
          <w:sz w:val="24"/>
          <w:szCs w:val="24"/>
        </w:rPr>
        <w:t>.  Z uwagi na fakt, że w centralnym systemie CESOP dane będą przechowywane przez okres 5 lat od zakończenia roku, w którym państwa członkowskie przekazały informacje do systemu, należy w polskim systemie zapewnić przechowywanie danych jak w systemie centralnym, tj. 5 lat od zakończenia roku, w którym upłynął termin przekazania tych danych, poprzez uwzględnienie w ustawie odpowiedniego przepisu.</w:t>
      </w:r>
    </w:p>
    <w:p w14:paraId="1B93CF2F" w14:textId="01DA16AD" w:rsidR="003B6050" w:rsidRPr="007B20B5" w:rsidRDefault="00272DCE" w:rsidP="003B6050">
      <w:pPr>
        <w:pStyle w:val="Tekstkomentarza"/>
        <w:spacing w:before="240" w:line="340" w:lineRule="atLeast"/>
        <w:jc w:val="both"/>
        <w:rPr>
          <w:rFonts w:ascii="Times New Roman" w:hAnsi="Times New Roman"/>
          <w:b/>
          <w:sz w:val="24"/>
          <w:szCs w:val="24"/>
        </w:rPr>
      </w:pPr>
      <w:r w:rsidRPr="007B20B5">
        <w:rPr>
          <w:rFonts w:ascii="Times New Roman" w:hAnsi="Times New Roman"/>
          <w:b/>
          <w:sz w:val="24"/>
          <w:szCs w:val="24"/>
        </w:rPr>
        <w:lastRenderedPageBreak/>
        <w:t>I</w:t>
      </w:r>
      <w:r w:rsidR="003B6050" w:rsidRPr="007B20B5">
        <w:rPr>
          <w:rFonts w:ascii="Times New Roman" w:hAnsi="Times New Roman"/>
          <w:b/>
          <w:sz w:val="24"/>
          <w:szCs w:val="24"/>
        </w:rPr>
        <w:t>V.</w:t>
      </w:r>
      <w:r w:rsidR="003B6050" w:rsidRPr="007B20B5">
        <w:rPr>
          <w:rFonts w:ascii="Times New Roman" w:hAnsi="Times New Roman"/>
          <w:b/>
          <w:sz w:val="24"/>
          <w:szCs w:val="24"/>
        </w:rPr>
        <w:tab/>
        <w:t>Termin implemen</w:t>
      </w:r>
      <w:r w:rsidR="004C7962" w:rsidRPr="007B20B5">
        <w:rPr>
          <w:rFonts w:ascii="Times New Roman" w:hAnsi="Times New Roman"/>
          <w:b/>
          <w:sz w:val="24"/>
          <w:szCs w:val="24"/>
        </w:rPr>
        <w:t>tacji dyrektywy 2020/284</w:t>
      </w:r>
      <w:r w:rsidR="003B6050" w:rsidRPr="007B20B5">
        <w:rPr>
          <w:rFonts w:ascii="Times New Roman" w:hAnsi="Times New Roman"/>
          <w:b/>
          <w:sz w:val="24"/>
          <w:szCs w:val="24"/>
        </w:rPr>
        <w:t xml:space="preserve"> i obowiązki sprawozdawcze</w:t>
      </w:r>
    </w:p>
    <w:p w14:paraId="107FF72C" w14:textId="4E634079" w:rsidR="003B6050" w:rsidRPr="007B20B5" w:rsidRDefault="003B6050" w:rsidP="0090133E">
      <w:pPr>
        <w:pStyle w:val="Tekstkomentarza"/>
        <w:spacing w:before="240" w:after="360" w:line="340" w:lineRule="atLeast"/>
        <w:jc w:val="both"/>
        <w:rPr>
          <w:rFonts w:ascii="Times New Roman" w:hAnsi="Times New Roman"/>
          <w:sz w:val="24"/>
          <w:szCs w:val="24"/>
        </w:rPr>
      </w:pPr>
      <w:r w:rsidRPr="007B20B5">
        <w:rPr>
          <w:rFonts w:ascii="Times New Roman" w:hAnsi="Times New Roman"/>
          <w:sz w:val="24"/>
          <w:szCs w:val="24"/>
        </w:rPr>
        <w:t>Państwa członkowskie są zobowiązane przyjąć i opublikować, na</w:t>
      </w:r>
      <w:r w:rsidR="0090133E" w:rsidRPr="007B20B5">
        <w:rPr>
          <w:rFonts w:ascii="Times New Roman" w:hAnsi="Times New Roman"/>
          <w:sz w:val="24"/>
          <w:szCs w:val="24"/>
        </w:rPr>
        <w:t>jpóźniej do</w:t>
      </w:r>
      <w:r w:rsidR="004C7962" w:rsidRPr="007B20B5">
        <w:rPr>
          <w:rFonts w:ascii="Times New Roman" w:hAnsi="Times New Roman"/>
          <w:sz w:val="24"/>
          <w:szCs w:val="24"/>
        </w:rPr>
        <w:t xml:space="preserve"> 31 grudnia 2023</w:t>
      </w:r>
      <w:r w:rsidR="0090133E" w:rsidRPr="007B20B5">
        <w:rPr>
          <w:rFonts w:ascii="Times New Roman" w:hAnsi="Times New Roman"/>
          <w:sz w:val="24"/>
          <w:szCs w:val="24"/>
        </w:rPr>
        <w:t> </w:t>
      </w:r>
      <w:r w:rsidRPr="007B20B5">
        <w:rPr>
          <w:rFonts w:ascii="Times New Roman" w:hAnsi="Times New Roman"/>
          <w:sz w:val="24"/>
          <w:szCs w:val="24"/>
        </w:rPr>
        <w:t>r., przepisy ustawowe, wykonawcze i administracyjne niezb</w:t>
      </w:r>
      <w:r w:rsidR="004C7962" w:rsidRPr="007B20B5">
        <w:rPr>
          <w:rFonts w:ascii="Times New Roman" w:hAnsi="Times New Roman"/>
          <w:sz w:val="24"/>
          <w:szCs w:val="24"/>
        </w:rPr>
        <w:t>ędne do wykonania dyrektywy 2020/284</w:t>
      </w:r>
      <w:r w:rsidRPr="007B20B5">
        <w:rPr>
          <w:rFonts w:ascii="Times New Roman" w:hAnsi="Times New Roman"/>
          <w:sz w:val="24"/>
          <w:szCs w:val="24"/>
        </w:rPr>
        <w:t xml:space="preserve">. Państwa członkowskie mają obowiązek niezwłocznego przekazania Komisji tekstu tych przepisów. Państwa członkowskie stosują te </w:t>
      </w:r>
      <w:r w:rsidR="0090133E" w:rsidRPr="007B20B5">
        <w:rPr>
          <w:rFonts w:ascii="Times New Roman" w:hAnsi="Times New Roman"/>
          <w:sz w:val="24"/>
          <w:szCs w:val="24"/>
        </w:rPr>
        <w:t>przepisy od</w:t>
      </w:r>
      <w:r w:rsidR="004C7962" w:rsidRPr="007B20B5">
        <w:rPr>
          <w:rFonts w:ascii="Times New Roman" w:hAnsi="Times New Roman"/>
          <w:sz w:val="24"/>
          <w:szCs w:val="24"/>
        </w:rPr>
        <w:t xml:space="preserve"> 1 stycznia 2024</w:t>
      </w:r>
      <w:r w:rsidRPr="007B20B5">
        <w:rPr>
          <w:rFonts w:ascii="Times New Roman" w:hAnsi="Times New Roman"/>
          <w:sz w:val="24"/>
          <w:szCs w:val="24"/>
        </w:rPr>
        <w:t xml:space="preserve"> r.</w:t>
      </w:r>
    </w:p>
    <w:p w14:paraId="1E63B740" w14:textId="4BB0C643" w:rsidR="00714FAE" w:rsidRPr="007B20B5" w:rsidRDefault="00714FAE" w:rsidP="0090133E">
      <w:pPr>
        <w:pStyle w:val="Bezodstpw"/>
        <w:spacing w:before="240" w:after="240" w:line="340" w:lineRule="atLeast"/>
        <w:jc w:val="both"/>
        <w:rPr>
          <w:rFonts w:ascii="Times New Roman" w:hAnsi="Times New Roman" w:cs="Times New Roman"/>
          <w:b/>
          <w:sz w:val="24"/>
          <w:szCs w:val="24"/>
        </w:rPr>
      </w:pPr>
      <w:r w:rsidRPr="007B20B5">
        <w:rPr>
          <w:rFonts w:ascii="Times New Roman" w:hAnsi="Times New Roman" w:cs="Times New Roman"/>
          <w:b/>
          <w:sz w:val="24"/>
          <w:szCs w:val="24"/>
        </w:rPr>
        <w:t>V. Wejście w życie ustawy</w:t>
      </w:r>
      <w:r w:rsidR="00487160">
        <w:rPr>
          <w:rFonts w:ascii="Times New Roman" w:hAnsi="Times New Roman" w:cs="Times New Roman"/>
          <w:b/>
          <w:sz w:val="24"/>
          <w:szCs w:val="24"/>
        </w:rPr>
        <w:t xml:space="preserve"> (art. 3)</w:t>
      </w:r>
    </w:p>
    <w:p w14:paraId="4469C4D4" w14:textId="4F47ED1F" w:rsidR="00B75DBE" w:rsidRPr="007B20B5" w:rsidRDefault="003B6050" w:rsidP="0090133E">
      <w:pPr>
        <w:spacing w:before="240" w:after="240" w:line="340" w:lineRule="atLeast"/>
        <w:jc w:val="both"/>
        <w:rPr>
          <w:rFonts w:ascii="Times New Roman" w:hAnsi="Times New Roman"/>
          <w:noProof/>
          <w:sz w:val="24"/>
          <w:szCs w:val="24"/>
        </w:rPr>
      </w:pPr>
      <w:r w:rsidRPr="007B20B5">
        <w:rPr>
          <w:rFonts w:ascii="Times New Roman" w:hAnsi="Times New Roman"/>
          <w:noProof/>
          <w:sz w:val="24"/>
          <w:szCs w:val="24"/>
        </w:rPr>
        <w:t xml:space="preserve">Zgodnie </w:t>
      </w:r>
      <w:r w:rsidRPr="007B20B5">
        <w:rPr>
          <w:rFonts w:ascii="Times New Roman" w:hAnsi="Times New Roman"/>
          <w:b/>
          <w:noProof/>
          <w:sz w:val="24"/>
          <w:szCs w:val="24"/>
        </w:rPr>
        <w:t>z art. 2 projektu</w:t>
      </w:r>
      <w:r w:rsidRPr="007B20B5">
        <w:rPr>
          <w:rFonts w:ascii="Times New Roman" w:hAnsi="Times New Roman"/>
          <w:noProof/>
          <w:sz w:val="24"/>
          <w:szCs w:val="24"/>
        </w:rPr>
        <w:t xml:space="preserve"> ustawa wchodzi w życie z dniem 1 stycznia 2024 r. Data 1 stycznia 2024 r. jest spójna z datą określoną w dyrektywie 2020/284 wyznaczającą państwom członkowskim termin, od którego zastosowanie mają zmienione przepisy unijne.</w:t>
      </w:r>
    </w:p>
    <w:p w14:paraId="28B0D840" w14:textId="79023EFC" w:rsidR="00F56795" w:rsidRPr="007B20B5" w:rsidRDefault="00F56795" w:rsidP="0090133E">
      <w:pPr>
        <w:pStyle w:val="Bezodstpw"/>
        <w:spacing w:before="360" w:line="340" w:lineRule="atLeast"/>
        <w:jc w:val="both"/>
        <w:rPr>
          <w:rFonts w:ascii="Times New Roman" w:hAnsi="Times New Roman" w:cs="Times New Roman"/>
          <w:b/>
          <w:sz w:val="24"/>
          <w:szCs w:val="24"/>
          <w:u w:val="single"/>
        </w:rPr>
      </w:pPr>
      <w:r w:rsidRPr="007B20B5">
        <w:rPr>
          <w:rFonts w:ascii="Times New Roman" w:hAnsi="Times New Roman" w:cs="Times New Roman"/>
          <w:b/>
          <w:sz w:val="24"/>
          <w:szCs w:val="24"/>
          <w:u w:val="single"/>
        </w:rPr>
        <w:t>Ocena skutków planowanych operacji</w:t>
      </w:r>
      <w:r w:rsidR="0090133E" w:rsidRPr="007B20B5">
        <w:rPr>
          <w:rFonts w:ascii="Times New Roman" w:hAnsi="Times New Roman" w:cs="Times New Roman"/>
          <w:b/>
          <w:sz w:val="24"/>
          <w:szCs w:val="24"/>
          <w:u w:val="single"/>
        </w:rPr>
        <w:t xml:space="preserve"> przetwarzania danych osobowych</w:t>
      </w:r>
    </w:p>
    <w:p w14:paraId="2364E3EC" w14:textId="36243437" w:rsidR="00F56795" w:rsidRPr="007B20B5" w:rsidRDefault="00F56795" w:rsidP="002E6578">
      <w:pPr>
        <w:tabs>
          <w:tab w:val="left" w:pos="567"/>
        </w:tabs>
        <w:autoSpaceDE w:val="0"/>
        <w:autoSpaceDN w:val="0"/>
        <w:adjustRightInd w:val="0"/>
        <w:spacing w:before="240" w:line="340" w:lineRule="atLeast"/>
        <w:jc w:val="both"/>
        <w:rPr>
          <w:rFonts w:ascii="Times New Roman" w:hAnsi="Times New Roman"/>
          <w:iCs/>
          <w:sz w:val="24"/>
          <w:szCs w:val="24"/>
        </w:rPr>
      </w:pPr>
      <w:r w:rsidRPr="007B20B5">
        <w:rPr>
          <w:rFonts w:ascii="Times New Roman" w:hAnsi="Times New Roman"/>
          <w:iCs/>
          <w:sz w:val="24"/>
          <w:szCs w:val="24"/>
        </w:rPr>
        <w:t xml:space="preserve">Zgodnie z art. 35 ust. 1 </w:t>
      </w:r>
      <w:r w:rsidRPr="007B20B5">
        <w:rPr>
          <w:rFonts w:ascii="Times New Roman" w:hAnsi="Times New Roman"/>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7B20B5">
        <w:rPr>
          <w:rStyle w:val="Odwoanieprzypisudolnego"/>
          <w:rFonts w:ascii="Times New Roman" w:hAnsi="Times New Roman"/>
          <w:iCs/>
          <w:sz w:val="24"/>
          <w:szCs w:val="24"/>
        </w:rPr>
        <w:footnoteReference w:id="19"/>
      </w:r>
      <w:r w:rsidR="002C2BF9" w:rsidRPr="007B20B5">
        <w:rPr>
          <w:rFonts w:ascii="Times New Roman" w:hAnsi="Times New Roman"/>
          <w:i/>
          <w:sz w:val="24"/>
          <w:szCs w:val="24"/>
        </w:rPr>
        <w:t>,</w:t>
      </w:r>
      <w:r w:rsidR="002C2BF9" w:rsidRPr="007B20B5">
        <w:rPr>
          <w:rFonts w:ascii="Times New Roman" w:hAnsi="Times New Roman"/>
          <w:sz w:val="24"/>
          <w:szCs w:val="24"/>
        </w:rPr>
        <w:t xml:space="preserve"> zwanym dalej „RODO”,</w:t>
      </w:r>
      <w:r w:rsidRPr="007B20B5">
        <w:rPr>
          <w:rFonts w:ascii="Times New Roman" w:hAnsi="Times New Roman"/>
          <w:iCs/>
          <w:sz w:val="24"/>
          <w:szCs w:val="24"/>
        </w:rPr>
        <w:t xml:space="preserve"> jeżeli dany rodzaj pr</w:t>
      </w:r>
      <w:r w:rsidR="00593FBF" w:rsidRPr="007B20B5">
        <w:rPr>
          <w:rFonts w:ascii="Times New Roman" w:hAnsi="Times New Roman"/>
          <w:iCs/>
          <w:sz w:val="24"/>
          <w:szCs w:val="24"/>
        </w:rPr>
        <w:t>zetwarzania – w szczególności z </w:t>
      </w:r>
      <w:r w:rsidRPr="007B20B5">
        <w:rPr>
          <w:rFonts w:ascii="Times New Roman" w:hAnsi="Times New Roman"/>
          <w:iCs/>
          <w:sz w:val="24"/>
          <w:szCs w:val="24"/>
        </w:rPr>
        <w:t>użyciem nowych technologii – ze względu na swój charakter, zakres, kontekst i cele z dużym prawdopodobieństwem może powodować wysokie ryzyko naruszenia praw lub wolności osób fizycznych, administrator przed rozpoczęciem przetwarzania powinien dokonać oceny skutków planowanych operacji przetwarzania dla ochrony danych osobowych. Ocena taka powinna być dokonana w szczególności w przypadku przetwarzania na du</w:t>
      </w:r>
      <w:r w:rsidR="00BE114F" w:rsidRPr="007B20B5">
        <w:rPr>
          <w:rFonts w:ascii="Times New Roman" w:hAnsi="Times New Roman"/>
          <w:iCs/>
          <w:sz w:val="24"/>
          <w:szCs w:val="24"/>
        </w:rPr>
        <w:t>żą skalę (art. 35 ust. 3 lit. b</w:t>
      </w:r>
      <w:r w:rsidRPr="007B20B5">
        <w:rPr>
          <w:rFonts w:ascii="Times New Roman" w:hAnsi="Times New Roman"/>
          <w:iCs/>
          <w:sz w:val="24"/>
          <w:szCs w:val="24"/>
        </w:rPr>
        <w:t xml:space="preserve"> RODO), a także w przypadku systematycznej, kompleksowej oceny czynników osobowych odnoszących się do osób fizycznych, opierającej się na za</w:t>
      </w:r>
      <w:r w:rsidR="00593FBF" w:rsidRPr="007B20B5">
        <w:rPr>
          <w:rFonts w:ascii="Times New Roman" w:hAnsi="Times New Roman"/>
          <w:iCs/>
          <w:sz w:val="24"/>
          <w:szCs w:val="24"/>
        </w:rPr>
        <w:t>utomatyzowanym przetwarzaniu, w </w:t>
      </w:r>
      <w:r w:rsidRPr="007B20B5">
        <w:rPr>
          <w:rFonts w:ascii="Times New Roman" w:hAnsi="Times New Roman"/>
          <w:iCs/>
          <w:sz w:val="24"/>
          <w:szCs w:val="24"/>
        </w:rPr>
        <w:t xml:space="preserve">tym profilowaniu, i będącej podstawą decyzji wywołujących skutki prawne wobec osoby fizycznej lub w podobny sposób znacząco wpływającej na osobę </w:t>
      </w:r>
      <w:r w:rsidR="00BE114F" w:rsidRPr="007B20B5">
        <w:rPr>
          <w:rFonts w:ascii="Times New Roman" w:hAnsi="Times New Roman"/>
          <w:iCs/>
          <w:sz w:val="24"/>
          <w:szCs w:val="24"/>
        </w:rPr>
        <w:t>fizyczną (art. 35 ust. 3 lit. a</w:t>
      </w:r>
      <w:r w:rsidRPr="007B20B5">
        <w:rPr>
          <w:rFonts w:ascii="Times New Roman" w:hAnsi="Times New Roman"/>
          <w:iCs/>
          <w:sz w:val="24"/>
          <w:szCs w:val="24"/>
        </w:rPr>
        <w:t xml:space="preserve"> RODO).</w:t>
      </w:r>
    </w:p>
    <w:p w14:paraId="708891F3" w14:textId="6D6428D4" w:rsidR="00F56795" w:rsidRPr="007B20B5" w:rsidRDefault="00F56795" w:rsidP="002E6578">
      <w:pPr>
        <w:tabs>
          <w:tab w:val="left" w:pos="567"/>
        </w:tabs>
        <w:autoSpaceDE w:val="0"/>
        <w:autoSpaceDN w:val="0"/>
        <w:adjustRightInd w:val="0"/>
        <w:spacing w:before="240" w:line="340" w:lineRule="atLeast"/>
        <w:jc w:val="both"/>
        <w:rPr>
          <w:rFonts w:ascii="Times New Roman" w:hAnsi="Times New Roman"/>
          <w:iCs/>
          <w:sz w:val="24"/>
          <w:szCs w:val="24"/>
        </w:rPr>
      </w:pPr>
      <w:r w:rsidRPr="007B20B5">
        <w:rPr>
          <w:rFonts w:ascii="Times New Roman" w:hAnsi="Times New Roman"/>
          <w:iCs/>
          <w:sz w:val="24"/>
          <w:szCs w:val="24"/>
        </w:rPr>
        <w:t>W myśl art. 35 ust. 10 RODO administrator nie musi przeprowadzać takiej oceny jeżeli przetwarzanie na mocy art. 6 ust. 1 lit. c RODO ma pods</w:t>
      </w:r>
      <w:r w:rsidR="00593FBF" w:rsidRPr="007B20B5">
        <w:rPr>
          <w:rFonts w:ascii="Times New Roman" w:hAnsi="Times New Roman"/>
          <w:iCs/>
          <w:sz w:val="24"/>
          <w:szCs w:val="24"/>
        </w:rPr>
        <w:t>tawę prawną w prawie Unii lub w </w:t>
      </w:r>
      <w:r w:rsidRPr="007B20B5">
        <w:rPr>
          <w:rFonts w:ascii="Times New Roman" w:hAnsi="Times New Roman"/>
          <w:iCs/>
          <w:sz w:val="24"/>
          <w:szCs w:val="24"/>
        </w:rPr>
        <w:t>prawie państwa członkowskiego, któremu podlega administrator, i prawo takie reguluje daną operację przetwarzania lub zestaw operacji, a oceny skutków dla ochrony danych dokonano już w ramach oceny skutków regulacji w związku z przyjęciem tej podstawy prawnej.</w:t>
      </w:r>
    </w:p>
    <w:p w14:paraId="1E7A3A48" w14:textId="08A432C0" w:rsidR="00721A46" w:rsidRPr="007B20B5" w:rsidRDefault="00F56795" w:rsidP="00721A46">
      <w:pPr>
        <w:pStyle w:val="Bezodstpw"/>
        <w:spacing w:before="240" w:line="340" w:lineRule="atLeast"/>
        <w:jc w:val="both"/>
        <w:rPr>
          <w:rFonts w:ascii="Times New Roman" w:hAnsi="Times New Roman" w:cs="Times New Roman"/>
          <w:sz w:val="24"/>
          <w:szCs w:val="24"/>
        </w:rPr>
      </w:pPr>
      <w:r w:rsidRPr="007B20B5">
        <w:rPr>
          <w:rFonts w:ascii="Times New Roman" w:hAnsi="Times New Roman" w:cs="Times New Roman"/>
          <w:sz w:val="24"/>
          <w:szCs w:val="24"/>
        </w:rPr>
        <w:t>Projektowana us</w:t>
      </w:r>
      <w:r w:rsidR="004C7962" w:rsidRPr="007B20B5">
        <w:rPr>
          <w:rFonts w:ascii="Times New Roman" w:hAnsi="Times New Roman" w:cs="Times New Roman"/>
          <w:sz w:val="24"/>
          <w:szCs w:val="24"/>
        </w:rPr>
        <w:t>tawa przewiduje nałożenie od 1 stycznia</w:t>
      </w:r>
      <w:r w:rsidR="003D1EAC" w:rsidRPr="007B20B5">
        <w:rPr>
          <w:rFonts w:ascii="Times New Roman" w:hAnsi="Times New Roman" w:cs="Times New Roman"/>
          <w:sz w:val="24"/>
          <w:szCs w:val="24"/>
        </w:rPr>
        <w:t xml:space="preserve"> </w:t>
      </w:r>
      <w:r w:rsidR="004C7962" w:rsidRPr="007B20B5">
        <w:rPr>
          <w:rFonts w:ascii="Times New Roman" w:hAnsi="Times New Roman" w:cs="Times New Roman"/>
          <w:sz w:val="24"/>
          <w:szCs w:val="24"/>
        </w:rPr>
        <w:t>2024</w:t>
      </w:r>
      <w:r w:rsidRPr="007B20B5">
        <w:rPr>
          <w:rFonts w:ascii="Times New Roman" w:hAnsi="Times New Roman" w:cs="Times New Roman"/>
          <w:sz w:val="24"/>
          <w:szCs w:val="24"/>
        </w:rPr>
        <w:t xml:space="preserve"> r. na </w:t>
      </w:r>
      <w:r w:rsidR="002C2BF9" w:rsidRPr="007B20B5">
        <w:rPr>
          <w:rFonts w:ascii="Times New Roman" w:hAnsi="Times New Roman" w:cs="Times New Roman"/>
          <w:sz w:val="24"/>
          <w:szCs w:val="24"/>
        </w:rPr>
        <w:t>określonych dostawców usług płatniczych</w:t>
      </w:r>
      <w:r w:rsidRPr="007B20B5">
        <w:rPr>
          <w:rFonts w:ascii="Times New Roman" w:hAnsi="Times New Roman" w:cs="Times New Roman"/>
          <w:sz w:val="24"/>
          <w:szCs w:val="24"/>
        </w:rPr>
        <w:t xml:space="preserve"> obowiązku ud</w:t>
      </w:r>
      <w:r w:rsidR="00721A46" w:rsidRPr="007B20B5">
        <w:rPr>
          <w:rFonts w:ascii="Times New Roman" w:hAnsi="Times New Roman" w:cs="Times New Roman"/>
          <w:sz w:val="24"/>
          <w:szCs w:val="24"/>
        </w:rPr>
        <w:t>ostępniania drogą elektroniczną</w:t>
      </w:r>
      <w:r w:rsidRPr="007B20B5">
        <w:rPr>
          <w:rFonts w:ascii="Times New Roman" w:hAnsi="Times New Roman" w:cs="Times New Roman"/>
          <w:sz w:val="24"/>
          <w:szCs w:val="24"/>
        </w:rPr>
        <w:t xml:space="preserve"> ewidencji </w:t>
      </w:r>
      <w:r w:rsidR="00721A46" w:rsidRPr="007B20B5">
        <w:rPr>
          <w:rFonts w:ascii="Times New Roman" w:hAnsi="Times New Roman" w:cs="Times New Roman"/>
          <w:sz w:val="24"/>
          <w:szCs w:val="24"/>
        </w:rPr>
        <w:t xml:space="preserve">odbiorców płatności i płatności, w przypadku gdy dostawca usług płatniczych zrealizuje w ciągu kwartału w danym </w:t>
      </w:r>
      <w:r w:rsidR="00721A46" w:rsidRPr="007B20B5">
        <w:rPr>
          <w:rFonts w:ascii="Times New Roman" w:hAnsi="Times New Roman" w:cs="Times New Roman"/>
          <w:sz w:val="24"/>
          <w:szCs w:val="24"/>
        </w:rPr>
        <w:lastRenderedPageBreak/>
        <w:t>państwie członkowskim więcej niż 25 płatności transgranicznych na rzecz tego samego odbiorcy</w:t>
      </w:r>
      <w:r w:rsidR="00E12C95">
        <w:rPr>
          <w:rFonts w:ascii="Times New Roman" w:hAnsi="Times New Roman" w:cs="Times New Roman"/>
          <w:sz w:val="24"/>
          <w:szCs w:val="24"/>
        </w:rPr>
        <w:t xml:space="preserve"> płatności</w:t>
      </w:r>
      <w:r w:rsidR="00721A46" w:rsidRPr="007B20B5">
        <w:rPr>
          <w:rFonts w:ascii="Times New Roman" w:hAnsi="Times New Roman" w:cs="Times New Roman"/>
          <w:sz w:val="24"/>
          <w:szCs w:val="24"/>
        </w:rPr>
        <w:t>.</w:t>
      </w:r>
    </w:p>
    <w:p w14:paraId="53623EC2" w14:textId="77777777" w:rsidR="00EA3545" w:rsidRPr="007B20B5" w:rsidRDefault="00F56795" w:rsidP="00EA3545">
      <w:pPr>
        <w:pStyle w:val="Bezodstpw"/>
        <w:spacing w:before="240" w:line="340" w:lineRule="atLeast"/>
        <w:jc w:val="both"/>
        <w:rPr>
          <w:rFonts w:ascii="Times New Roman" w:hAnsi="Times New Roman" w:cs="Times New Roman"/>
          <w:sz w:val="24"/>
          <w:szCs w:val="24"/>
          <w:lang w:eastAsia="fr-BE"/>
        </w:rPr>
      </w:pPr>
      <w:r w:rsidRPr="007B20B5">
        <w:rPr>
          <w:rFonts w:ascii="Times New Roman" w:hAnsi="Times New Roman" w:cs="Times New Roman"/>
          <w:sz w:val="24"/>
          <w:szCs w:val="24"/>
        </w:rPr>
        <w:t xml:space="preserve">Państwa członkowskie UE, w tym Polska, są zobowiązane do nałożenia na </w:t>
      </w:r>
      <w:r w:rsidR="002C2BF9" w:rsidRPr="007B20B5">
        <w:rPr>
          <w:rFonts w:ascii="Times New Roman" w:hAnsi="Times New Roman" w:cs="Times New Roman"/>
          <w:sz w:val="24"/>
          <w:szCs w:val="24"/>
        </w:rPr>
        <w:t>dostawców usług płatniczych</w:t>
      </w:r>
      <w:r w:rsidRPr="007B20B5">
        <w:rPr>
          <w:rFonts w:ascii="Times New Roman" w:hAnsi="Times New Roman" w:cs="Times New Roman"/>
          <w:sz w:val="24"/>
          <w:szCs w:val="24"/>
        </w:rPr>
        <w:t xml:space="preserve"> obowiązku udostępniania drogą elektroniczną ewidencji na podstawie implementowanej dyrektywy </w:t>
      </w:r>
      <w:r w:rsidR="002C2BF9" w:rsidRPr="007B20B5">
        <w:rPr>
          <w:rFonts w:ascii="Times New Roman" w:hAnsi="Times New Roman" w:cs="Times New Roman"/>
          <w:sz w:val="24"/>
          <w:szCs w:val="24"/>
          <w:lang w:eastAsia="fr-BE"/>
        </w:rPr>
        <w:t>2020/284</w:t>
      </w:r>
      <w:r w:rsidRPr="007B20B5">
        <w:rPr>
          <w:rFonts w:ascii="Times New Roman" w:hAnsi="Times New Roman" w:cs="Times New Roman"/>
          <w:sz w:val="24"/>
          <w:szCs w:val="24"/>
          <w:lang w:eastAsia="fr-BE"/>
        </w:rPr>
        <w:t xml:space="preserve">. Przetwarzanie danych udostępnianych przez </w:t>
      </w:r>
      <w:r w:rsidR="00C7129B" w:rsidRPr="007B20B5">
        <w:rPr>
          <w:rFonts w:ascii="Times New Roman" w:hAnsi="Times New Roman" w:cs="Times New Roman"/>
          <w:sz w:val="24"/>
          <w:szCs w:val="24"/>
          <w:lang w:eastAsia="fr-BE"/>
        </w:rPr>
        <w:t>dostawców usług płatniczych</w:t>
      </w:r>
      <w:r w:rsidRPr="007B20B5">
        <w:rPr>
          <w:rFonts w:ascii="Times New Roman" w:hAnsi="Times New Roman" w:cs="Times New Roman"/>
          <w:sz w:val="24"/>
          <w:szCs w:val="24"/>
          <w:lang w:eastAsia="fr-BE"/>
        </w:rPr>
        <w:t xml:space="preserve"> zapewni organom podatkowym dostęp do informacji </w:t>
      </w:r>
      <w:r w:rsidR="00C7129B" w:rsidRPr="007B20B5">
        <w:rPr>
          <w:rFonts w:ascii="Times New Roman" w:hAnsi="Times New Roman" w:cs="Times New Roman"/>
          <w:sz w:val="24"/>
          <w:szCs w:val="24"/>
          <w:lang w:eastAsia="fr-BE"/>
        </w:rPr>
        <w:t>niezbędnych do kontroli transgranicznych dostaw towarów i świadczenia usług objętych VAT, umożliwiających sprawdzenie prawidłowego stosowania przepisów dotyczących VAT e-</w:t>
      </w:r>
      <w:r w:rsidR="008D4A49" w:rsidRPr="007B20B5">
        <w:rPr>
          <w:rFonts w:ascii="Times New Roman" w:hAnsi="Times New Roman" w:cs="Times New Roman"/>
          <w:sz w:val="24"/>
          <w:szCs w:val="24"/>
          <w:lang w:eastAsia="fr-BE"/>
        </w:rPr>
        <w:t> </w:t>
      </w:r>
      <w:proofErr w:type="spellStart"/>
      <w:r w:rsidR="00C7129B" w:rsidRPr="007B20B5">
        <w:rPr>
          <w:rFonts w:ascii="Times New Roman" w:hAnsi="Times New Roman" w:cs="Times New Roman"/>
          <w:sz w:val="24"/>
          <w:szCs w:val="24"/>
          <w:lang w:eastAsia="fr-BE"/>
        </w:rPr>
        <w:t>commerce</w:t>
      </w:r>
      <w:proofErr w:type="spellEnd"/>
      <w:r w:rsidR="00C7129B" w:rsidRPr="007B20B5">
        <w:rPr>
          <w:rFonts w:ascii="Times New Roman" w:hAnsi="Times New Roman" w:cs="Times New Roman"/>
          <w:sz w:val="24"/>
          <w:szCs w:val="24"/>
          <w:lang w:eastAsia="fr-BE"/>
        </w:rPr>
        <w:t xml:space="preserve"> </w:t>
      </w:r>
      <w:r w:rsidR="00A964B2" w:rsidRPr="007B20B5">
        <w:rPr>
          <w:rFonts w:ascii="Times New Roman" w:hAnsi="Times New Roman" w:cs="Times New Roman"/>
          <w:sz w:val="24"/>
          <w:szCs w:val="24"/>
          <w:lang w:eastAsia="fr-BE"/>
        </w:rPr>
        <w:t xml:space="preserve">i </w:t>
      </w:r>
      <w:r w:rsidR="00A964B2" w:rsidRPr="007B20B5">
        <w:rPr>
          <w:rFonts w:ascii="Times New Roman" w:hAnsi="Times New Roman" w:cs="Times New Roman"/>
          <w:sz w:val="24"/>
          <w:szCs w:val="24"/>
        </w:rPr>
        <w:t>wykrywanie oszustw związanych z VAT w e-commerce</w:t>
      </w:r>
      <w:r w:rsidR="00A964B2" w:rsidRPr="007B20B5">
        <w:rPr>
          <w:rFonts w:ascii="Times New Roman" w:hAnsi="Times New Roman" w:cs="Times New Roman"/>
          <w:sz w:val="24"/>
          <w:szCs w:val="24"/>
          <w:lang w:eastAsia="fr-BE"/>
        </w:rPr>
        <w:t xml:space="preserve"> </w:t>
      </w:r>
      <w:r w:rsidR="00C7129B" w:rsidRPr="007B20B5">
        <w:rPr>
          <w:rFonts w:ascii="Times New Roman" w:hAnsi="Times New Roman" w:cs="Times New Roman"/>
          <w:sz w:val="24"/>
          <w:szCs w:val="24"/>
          <w:lang w:eastAsia="fr-BE"/>
        </w:rPr>
        <w:t>(</w:t>
      </w:r>
      <w:r w:rsidR="00A964B2" w:rsidRPr="007B20B5">
        <w:rPr>
          <w:rFonts w:ascii="Times New Roman" w:hAnsi="Times New Roman" w:cs="Times New Roman"/>
          <w:sz w:val="24"/>
          <w:szCs w:val="24"/>
          <w:lang w:eastAsia="fr-BE"/>
        </w:rPr>
        <w:t xml:space="preserve">prawidłowe </w:t>
      </w:r>
      <w:r w:rsidR="00C7129B" w:rsidRPr="007B20B5">
        <w:rPr>
          <w:rFonts w:ascii="Times New Roman" w:hAnsi="Times New Roman" w:cs="Times New Roman"/>
          <w:sz w:val="24"/>
          <w:szCs w:val="24"/>
          <w:lang w:eastAsia="fr-BE"/>
        </w:rPr>
        <w:t>rozliczanie należnego VAT z tytułu sprzedaży, dokonywanie wymaganej przez przepisy o VAT rejestracji dla celów tego podatku przez podmioty prowadzące działalność gospodarczą w rozumieniu przepisów o VAT</w:t>
      </w:r>
      <w:r w:rsidR="00A964B2" w:rsidRPr="007B20B5">
        <w:rPr>
          <w:rFonts w:ascii="Times New Roman" w:hAnsi="Times New Roman" w:cs="Times New Roman"/>
          <w:sz w:val="24"/>
          <w:szCs w:val="24"/>
          <w:lang w:eastAsia="fr-BE"/>
        </w:rPr>
        <w:t>)</w:t>
      </w:r>
      <w:r w:rsidR="00C7129B" w:rsidRPr="007B20B5">
        <w:rPr>
          <w:rFonts w:ascii="Times New Roman" w:hAnsi="Times New Roman" w:cs="Times New Roman"/>
          <w:sz w:val="24"/>
          <w:szCs w:val="24"/>
          <w:lang w:eastAsia="fr-BE"/>
        </w:rPr>
        <w:t>.</w:t>
      </w:r>
    </w:p>
    <w:p w14:paraId="73A2BDBC" w14:textId="77777777" w:rsidR="00EA3545" w:rsidRPr="007B20B5" w:rsidRDefault="00284C75" w:rsidP="00EA3545">
      <w:pPr>
        <w:pStyle w:val="Bezodstpw"/>
        <w:spacing w:before="240" w:line="340" w:lineRule="atLeast"/>
        <w:jc w:val="both"/>
        <w:rPr>
          <w:rFonts w:ascii="Times New Roman" w:eastAsia="Cambria" w:hAnsi="Times New Roman" w:cs="Times New Roman"/>
          <w:sz w:val="24"/>
          <w:szCs w:val="24"/>
          <w:lang w:eastAsia="ar-SA"/>
        </w:rPr>
      </w:pPr>
      <w:r w:rsidRPr="007B20B5">
        <w:rPr>
          <w:rFonts w:ascii="Times New Roman" w:eastAsia="Cambria" w:hAnsi="Times New Roman" w:cs="Times New Roman"/>
          <w:sz w:val="24"/>
          <w:szCs w:val="24"/>
          <w:lang w:eastAsia="ar-SA"/>
        </w:rPr>
        <w:t>Zwalczanie oszustw związanych z VAT stanowi ważny cel leżący w ogólnym interesie publicznym Unii i państw członkowskich. Eksperci organów podatkowych zajmujący się zwalczaniem nadużyć finansowych będą przetwarzać jedynie dane niezbędne do osiągnięcia tego celu (zwalczanie oszustw związanych z VAT w e-</w:t>
      </w:r>
      <w:r w:rsidR="00593FBF" w:rsidRPr="007B20B5">
        <w:rPr>
          <w:rFonts w:ascii="Times New Roman" w:eastAsia="Cambria" w:hAnsi="Times New Roman" w:cs="Times New Roman"/>
          <w:sz w:val="24"/>
          <w:szCs w:val="24"/>
          <w:lang w:eastAsia="ar-SA"/>
        </w:rPr>
        <w:t>commerce</w:t>
      </w:r>
      <w:r w:rsidRPr="007B20B5">
        <w:rPr>
          <w:rFonts w:ascii="Times New Roman" w:eastAsia="Cambria" w:hAnsi="Times New Roman" w:cs="Times New Roman"/>
          <w:sz w:val="24"/>
          <w:szCs w:val="24"/>
          <w:lang w:eastAsia="ar-SA"/>
        </w:rPr>
        <w:t xml:space="preserve">), zgodnie z </w:t>
      </w:r>
      <w:r w:rsidR="00593FBF" w:rsidRPr="007B20B5">
        <w:rPr>
          <w:rFonts w:ascii="Times New Roman" w:eastAsia="Cambria" w:hAnsi="Times New Roman" w:cs="Times New Roman"/>
          <w:sz w:val="24"/>
          <w:szCs w:val="24"/>
          <w:lang w:eastAsia="ar-SA"/>
        </w:rPr>
        <w:t>RODO</w:t>
      </w:r>
      <w:r w:rsidRPr="007B20B5">
        <w:rPr>
          <w:rFonts w:ascii="Times New Roman" w:eastAsia="Cambria" w:hAnsi="Times New Roman" w:cs="Times New Roman"/>
          <w:sz w:val="24"/>
          <w:szCs w:val="24"/>
          <w:lang w:eastAsia="ar-SA"/>
        </w:rPr>
        <w:t xml:space="preserve">, </w:t>
      </w:r>
      <w:r w:rsidR="00593FBF" w:rsidRPr="007B20B5">
        <w:rPr>
          <w:rFonts w:ascii="Times New Roman" w:eastAsia="Cambria" w:hAnsi="Times New Roman" w:cs="Times New Roman"/>
          <w:i/>
          <w:sz w:val="24"/>
          <w:szCs w:val="24"/>
          <w:lang w:eastAsia="ar-SA"/>
        </w:rPr>
        <w:t>rozporządzeni</w:t>
      </w:r>
      <w:r w:rsidR="008D4A49" w:rsidRPr="007B20B5">
        <w:rPr>
          <w:rFonts w:ascii="Times New Roman" w:eastAsia="Cambria" w:hAnsi="Times New Roman" w:cs="Times New Roman"/>
          <w:i/>
          <w:sz w:val="24"/>
          <w:szCs w:val="24"/>
          <w:lang w:eastAsia="ar-SA"/>
        </w:rPr>
        <w:t>em</w:t>
      </w:r>
      <w:r w:rsidR="00593FBF" w:rsidRPr="007B20B5">
        <w:rPr>
          <w:rFonts w:ascii="Times New Roman" w:eastAsia="Cambria" w:hAnsi="Times New Roman" w:cs="Times New Roman"/>
          <w:i/>
          <w:sz w:val="24"/>
          <w:szCs w:val="24"/>
          <w:lang w:eastAsia="ar-SA"/>
        </w:rPr>
        <w:t xml:space="preserv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w:t>
      </w:r>
      <w:r w:rsidR="00593FBF" w:rsidRPr="007B20B5">
        <w:rPr>
          <w:rStyle w:val="Odwoanieprzypisudolnego"/>
          <w:rFonts w:ascii="Times New Roman" w:eastAsia="Cambria" w:hAnsi="Times New Roman" w:cs="Times New Roman"/>
          <w:i/>
          <w:sz w:val="24"/>
          <w:szCs w:val="24"/>
          <w:lang w:eastAsia="ar-SA"/>
        </w:rPr>
        <w:footnoteReference w:id="20"/>
      </w:r>
      <w:r w:rsidR="00593FBF" w:rsidRPr="007B20B5">
        <w:rPr>
          <w:rFonts w:ascii="Times New Roman" w:eastAsia="Cambria" w:hAnsi="Times New Roman" w:cs="Times New Roman"/>
          <w:sz w:val="24"/>
          <w:szCs w:val="24"/>
          <w:lang w:eastAsia="ar-SA"/>
        </w:rPr>
        <w:t xml:space="preserve"> i Kartą praw podstawowych</w:t>
      </w:r>
      <w:r w:rsidR="00593FBF" w:rsidRPr="007B20B5">
        <w:rPr>
          <w:rStyle w:val="Odwoanieprzypisudolnego"/>
          <w:rFonts w:ascii="Times New Roman" w:eastAsia="Cambria" w:hAnsi="Times New Roman" w:cs="Times New Roman"/>
          <w:sz w:val="24"/>
          <w:szCs w:val="24"/>
          <w:lang w:eastAsia="ar-SA"/>
        </w:rPr>
        <w:footnoteReference w:id="21"/>
      </w:r>
      <w:r w:rsidRPr="007B20B5">
        <w:rPr>
          <w:rFonts w:ascii="Times New Roman" w:eastAsia="Cambria" w:hAnsi="Times New Roman" w:cs="Times New Roman"/>
          <w:sz w:val="24"/>
          <w:szCs w:val="24"/>
          <w:lang w:eastAsia="ar-SA"/>
        </w:rPr>
        <w:t>. Dokładniej rzecz ujmując, przetwarzane będą jedynie dane umożliwiające organom podatkowym (i) identyfikację dostawców, (ii) weryfikację liczby transakcji i ich wartości pieniężnej oraz (iii) wer</w:t>
      </w:r>
      <w:r w:rsidR="008D4A49" w:rsidRPr="007B20B5">
        <w:rPr>
          <w:rFonts w:ascii="Times New Roman" w:eastAsia="Cambria" w:hAnsi="Times New Roman" w:cs="Times New Roman"/>
          <w:sz w:val="24"/>
          <w:szCs w:val="24"/>
          <w:lang w:eastAsia="ar-SA"/>
        </w:rPr>
        <w:t>yfikację pochodzenia płatności.</w:t>
      </w:r>
    </w:p>
    <w:p w14:paraId="7E3097F1" w14:textId="112DE416" w:rsidR="00284C75" w:rsidRDefault="009A09EA" w:rsidP="00EA3545">
      <w:pPr>
        <w:pStyle w:val="Bezodstpw"/>
        <w:spacing w:before="240" w:line="340" w:lineRule="atLeast"/>
        <w:jc w:val="both"/>
        <w:rPr>
          <w:rFonts w:ascii="Times New Roman" w:eastAsia="Cambria" w:hAnsi="Times New Roman" w:cs="Times New Roman"/>
          <w:sz w:val="24"/>
          <w:szCs w:val="24"/>
          <w:lang w:eastAsia="ar-SA"/>
        </w:rPr>
      </w:pPr>
      <w:r w:rsidRPr="007B20B5">
        <w:rPr>
          <w:rFonts w:ascii="Times New Roman" w:eastAsia="Cambria" w:hAnsi="Times New Roman" w:cs="Times New Roman"/>
          <w:sz w:val="24"/>
          <w:szCs w:val="24"/>
          <w:lang w:eastAsia="ar-SA"/>
        </w:rPr>
        <w:t>W szczególności trzeba podkreślić, że nie będą ewidencjonowane informacje doty</w:t>
      </w:r>
      <w:r w:rsidR="008D4A49" w:rsidRPr="007B20B5">
        <w:rPr>
          <w:rFonts w:ascii="Times New Roman" w:eastAsia="Cambria" w:hAnsi="Times New Roman" w:cs="Times New Roman"/>
          <w:sz w:val="24"/>
          <w:szCs w:val="24"/>
          <w:lang w:eastAsia="ar-SA"/>
        </w:rPr>
        <w:t xml:space="preserve">czące nabywców towarów i usług </w:t>
      </w:r>
      <w:r w:rsidRPr="007B20B5">
        <w:rPr>
          <w:rFonts w:ascii="Times New Roman" w:eastAsia="Cambria" w:hAnsi="Times New Roman" w:cs="Times New Roman"/>
          <w:sz w:val="24"/>
          <w:szCs w:val="24"/>
          <w:lang w:eastAsia="ar-SA"/>
        </w:rPr>
        <w:t>tj. konsumentów</w:t>
      </w:r>
      <w:r w:rsidR="00284C75" w:rsidRPr="007B20B5">
        <w:rPr>
          <w:rFonts w:ascii="Times New Roman" w:eastAsia="Cambria" w:hAnsi="Times New Roman" w:cs="Times New Roman"/>
          <w:sz w:val="24"/>
          <w:szCs w:val="24"/>
          <w:lang w:eastAsia="ar-SA"/>
        </w:rPr>
        <w:t xml:space="preserve">, z wyjątkiem danych dotyczących państwa członkowskiego pochodzenia płatności (tj. państwa członkowskiego, w którym konsument się znajduje). Środkiem zapewnienia proporcjonalności jest również ustanowienie progu, poniżej którego dostawcy usług płatniczych nie są zobowiązani do przesyłania danych dotyczących płatności do </w:t>
      </w:r>
      <w:r w:rsidR="003E75D9">
        <w:rPr>
          <w:rFonts w:ascii="Times New Roman" w:eastAsia="Cambria" w:hAnsi="Times New Roman" w:cs="Times New Roman"/>
          <w:sz w:val="24"/>
          <w:szCs w:val="24"/>
          <w:lang w:eastAsia="ar-SA"/>
        </w:rPr>
        <w:t>administracji</w:t>
      </w:r>
      <w:r w:rsidR="00284C75" w:rsidRPr="007B20B5">
        <w:rPr>
          <w:rFonts w:ascii="Times New Roman" w:eastAsia="Cambria" w:hAnsi="Times New Roman" w:cs="Times New Roman"/>
          <w:sz w:val="24"/>
          <w:szCs w:val="24"/>
          <w:lang w:eastAsia="ar-SA"/>
        </w:rPr>
        <w:t xml:space="preserve"> podatkowych. W ten sposób wykluczone z niniejszej inicjatywy byłyby płatności, które najprawdopodobniej nie odnoszą się do działalności gospodarczej. Nie byłyby one również objęte przetwarzaniem danych osobowych.</w:t>
      </w:r>
    </w:p>
    <w:p w14:paraId="6EF62569" w14:textId="2C68B588" w:rsidR="0028516F" w:rsidRPr="007B20B5" w:rsidRDefault="0028516F" w:rsidP="00EA3545">
      <w:pPr>
        <w:pStyle w:val="Bezodstpw"/>
        <w:spacing w:before="240" w:line="340" w:lineRule="atLeast"/>
        <w:jc w:val="both"/>
        <w:rPr>
          <w:rFonts w:ascii="Times New Roman" w:hAnsi="Times New Roman" w:cs="Times New Roman"/>
          <w:sz w:val="24"/>
          <w:szCs w:val="24"/>
          <w:lang w:eastAsia="fr-BE"/>
        </w:rPr>
      </w:pPr>
      <w:r w:rsidRPr="0028516F">
        <w:rPr>
          <w:rFonts w:ascii="Times New Roman" w:hAnsi="Times New Roman" w:cs="Times New Roman"/>
          <w:sz w:val="24"/>
          <w:szCs w:val="24"/>
          <w:lang w:eastAsia="fr-BE"/>
        </w:rPr>
        <w:t xml:space="preserve">W projekcie ustawy uregulowano także kwestię przechowywania danych przez </w:t>
      </w:r>
      <w:r>
        <w:rPr>
          <w:rFonts w:ascii="Times New Roman" w:hAnsi="Times New Roman" w:cs="Times New Roman"/>
          <w:sz w:val="24"/>
          <w:szCs w:val="24"/>
          <w:lang w:eastAsia="fr-BE"/>
        </w:rPr>
        <w:t>dostawców usług płatniczych</w:t>
      </w:r>
      <w:r w:rsidRPr="0028516F">
        <w:rPr>
          <w:rFonts w:ascii="Times New Roman" w:hAnsi="Times New Roman" w:cs="Times New Roman"/>
          <w:sz w:val="24"/>
          <w:szCs w:val="24"/>
          <w:lang w:eastAsia="fr-BE"/>
        </w:rPr>
        <w:t xml:space="preserve">. </w:t>
      </w:r>
      <w:r>
        <w:rPr>
          <w:rFonts w:ascii="Times New Roman" w:hAnsi="Times New Roman" w:cs="Times New Roman"/>
          <w:sz w:val="24"/>
          <w:szCs w:val="24"/>
          <w:lang w:eastAsia="fr-BE"/>
        </w:rPr>
        <w:t>Dostawcy</w:t>
      </w:r>
      <w:r w:rsidRPr="0028516F">
        <w:rPr>
          <w:rFonts w:ascii="Times New Roman" w:hAnsi="Times New Roman" w:cs="Times New Roman"/>
          <w:sz w:val="24"/>
          <w:szCs w:val="24"/>
          <w:lang w:eastAsia="fr-BE"/>
        </w:rPr>
        <w:t xml:space="preserve"> ci będą zobowiązani przechowywać ewidencje przez okres 3 lat od zakończenia roku podatkowego, w którym nastąpiła płatność</w:t>
      </w:r>
      <w:r>
        <w:rPr>
          <w:rFonts w:ascii="Times New Roman" w:hAnsi="Times New Roman" w:cs="Times New Roman"/>
          <w:sz w:val="24"/>
          <w:szCs w:val="24"/>
          <w:lang w:eastAsia="fr-BE"/>
        </w:rPr>
        <w:t xml:space="preserve">. </w:t>
      </w:r>
      <w:r w:rsidRPr="0028516F">
        <w:rPr>
          <w:rFonts w:ascii="Times New Roman" w:hAnsi="Times New Roman" w:cs="Times New Roman"/>
          <w:sz w:val="24"/>
          <w:szCs w:val="24"/>
          <w:lang w:eastAsia="fr-BE"/>
        </w:rPr>
        <w:t xml:space="preserve">Okres przechowywania tej ewidencji wynika z przepisów implementowanej dyrektywy. Taki okres jest proporcjonalny, </w:t>
      </w:r>
      <w:r w:rsidRPr="0028516F">
        <w:rPr>
          <w:rFonts w:ascii="Times New Roman" w:hAnsi="Times New Roman" w:cs="Times New Roman"/>
          <w:sz w:val="24"/>
          <w:szCs w:val="24"/>
          <w:lang w:eastAsia="fr-BE"/>
        </w:rPr>
        <w:lastRenderedPageBreak/>
        <w:t xml:space="preserve">biorąc pod uwagę wielką ilość przekazywanych informacji, ich wysoką wrażliwość w </w:t>
      </w:r>
      <w:r>
        <w:rPr>
          <w:rFonts w:ascii="Times New Roman" w:hAnsi="Times New Roman" w:cs="Times New Roman"/>
          <w:sz w:val="24"/>
          <w:szCs w:val="24"/>
          <w:lang w:eastAsia="fr-BE"/>
        </w:rPr>
        <w:t> </w:t>
      </w:r>
      <w:r w:rsidRPr="0028516F">
        <w:rPr>
          <w:rFonts w:ascii="Times New Roman" w:hAnsi="Times New Roman" w:cs="Times New Roman"/>
          <w:sz w:val="24"/>
          <w:szCs w:val="24"/>
          <w:lang w:eastAsia="fr-BE"/>
        </w:rPr>
        <w:t>kontekście ochrony danych oraz czas potrzebny organom podatkowym na wykrycie oszustw związanych z VAT.</w:t>
      </w:r>
    </w:p>
    <w:p w14:paraId="3DA67F7E" w14:textId="4284E2FA" w:rsidR="00284C75" w:rsidRPr="007B20B5" w:rsidRDefault="00F56795" w:rsidP="00EA3545">
      <w:pPr>
        <w:pStyle w:val="Bezodstpw"/>
        <w:spacing w:before="360" w:line="340" w:lineRule="atLeast"/>
        <w:jc w:val="both"/>
        <w:rPr>
          <w:rFonts w:ascii="Times New Roman" w:hAnsi="Times New Roman" w:cs="Times New Roman"/>
          <w:color w:val="000000" w:themeColor="text1"/>
          <w:sz w:val="24"/>
          <w:szCs w:val="24"/>
        </w:rPr>
      </w:pPr>
      <w:r w:rsidRPr="007B20B5">
        <w:rPr>
          <w:rFonts w:ascii="Times New Roman" w:hAnsi="Times New Roman" w:cs="Times New Roman"/>
          <w:color w:val="000000" w:themeColor="text1"/>
          <w:sz w:val="24"/>
          <w:szCs w:val="24"/>
        </w:rPr>
        <w:t>Wprowadzenie wymogu udostępniania ewidencji zostało przewidziane w implementowanej dyrektyw</w:t>
      </w:r>
      <w:r w:rsidR="00487160">
        <w:rPr>
          <w:rFonts w:ascii="Times New Roman" w:hAnsi="Times New Roman" w:cs="Times New Roman"/>
          <w:color w:val="000000" w:themeColor="text1"/>
          <w:sz w:val="24"/>
          <w:szCs w:val="24"/>
        </w:rPr>
        <w:t>ie</w:t>
      </w:r>
      <w:r w:rsidRPr="007B20B5">
        <w:rPr>
          <w:rFonts w:ascii="Times New Roman" w:hAnsi="Times New Roman" w:cs="Times New Roman"/>
          <w:color w:val="000000" w:themeColor="text1"/>
          <w:sz w:val="24"/>
          <w:szCs w:val="24"/>
        </w:rPr>
        <w:t>, a zatem jest zgodne z prawem UE, jak również nie narusza zasad demokratycznego państwa prawnego. Realizacja tego obowiązku, który jak wskazano wynika z unijnej dyrektywy, do transpozycji której Polska jest zobligowana, w naturalny sposób wiąże się z</w:t>
      </w:r>
      <w:r w:rsidR="008D4A49" w:rsidRPr="007B20B5">
        <w:rPr>
          <w:rFonts w:ascii="Times New Roman" w:hAnsi="Times New Roman" w:cs="Times New Roman"/>
          <w:color w:val="000000" w:themeColor="text1"/>
          <w:sz w:val="24"/>
          <w:szCs w:val="24"/>
        </w:rPr>
        <w:t> </w:t>
      </w:r>
      <w:r w:rsidRPr="007B20B5">
        <w:rPr>
          <w:rFonts w:ascii="Times New Roman" w:hAnsi="Times New Roman" w:cs="Times New Roman"/>
          <w:color w:val="000000" w:themeColor="text1"/>
          <w:sz w:val="24"/>
          <w:szCs w:val="24"/>
        </w:rPr>
        <w:t>koniecznością przetwarzania danych osobowych. Nie ma możliwości wykonania tego obowiązku w sposób pozwalający na uniknięcie przetwarzania tych danych. Do realizacji tego obowiązku są zobowiązane wszystkie państwa członkowskie UE.</w:t>
      </w:r>
    </w:p>
    <w:p w14:paraId="3D0C0E7C" w14:textId="77777777" w:rsidR="007B20ED" w:rsidRDefault="0022332B" w:rsidP="007B20ED">
      <w:pPr>
        <w:pStyle w:val="Default"/>
        <w:spacing w:before="240" w:after="240" w:line="340" w:lineRule="atLeast"/>
        <w:jc w:val="both"/>
        <w:rPr>
          <w:b/>
          <w:u w:val="single"/>
        </w:rPr>
      </w:pPr>
      <w:r w:rsidRPr="007B20B5">
        <w:rPr>
          <w:b/>
          <w:u w:val="single"/>
        </w:rPr>
        <w:t xml:space="preserve">Wpływ projektowanej regulacji na działalność </w:t>
      </w:r>
      <w:proofErr w:type="spellStart"/>
      <w:r w:rsidRPr="007B20B5">
        <w:rPr>
          <w:b/>
          <w:u w:val="single"/>
        </w:rPr>
        <w:t>mikroprzedsiębiorców</w:t>
      </w:r>
      <w:proofErr w:type="spellEnd"/>
      <w:r w:rsidRPr="007B20B5">
        <w:rPr>
          <w:b/>
          <w:u w:val="single"/>
        </w:rPr>
        <w:t>, małych i średnich przedsiębiorstw</w:t>
      </w:r>
    </w:p>
    <w:p w14:paraId="67E8B38F" w14:textId="77777777" w:rsidR="007B20ED" w:rsidRDefault="00BE1917" w:rsidP="007B20ED">
      <w:pPr>
        <w:pStyle w:val="Default"/>
        <w:spacing w:before="240" w:after="240" w:line="340" w:lineRule="atLeast"/>
        <w:jc w:val="both"/>
        <w:rPr>
          <w:rFonts w:eastAsia="Cambria"/>
          <w:lang w:eastAsia="ar-SA"/>
        </w:rPr>
      </w:pPr>
      <w:r w:rsidRPr="007B20B5">
        <w:rPr>
          <w:rFonts w:eastAsia="Cambria"/>
          <w:lang w:eastAsia="ar-SA"/>
        </w:rPr>
        <w:t xml:space="preserve">Oceniając wpływ projektowanej ustawy w zakresie ustawy o VAT na </w:t>
      </w:r>
      <w:proofErr w:type="spellStart"/>
      <w:r w:rsidRPr="007B20B5">
        <w:rPr>
          <w:rFonts w:eastAsia="Cambria"/>
          <w:lang w:eastAsia="ar-SA"/>
        </w:rPr>
        <w:t>mikroprzedsiębiorców</w:t>
      </w:r>
      <w:proofErr w:type="spellEnd"/>
      <w:r w:rsidRPr="007B20B5">
        <w:rPr>
          <w:rFonts w:eastAsia="Cambria"/>
          <w:lang w:eastAsia="ar-SA"/>
        </w:rPr>
        <w:t>, małych i średnich przedsiębiorców, należy wskazać, że:</w:t>
      </w:r>
    </w:p>
    <w:p w14:paraId="7EBC0DC1" w14:textId="77777777" w:rsidR="007B20ED" w:rsidRDefault="00DA1381" w:rsidP="007B20ED">
      <w:pPr>
        <w:pStyle w:val="Default"/>
        <w:spacing w:before="240" w:after="240" w:line="340" w:lineRule="atLeast"/>
        <w:jc w:val="both"/>
        <w:rPr>
          <w:lang w:eastAsia="ar-SA"/>
        </w:rPr>
      </w:pPr>
      <w:r w:rsidRPr="007B20B5">
        <w:rPr>
          <w:rFonts w:eastAsia="Cambria"/>
          <w:lang w:eastAsia="ar-SA"/>
        </w:rPr>
        <w:t>1)</w:t>
      </w:r>
      <w:r w:rsidRPr="007B20B5">
        <w:rPr>
          <w:rFonts w:eastAsia="Cambria"/>
          <w:lang w:eastAsia="ar-SA"/>
        </w:rPr>
        <w:tab/>
      </w:r>
      <w:r w:rsidR="00E1414E" w:rsidRPr="007B20B5">
        <w:rPr>
          <w:lang w:eastAsia="ar-SA"/>
        </w:rPr>
        <w:t>niniejszy projekt nie przewiduje nałożenia na przedsiębiorców nowych obowiązków związanych bezpośrednio z opodatkowaniem VAT sprzedaży towarów i usług na rzecz konsumentów;</w:t>
      </w:r>
    </w:p>
    <w:p w14:paraId="3C8F66B1" w14:textId="70D0A645" w:rsidR="007B20ED" w:rsidRDefault="00DA1381" w:rsidP="007B20ED">
      <w:pPr>
        <w:pStyle w:val="Default"/>
        <w:spacing w:before="240" w:after="240" w:line="340" w:lineRule="atLeast"/>
        <w:jc w:val="both"/>
        <w:rPr>
          <w:rFonts w:eastAsia="Cambria"/>
          <w:lang w:eastAsia="ar-SA"/>
        </w:rPr>
      </w:pPr>
      <w:r w:rsidRPr="007B20B5">
        <w:rPr>
          <w:lang w:eastAsia="ar-SA"/>
        </w:rPr>
        <w:t>2)</w:t>
      </w:r>
      <w:r w:rsidRPr="007B20B5">
        <w:rPr>
          <w:lang w:eastAsia="ar-SA"/>
        </w:rPr>
        <w:tab/>
      </w:r>
      <w:r w:rsidR="00E1414E" w:rsidRPr="007B20B5">
        <w:rPr>
          <w:lang w:eastAsia="ar-SA"/>
        </w:rPr>
        <w:t xml:space="preserve">wprowadzenie obowiązków sprawozdawczych dla dostawców usług płatniczych wpłynie pozytywnie na funkcjonowanie wspólnego rynku </w:t>
      </w:r>
      <w:r w:rsidR="00A83B01" w:rsidRPr="007B20B5">
        <w:rPr>
          <w:lang w:eastAsia="ar-SA"/>
        </w:rPr>
        <w:t>i zapewni uczciwą konkurencję w </w:t>
      </w:r>
      <w:r w:rsidR="00E1414E" w:rsidRPr="007B20B5">
        <w:rPr>
          <w:lang w:eastAsia="ar-SA"/>
        </w:rPr>
        <w:t xml:space="preserve">obszarze handlu elektronicznego, z czego odniosą korzyść rzetelni przedsiębiorcy działający zgodnie z prawem w obszarze e-commerce, co jest szczególnie istotne dla </w:t>
      </w:r>
      <w:r w:rsidR="00E1414E" w:rsidRPr="007B20B5">
        <w:rPr>
          <w:rFonts w:eastAsia="Cambria"/>
          <w:lang w:eastAsia="ar-SA"/>
        </w:rPr>
        <w:t xml:space="preserve">na </w:t>
      </w:r>
      <w:proofErr w:type="spellStart"/>
      <w:r w:rsidR="00E1414E" w:rsidRPr="007B20B5">
        <w:rPr>
          <w:rFonts w:eastAsia="Cambria"/>
          <w:lang w:eastAsia="ar-SA"/>
        </w:rPr>
        <w:t>mikroprzedsiębiorców</w:t>
      </w:r>
      <w:proofErr w:type="spellEnd"/>
      <w:r w:rsidR="00E1414E" w:rsidRPr="007B20B5">
        <w:rPr>
          <w:rFonts w:eastAsia="Cambria"/>
          <w:lang w:eastAsia="ar-SA"/>
        </w:rPr>
        <w:t>, małych i średnich przedsiębiorców;</w:t>
      </w:r>
    </w:p>
    <w:p w14:paraId="663A7406" w14:textId="02C04C87" w:rsidR="008D0C2C" w:rsidRPr="007B20ED" w:rsidRDefault="00DA1381" w:rsidP="007B20ED">
      <w:pPr>
        <w:pStyle w:val="Default"/>
        <w:spacing w:before="240" w:after="240" w:line="340" w:lineRule="atLeast"/>
        <w:jc w:val="both"/>
        <w:rPr>
          <w:b/>
          <w:u w:val="single"/>
        </w:rPr>
      </w:pPr>
      <w:r w:rsidRPr="007B20B5">
        <w:rPr>
          <w:rFonts w:eastAsia="Cambria"/>
          <w:lang w:eastAsia="ar-SA"/>
        </w:rPr>
        <w:t>3)</w:t>
      </w:r>
      <w:r w:rsidRPr="007B20B5">
        <w:rPr>
          <w:rFonts w:eastAsia="Cambria"/>
          <w:lang w:eastAsia="ar-SA"/>
        </w:rPr>
        <w:tab/>
      </w:r>
      <w:r w:rsidR="008D0C2C" w:rsidRPr="007B20B5">
        <w:rPr>
          <w:rFonts w:eastAsia="Cambria"/>
          <w:lang w:eastAsia="ar-SA"/>
        </w:rPr>
        <w:t xml:space="preserve">dostawcy usług płatniczych będą zobowiązani do przechowywania danych, którymi już dysponują w celu wykonania transakcji płatniczych, jednakże </w:t>
      </w:r>
      <w:r w:rsidR="00E1414E" w:rsidRPr="007B20B5">
        <w:rPr>
          <w:rFonts w:eastAsia="Cambria"/>
          <w:lang w:eastAsia="ar-SA"/>
        </w:rPr>
        <w:t xml:space="preserve">przewiduje się, że </w:t>
      </w:r>
      <w:r w:rsidR="00976210" w:rsidRPr="00976210">
        <w:rPr>
          <w:rFonts w:eastAsia="Cambria"/>
          <w:lang w:eastAsia="ar-SA"/>
        </w:rPr>
        <w:t>projektowane zmiany będą wymagać poniesienia przez dostawców usług płatniczych dodatkowych nakładów na dostosowanie systemów informatycznych do nowych obowiązków. Nie jest jednak możliwe określenie jakiego rodzaju będą to zmiany dostosowawcze oraz oszacowanie kosztów tych zmian. Koszty po stronie dostawców usług płatniczych będą kwestią indywidualną i będą zależały przede wszystkim od skali działalności dostawcy usług płatniczych, posiadanych aktualnych rozwiązań informatycznych, obecnego sposobu gromadzenia i przetwarzania danych oraz od tego, czy zmian wymagać będzie jedynie część czy przykładowo cały system zarządzania.</w:t>
      </w:r>
      <w:r w:rsidR="00A83B01" w:rsidRPr="007B20B5">
        <w:rPr>
          <w:rFonts w:eastAsia="Cambria"/>
          <w:lang w:eastAsia="ar-SA"/>
        </w:rPr>
        <w:t>.</w:t>
      </w:r>
      <w:r w:rsidR="00E1414E" w:rsidRPr="007B20B5">
        <w:rPr>
          <w:rFonts w:eastAsia="Cambria"/>
          <w:lang w:eastAsia="ar-SA"/>
        </w:rPr>
        <w:t xml:space="preserve"> Niemniej jednak, </w:t>
      </w:r>
      <w:r w:rsidR="008D0C2C" w:rsidRPr="007B20B5">
        <w:rPr>
          <w:rFonts w:eastAsia="Cambria"/>
          <w:lang w:eastAsia="ar-SA"/>
        </w:rPr>
        <w:t xml:space="preserve">zharmonizowany na poziomie UE standard przekazywania danych o płatnościach </w:t>
      </w:r>
      <w:r w:rsidR="003E75D9">
        <w:rPr>
          <w:rFonts w:eastAsia="Cambria"/>
          <w:lang w:eastAsia="ar-SA"/>
        </w:rPr>
        <w:t>administracjom</w:t>
      </w:r>
      <w:r w:rsidR="008D0C2C" w:rsidRPr="007B20B5">
        <w:rPr>
          <w:rFonts w:eastAsia="Cambria"/>
          <w:lang w:eastAsia="ar-SA"/>
        </w:rPr>
        <w:t xml:space="preserve"> </w:t>
      </w:r>
      <w:r w:rsidR="00A83B01" w:rsidRPr="007B20B5">
        <w:rPr>
          <w:rFonts w:eastAsia="Cambria"/>
          <w:lang w:eastAsia="ar-SA"/>
        </w:rPr>
        <w:t>podatkowym</w:t>
      </w:r>
      <w:r w:rsidR="008D0C2C" w:rsidRPr="007B20B5">
        <w:rPr>
          <w:rFonts w:eastAsia="Cambria"/>
          <w:lang w:eastAsia="ar-SA"/>
        </w:rPr>
        <w:t xml:space="preserve"> zmniejszy ogólne obciążenie administracyjne tych dostawców (w porównaniu z obciążeniem wynikającym z konieczności przestrzegania zróżnicowanych regulacji krajowych).</w:t>
      </w:r>
    </w:p>
    <w:p w14:paraId="700A635C" w14:textId="5B7B5002" w:rsidR="005C66F1" w:rsidRPr="007B20B5" w:rsidRDefault="00284C75" w:rsidP="00EA3545">
      <w:pPr>
        <w:suppressAutoHyphens/>
        <w:spacing w:before="360" w:line="340" w:lineRule="atLeast"/>
        <w:jc w:val="both"/>
        <w:rPr>
          <w:rFonts w:ascii="Times New Roman" w:eastAsia="Times New Roman" w:hAnsi="Times New Roman"/>
          <w:sz w:val="24"/>
          <w:szCs w:val="24"/>
          <w:lang w:eastAsia="ar-SA"/>
        </w:rPr>
      </w:pPr>
      <w:r w:rsidRPr="007B20B5">
        <w:rPr>
          <w:rFonts w:ascii="Times New Roman" w:eastAsia="Times New Roman" w:hAnsi="Times New Roman"/>
          <w:sz w:val="24"/>
          <w:szCs w:val="24"/>
          <w:lang w:eastAsia="ar-SA"/>
        </w:rPr>
        <w:lastRenderedPageBreak/>
        <w:t>Proponowane przepisy nie powodują</w:t>
      </w:r>
      <w:r w:rsidR="005C66F1" w:rsidRPr="007B20B5">
        <w:rPr>
          <w:rFonts w:ascii="Times New Roman" w:eastAsia="Times New Roman" w:hAnsi="Times New Roman"/>
          <w:sz w:val="24"/>
          <w:szCs w:val="24"/>
          <w:lang w:eastAsia="ar-SA"/>
        </w:rPr>
        <w:t xml:space="preserve"> dodatkowych obciążeń administracyjnych poza tymi, które wynikają z potrzeby implementacji prawa unijnego.</w:t>
      </w:r>
    </w:p>
    <w:p w14:paraId="5992B5E8" w14:textId="77777777" w:rsidR="005C66F1" w:rsidRPr="007B20B5" w:rsidRDefault="005C66F1" w:rsidP="00EA3545">
      <w:pPr>
        <w:spacing w:before="240" w:after="240" w:line="340" w:lineRule="atLeast"/>
        <w:jc w:val="both"/>
        <w:rPr>
          <w:rFonts w:ascii="Times New Roman" w:eastAsia="Times New Roman" w:hAnsi="Times New Roman"/>
          <w:sz w:val="24"/>
          <w:szCs w:val="24"/>
          <w:lang w:eastAsia="pl-PL"/>
        </w:rPr>
      </w:pPr>
      <w:r w:rsidRPr="007B20B5">
        <w:rPr>
          <w:rFonts w:ascii="Times New Roman" w:eastAsia="Times New Roman" w:hAnsi="Times New Roman"/>
          <w:sz w:val="24"/>
          <w:szCs w:val="24"/>
          <w:lang w:eastAsia="pl-PL"/>
        </w:rPr>
        <w:t>Projekt ustawy jest zgodny z prawem Unii Europejskiej.</w:t>
      </w:r>
    </w:p>
    <w:p w14:paraId="7C809131" w14:textId="77777777" w:rsidR="00EA3545" w:rsidRPr="007B20B5" w:rsidRDefault="00EA3545" w:rsidP="00EA3545">
      <w:pPr>
        <w:spacing w:before="240" w:line="340" w:lineRule="atLeast"/>
        <w:jc w:val="both"/>
        <w:rPr>
          <w:rFonts w:ascii="Times New Roman" w:hAnsi="Times New Roman"/>
          <w:noProof/>
          <w:sz w:val="24"/>
          <w:szCs w:val="24"/>
        </w:rPr>
      </w:pPr>
      <w:r w:rsidRPr="007B20B5">
        <w:rPr>
          <w:rFonts w:ascii="Times New Roman" w:hAnsi="Times New Roman"/>
          <w:noProof/>
          <w:sz w:val="24"/>
          <w:szCs w:val="24"/>
        </w:rPr>
        <w:t xml:space="preserve">Projekt nie podlega notyfikacji zgodnie z procedurą określoną w </w:t>
      </w:r>
      <w:r w:rsidRPr="007B20B5">
        <w:rPr>
          <w:rFonts w:ascii="Times New Roman" w:hAnsi="Times New Roman"/>
          <w:i/>
          <w:noProof/>
          <w:sz w:val="24"/>
          <w:szCs w:val="24"/>
        </w:rPr>
        <w:t>rozporządzeniu Rady Ministrów z dnia 23 grudnia 2002 r. w sprawie sposobu funkcjonowania krajowego sytemu notyfikacji norm i aktów prawnych</w:t>
      </w:r>
      <w:r w:rsidRPr="007B20B5">
        <w:rPr>
          <w:rStyle w:val="Odwoanieprzypisudolnego"/>
          <w:rFonts w:ascii="Times New Roman" w:hAnsi="Times New Roman"/>
          <w:i/>
          <w:noProof/>
          <w:sz w:val="24"/>
          <w:szCs w:val="24"/>
        </w:rPr>
        <w:footnoteReference w:id="22"/>
      </w:r>
      <w:r w:rsidRPr="007B20B5">
        <w:rPr>
          <w:rFonts w:ascii="Times New Roman" w:hAnsi="Times New Roman"/>
          <w:noProof/>
          <w:sz w:val="24"/>
          <w:szCs w:val="24"/>
        </w:rPr>
        <w:t>.</w:t>
      </w:r>
    </w:p>
    <w:p w14:paraId="570BAD9C" w14:textId="13C8E6DE" w:rsidR="00EA3545" w:rsidRPr="007B20B5" w:rsidRDefault="00EA3545" w:rsidP="00EA3545">
      <w:pPr>
        <w:spacing w:before="240" w:line="340" w:lineRule="atLeast"/>
        <w:jc w:val="both"/>
        <w:rPr>
          <w:rFonts w:ascii="Times New Roman" w:eastAsia="Times New Roman" w:hAnsi="Times New Roman"/>
          <w:sz w:val="24"/>
          <w:szCs w:val="24"/>
          <w:lang w:eastAsia="pl-PL"/>
        </w:rPr>
      </w:pPr>
      <w:r w:rsidRPr="007B20B5">
        <w:rPr>
          <w:rFonts w:ascii="Times New Roman" w:hAnsi="Times New Roman"/>
          <w:noProof/>
          <w:sz w:val="24"/>
          <w:szCs w:val="24"/>
        </w:rPr>
        <w:t>Projekt ustawy nie wymaga zaopiniowania, dokonani</w:t>
      </w:r>
      <w:r w:rsidR="007663A1">
        <w:rPr>
          <w:rFonts w:ascii="Times New Roman" w:hAnsi="Times New Roman"/>
          <w:noProof/>
          <w:sz w:val="24"/>
          <w:szCs w:val="24"/>
        </w:rPr>
        <w:t>a konsultacji albo uzgodnienia z </w:t>
      </w:r>
      <w:r w:rsidRPr="007B20B5">
        <w:rPr>
          <w:rFonts w:ascii="Times New Roman" w:hAnsi="Times New Roman"/>
          <w:noProof/>
          <w:sz w:val="24"/>
          <w:szCs w:val="24"/>
        </w:rPr>
        <w:t>właściwymi instytucjami organami Unii Europejskiej, w tym Europejskim Bankiem Centralnym.</w:t>
      </w:r>
    </w:p>
    <w:p w14:paraId="7CD1634B" w14:textId="641C5438" w:rsidR="003227F5" w:rsidRPr="007B20B5" w:rsidRDefault="00EA3545" w:rsidP="00EA3545">
      <w:pPr>
        <w:spacing w:before="240" w:after="240" w:line="340" w:lineRule="atLeast"/>
        <w:jc w:val="both"/>
        <w:rPr>
          <w:rFonts w:ascii="Times New Roman" w:hAnsi="Times New Roman"/>
          <w:sz w:val="24"/>
          <w:szCs w:val="24"/>
        </w:rPr>
      </w:pPr>
      <w:r w:rsidRPr="007B20B5">
        <w:rPr>
          <w:rFonts w:ascii="Times New Roman" w:hAnsi="Times New Roman"/>
          <w:sz w:val="24"/>
          <w:szCs w:val="24"/>
        </w:rPr>
        <w:t xml:space="preserve">Zgodnie z art. 5 </w:t>
      </w:r>
      <w:r w:rsidRPr="007B20B5">
        <w:rPr>
          <w:rFonts w:ascii="Times New Roman" w:hAnsi="Times New Roman"/>
          <w:i/>
          <w:sz w:val="24"/>
          <w:szCs w:val="24"/>
        </w:rPr>
        <w:t>ustawy z dnia 7 lipca 2005 r. o działalności lobbingowej w procesie stanowienia prawa</w:t>
      </w:r>
      <w:r w:rsidRPr="007B20B5">
        <w:rPr>
          <w:rStyle w:val="Odwoanieprzypisudolnego"/>
          <w:rFonts w:ascii="Times New Roman" w:hAnsi="Times New Roman"/>
          <w:i/>
          <w:sz w:val="24"/>
          <w:szCs w:val="24"/>
        </w:rPr>
        <w:footnoteReference w:id="23"/>
      </w:r>
      <w:r w:rsidRPr="007B20B5">
        <w:rPr>
          <w:rFonts w:ascii="Times New Roman" w:hAnsi="Times New Roman"/>
          <w:sz w:val="24"/>
          <w:szCs w:val="24"/>
        </w:rPr>
        <w:t xml:space="preserve"> w związku z § 52 ust. 1 </w:t>
      </w:r>
      <w:r w:rsidRPr="007B20B5">
        <w:rPr>
          <w:rFonts w:ascii="Times New Roman" w:hAnsi="Times New Roman"/>
          <w:i/>
          <w:sz w:val="24"/>
          <w:szCs w:val="24"/>
        </w:rPr>
        <w:t>uchwały nr 190 Rady Ministrów z dnia 29 października 2013 r. – Regulamin pracy Rady Ministrów</w:t>
      </w:r>
      <w:r w:rsidRPr="007B20B5">
        <w:rPr>
          <w:rStyle w:val="Odwoanieprzypisudolnego"/>
          <w:rFonts w:ascii="Times New Roman" w:hAnsi="Times New Roman"/>
          <w:sz w:val="24"/>
          <w:szCs w:val="24"/>
        </w:rPr>
        <w:footnoteReference w:id="24"/>
      </w:r>
      <w:r w:rsidRPr="007B20B5">
        <w:rPr>
          <w:rFonts w:ascii="Times New Roman" w:hAnsi="Times New Roman"/>
          <w:sz w:val="24"/>
          <w:szCs w:val="24"/>
        </w:rPr>
        <w:t>, projekt ustawy z chwilą przekazania go do uzgodnień z członkami Rady Ministrów oraz konsultacji publicznych zostanie udostępniony w Biuletynie Informacji Publicznej na stronie podmiotowej Rządowego Centrum Legislacji, w serwisie Rządowy Proces Legislacyjny.</w:t>
      </w:r>
    </w:p>
    <w:sectPr w:rsidR="003227F5" w:rsidRPr="007B20B5" w:rsidSect="002240AB">
      <w:footerReference w:type="default" r:id="rId11"/>
      <w:pgSz w:w="11906" w:h="16838"/>
      <w:pgMar w:top="1417" w:right="1417" w:bottom="1417" w:left="1417"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D329" w14:textId="77777777" w:rsidR="00A16E8D" w:rsidRDefault="00A16E8D">
      <w:pPr>
        <w:spacing w:line="240" w:lineRule="auto"/>
      </w:pPr>
      <w:r>
        <w:separator/>
      </w:r>
    </w:p>
  </w:endnote>
  <w:endnote w:type="continuationSeparator" w:id="0">
    <w:p w14:paraId="30C61A6C" w14:textId="77777777" w:rsidR="00A16E8D" w:rsidRDefault="00A16E8D">
      <w:pPr>
        <w:spacing w:line="240" w:lineRule="auto"/>
      </w:pPr>
      <w:r>
        <w:continuationSeparator/>
      </w:r>
    </w:p>
  </w:endnote>
  <w:endnote w:type="continuationNotice" w:id="1">
    <w:p w14:paraId="37271425" w14:textId="77777777" w:rsidR="00A16E8D" w:rsidRDefault="00A16E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9084" w14:textId="77777777" w:rsidR="00E30F7B" w:rsidRPr="0098730F" w:rsidRDefault="00E30F7B">
    <w:pPr>
      <w:pStyle w:val="Stopka"/>
      <w:jc w:val="center"/>
      <w:rPr>
        <w:rFonts w:ascii="Times New Roman" w:hAnsi="Times New Roman"/>
      </w:rPr>
    </w:pPr>
    <w:r w:rsidRPr="0098730F">
      <w:rPr>
        <w:rFonts w:ascii="Times New Roman" w:hAnsi="Times New Roman"/>
      </w:rPr>
      <w:fldChar w:fldCharType="begin"/>
    </w:r>
    <w:r w:rsidRPr="0098730F">
      <w:rPr>
        <w:rFonts w:ascii="Times New Roman" w:hAnsi="Times New Roman"/>
      </w:rPr>
      <w:instrText>PAGE   \* MERGEFORMAT</w:instrText>
    </w:r>
    <w:r w:rsidRPr="0098730F">
      <w:rPr>
        <w:rFonts w:ascii="Times New Roman" w:hAnsi="Times New Roman"/>
      </w:rPr>
      <w:fldChar w:fldCharType="separate"/>
    </w:r>
    <w:r w:rsidR="001A782D">
      <w:rPr>
        <w:rFonts w:ascii="Times New Roman" w:hAnsi="Times New Roman"/>
        <w:noProof/>
      </w:rPr>
      <w:t>29</w:t>
    </w:r>
    <w:r w:rsidRPr="0098730F">
      <w:rPr>
        <w:rFonts w:ascii="Times New Roman" w:hAnsi="Times New Roman"/>
      </w:rPr>
      <w:fldChar w:fldCharType="end"/>
    </w:r>
  </w:p>
  <w:p w14:paraId="6B97EBDF" w14:textId="77777777" w:rsidR="00E30F7B" w:rsidRDefault="00E30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28862" w14:textId="77777777" w:rsidR="00A16E8D" w:rsidRDefault="00A16E8D">
      <w:pPr>
        <w:spacing w:line="240" w:lineRule="auto"/>
      </w:pPr>
      <w:r>
        <w:separator/>
      </w:r>
    </w:p>
  </w:footnote>
  <w:footnote w:type="continuationSeparator" w:id="0">
    <w:p w14:paraId="173F32D3" w14:textId="77777777" w:rsidR="00A16E8D" w:rsidRDefault="00A16E8D">
      <w:pPr>
        <w:spacing w:line="240" w:lineRule="auto"/>
      </w:pPr>
      <w:r>
        <w:continuationSeparator/>
      </w:r>
    </w:p>
  </w:footnote>
  <w:footnote w:type="continuationNotice" w:id="1">
    <w:p w14:paraId="489464FB" w14:textId="77777777" w:rsidR="00A16E8D" w:rsidRDefault="00A16E8D">
      <w:pPr>
        <w:spacing w:line="240" w:lineRule="auto"/>
      </w:pPr>
    </w:p>
  </w:footnote>
  <w:footnote w:id="2">
    <w:p w14:paraId="5B9AFA15" w14:textId="220D1803" w:rsidR="00E30F7B" w:rsidRPr="00A51139" w:rsidRDefault="00E30F7B" w:rsidP="00A51139">
      <w:pPr>
        <w:pStyle w:val="Tekstprzypisudolnego"/>
        <w:jc w:val="both"/>
        <w:rPr>
          <w:rFonts w:ascii="Times New Roman" w:hAnsi="Times New Roman"/>
        </w:rPr>
      </w:pPr>
      <w:r>
        <w:rPr>
          <w:rStyle w:val="Odwoanieprzypisudolnego"/>
        </w:rPr>
        <w:footnoteRef/>
      </w:r>
      <w:r>
        <w:t xml:space="preserve"> </w:t>
      </w:r>
      <w:r>
        <w:rPr>
          <w:rFonts w:ascii="Times New Roman" w:hAnsi="Times New Roman"/>
        </w:rPr>
        <w:t>Dz. U. z 2022</w:t>
      </w:r>
      <w:r w:rsidRPr="004046ED">
        <w:rPr>
          <w:rFonts w:ascii="Times New Roman" w:hAnsi="Times New Roman"/>
        </w:rPr>
        <w:t xml:space="preserve"> r. poz.</w:t>
      </w:r>
      <w:r>
        <w:rPr>
          <w:rFonts w:ascii="Times New Roman" w:hAnsi="Times New Roman"/>
        </w:rPr>
        <w:t xml:space="preserve"> 931, 974 i 1137</w:t>
      </w:r>
      <w:r w:rsidRPr="00A51139">
        <w:rPr>
          <w:rFonts w:ascii="Times New Roman" w:hAnsi="Times New Roman"/>
        </w:rPr>
        <w:t>.</w:t>
      </w:r>
    </w:p>
  </w:footnote>
  <w:footnote w:id="3">
    <w:p w14:paraId="06E15BE2" w14:textId="61F23B7C" w:rsidR="00E30F7B" w:rsidRPr="00821D6A" w:rsidRDefault="00E30F7B" w:rsidP="00A51139">
      <w:pPr>
        <w:pStyle w:val="Tekstprzypisudolnego"/>
        <w:tabs>
          <w:tab w:val="left" w:pos="284"/>
        </w:tabs>
        <w:jc w:val="both"/>
        <w:rPr>
          <w:rFonts w:ascii="Times New Roman" w:hAnsi="Times New Roman"/>
        </w:rPr>
      </w:pPr>
      <w:r w:rsidRPr="00821D6A">
        <w:rPr>
          <w:rStyle w:val="Odwoanieprzypisudolnego"/>
          <w:rFonts w:ascii="Times New Roman" w:hAnsi="Times New Roman"/>
        </w:rPr>
        <w:footnoteRef/>
      </w:r>
      <w:r>
        <w:rPr>
          <w:rFonts w:ascii="Times New Roman" w:hAnsi="Times New Roman"/>
        </w:rPr>
        <w:t xml:space="preserve"> </w:t>
      </w:r>
      <w:r>
        <w:rPr>
          <w:rFonts w:ascii="Times New Roman" w:eastAsia="Times New Roman" w:hAnsi="Times New Roman"/>
          <w:bCs/>
          <w:color w:val="000000"/>
          <w:lang w:eastAsia="pl-PL"/>
        </w:rPr>
        <w:t xml:space="preserve">Dz. Urz. UE L Nr </w:t>
      </w:r>
      <w:r w:rsidRPr="00B80D14">
        <w:rPr>
          <w:rFonts w:ascii="Times New Roman" w:eastAsia="Times New Roman" w:hAnsi="Times New Roman"/>
          <w:bCs/>
          <w:color w:val="000000"/>
          <w:lang w:eastAsia="pl-PL"/>
        </w:rPr>
        <w:t>62</w:t>
      </w:r>
      <w:r>
        <w:rPr>
          <w:rFonts w:ascii="Times New Roman" w:eastAsia="Times New Roman" w:hAnsi="Times New Roman"/>
          <w:bCs/>
          <w:color w:val="000000"/>
          <w:lang w:eastAsia="pl-PL"/>
        </w:rPr>
        <w:t xml:space="preserve"> </w:t>
      </w:r>
      <w:r w:rsidRPr="00B80D14">
        <w:rPr>
          <w:rFonts w:ascii="Times New Roman" w:eastAsia="Times New Roman" w:hAnsi="Times New Roman"/>
          <w:bCs/>
          <w:color w:val="000000"/>
          <w:lang w:eastAsia="pl-PL"/>
        </w:rPr>
        <w:t>z 2.03.2020 r., s. 7</w:t>
      </w:r>
      <w:r>
        <w:rPr>
          <w:rFonts w:ascii="Times New Roman" w:eastAsia="Times New Roman" w:hAnsi="Times New Roman"/>
          <w:bCs/>
          <w:color w:val="000000"/>
          <w:lang w:eastAsia="pl-PL"/>
        </w:rPr>
        <w:t>.</w:t>
      </w:r>
    </w:p>
  </w:footnote>
  <w:footnote w:id="4">
    <w:p w14:paraId="7552048C" w14:textId="72073BB8" w:rsidR="00E30F7B" w:rsidRPr="003132DC" w:rsidRDefault="00E30F7B" w:rsidP="00A51139">
      <w:pPr>
        <w:pStyle w:val="Tekstprzypisudolnego"/>
        <w:jc w:val="both"/>
        <w:rPr>
          <w:rFonts w:ascii="Times New Roman" w:hAnsi="Times New Roman"/>
        </w:rPr>
      </w:pPr>
      <w:r w:rsidRPr="00CA6F84">
        <w:rPr>
          <w:rStyle w:val="Odwoanieprzypisudolnego"/>
          <w:rFonts w:ascii="Times New Roman" w:hAnsi="Times New Roman"/>
        </w:rPr>
        <w:footnoteRef/>
      </w:r>
      <w:r>
        <w:rPr>
          <w:rFonts w:ascii="Times New Roman" w:hAnsi="Times New Roman"/>
        </w:rPr>
        <w:t xml:space="preserve"> </w:t>
      </w:r>
      <w:r w:rsidRPr="003132DC">
        <w:rPr>
          <w:rFonts w:ascii="Times New Roman" w:hAnsi="Times New Roman"/>
        </w:rPr>
        <w:t>Dz. Urz. UE L Nr 62 z 2.03.2020 r., s. 1.</w:t>
      </w:r>
    </w:p>
  </w:footnote>
  <w:footnote w:id="5">
    <w:p w14:paraId="1DFCACE7" w14:textId="0D65F3DE" w:rsidR="00E30F7B" w:rsidRPr="003132DC" w:rsidRDefault="00E30F7B">
      <w:pPr>
        <w:pStyle w:val="Tekstprzypisudolnego"/>
        <w:rPr>
          <w:rFonts w:ascii="Times New Roman" w:hAnsi="Times New Roman"/>
        </w:rPr>
      </w:pPr>
      <w:r>
        <w:rPr>
          <w:rStyle w:val="Odwoanieprzypisudolnego"/>
        </w:rPr>
        <w:footnoteRef/>
      </w:r>
      <w:r>
        <w:t xml:space="preserve"> </w:t>
      </w:r>
      <w:r w:rsidRPr="003132DC">
        <w:rPr>
          <w:rFonts w:ascii="Times New Roman" w:hAnsi="Times New Roman"/>
        </w:rPr>
        <w:t xml:space="preserve">Dz. Urz. UE L </w:t>
      </w:r>
      <w:r>
        <w:rPr>
          <w:rFonts w:ascii="Times New Roman" w:hAnsi="Times New Roman"/>
        </w:rPr>
        <w:t xml:space="preserve">Nr </w:t>
      </w:r>
      <w:r w:rsidRPr="003132DC">
        <w:rPr>
          <w:rFonts w:ascii="Times New Roman" w:hAnsi="Times New Roman"/>
        </w:rPr>
        <w:t>348 z 29.12.2017, str. 7</w:t>
      </w:r>
      <w:r>
        <w:rPr>
          <w:rFonts w:ascii="Times New Roman" w:hAnsi="Times New Roman"/>
        </w:rPr>
        <w:t>.</w:t>
      </w:r>
    </w:p>
  </w:footnote>
  <w:footnote w:id="6">
    <w:p w14:paraId="49BB9A85" w14:textId="16983681" w:rsidR="00E30F7B" w:rsidRPr="003132DC" w:rsidRDefault="00E30F7B">
      <w:pPr>
        <w:pStyle w:val="Tekstprzypisudolnego"/>
        <w:rPr>
          <w:rFonts w:ascii="Times New Roman" w:hAnsi="Times New Roman"/>
        </w:rPr>
      </w:pPr>
      <w:r w:rsidRPr="003132DC">
        <w:rPr>
          <w:rStyle w:val="Odwoanieprzypisudolnego"/>
          <w:rFonts w:ascii="Times New Roman" w:hAnsi="Times New Roman"/>
        </w:rPr>
        <w:footnoteRef/>
      </w:r>
      <w:r w:rsidRPr="003132DC">
        <w:rPr>
          <w:rFonts w:ascii="Times New Roman" w:hAnsi="Times New Roman"/>
        </w:rPr>
        <w:t xml:space="preserve"> </w:t>
      </w:r>
      <w:r w:rsidRPr="003132DC">
        <w:rPr>
          <w:rStyle w:val="notranslate"/>
          <w:rFonts w:ascii="Times New Roman" w:hAnsi="Times New Roman"/>
        </w:rPr>
        <w:t>Dz. Urz. UE L Nr 310 z 02.12.2019, str. 1</w:t>
      </w:r>
      <w:r>
        <w:rPr>
          <w:rStyle w:val="notranslate"/>
          <w:rFonts w:ascii="Times New Roman" w:hAnsi="Times New Roman"/>
        </w:rPr>
        <w:t>.</w:t>
      </w:r>
    </w:p>
  </w:footnote>
  <w:footnote w:id="7">
    <w:p w14:paraId="2546110B" w14:textId="6281109A" w:rsidR="00E30F7B" w:rsidRPr="004F2768" w:rsidRDefault="00E30F7B">
      <w:pPr>
        <w:pStyle w:val="Tekstprzypisudolnego"/>
        <w:rPr>
          <w:rFonts w:ascii="Times New Roman" w:hAnsi="Times New Roman"/>
        </w:rPr>
      </w:pPr>
      <w:r>
        <w:rPr>
          <w:rStyle w:val="Odwoanieprzypisudolnego"/>
        </w:rPr>
        <w:footnoteRef/>
      </w:r>
      <w:r>
        <w:t xml:space="preserve"> </w:t>
      </w:r>
      <w:r w:rsidRPr="004F2768">
        <w:rPr>
          <w:rFonts w:ascii="Times New Roman" w:hAnsi="Times New Roman"/>
        </w:rPr>
        <w:t>Dz. U. z 2021 r. poz. 1163.</w:t>
      </w:r>
    </w:p>
  </w:footnote>
  <w:footnote w:id="8">
    <w:p w14:paraId="61CDF6D8" w14:textId="1D52E19A" w:rsidR="00E30F7B" w:rsidRPr="00466DEB" w:rsidRDefault="00E30F7B" w:rsidP="00B745ED">
      <w:pPr>
        <w:pStyle w:val="Tekstprzypisudolnego"/>
        <w:jc w:val="both"/>
        <w:rPr>
          <w:rFonts w:ascii="Times New Roman" w:hAnsi="Times New Roman"/>
        </w:rPr>
      </w:pPr>
      <w:r>
        <w:rPr>
          <w:rStyle w:val="Odwoanieprzypisudolnego"/>
        </w:rPr>
        <w:footnoteRef/>
      </w:r>
      <w:r>
        <w:t xml:space="preserve"> </w:t>
      </w:r>
      <w:r w:rsidRPr="00B745ED">
        <w:rPr>
          <w:rFonts w:ascii="Times New Roman" w:hAnsi="Times New Roman"/>
        </w:rPr>
        <w:t xml:space="preserve">Europejski Trybunał Obrachunkowy, </w:t>
      </w:r>
      <w:proofErr w:type="spellStart"/>
      <w:r w:rsidRPr="00B745ED">
        <w:rPr>
          <w:rFonts w:ascii="Times New Roman" w:hAnsi="Times New Roman"/>
        </w:rPr>
        <w:t>Background</w:t>
      </w:r>
      <w:proofErr w:type="spellEnd"/>
      <w:r w:rsidRPr="00B745ED">
        <w:rPr>
          <w:rFonts w:ascii="Times New Roman" w:hAnsi="Times New Roman"/>
        </w:rPr>
        <w:t xml:space="preserve"> Paper, Collection of VAT and </w:t>
      </w:r>
      <w:proofErr w:type="spellStart"/>
      <w:r w:rsidRPr="00B745ED">
        <w:rPr>
          <w:rFonts w:ascii="Times New Roman" w:hAnsi="Times New Roman"/>
        </w:rPr>
        <w:t>customs</w:t>
      </w:r>
      <w:proofErr w:type="spellEnd"/>
      <w:r w:rsidRPr="00B745ED">
        <w:rPr>
          <w:rFonts w:ascii="Times New Roman" w:hAnsi="Times New Roman"/>
        </w:rPr>
        <w:t xml:space="preserve"> </w:t>
      </w:r>
      <w:proofErr w:type="spellStart"/>
      <w:r w:rsidRPr="00B745ED">
        <w:rPr>
          <w:rFonts w:ascii="Times New Roman" w:hAnsi="Times New Roman"/>
        </w:rPr>
        <w:t>duties</w:t>
      </w:r>
      <w:proofErr w:type="spellEnd"/>
      <w:r w:rsidRPr="00B745ED">
        <w:rPr>
          <w:rFonts w:ascii="Times New Roman" w:hAnsi="Times New Roman"/>
        </w:rPr>
        <w:t xml:space="preserve"> on cross-</w:t>
      </w:r>
      <w:proofErr w:type="spellStart"/>
      <w:r w:rsidRPr="00B745ED">
        <w:rPr>
          <w:rFonts w:ascii="Times New Roman" w:hAnsi="Times New Roman"/>
        </w:rPr>
        <w:t>border</w:t>
      </w:r>
      <w:proofErr w:type="spellEnd"/>
      <w:r w:rsidRPr="00B745ED">
        <w:rPr>
          <w:rFonts w:ascii="Times New Roman" w:hAnsi="Times New Roman"/>
        </w:rPr>
        <w:t xml:space="preserve"> e-commerce (Dokument informacyjny: Pobór VAT i ceł od transgranicznego handl</w:t>
      </w:r>
      <w:r>
        <w:rPr>
          <w:rFonts w:ascii="Times New Roman" w:hAnsi="Times New Roman"/>
        </w:rPr>
        <w:t xml:space="preserve">u elektronicznego), lipiec </w:t>
      </w:r>
      <w:r w:rsidRPr="00466DEB">
        <w:rPr>
          <w:rFonts w:ascii="Times New Roman" w:hAnsi="Times New Roman"/>
        </w:rPr>
        <w:t>2018 r.</w:t>
      </w:r>
    </w:p>
  </w:footnote>
  <w:footnote w:id="9">
    <w:p w14:paraId="38077ADC" w14:textId="600EDC74" w:rsidR="00E30F7B" w:rsidRPr="007231E2" w:rsidRDefault="00E30F7B">
      <w:pPr>
        <w:pStyle w:val="Tekstprzypisudolnego"/>
        <w:rPr>
          <w:rFonts w:ascii="Times New Roman" w:hAnsi="Times New Roman"/>
        </w:rPr>
      </w:pPr>
      <w:r>
        <w:rPr>
          <w:rStyle w:val="Odwoanieprzypisudolnego"/>
        </w:rPr>
        <w:footnoteRef/>
      </w:r>
      <w:r>
        <w:t xml:space="preserve"> </w:t>
      </w:r>
      <w:r w:rsidRPr="007231E2">
        <w:rPr>
          <w:rFonts w:ascii="Times New Roman" w:hAnsi="Times New Roman"/>
        </w:rPr>
        <w:t>Dz. Urz. L Nr 268 z 12.10.2010, s. 1, z późn. zm.</w:t>
      </w:r>
    </w:p>
  </w:footnote>
  <w:footnote w:id="10">
    <w:p w14:paraId="645236A2" w14:textId="52B66CD1" w:rsidR="00E30F7B" w:rsidRPr="007231E2" w:rsidRDefault="00E30F7B">
      <w:pPr>
        <w:pStyle w:val="Tekstprzypisudolnego"/>
        <w:rPr>
          <w:rFonts w:ascii="Times New Roman" w:hAnsi="Times New Roman"/>
        </w:rPr>
      </w:pPr>
      <w:r w:rsidRPr="007231E2">
        <w:rPr>
          <w:rStyle w:val="Odwoanieprzypisudolnego"/>
          <w:rFonts w:ascii="Times New Roman" w:hAnsi="Times New Roman"/>
        </w:rPr>
        <w:footnoteRef/>
      </w:r>
      <w:r w:rsidRPr="007231E2">
        <w:rPr>
          <w:rFonts w:ascii="Times New Roman" w:hAnsi="Times New Roman"/>
        </w:rPr>
        <w:t xml:space="preserve"> Dz. Urz. L Nr 347 z 11.12.2006, s. 1, z późn. zm.</w:t>
      </w:r>
    </w:p>
  </w:footnote>
  <w:footnote w:id="11">
    <w:p w14:paraId="45DF5C23" w14:textId="11675ECC" w:rsidR="00E30F7B" w:rsidRDefault="00E30F7B">
      <w:pPr>
        <w:pStyle w:val="Tekstprzypisudolnego"/>
      </w:pPr>
      <w:r>
        <w:rPr>
          <w:rStyle w:val="Odwoanieprzypisudolnego"/>
        </w:rPr>
        <w:footnoteRef/>
      </w:r>
      <w:r>
        <w:t xml:space="preserve"> </w:t>
      </w:r>
      <w:r w:rsidR="009E45DE">
        <w:rPr>
          <w:rFonts w:ascii="Times New Roman" w:hAnsi="Times New Roman"/>
        </w:rPr>
        <w:t>Dz. U. z 2022 r. poz. 813, 835,</w:t>
      </w:r>
      <w:r w:rsidRPr="004046ED">
        <w:rPr>
          <w:rFonts w:ascii="Times New Roman" w:hAnsi="Times New Roman"/>
        </w:rPr>
        <w:t xml:space="preserve"> 1079</w:t>
      </w:r>
      <w:r w:rsidR="00E30AE2">
        <w:rPr>
          <w:rFonts w:ascii="Times New Roman" w:hAnsi="Times New Roman"/>
        </w:rPr>
        <w:t>,</w:t>
      </w:r>
      <w:r w:rsidR="009E45DE">
        <w:rPr>
          <w:rFonts w:ascii="Times New Roman" w:hAnsi="Times New Roman"/>
        </w:rPr>
        <w:t xml:space="preserve"> 1301</w:t>
      </w:r>
      <w:r w:rsidR="00E30AE2">
        <w:rPr>
          <w:rFonts w:ascii="Times New Roman" w:hAnsi="Times New Roman"/>
        </w:rPr>
        <w:t xml:space="preserve"> i 1488</w:t>
      </w:r>
      <w:r w:rsidRPr="004046ED">
        <w:rPr>
          <w:rFonts w:ascii="Times New Roman" w:hAnsi="Times New Roman"/>
        </w:rPr>
        <w:t>.</w:t>
      </w:r>
    </w:p>
  </w:footnote>
  <w:footnote w:id="12">
    <w:p w14:paraId="3E66A59A" w14:textId="77777777" w:rsidR="00E30F7B" w:rsidRPr="00E10C33" w:rsidRDefault="00E30F7B" w:rsidP="001B5B1D">
      <w:pPr>
        <w:pStyle w:val="Tekstprzypisudolnego"/>
        <w:rPr>
          <w:rFonts w:ascii="Times New Roman" w:hAnsi="Times New Roman"/>
        </w:rPr>
      </w:pPr>
      <w:r>
        <w:rPr>
          <w:rStyle w:val="Odwoanieprzypisudolnego"/>
        </w:rPr>
        <w:footnoteRef/>
      </w:r>
      <w:r>
        <w:t xml:space="preserve"> </w:t>
      </w:r>
      <w:r w:rsidRPr="00E10C33">
        <w:rPr>
          <w:rFonts w:ascii="Times New Roman" w:hAnsi="Times New Roman"/>
        </w:rPr>
        <w:t xml:space="preserve">Dz. Urz. UE L </w:t>
      </w:r>
      <w:r>
        <w:rPr>
          <w:rFonts w:ascii="Times New Roman" w:hAnsi="Times New Roman"/>
        </w:rPr>
        <w:t xml:space="preserve">Nr </w:t>
      </w:r>
      <w:r w:rsidRPr="00E10C33">
        <w:rPr>
          <w:rFonts w:ascii="Times New Roman" w:hAnsi="Times New Roman"/>
        </w:rPr>
        <w:t>337 z 23.12.2015, s. 35.</w:t>
      </w:r>
    </w:p>
  </w:footnote>
  <w:footnote w:id="13">
    <w:p w14:paraId="70CEFC2C" w14:textId="53BED6B6" w:rsidR="00E30F7B" w:rsidRPr="00314D27" w:rsidRDefault="00E30F7B" w:rsidP="003A0398">
      <w:pPr>
        <w:pStyle w:val="Tekstprzypisudolnego"/>
        <w:rPr>
          <w:rFonts w:ascii="Times New Roman" w:hAnsi="Times New Roman"/>
        </w:rPr>
      </w:pPr>
      <w:r>
        <w:rPr>
          <w:rStyle w:val="Odwoanieprzypisudolnego"/>
        </w:rPr>
        <w:footnoteRef/>
      </w:r>
      <w:r>
        <w:t xml:space="preserve"> </w:t>
      </w:r>
      <w:r w:rsidRPr="00121E04">
        <w:rPr>
          <w:rFonts w:ascii="Times New Roman" w:hAnsi="Times New Roman"/>
        </w:rPr>
        <w:t>Dz. Urz.</w:t>
      </w:r>
      <w:r>
        <w:rPr>
          <w:rFonts w:ascii="Times New Roman" w:hAnsi="Times New Roman"/>
        </w:rPr>
        <w:t xml:space="preserve"> UE L Nr 94 z 30.3.2012, s. 22.</w:t>
      </w:r>
    </w:p>
  </w:footnote>
  <w:footnote w:id="14">
    <w:p w14:paraId="76C06869" w14:textId="6E471BA8" w:rsidR="00E30F7B" w:rsidRPr="00314D27" w:rsidRDefault="00E30F7B">
      <w:pPr>
        <w:pStyle w:val="Tekstprzypisudolnego"/>
        <w:rPr>
          <w:rFonts w:ascii="Times New Roman" w:hAnsi="Times New Roman"/>
        </w:rPr>
      </w:pPr>
      <w:r w:rsidRPr="00314D27">
        <w:rPr>
          <w:rStyle w:val="Odwoanieprzypisudolnego"/>
          <w:rFonts w:ascii="Times New Roman" w:hAnsi="Times New Roman"/>
        </w:rPr>
        <w:footnoteRef/>
      </w:r>
      <w:r w:rsidRPr="00314D27">
        <w:rPr>
          <w:rFonts w:ascii="Times New Roman" w:hAnsi="Times New Roman"/>
        </w:rPr>
        <w:t xml:space="preserve"> Dz. U. z 2021 r. poz. 1907, 1814</w:t>
      </w:r>
      <w:r>
        <w:rPr>
          <w:rFonts w:ascii="Times New Roman" w:hAnsi="Times New Roman"/>
        </w:rPr>
        <w:t>, 2140</w:t>
      </w:r>
      <w:r w:rsidRPr="00314D27">
        <w:rPr>
          <w:rFonts w:ascii="Times New Roman" w:hAnsi="Times New Roman"/>
        </w:rPr>
        <w:t>.</w:t>
      </w:r>
    </w:p>
  </w:footnote>
  <w:footnote w:id="15">
    <w:p w14:paraId="09C6CB4E" w14:textId="0411C69B" w:rsidR="00E30F7B" w:rsidRPr="0013131B" w:rsidRDefault="00E30F7B">
      <w:pPr>
        <w:pStyle w:val="Tekstprzypisudolnego"/>
        <w:rPr>
          <w:rFonts w:ascii="Times New Roman" w:hAnsi="Times New Roman"/>
        </w:rPr>
      </w:pPr>
      <w:r>
        <w:rPr>
          <w:rStyle w:val="Odwoanieprzypisudolnego"/>
        </w:rPr>
        <w:footnoteRef/>
      </w:r>
      <w:r>
        <w:t xml:space="preserve"> </w:t>
      </w:r>
      <w:r w:rsidRPr="0013131B">
        <w:rPr>
          <w:rFonts w:ascii="Times New Roman" w:hAnsi="Times New Roman"/>
        </w:rPr>
        <w:t>Dz. U. z 2021 r. poz. 1844, 2140, 2447.</w:t>
      </w:r>
    </w:p>
  </w:footnote>
  <w:footnote w:id="16">
    <w:p w14:paraId="42F887B2" w14:textId="3F9950E5" w:rsidR="00E30F7B" w:rsidRPr="002F7731" w:rsidRDefault="00E30F7B">
      <w:pPr>
        <w:pStyle w:val="Tekstprzypisudolnego"/>
        <w:rPr>
          <w:rFonts w:ascii="Times New Roman" w:hAnsi="Times New Roman"/>
        </w:rPr>
      </w:pPr>
      <w:r>
        <w:rPr>
          <w:rStyle w:val="Odwoanieprzypisudolnego"/>
        </w:rPr>
        <w:footnoteRef/>
      </w:r>
      <w:r>
        <w:t xml:space="preserve"> </w:t>
      </w:r>
      <w:r w:rsidRPr="002F7731">
        <w:rPr>
          <w:rFonts w:ascii="Times New Roman" w:hAnsi="Times New Roman"/>
        </w:rPr>
        <w:t>Dz. U. z 1937 r.</w:t>
      </w:r>
      <w:r>
        <w:rPr>
          <w:rFonts w:ascii="Times New Roman" w:hAnsi="Times New Roman"/>
        </w:rPr>
        <w:t xml:space="preserve"> nr 26</w:t>
      </w:r>
      <w:r w:rsidRPr="002F7731">
        <w:rPr>
          <w:rFonts w:ascii="Times New Roman" w:hAnsi="Times New Roman"/>
        </w:rPr>
        <w:t xml:space="preserve"> poz. 181.</w:t>
      </w:r>
    </w:p>
  </w:footnote>
  <w:footnote w:id="17">
    <w:p w14:paraId="5B810CF2" w14:textId="77C13123" w:rsidR="00E30F7B" w:rsidRPr="002F7731" w:rsidRDefault="00E30F7B">
      <w:pPr>
        <w:pStyle w:val="Tekstprzypisudolnego"/>
        <w:rPr>
          <w:rFonts w:ascii="Times New Roman" w:hAnsi="Times New Roman"/>
        </w:rPr>
      </w:pPr>
      <w:r>
        <w:rPr>
          <w:rStyle w:val="Odwoanieprzypisudolnego"/>
        </w:rPr>
        <w:footnoteRef/>
      </w:r>
      <w:r>
        <w:t xml:space="preserve"> </w:t>
      </w:r>
      <w:r w:rsidRPr="002F7731">
        <w:rPr>
          <w:rFonts w:ascii="Times New Roman" w:hAnsi="Times New Roman"/>
        </w:rPr>
        <w:t xml:space="preserve">Dz. U. z 1937 r. </w:t>
      </w:r>
      <w:r>
        <w:rPr>
          <w:rFonts w:ascii="Times New Roman" w:hAnsi="Times New Roman"/>
        </w:rPr>
        <w:t xml:space="preserve">nr 26 </w:t>
      </w:r>
      <w:r w:rsidRPr="002F7731">
        <w:rPr>
          <w:rFonts w:ascii="Times New Roman" w:hAnsi="Times New Roman"/>
        </w:rPr>
        <w:t>poz. 175.</w:t>
      </w:r>
    </w:p>
  </w:footnote>
  <w:footnote w:id="18">
    <w:p w14:paraId="0ACD9479" w14:textId="32AF8549" w:rsidR="00E30F7B" w:rsidRPr="009A4B84" w:rsidRDefault="00E30F7B">
      <w:pPr>
        <w:pStyle w:val="Tekstprzypisudolnego"/>
        <w:rPr>
          <w:rFonts w:ascii="Times New Roman" w:hAnsi="Times New Roman"/>
        </w:rPr>
      </w:pPr>
      <w:r>
        <w:rPr>
          <w:rStyle w:val="Odwoanieprzypisudolnego"/>
        </w:rPr>
        <w:footnoteRef/>
      </w:r>
      <w:r>
        <w:t xml:space="preserve"> </w:t>
      </w:r>
      <w:r w:rsidRPr="009A4B84">
        <w:rPr>
          <w:rFonts w:ascii="Times New Roman" w:hAnsi="Times New Roman"/>
        </w:rPr>
        <w:t>Dz. U. z 202</w:t>
      </w:r>
      <w:r>
        <w:rPr>
          <w:rFonts w:ascii="Times New Roman" w:hAnsi="Times New Roman"/>
        </w:rPr>
        <w:t>2</w:t>
      </w:r>
      <w:r w:rsidRPr="009A4B84">
        <w:rPr>
          <w:rFonts w:ascii="Times New Roman" w:hAnsi="Times New Roman"/>
        </w:rPr>
        <w:t xml:space="preserve"> r. poz.</w:t>
      </w:r>
      <w:r>
        <w:rPr>
          <w:rFonts w:ascii="Times New Roman" w:hAnsi="Times New Roman"/>
        </w:rPr>
        <w:t xml:space="preserve"> 660 i 872</w:t>
      </w:r>
      <w:r w:rsidRPr="009A4B84">
        <w:rPr>
          <w:rFonts w:ascii="Times New Roman" w:hAnsi="Times New Roman"/>
        </w:rPr>
        <w:t>.</w:t>
      </w:r>
    </w:p>
  </w:footnote>
  <w:footnote w:id="19">
    <w:p w14:paraId="2DEBD965" w14:textId="77777777" w:rsidR="00E30F7B" w:rsidRPr="001D3816" w:rsidRDefault="00E30F7B" w:rsidP="00F56795">
      <w:pPr>
        <w:autoSpaceDE w:val="0"/>
        <w:autoSpaceDN w:val="0"/>
        <w:adjustRightInd w:val="0"/>
        <w:jc w:val="both"/>
        <w:rPr>
          <w:rFonts w:ascii="Times New Roman" w:hAnsi="Times New Roman"/>
          <w:sz w:val="20"/>
          <w:szCs w:val="20"/>
          <w:lang w:eastAsia="pl-PL"/>
        </w:rPr>
      </w:pPr>
      <w:r w:rsidRPr="001D3816">
        <w:rPr>
          <w:rStyle w:val="Odwoanieprzypisudolnego"/>
          <w:rFonts w:ascii="Times New Roman" w:hAnsi="Times New Roman"/>
          <w:sz w:val="20"/>
          <w:szCs w:val="20"/>
        </w:rPr>
        <w:footnoteRef/>
      </w:r>
      <w:r w:rsidRPr="001D3816">
        <w:rPr>
          <w:rFonts w:ascii="Times New Roman" w:hAnsi="Times New Roman"/>
          <w:sz w:val="20"/>
          <w:szCs w:val="20"/>
        </w:rPr>
        <w:t xml:space="preserve"> </w:t>
      </w:r>
      <w:r w:rsidRPr="001D3816">
        <w:rPr>
          <w:rFonts w:ascii="Times New Roman" w:hAnsi="Times New Roman"/>
          <w:sz w:val="20"/>
          <w:szCs w:val="20"/>
          <w:lang w:eastAsia="pl-PL"/>
        </w:rPr>
        <w:t xml:space="preserve">Dz. Urz. UE L 119/1 z 4.5.2016, str. 1 oraz Dz. Urz. UE L 127/2 z 23.5.2018, </w:t>
      </w:r>
      <w:r>
        <w:rPr>
          <w:rFonts w:ascii="Times New Roman" w:hAnsi="Times New Roman"/>
          <w:sz w:val="20"/>
          <w:szCs w:val="20"/>
          <w:lang w:eastAsia="pl-PL"/>
        </w:rPr>
        <w:t>str. 2</w:t>
      </w:r>
      <w:r w:rsidRPr="001D3816">
        <w:rPr>
          <w:rFonts w:ascii="Times New Roman" w:hAnsi="Times New Roman"/>
          <w:sz w:val="20"/>
          <w:szCs w:val="20"/>
          <w:lang w:eastAsia="pl-PL"/>
        </w:rPr>
        <w:t>.</w:t>
      </w:r>
    </w:p>
  </w:footnote>
  <w:footnote w:id="20">
    <w:p w14:paraId="165C40A9" w14:textId="74789BEB" w:rsidR="00E30F7B" w:rsidRPr="00593FBF" w:rsidRDefault="00E30F7B">
      <w:pPr>
        <w:pStyle w:val="Tekstprzypisudolnego"/>
        <w:rPr>
          <w:rFonts w:ascii="Times New Roman" w:hAnsi="Times New Roman"/>
        </w:rPr>
      </w:pPr>
      <w:r>
        <w:rPr>
          <w:rStyle w:val="Odwoanieprzypisudolnego"/>
        </w:rPr>
        <w:footnoteRef/>
      </w:r>
      <w:r>
        <w:t xml:space="preserve"> </w:t>
      </w:r>
      <w:r w:rsidRPr="00593FBF">
        <w:rPr>
          <w:rFonts w:ascii="Times New Roman" w:hAnsi="Times New Roman"/>
        </w:rPr>
        <w:t>Dz. U. L 295 z 21.11.2018, s. 39.</w:t>
      </w:r>
    </w:p>
  </w:footnote>
  <w:footnote w:id="21">
    <w:p w14:paraId="47DC4BC5" w14:textId="1740D8D8" w:rsidR="00E30F7B" w:rsidRPr="00593FBF" w:rsidRDefault="00E30F7B">
      <w:pPr>
        <w:pStyle w:val="Tekstprzypisudolnego"/>
        <w:rPr>
          <w:rFonts w:ascii="Times New Roman" w:hAnsi="Times New Roman"/>
        </w:rPr>
      </w:pPr>
      <w:r w:rsidRPr="00593FBF">
        <w:rPr>
          <w:rStyle w:val="Odwoanieprzypisudolnego"/>
          <w:rFonts w:ascii="Times New Roman" w:hAnsi="Times New Roman"/>
        </w:rPr>
        <w:footnoteRef/>
      </w:r>
      <w:r w:rsidRPr="00593FBF">
        <w:rPr>
          <w:rFonts w:ascii="Times New Roman" w:hAnsi="Times New Roman"/>
        </w:rPr>
        <w:t xml:space="preserve"> Karta praw podstawowych Unii Europejskiej (Dz.</w:t>
      </w:r>
      <w:r>
        <w:rPr>
          <w:rFonts w:ascii="Times New Roman" w:hAnsi="Times New Roman"/>
        </w:rPr>
        <w:t xml:space="preserve"> U. C 326 z 26.10.2012, s. 391</w:t>
      </w:r>
      <w:r w:rsidRPr="00593FBF">
        <w:rPr>
          <w:rFonts w:ascii="Times New Roman" w:hAnsi="Times New Roman"/>
        </w:rPr>
        <w:t>.</w:t>
      </w:r>
    </w:p>
  </w:footnote>
  <w:footnote w:id="22">
    <w:p w14:paraId="529C5C62" w14:textId="77777777" w:rsidR="00E30F7B" w:rsidRPr="00EA3545" w:rsidRDefault="00E30F7B" w:rsidP="00EA3545">
      <w:pPr>
        <w:pStyle w:val="Tekstprzypisudolnego"/>
        <w:rPr>
          <w:rFonts w:ascii="Times New Roman" w:hAnsi="Times New Roman"/>
        </w:rPr>
      </w:pPr>
      <w:r>
        <w:rPr>
          <w:rStyle w:val="Odwoanieprzypisudolnego"/>
        </w:rPr>
        <w:footnoteRef/>
      </w:r>
      <w:r>
        <w:t xml:space="preserve"> </w:t>
      </w:r>
      <w:r w:rsidRPr="00EA3545">
        <w:rPr>
          <w:rFonts w:ascii="Times New Roman" w:hAnsi="Times New Roman"/>
        </w:rPr>
        <w:t>Dz. U. poz. 2039 oraz z 2004 r. poz. 597.</w:t>
      </w:r>
    </w:p>
  </w:footnote>
  <w:footnote w:id="23">
    <w:p w14:paraId="46FB0C61" w14:textId="77777777" w:rsidR="00E30F7B" w:rsidRPr="00FF3C8D" w:rsidRDefault="00E30F7B" w:rsidP="00EA3545">
      <w:pPr>
        <w:pStyle w:val="Tekstprzypisudolnego"/>
        <w:rPr>
          <w:rFonts w:ascii="Times New Roman" w:hAnsi="Times New Roman"/>
        </w:rPr>
      </w:pPr>
      <w:r w:rsidRPr="008E7F0E">
        <w:rPr>
          <w:rStyle w:val="Odwoanieprzypisudolnego"/>
        </w:rPr>
        <w:footnoteRef/>
      </w:r>
      <w:r w:rsidRPr="00FF3C8D">
        <w:rPr>
          <w:rFonts w:ascii="Times New Roman" w:hAnsi="Times New Roman"/>
        </w:rPr>
        <w:t xml:space="preserve"> Dz. U. z 2017 r. poz. 248.</w:t>
      </w:r>
    </w:p>
  </w:footnote>
  <w:footnote w:id="24">
    <w:p w14:paraId="2816AE98" w14:textId="178A60C9" w:rsidR="00E30F7B" w:rsidRPr="00FF3C8D" w:rsidRDefault="00E30F7B" w:rsidP="00EA3545">
      <w:pPr>
        <w:pStyle w:val="Tekstprzypisudolnego"/>
        <w:rPr>
          <w:rFonts w:ascii="Times New Roman" w:hAnsi="Times New Roman"/>
        </w:rPr>
      </w:pPr>
      <w:r w:rsidRPr="008E7F0E">
        <w:rPr>
          <w:rStyle w:val="Odwoanieprzypisudolnego"/>
        </w:rPr>
        <w:footnoteRef/>
      </w:r>
      <w:r w:rsidRPr="00FF3C8D">
        <w:rPr>
          <w:rFonts w:ascii="Times New Roman" w:hAnsi="Times New Roman"/>
        </w:rPr>
        <w:t xml:space="preserve"> M.P. z 20</w:t>
      </w:r>
      <w:r>
        <w:rPr>
          <w:rFonts w:ascii="Times New Roman" w:hAnsi="Times New Roman"/>
        </w:rPr>
        <w:t>22</w:t>
      </w:r>
      <w:r w:rsidRPr="00FF3C8D">
        <w:rPr>
          <w:rFonts w:ascii="Times New Roman" w:hAnsi="Times New Roman"/>
        </w:rPr>
        <w:t xml:space="preserve"> r. poz. </w:t>
      </w:r>
      <w:r>
        <w:rPr>
          <w:rFonts w:ascii="Times New Roman" w:hAnsi="Times New Roman"/>
        </w:rPr>
        <w:t>348.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1F3"/>
    <w:multiLevelType w:val="hybridMultilevel"/>
    <w:tmpl w:val="A66622A2"/>
    <w:lvl w:ilvl="0" w:tplc="30520966">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8793B22"/>
    <w:multiLevelType w:val="hybridMultilevel"/>
    <w:tmpl w:val="80DE2D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30F5F"/>
    <w:multiLevelType w:val="hybridMultilevel"/>
    <w:tmpl w:val="AC5CF5AE"/>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710D4"/>
    <w:multiLevelType w:val="hybridMultilevel"/>
    <w:tmpl w:val="7DA46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90E57"/>
    <w:multiLevelType w:val="hybridMultilevel"/>
    <w:tmpl w:val="7182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91FE9"/>
    <w:multiLevelType w:val="hybridMultilevel"/>
    <w:tmpl w:val="CFB62A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EC2A6F"/>
    <w:multiLevelType w:val="hybridMultilevel"/>
    <w:tmpl w:val="334E90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2C2D52"/>
    <w:multiLevelType w:val="hybridMultilevel"/>
    <w:tmpl w:val="9D10D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13E69"/>
    <w:multiLevelType w:val="hybridMultilevel"/>
    <w:tmpl w:val="173C98C6"/>
    <w:lvl w:ilvl="0" w:tplc="7332CDA6">
      <w:start w:val="1"/>
      <w:numFmt w:val="lowerLetter"/>
      <w:lvlText w:val="%1."/>
      <w:lvlJc w:val="left"/>
      <w:pPr>
        <w:ind w:left="720" w:hanging="360"/>
      </w:pPr>
    </w:lvl>
    <w:lvl w:ilvl="1" w:tplc="ED60387C">
      <w:start w:val="1"/>
      <w:numFmt w:val="lowerRoman"/>
      <w:lvlText w:val="%2."/>
      <w:lvlJc w:val="left"/>
      <w:pPr>
        <w:ind w:left="1440" w:hanging="360"/>
      </w:pPr>
    </w:lvl>
    <w:lvl w:ilvl="2" w:tplc="3B58E6E0">
      <w:start w:val="1"/>
      <w:numFmt w:val="lowerRoman"/>
      <w:lvlText w:val="%3."/>
      <w:lvlJc w:val="right"/>
      <w:pPr>
        <w:ind w:left="2160" w:hanging="180"/>
      </w:pPr>
    </w:lvl>
    <w:lvl w:ilvl="3" w:tplc="CCBE5242">
      <w:start w:val="1"/>
      <w:numFmt w:val="decimal"/>
      <w:lvlText w:val="%4."/>
      <w:lvlJc w:val="left"/>
      <w:pPr>
        <w:ind w:left="2880" w:hanging="360"/>
      </w:pPr>
    </w:lvl>
    <w:lvl w:ilvl="4" w:tplc="3300D3D6">
      <w:start w:val="1"/>
      <w:numFmt w:val="lowerLetter"/>
      <w:lvlText w:val="%5."/>
      <w:lvlJc w:val="left"/>
      <w:pPr>
        <w:ind w:left="3600" w:hanging="360"/>
      </w:pPr>
    </w:lvl>
    <w:lvl w:ilvl="5" w:tplc="72EC3702">
      <w:start w:val="1"/>
      <w:numFmt w:val="lowerRoman"/>
      <w:lvlText w:val="%6."/>
      <w:lvlJc w:val="right"/>
      <w:pPr>
        <w:ind w:left="4320" w:hanging="180"/>
      </w:pPr>
    </w:lvl>
    <w:lvl w:ilvl="6" w:tplc="CC72DB64">
      <w:start w:val="1"/>
      <w:numFmt w:val="decimal"/>
      <w:lvlText w:val="%7."/>
      <w:lvlJc w:val="left"/>
      <w:pPr>
        <w:ind w:left="5040" w:hanging="360"/>
      </w:pPr>
    </w:lvl>
    <w:lvl w:ilvl="7" w:tplc="2FECC6A6">
      <w:start w:val="1"/>
      <w:numFmt w:val="lowerLetter"/>
      <w:lvlText w:val="%8."/>
      <w:lvlJc w:val="left"/>
      <w:pPr>
        <w:ind w:left="5760" w:hanging="360"/>
      </w:pPr>
    </w:lvl>
    <w:lvl w:ilvl="8" w:tplc="52B08DFC">
      <w:start w:val="1"/>
      <w:numFmt w:val="lowerRoman"/>
      <w:lvlText w:val="%9."/>
      <w:lvlJc w:val="right"/>
      <w:pPr>
        <w:ind w:left="6480" w:hanging="180"/>
      </w:pPr>
    </w:lvl>
  </w:abstractNum>
  <w:abstractNum w:abstractNumId="9" w15:restartNumberingAfterBreak="0">
    <w:nsid w:val="159D6744"/>
    <w:multiLevelType w:val="hybridMultilevel"/>
    <w:tmpl w:val="C8084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E0618D"/>
    <w:multiLevelType w:val="hybridMultilevel"/>
    <w:tmpl w:val="B94AFC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B3729D"/>
    <w:multiLevelType w:val="multilevel"/>
    <w:tmpl w:val="76983C70"/>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441DE9"/>
    <w:multiLevelType w:val="hybridMultilevel"/>
    <w:tmpl w:val="A0EC0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B54EB3"/>
    <w:multiLevelType w:val="hybridMultilevel"/>
    <w:tmpl w:val="E266DD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13C76"/>
    <w:multiLevelType w:val="hybridMultilevel"/>
    <w:tmpl w:val="5E6CA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5327C"/>
    <w:multiLevelType w:val="hybridMultilevel"/>
    <w:tmpl w:val="2F681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29077EB"/>
    <w:multiLevelType w:val="hybridMultilevel"/>
    <w:tmpl w:val="78747E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13569"/>
    <w:multiLevelType w:val="hybridMultilevel"/>
    <w:tmpl w:val="1CB6B15A"/>
    <w:lvl w:ilvl="0" w:tplc="0415000B">
      <w:start w:val="1"/>
      <w:numFmt w:val="bullet"/>
      <w:lvlText w:val=""/>
      <w:lvlJc w:val="left"/>
      <w:pPr>
        <w:ind w:left="206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734337"/>
    <w:multiLevelType w:val="hybridMultilevel"/>
    <w:tmpl w:val="3C1C8D1A"/>
    <w:lvl w:ilvl="0" w:tplc="2B42D8FC">
      <w:start w:val="1"/>
      <w:numFmt w:val="bullet"/>
      <w:lvlText w:val=""/>
      <w:lvlJc w:val="left"/>
      <w:pPr>
        <w:ind w:left="360" w:hanging="360"/>
      </w:pPr>
      <w:rPr>
        <w:rFonts w:ascii="Symbol" w:hAnsi="Symbol" w:hint="default"/>
      </w:rPr>
    </w:lvl>
    <w:lvl w:ilvl="1" w:tplc="B3D0E7F8" w:tentative="1">
      <w:start w:val="1"/>
      <w:numFmt w:val="bullet"/>
      <w:lvlText w:val="o"/>
      <w:lvlJc w:val="left"/>
      <w:pPr>
        <w:ind w:left="1080" w:hanging="360"/>
      </w:pPr>
      <w:rPr>
        <w:rFonts w:ascii="Courier New" w:hAnsi="Courier New" w:cs="Courier New" w:hint="default"/>
      </w:rPr>
    </w:lvl>
    <w:lvl w:ilvl="2" w:tplc="B82611DA" w:tentative="1">
      <w:start w:val="1"/>
      <w:numFmt w:val="bullet"/>
      <w:lvlText w:val=""/>
      <w:lvlJc w:val="left"/>
      <w:pPr>
        <w:ind w:left="1800" w:hanging="360"/>
      </w:pPr>
      <w:rPr>
        <w:rFonts w:ascii="Wingdings" w:hAnsi="Wingdings" w:hint="default"/>
      </w:rPr>
    </w:lvl>
    <w:lvl w:ilvl="3" w:tplc="414203EA" w:tentative="1">
      <w:start w:val="1"/>
      <w:numFmt w:val="bullet"/>
      <w:lvlText w:val=""/>
      <w:lvlJc w:val="left"/>
      <w:pPr>
        <w:ind w:left="2520" w:hanging="360"/>
      </w:pPr>
      <w:rPr>
        <w:rFonts w:ascii="Symbol" w:hAnsi="Symbol" w:hint="default"/>
      </w:rPr>
    </w:lvl>
    <w:lvl w:ilvl="4" w:tplc="7856066A" w:tentative="1">
      <w:start w:val="1"/>
      <w:numFmt w:val="bullet"/>
      <w:lvlText w:val="o"/>
      <w:lvlJc w:val="left"/>
      <w:pPr>
        <w:ind w:left="3240" w:hanging="360"/>
      </w:pPr>
      <w:rPr>
        <w:rFonts w:ascii="Courier New" w:hAnsi="Courier New" w:cs="Courier New" w:hint="default"/>
      </w:rPr>
    </w:lvl>
    <w:lvl w:ilvl="5" w:tplc="65E68F6E" w:tentative="1">
      <w:start w:val="1"/>
      <w:numFmt w:val="bullet"/>
      <w:lvlText w:val=""/>
      <w:lvlJc w:val="left"/>
      <w:pPr>
        <w:ind w:left="3960" w:hanging="360"/>
      </w:pPr>
      <w:rPr>
        <w:rFonts w:ascii="Wingdings" w:hAnsi="Wingdings" w:hint="default"/>
      </w:rPr>
    </w:lvl>
    <w:lvl w:ilvl="6" w:tplc="FD9E2850" w:tentative="1">
      <w:start w:val="1"/>
      <w:numFmt w:val="bullet"/>
      <w:lvlText w:val=""/>
      <w:lvlJc w:val="left"/>
      <w:pPr>
        <w:ind w:left="4680" w:hanging="360"/>
      </w:pPr>
      <w:rPr>
        <w:rFonts w:ascii="Symbol" w:hAnsi="Symbol" w:hint="default"/>
      </w:rPr>
    </w:lvl>
    <w:lvl w:ilvl="7" w:tplc="09126462" w:tentative="1">
      <w:start w:val="1"/>
      <w:numFmt w:val="bullet"/>
      <w:lvlText w:val="o"/>
      <w:lvlJc w:val="left"/>
      <w:pPr>
        <w:ind w:left="5400" w:hanging="360"/>
      </w:pPr>
      <w:rPr>
        <w:rFonts w:ascii="Courier New" w:hAnsi="Courier New" w:cs="Courier New" w:hint="default"/>
      </w:rPr>
    </w:lvl>
    <w:lvl w:ilvl="8" w:tplc="86E2F816" w:tentative="1">
      <w:start w:val="1"/>
      <w:numFmt w:val="bullet"/>
      <w:lvlText w:val=""/>
      <w:lvlJc w:val="left"/>
      <w:pPr>
        <w:ind w:left="6120" w:hanging="360"/>
      </w:pPr>
      <w:rPr>
        <w:rFonts w:ascii="Wingdings" w:hAnsi="Wingdings" w:hint="default"/>
      </w:rPr>
    </w:lvl>
  </w:abstractNum>
  <w:abstractNum w:abstractNumId="19" w15:restartNumberingAfterBreak="0">
    <w:nsid w:val="3B765017"/>
    <w:multiLevelType w:val="hybridMultilevel"/>
    <w:tmpl w:val="ACDE73C2"/>
    <w:lvl w:ilvl="0" w:tplc="04150017">
      <w:start w:val="1"/>
      <w:numFmt w:val="lowerLetter"/>
      <w:lvlText w:val="%1)"/>
      <w:lvlJc w:val="left"/>
      <w:pPr>
        <w:ind w:left="720" w:hanging="360"/>
      </w:pPr>
    </w:lvl>
    <w:lvl w:ilvl="1" w:tplc="7E286BBA">
      <w:start w:val="1"/>
      <w:numFmt w:val="decimal"/>
      <w:lvlText w:val="%2)"/>
      <w:lvlJc w:val="left"/>
      <w:pPr>
        <w:ind w:left="1450" w:hanging="3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F74BA"/>
    <w:multiLevelType w:val="hybridMultilevel"/>
    <w:tmpl w:val="69D2032A"/>
    <w:lvl w:ilvl="0" w:tplc="F5D468DE">
      <w:start w:val="1"/>
      <w:numFmt w:val="bullet"/>
      <w:lvlText w:val=""/>
      <w:lvlJc w:val="left"/>
      <w:pPr>
        <w:ind w:left="360" w:hanging="360"/>
      </w:pPr>
      <w:rPr>
        <w:rFonts w:ascii="Symbol" w:hAnsi="Symbol" w:hint="default"/>
      </w:rPr>
    </w:lvl>
    <w:lvl w:ilvl="1" w:tplc="737E2E64" w:tentative="1">
      <w:start w:val="1"/>
      <w:numFmt w:val="bullet"/>
      <w:lvlText w:val="o"/>
      <w:lvlJc w:val="left"/>
      <w:pPr>
        <w:ind w:left="1080" w:hanging="360"/>
      </w:pPr>
      <w:rPr>
        <w:rFonts w:ascii="Courier New" w:hAnsi="Courier New" w:cs="Courier New" w:hint="default"/>
      </w:rPr>
    </w:lvl>
    <w:lvl w:ilvl="2" w:tplc="28D03EC0" w:tentative="1">
      <w:start w:val="1"/>
      <w:numFmt w:val="bullet"/>
      <w:lvlText w:val=""/>
      <w:lvlJc w:val="left"/>
      <w:pPr>
        <w:ind w:left="1800" w:hanging="360"/>
      </w:pPr>
      <w:rPr>
        <w:rFonts w:ascii="Wingdings" w:hAnsi="Wingdings" w:hint="default"/>
      </w:rPr>
    </w:lvl>
    <w:lvl w:ilvl="3" w:tplc="D034D6D2" w:tentative="1">
      <w:start w:val="1"/>
      <w:numFmt w:val="bullet"/>
      <w:lvlText w:val=""/>
      <w:lvlJc w:val="left"/>
      <w:pPr>
        <w:ind w:left="2520" w:hanging="360"/>
      </w:pPr>
      <w:rPr>
        <w:rFonts w:ascii="Symbol" w:hAnsi="Symbol" w:hint="default"/>
      </w:rPr>
    </w:lvl>
    <w:lvl w:ilvl="4" w:tplc="BBC89144" w:tentative="1">
      <w:start w:val="1"/>
      <w:numFmt w:val="bullet"/>
      <w:lvlText w:val="o"/>
      <w:lvlJc w:val="left"/>
      <w:pPr>
        <w:ind w:left="3240" w:hanging="360"/>
      </w:pPr>
      <w:rPr>
        <w:rFonts w:ascii="Courier New" w:hAnsi="Courier New" w:cs="Courier New" w:hint="default"/>
      </w:rPr>
    </w:lvl>
    <w:lvl w:ilvl="5" w:tplc="6FE2B022" w:tentative="1">
      <w:start w:val="1"/>
      <w:numFmt w:val="bullet"/>
      <w:lvlText w:val=""/>
      <w:lvlJc w:val="left"/>
      <w:pPr>
        <w:ind w:left="3960" w:hanging="360"/>
      </w:pPr>
      <w:rPr>
        <w:rFonts w:ascii="Wingdings" w:hAnsi="Wingdings" w:hint="default"/>
      </w:rPr>
    </w:lvl>
    <w:lvl w:ilvl="6" w:tplc="9F9A6DCA" w:tentative="1">
      <w:start w:val="1"/>
      <w:numFmt w:val="bullet"/>
      <w:lvlText w:val=""/>
      <w:lvlJc w:val="left"/>
      <w:pPr>
        <w:ind w:left="4680" w:hanging="360"/>
      </w:pPr>
      <w:rPr>
        <w:rFonts w:ascii="Symbol" w:hAnsi="Symbol" w:hint="default"/>
      </w:rPr>
    </w:lvl>
    <w:lvl w:ilvl="7" w:tplc="78F6000E" w:tentative="1">
      <w:start w:val="1"/>
      <w:numFmt w:val="bullet"/>
      <w:lvlText w:val="o"/>
      <w:lvlJc w:val="left"/>
      <w:pPr>
        <w:ind w:left="5400" w:hanging="360"/>
      </w:pPr>
      <w:rPr>
        <w:rFonts w:ascii="Courier New" w:hAnsi="Courier New" w:cs="Courier New" w:hint="default"/>
      </w:rPr>
    </w:lvl>
    <w:lvl w:ilvl="8" w:tplc="53BCBBF8" w:tentative="1">
      <w:start w:val="1"/>
      <w:numFmt w:val="bullet"/>
      <w:lvlText w:val=""/>
      <w:lvlJc w:val="left"/>
      <w:pPr>
        <w:ind w:left="6120" w:hanging="360"/>
      </w:pPr>
      <w:rPr>
        <w:rFonts w:ascii="Wingdings" w:hAnsi="Wingdings" w:hint="default"/>
      </w:rPr>
    </w:lvl>
  </w:abstractNum>
  <w:abstractNum w:abstractNumId="21" w15:restartNumberingAfterBreak="0">
    <w:nsid w:val="3EFE546E"/>
    <w:multiLevelType w:val="hybridMultilevel"/>
    <w:tmpl w:val="85F2FB3E"/>
    <w:lvl w:ilvl="0" w:tplc="8DDEF94A">
      <w:start w:val="1"/>
      <w:numFmt w:val="lowerRoman"/>
      <w:lvlText w:val="(%1)"/>
      <w:lvlJc w:val="left"/>
      <w:pPr>
        <w:ind w:left="3204" w:hanging="720"/>
      </w:pPr>
      <w:rPr>
        <w:rFonts w:hint="default"/>
      </w:rPr>
    </w:lvl>
    <w:lvl w:ilvl="1" w:tplc="234A390E">
      <w:start w:val="1"/>
      <w:numFmt w:val="lowerLetter"/>
      <w:lvlText w:val="%2)"/>
      <w:lvlJc w:val="left"/>
      <w:pPr>
        <w:ind w:left="3564" w:hanging="360"/>
      </w:pPr>
      <w:rPr>
        <w:rFonts w:hint="default"/>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2" w15:restartNumberingAfterBreak="0">
    <w:nsid w:val="43100060"/>
    <w:multiLevelType w:val="hybridMultilevel"/>
    <w:tmpl w:val="2D2C5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11681"/>
    <w:multiLevelType w:val="hybridMultilevel"/>
    <w:tmpl w:val="FD821C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EC5D35"/>
    <w:multiLevelType w:val="hybridMultilevel"/>
    <w:tmpl w:val="243A2672"/>
    <w:lvl w:ilvl="0" w:tplc="FF24BF6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FF7F63"/>
    <w:multiLevelType w:val="hybridMultilevel"/>
    <w:tmpl w:val="B6B4A446"/>
    <w:lvl w:ilvl="0" w:tplc="04150019">
      <w:start w:val="1"/>
      <w:numFmt w:val="lowerLetter"/>
      <w:lvlText w:val="%1."/>
      <w:lvlJc w:val="left"/>
      <w:pPr>
        <w:ind w:left="720" w:hanging="360"/>
      </w:pPr>
    </w:lvl>
    <w:lvl w:ilvl="1" w:tplc="AA169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4C6A3D"/>
    <w:multiLevelType w:val="hybridMultilevel"/>
    <w:tmpl w:val="4868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2E5A88"/>
    <w:multiLevelType w:val="hybridMultilevel"/>
    <w:tmpl w:val="C1C2C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16C4"/>
    <w:multiLevelType w:val="hybridMultilevel"/>
    <w:tmpl w:val="13E6B5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EB4C25"/>
    <w:multiLevelType w:val="hybridMultilevel"/>
    <w:tmpl w:val="BF4AFFA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5D20EC"/>
    <w:multiLevelType w:val="hybridMultilevel"/>
    <w:tmpl w:val="2BD25A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22802"/>
    <w:multiLevelType w:val="hybridMultilevel"/>
    <w:tmpl w:val="4AF62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7A3D98"/>
    <w:multiLevelType w:val="hybridMultilevel"/>
    <w:tmpl w:val="49C0A69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A11404"/>
    <w:multiLevelType w:val="hybridMultilevel"/>
    <w:tmpl w:val="1FCAFFF8"/>
    <w:lvl w:ilvl="0" w:tplc="D58E4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2180C"/>
    <w:multiLevelType w:val="hybridMultilevel"/>
    <w:tmpl w:val="7354C6C2"/>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2E6AFA"/>
    <w:multiLevelType w:val="hybridMultilevel"/>
    <w:tmpl w:val="948065D8"/>
    <w:lvl w:ilvl="0" w:tplc="0A8E3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DD1955"/>
    <w:multiLevelType w:val="hybridMultilevel"/>
    <w:tmpl w:val="046CD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281254"/>
    <w:multiLevelType w:val="hybridMultilevel"/>
    <w:tmpl w:val="C06EDA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4530117"/>
    <w:multiLevelType w:val="hybridMultilevel"/>
    <w:tmpl w:val="4516B5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6C4A5D"/>
    <w:multiLevelType w:val="hybridMultilevel"/>
    <w:tmpl w:val="3ABC9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850C5"/>
    <w:multiLevelType w:val="hybridMultilevel"/>
    <w:tmpl w:val="93BCF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C22032"/>
    <w:multiLevelType w:val="hybridMultilevel"/>
    <w:tmpl w:val="F0CA2A26"/>
    <w:lvl w:ilvl="0" w:tplc="B2A27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765BB"/>
    <w:multiLevelType w:val="hybridMultilevel"/>
    <w:tmpl w:val="1B060D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9320357"/>
    <w:multiLevelType w:val="hybridMultilevel"/>
    <w:tmpl w:val="AFC818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A67E1A"/>
    <w:multiLevelType w:val="hybridMultilevel"/>
    <w:tmpl w:val="E586E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9F4145"/>
    <w:multiLevelType w:val="hybridMultilevel"/>
    <w:tmpl w:val="53D0B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B0205B"/>
    <w:multiLevelType w:val="hybridMultilevel"/>
    <w:tmpl w:val="C4E28BE6"/>
    <w:lvl w:ilvl="0" w:tplc="3052096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313D3"/>
    <w:multiLevelType w:val="hybridMultilevel"/>
    <w:tmpl w:val="48125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213226"/>
    <w:multiLevelType w:val="hybridMultilevel"/>
    <w:tmpl w:val="4EA6987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ADD3FAE"/>
    <w:multiLevelType w:val="hybridMultilevel"/>
    <w:tmpl w:val="9F3AF5CA"/>
    <w:lvl w:ilvl="0" w:tplc="D4D2FC92">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21"/>
  </w:num>
  <w:num w:numId="5">
    <w:abstractNumId w:val="41"/>
  </w:num>
  <w:num w:numId="6">
    <w:abstractNumId w:val="16"/>
  </w:num>
  <w:num w:numId="7">
    <w:abstractNumId w:val="47"/>
  </w:num>
  <w:num w:numId="8">
    <w:abstractNumId w:val="35"/>
  </w:num>
  <w:num w:numId="9">
    <w:abstractNumId w:val="49"/>
  </w:num>
  <w:num w:numId="10">
    <w:abstractNumId w:val="25"/>
  </w:num>
  <w:num w:numId="11">
    <w:abstractNumId w:val="13"/>
  </w:num>
  <w:num w:numId="12">
    <w:abstractNumId w:val="32"/>
  </w:num>
  <w:num w:numId="13">
    <w:abstractNumId w:val="29"/>
  </w:num>
  <w:num w:numId="14">
    <w:abstractNumId w:val="30"/>
  </w:num>
  <w:num w:numId="15">
    <w:abstractNumId w:val="33"/>
  </w:num>
  <w:num w:numId="16">
    <w:abstractNumId w:val="34"/>
  </w:num>
  <w:num w:numId="17">
    <w:abstractNumId w:val="10"/>
  </w:num>
  <w:num w:numId="18">
    <w:abstractNumId w:val="48"/>
  </w:num>
  <w:num w:numId="19">
    <w:abstractNumId w:val="17"/>
  </w:num>
  <w:num w:numId="20">
    <w:abstractNumId w:val="9"/>
  </w:num>
  <w:num w:numId="21">
    <w:abstractNumId w:val="0"/>
  </w:num>
  <w:num w:numId="22">
    <w:abstractNumId w:val="11"/>
  </w:num>
  <w:num w:numId="23">
    <w:abstractNumId w:val="3"/>
  </w:num>
  <w:num w:numId="24">
    <w:abstractNumId w:val="26"/>
  </w:num>
  <w:num w:numId="25">
    <w:abstractNumId w:val="40"/>
  </w:num>
  <w:num w:numId="26">
    <w:abstractNumId w:val="36"/>
  </w:num>
  <w:num w:numId="27">
    <w:abstractNumId w:val="2"/>
  </w:num>
  <w:num w:numId="28">
    <w:abstractNumId w:val="46"/>
  </w:num>
  <w:num w:numId="29">
    <w:abstractNumId w:val="37"/>
  </w:num>
  <w:num w:numId="30">
    <w:abstractNumId w:val="14"/>
  </w:num>
  <w:num w:numId="31">
    <w:abstractNumId w:val="38"/>
  </w:num>
  <w:num w:numId="32">
    <w:abstractNumId w:val="19"/>
  </w:num>
  <w:num w:numId="33">
    <w:abstractNumId w:val="1"/>
  </w:num>
  <w:num w:numId="34">
    <w:abstractNumId w:val="22"/>
  </w:num>
  <w:num w:numId="35">
    <w:abstractNumId w:val="39"/>
  </w:num>
  <w:num w:numId="36">
    <w:abstractNumId w:val="43"/>
  </w:num>
  <w:num w:numId="37">
    <w:abstractNumId w:val="28"/>
  </w:num>
  <w:num w:numId="38">
    <w:abstractNumId w:val="42"/>
  </w:num>
  <w:num w:numId="39">
    <w:abstractNumId w:val="15"/>
  </w:num>
  <w:num w:numId="40">
    <w:abstractNumId w:val="45"/>
  </w:num>
  <w:num w:numId="41">
    <w:abstractNumId w:val="4"/>
  </w:num>
  <w:num w:numId="42">
    <w:abstractNumId w:val="7"/>
  </w:num>
  <w:num w:numId="43">
    <w:abstractNumId w:val="23"/>
  </w:num>
  <w:num w:numId="44">
    <w:abstractNumId w:val="12"/>
  </w:num>
  <w:num w:numId="45">
    <w:abstractNumId w:val="31"/>
  </w:num>
  <w:num w:numId="46">
    <w:abstractNumId w:val="6"/>
  </w:num>
  <w:num w:numId="47">
    <w:abstractNumId w:val="5"/>
  </w:num>
  <w:num w:numId="48">
    <w:abstractNumId w:val="24"/>
  </w:num>
  <w:num w:numId="49">
    <w:abstractNumId w:val="44"/>
  </w:num>
  <w:num w:numId="50">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C"/>
    <w:rsid w:val="0000041C"/>
    <w:rsid w:val="00000B15"/>
    <w:rsid w:val="00000C3B"/>
    <w:rsid w:val="00000E13"/>
    <w:rsid w:val="0000127D"/>
    <w:rsid w:val="0000157C"/>
    <w:rsid w:val="00001DD9"/>
    <w:rsid w:val="00001E85"/>
    <w:rsid w:val="00002487"/>
    <w:rsid w:val="00002E3E"/>
    <w:rsid w:val="00002F1E"/>
    <w:rsid w:val="000030E2"/>
    <w:rsid w:val="000032E7"/>
    <w:rsid w:val="000032EA"/>
    <w:rsid w:val="00003397"/>
    <w:rsid w:val="00003B1B"/>
    <w:rsid w:val="00003E74"/>
    <w:rsid w:val="00004040"/>
    <w:rsid w:val="0000460F"/>
    <w:rsid w:val="000047CC"/>
    <w:rsid w:val="00004A13"/>
    <w:rsid w:val="00004E9F"/>
    <w:rsid w:val="00005096"/>
    <w:rsid w:val="0000510F"/>
    <w:rsid w:val="00005190"/>
    <w:rsid w:val="00005C35"/>
    <w:rsid w:val="00005DAB"/>
    <w:rsid w:val="00006195"/>
    <w:rsid w:val="00006F7F"/>
    <w:rsid w:val="00007C7D"/>
    <w:rsid w:val="00007CE6"/>
    <w:rsid w:val="00007DB8"/>
    <w:rsid w:val="00007F84"/>
    <w:rsid w:val="000100B1"/>
    <w:rsid w:val="0001046C"/>
    <w:rsid w:val="000104DF"/>
    <w:rsid w:val="000107CF"/>
    <w:rsid w:val="000108B5"/>
    <w:rsid w:val="000109E1"/>
    <w:rsid w:val="00010A2D"/>
    <w:rsid w:val="00010AB4"/>
    <w:rsid w:val="00010E38"/>
    <w:rsid w:val="00010EB8"/>
    <w:rsid w:val="00011114"/>
    <w:rsid w:val="0001120D"/>
    <w:rsid w:val="0001143F"/>
    <w:rsid w:val="000115BB"/>
    <w:rsid w:val="0001169E"/>
    <w:rsid w:val="00011790"/>
    <w:rsid w:val="00011B87"/>
    <w:rsid w:val="00012038"/>
    <w:rsid w:val="00012285"/>
    <w:rsid w:val="0001281B"/>
    <w:rsid w:val="00012C29"/>
    <w:rsid w:val="00012F52"/>
    <w:rsid w:val="00013391"/>
    <w:rsid w:val="00014144"/>
    <w:rsid w:val="000144EE"/>
    <w:rsid w:val="00014893"/>
    <w:rsid w:val="00014954"/>
    <w:rsid w:val="00014E5E"/>
    <w:rsid w:val="0001599F"/>
    <w:rsid w:val="000163BB"/>
    <w:rsid w:val="0001664C"/>
    <w:rsid w:val="00016761"/>
    <w:rsid w:val="000167C5"/>
    <w:rsid w:val="00016BE0"/>
    <w:rsid w:val="00016D89"/>
    <w:rsid w:val="00016FBF"/>
    <w:rsid w:val="00017602"/>
    <w:rsid w:val="00017942"/>
    <w:rsid w:val="00017AE7"/>
    <w:rsid w:val="00017C63"/>
    <w:rsid w:val="000200DD"/>
    <w:rsid w:val="00020192"/>
    <w:rsid w:val="0002083A"/>
    <w:rsid w:val="00020888"/>
    <w:rsid w:val="000208D2"/>
    <w:rsid w:val="00020C36"/>
    <w:rsid w:val="000211F6"/>
    <w:rsid w:val="000213CE"/>
    <w:rsid w:val="0002190A"/>
    <w:rsid w:val="00021F4A"/>
    <w:rsid w:val="00022469"/>
    <w:rsid w:val="000226A6"/>
    <w:rsid w:val="0002271D"/>
    <w:rsid w:val="00022D42"/>
    <w:rsid w:val="0002305C"/>
    <w:rsid w:val="000233D2"/>
    <w:rsid w:val="000233D4"/>
    <w:rsid w:val="0002388B"/>
    <w:rsid w:val="0002391B"/>
    <w:rsid w:val="000239A4"/>
    <w:rsid w:val="00023DCB"/>
    <w:rsid w:val="0002409C"/>
    <w:rsid w:val="00024117"/>
    <w:rsid w:val="000241AA"/>
    <w:rsid w:val="000242A7"/>
    <w:rsid w:val="00024644"/>
    <w:rsid w:val="00024819"/>
    <w:rsid w:val="000249E1"/>
    <w:rsid w:val="00024FB1"/>
    <w:rsid w:val="000250B7"/>
    <w:rsid w:val="0002526E"/>
    <w:rsid w:val="000253AA"/>
    <w:rsid w:val="0002586E"/>
    <w:rsid w:val="00025987"/>
    <w:rsid w:val="0002601F"/>
    <w:rsid w:val="00026AB5"/>
    <w:rsid w:val="00027130"/>
    <w:rsid w:val="00027250"/>
    <w:rsid w:val="000277C5"/>
    <w:rsid w:val="0002793C"/>
    <w:rsid w:val="00027DD9"/>
    <w:rsid w:val="000308E1"/>
    <w:rsid w:val="00030B14"/>
    <w:rsid w:val="00030E25"/>
    <w:rsid w:val="00030EE8"/>
    <w:rsid w:val="00031071"/>
    <w:rsid w:val="000320DE"/>
    <w:rsid w:val="000321CA"/>
    <w:rsid w:val="00032760"/>
    <w:rsid w:val="00032FA7"/>
    <w:rsid w:val="00033647"/>
    <w:rsid w:val="000338AE"/>
    <w:rsid w:val="00034803"/>
    <w:rsid w:val="00034CFC"/>
    <w:rsid w:val="0003586F"/>
    <w:rsid w:val="00035A3D"/>
    <w:rsid w:val="00035B48"/>
    <w:rsid w:val="00035BAB"/>
    <w:rsid w:val="00037510"/>
    <w:rsid w:val="000377C0"/>
    <w:rsid w:val="000377D1"/>
    <w:rsid w:val="0003784E"/>
    <w:rsid w:val="00037CCD"/>
    <w:rsid w:val="00040AED"/>
    <w:rsid w:val="00040C50"/>
    <w:rsid w:val="00040E4C"/>
    <w:rsid w:val="000414DF"/>
    <w:rsid w:val="000417FA"/>
    <w:rsid w:val="00042269"/>
    <w:rsid w:val="000422F6"/>
    <w:rsid w:val="00042520"/>
    <w:rsid w:val="00042D96"/>
    <w:rsid w:val="000437AA"/>
    <w:rsid w:val="00043EE1"/>
    <w:rsid w:val="000441BE"/>
    <w:rsid w:val="00044319"/>
    <w:rsid w:val="000446C5"/>
    <w:rsid w:val="00044959"/>
    <w:rsid w:val="00044B10"/>
    <w:rsid w:val="00044E1C"/>
    <w:rsid w:val="00045510"/>
    <w:rsid w:val="0004583A"/>
    <w:rsid w:val="000458BD"/>
    <w:rsid w:val="00045AAC"/>
    <w:rsid w:val="000463E4"/>
    <w:rsid w:val="00046940"/>
    <w:rsid w:val="00046B60"/>
    <w:rsid w:val="00046C43"/>
    <w:rsid w:val="0004756D"/>
    <w:rsid w:val="00047848"/>
    <w:rsid w:val="00047B66"/>
    <w:rsid w:val="00047B9D"/>
    <w:rsid w:val="00047DAA"/>
    <w:rsid w:val="00047F29"/>
    <w:rsid w:val="00050187"/>
    <w:rsid w:val="000502B6"/>
    <w:rsid w:val="00050311"/>
    <w:rsid w:val="000503DB"/>
    <w:rsid w:val="00051147"/>
    <w:rsid w:val="00051712"/>
    <w:rsid w:val="000520B8"/>
    <w:rsid w:val="000520E7"/>
    <w:rsid w:val="0005279F"/>
    <w:rsid w:val="00052DD3"/>
    <w:rsid w:val="00052EC4"/>
    <w:rsid w:val="00053233"/>
    <w:rsid w:val="00053369"/>
    <w:rsid w:val="0005350B"/>
    <w:rsid w:val="00053AB1"/>
    <w:rsid w:val="00053ADC"/>
    <w:rsid w:val="0005413E"/>
    <w:rsid w:val="00054242"/>
    <w:rsid w:val="000548F6"/>
    <w:rsid w:val="0005492A"/>
    <w:rsid w:val="000549F6"/>
    <w:rsid w:val="00054D30"/>
    <w:rsid w:val="0005540B"/>
    <w:rsid w:val="000555BE"/>
    <w:rsid w:val="00055CF8"/>
    <w:rsid w:val="00055D47"/>
    <w:rsid w:val="00055F8F"/>
    <w:rsid w:val="00055FB0"/>
    <w:rsid w:val="0005606D"/>
    <w:rsid w:val="00056226"/>
    <w:rsid w:val="000565C0"/>
    <w:rsid w:val="00056AA1"/>
    <w:rsid w:val="00056B38"/>
    <w:rsid w:val="00056F87"/>
    <w:rsid w:val="00057114"/>
    <w:rsid w:val="0005734F"/>
    <w:rsid w:val="00057507"/>
    <w:rsid w:val="00057584"/>
    <w:rsid w:val="0005770F"/>
    <w:rsid w:val="00057C0F"/>
    <w:rsid w:val="00057CB4"/>
    <w:rsid w:val="00057CC3"/>
    <w:rsid w:val="00057D8E"/>
    <w:rsid w:val="00057DFB"/>
    <w:rsid w:val="00057E05"/>
    <w:rsid w:val="00057F0E"/>
    <w:rsid w:val="00060A3C"/>
    <w:rsid w:val="00060D3B"/>
    <w:rsid w:val="0006103E"/>
    <w:rsid w:val="00061B8D"/>
    <w:rsid w:val="00061F4F"/>
    <w:rsid w:val="00062222"/>
    <w:rsid w:val="00062E9F"/>
    <w:rsid w:val="000634C9"/>
    <w:rsid w:val="00063EA7"/>
    <w:rsid w:val="00064280"/>
    <w:rsid w:val="00064C39"/>
    <w:rsid w:val="00064CF1"/>
    <w:rsid w:val="00064F7F"/>
    <w:rsid w:val="00065896"/>
    <w:rsid w:val="00065D4D"/>
    <w:rsid w:val="00065EA4"/>
    <w:rsid w:val="00065F8A"/>
    <w:rsid w:val="000660EA"/>
    <w:rsid w:val="00066377"/>
    <w:rsid w:val="000663FE"/>
    <w:rsid w:val="000664D9"/>
    <w:rsid w:val="0006653C"/>
    <w:rsid w:val="000666D9"/>
    <w:rsid w:val="000667FF"/>
    <w:rsid w:val="00066D56"/>
    <w:rsid w:val="00066FF0"/>
    <w:rsid w:val="00067604"/>
    <w:rsid w:val="00067C3C"/>
    <w:rsid w:val="00067C98"/>
    <w:rsid w:val="00067E9F"/>
    <w:rsid w:val="0007042B"/>
    <w:rsid w:val="00070AFF"/>
    <w:rsid w:val="00071196"/>
    <w:rsid w:val="000712DE"/>
    <w:rsid w:val="00071519"/>
    <w:rsid w:val="00071AD9"/>
    <w:rsid w:val="00071B37"/>
    <w:rsid w:val="00071B99"/>
    <w:rsid w:val="00072968"/>
    <w:rsid w:val="00072ADF"/>
    <w:rsid w:val="00072B28"/>
    <w:rsid w:val="0007322F"/>
    <w:rsid w:val="000733B3"/>
    <w:rsid w:val="0007361E"/>
    <w:rsid w:val="00073B6F"/>
    <w:rsid w:val="00073ED4"/>
    <w:rsid w:val="000740F1"/>
    <w:rsid w:val="000747EC"/>
    <w:rsid w:val="000749A9"/>
    <w:rsid w:val="00074DF3"/>
    <w:rsid w:val="00075100"/>
    <w:rsid w:val="00075289"/>
    <w:rsid w:val="0007576C"/>
    <w:rsid w:val="000758FE"/>
    <w:rsid w:val="00075B30"/>
    <w:rsid w:val="00075BBA"/>
    <w:rsid w:val="000764F7"/>
    <w:rsid w:val="00076A38"/>
    <w:rsid w:val="00076BFC"/>
    <w:rsid w:val="00076F67"/>
    <w:rsid w:val="000777C3"/>
    <w:rsid w:val="00077AED"/>
    <w:rsid w:val="00077B39"/>
    <w:rsid w:val="0008011E"/>
    <w:rsid w:val="000808BE"/>
    <w:rsid w:val="00080B3E"/>
    <w:rsid w:val="00080F00"/>
    <w:rsid w:val="000810D1"/>
    <w:rsid w:val="000821A0"/>
    <w:rsid w:val="0008225F"/>
    <w:rsid w:val="000822FA"/>
    <w:rsid w:val="000823F3"/>
    <w:rsid w:val="0008287D"/>
    <w:rsid w:val="00082C5A"/>
    <w:rsid w:val="00082CFF"/>
    <w:rsid w:val="00083766"/>
    <w:rsid w:val="00083E8E"/>
    <w:rsid w:val="000840CB"/>
    <w:rsid w:val="000842AF"/>
    <w:rsid w:val="000849E5"/>
    <w:rsid w:val="00084ADD"/>
    <w:rsid w:val="00084F1D"/>
    <w:rsid w:val="00085884"/>
    <w:rsid w:val="000858FB"/>
    <w:rsid w:val="000861E7"/>
    <w:rsid w:val="0008625D"/>
    <w:rsid w:val="00086D01"/>
    <w:rsid w:val="00086F6B"/>
    <w:rsid w:val="0008713B"/>
    <w:rsid w:val="00087545"/>
    <w:rsid w:val="00087694"/>
    <w:rsid w:val="00087847"/>
    <w:rsid w:val="00087A19"/>
    <w:rsid w:val="00087BD6"/>
    <w:rsid w:val="00087C57"/>
    <w:rsid w:val="00090B18"/>
    <w:rsid w:val="00090BDA"/>
    <w:rsid w:val="00090FAB"/>
    <w:rsid w:val="000915C3"/>
    <w:rsid w:val="00091D58"/>
    <w:rsid w:val="00091E6F"/>
    <w:rsid w:val="000920CF"/>
    <w:rsid w:val="00092420"/>
    <w:rsid w:val="000924D4"/>
    <w:rsid w:val="00092753"/>
    <w:rsid w:val="0009320C"/>
    <w:rsid w:val="00093214"/>
    <w:rsid w:val="00093782"/>
    <w:rsid w:val="00093E02"/>
    <w:rsid w:val="00094C6B"/>
    <w:rsid w:val="00094EBC"/>
    <w:rsid w:val="000951F8"/>
    <w:rsid w:val="00095478"/>
    <w:rsid w:val="0009566A"/>
    <w:rsid w:val="000957DC"/>
    <w:rsid w:val="000959A4"/>
    <w:rsid w:val="00095BBD"/>
    <w:rsid w:val="00095BD0"/>
    <w:rsid w:val="00095F1F"/>
    <w:rsid w:val="00096153"/>
    <w:rsid w:val="00096221"/>
    <w:rsid w:val="000964A1"/>
    <w:rsid w:val="000964D4"/>
    <w:rsid w:val="000965B5"/>
    <w:rsid w:val="0009674A"/>
    <w:rsid w:val="00096958"/>
    <w:rsid w:val="00097435"/>
    <w:rsid w:val="00097465"/>
    <w:rsid w:val="000975B9"/>
    <w:rsid w:val="00097EAF"/>
    <w:rsid w:val="000A0258"/>
    <w:rsid w:val="000A0468"/>
    <w:rsid w:val="000A0DD6"/>
    <w:rsid w:val="000A0E15"/>
    <w:rsid w:val="000A1819"/>
    <w:rsid w:val="000A2004"/>
    <w:rsid w:val="000A2572"/>
    <w:rsid w:val="000A25A7"/>
    <w:rsid w:val="000A2899"/>
    <w:rsid w:val="000A3A4F"/>
    <w:rsid w:val="000A444F"/>
    <w:rsid w:val="000A470B"/>
    <w:rsid w:val="000A48A7"/>
    <w:rsid w:val="000A4905"/>
    <w:rsid w:val="000A4A05"/>
    <w:rsid w:val="000A4B7E"/>
    <w:rsid w:val="000A4B98"/>
    <w:rsid w:val="000A4C9B"/>
    <w:rsid w:val="000A4D9E"/>
    <w:rsid w:val="000A4E65"/>
    <w:rsid w:val="000A5273"/>
    <w:rsid w:val="000A54F3"/>
    <w:rsid w:val="000A55A0"/>
    <w:rsid w:val="000A56F8"/>
    <w:rsid w:val="000A582B"/>
    <w:rsid w:val="000A62B4"/>
    <w:rsid w:val="000A656B"/>
    <w:rsid w:val="000A6646"/>
    <w:rsid w:val="000A6718"/>
    <w:rsid w:val="000A6F69"/>
    <w:rsid w:val="000A7228"/>
    <w:rsid w:val="000A73F2"/>
    <w:rsid w:val="000A73FE"/>
    <w:rsid w:val="000A765D"/>
    <w:rsid w:val="000A7852"/>
    <w:rsid w:val="000A795F"/>
    <w:rsid w:val="000A79B3"/>
    <w:rsid w:val="000A7BB9"/>
    <w:rsid w:val="000A7C22"/>
    <w:rsid w:val="000A7DDF"/>
    <w:rsid w:val="000B061B"/>
    <w:rsid w:val="000B0A4C"/>
    <w:rsid w:val="000B129F"/>
    <w:rsid w:val="000B1777"/>
    <w:rsid w:val="000B1809"/>
    <w:rsid w:val="000B19D6"/>
    <w:rsid w:val="000B2115"/>
    <w:rsid w:val="000B2260"/>
    <w:rsid w:val="000B257F"/>
    <w:rsid w:val="000B2742"/>
    <w:rsid w:val="000B2903"/>
    <w:rsid w:val="000B2CBB"/>
    <w:rsid w:val="000B3253"/>
    <w:rsid w:val="000B3641"/>
    <w:rsid w:val="000B37C1"/>
    <w:rsid w:val="000B3B2E"/>
    <w:rsid w:val="000B462B"/>
    <w:rsid w:val="000B54E9"/>
    <w:rsid w:val="000B5B60"/>
    <w:rsid w:val="000B5BD4"/>
    <w:rsid w:val="000B6AEE"/>
    <w:rsid w:val="000B6D29"/>
    <w:rsid w:val="000B718E"/>
    <w:rsid w:val="000B776D"/>
    <w:rsid w:val="000B781F"/>
    <w:rsid w:val="000B785C"/>
    <w:rsid w:val="000B7934"/>
    <w:rsid w:val="000B7A34"/>
    <w:rsid w:val="000B7F90"/>
    <w:rsid w:val="000C0147"/>
    <w:rsid w:val="000C056C"/>
    <w:rsid w:val="000C0739"/>
    <w:rsid w:val="000C07A9"/>
    <w:rsid w:val="000C081E"/>
    <w:rsid w:val="000C0830"/>
    <w:rsid w:val="000C1267"/>
    <w:rsid w:val="000C1B5D"/>
    <w:rsid w:val="000C1C1D"/>
    <w:rsid w:val="000C1C41"/>
    <w:rsid w:val="000C1D39"/>
    <w:rsid w:val="000C2395"/>
    <w:rsid w:val="000C26F1"/>
    <w:rsid w:val="000C2C26"/>
    <w:rsid w:val="000C2C67"/>
    <w:rsid w:val="000C2DDC"/>
    <w:rsid w:val="000C308F"/>
    <w:rsid w:val="000C3730"/>
    <w:rsid w:val="000C3B4E"/>
    <w:rsid w:val="000C3D64"/>
    <w:rsid w:val="000C3D78"/>
    <w:rsid w:val="000C46E5"/>
    <w:rsid w:val="000C489B"/>
    <w:rsid w:val="000C49B0"/>
    <w:rsid w:val="000C4BDC"/>
    <w:rsid w:val="000C4E46"/>
    <w:rsid w:val="000C4F05"/>
    <w:rsid w:val="000C5508"/>
    <w:rsid w:val="000C5527"/>
    <w:rsid w:val="000C57D2"/>
    <w:rsid w:val="000C5D86"/>
    <w:rsid w:val="000C644D"/>
    <w:rsid w:val="000C6A4E"/>
    <w:rsid w:val="000C6A8E"/>
    <w:rsid w:val="000C6AC2"/>
    <w:rsid w:val="000C6D0A"/>
    <w:rsid w:val="000C72A6"/>
    <w:rsid w:val="000D0318"/>
    <w:rsid w:val="000D05AD"/>
    <w:rsid w:val="000D0DC5"/>
    <w:rsid w:val="000D100B"/>
    <w:rsid w:val="000D10DA"/>
    <w:rsid w:val="000D146D"/>
    <w:rsid w:val="000D1631"/>
    <w:rsid w:val="000D1E4B"/>
    <w:rsid w:val="000D227C"/>
    <w:rsid w:val="000D2E3C"/>
    <w:rsid w:val="000D2F5B"/>
    <w:rsid w:val="000D5088"/>
    <w:rsid w:val="000D516A"/>
    <w:rsid w:val="000D5858"/>
    <w:rsid w:val="000D5ADD"/>
    <w:rsid w:val="000D5B7D"/>
    <w:rsid w:val="000D5B89"/>
    <w:rsid w:val="000D5BA6"/>
    <w:rsid w:val="000D6901"/>
    <w:rsid w:val="000D737E"/>
    <w:rsid w:val="000D7597"/>
    <w:rsid w:val="000D7A9B"/>
    <w:rsid w:val="000D7BDB"/>
    <w:rsid w:val="000D7FFE"/>
    <w:rsid w:val="000E004F"/>
    <w:rsid w:val="000E03A2"/>
    <w:rsid w:val="000E05CF"/>
    <w:rsid w:val="000E0E9D"/>
    <w:rsid w:val="000E1650"/>
    <w:rsid w:val="000E19AC"/>
    <w:rsid w:val="000E1C4D"/>
    <w:rsid w:val="000E1C58"/>
    <w:rsid w:val="000E1FF4"/>
    <w:rsid w:val="000E21AE"/>
    <w:rsid w:val="000E2713"/>
    <w:rsid w:val="000E31C1"/>
    <w:rsid w:val="000E3238"/>
    <w:rsid w:val="000E3393"/>
    <w:rsid w:val="000E3609"/>
    <w:rsid w:val="000E3C47"/>
    <w:rsid w:val="000E46C3"/>
    <w:rsid w:val="000E4B16"/>
    <w:rsid w:val="000E4F84"/>
    <w:rsid w:val="000E56F8"/>
    <w:rsid w:val="000E5C62"/>
    <w:rsid w:val="000E5D7C"/>
    <w:rsid w:val="000E6313"/>
    <w:rsid w:val="000E6C11"/>
    <w:rsid w:val="000E6C22"/>
    <w:rsid w:val="000E7185"/>
    <w:rsid w:val="000E72F3"/>
    <w:rsid w:val="000E73B1"/>
    <w:rsid w:val="000E794B"/>
    <w:rsid w:val="000E79CD"/>
    <w:rsid w:val="000E7E9F"/>
    <w:rsid w:val="000F0084"/>
    <w:rsid w:val="000F0151"/>
    <w:rsid w:val="000F021E"/>
    <w:rsid w:val="000F02E0"/>
    <w:rsid w:val="000F07A4"/>
    <w:rsid w:val="000F089F"/>
    <w:rsid w:val="000F0BAA"/>
    <w:rsid w:val="000F104C"/>
    <w:rsid w:val="000F18C1"/>
    <w:rsid w:val="000F29D8"/>
    <w:rsid w:val="000F3CB5"/>
    <w:rsid w:val="000F40D8"/>
    <w:rsid w:val="000F4440"/>
    <w:rsid w:val="000F4B5A"/>
    <w:rsid w:val="000F56DA"/>
    <w:rsid w:val="000F58E6"/>
    <w:rsid w:val="000F59C5"/>
    <w:rsid w:val="000F5B1E"/>
    <w:rsid w:val="000F62CF"/>
    <w:rsid w:val="000F6508"/>
    <w:rsid w:val="000F66BC"/>
    <w:rsid w:val="000F688B"/>
    <w:rsid w:val="000F690D"/>
    <w:rsid w:val="000F6A42"/>
    <w:rsid w:val="000F6E2D"/>
    <w:rsid w:val="000F6E39"/>
    <w:rsid w:val="000F7063"/>
    <w:rsid w:val="000F721E"/>
    <w:rsid w:val="000F733C"/>
    <w:rsid w:val="000F73D9"/>
    <w:rsid w:val="000F73E6"/>
    <w:rsid w:val="000F75FD"/>
    <w:rsid w:val="001007E5"/>
    <w:rsid w:val="00100973"/>
    <w:rsid w:val="00100B43"/>
    <w:rsid w:val="00101FB8"/>
    <w:rsid w:val="00102089"/>
    <w:rsid w:val="00102188"/>
    <w:rsid w:val="0010251B"/>
    <w:rsid w:val="00102C04"/>
    <w:rsid w:val="00102DFD"/>
    <w:rsid w:val="00102FD8"/>
    <w:rsid w:val="0010313F"/>
    <w:rsid w:val="0010343A"/>
    <w:rsid w:val="00103885"/>
    <w:rsid w:val="001042CA"/>
    <w:rsid w:val="0010495B"/>
    <w:rsid w:val="00104C23"/>
    <w:rsid w:val="001057DF"/>
    <w:rsid w:val="001059C3"/>
    <w:rsid w:val="0010622D"/>
    <w:rsid w:val="001063D8"/>
    <w:rsid w:val="00106C1E"/>
    <w:rsid w:val="0010758F"/>
    <w:rsid w:val="001077A9"/>
    <w:rsid w:val="001077E0"/>
    <w:rsid w:val="00107D76"/>
    <w:rsid w:val="001103AA"/>
    <w:rsid w:val="001105A3"/>
    <w:rsid w:val="00110842"/>
    <w:rsid w:val="0011095D"/>
    <w:rsid w:val="00110BA4"/>
    <w:rsid w:val="00110C6D"/>
    <w:rsid w:val="00110E98"/>
    <w:rsid w:val="00110EDD"/>
    <w:rsid w:val="001115FE"/>
    <w:rsid w:val="00111628"/>
    <w:rsid w:val="00111AAC"/>
    <w:rsid w:val="00111CBE"/>
    <w:rsid w:val="001121FA"/>
    <w:rsid w:val="001126A5"/>
    <w:rsid w:val="00112BD9"/>
    <w:rsid w:val="00112D2F"/>
    <w:rsid w:val="00112F8C"/>
    <w:rsid w:val="00113555"/>
    <w:rsid w:val="00113613"/>
    <w:rsid w:val="0011385E"/>
    <w:rsid w:val="00114674"/>
    <w:rsid w:val="001148DB"/>
    <w:rsid w:val="00114DA1"/>
    <w:rsid w:val="0011513E"/>
    <w:rsid w:val="00115ACD"/>
    <w:rsid w:val="00115B39"/>
    <w:rsid w:val="001160B4"/>
    <w:rsid w:val="00116C4C"/>
    <w:rsid w:val="0011733B"/>
    <w:rsid w:val="0011735A"/>
    <w:rsid w:val="0011747B"/>
    <w:rsid w:val="0012008B"/>
    <w:rsid w:val="00120639"/>
    <w:rsid w:val="00120AE6"/>
    <w:rsid w:val="00120F46"/>
    <w:rsid w:val="001210B0"/>
    <w:rsid w:val="001214A7"/>
    <w:rsid w:val="001217E6"/>
    <w:rsid w:val="00121E04"/>
    <w:rsid w:val="00122594"/>
    <w:rsid w:val="00122728"/>
    <w:rsid w:val="00122BAE"/>
    <w:rsid w:val="00122CC8"/>
    <w:rsid w:val="00122DC3"/>
    <w:rsid w:val="00122EC0"/>
    <w:rsid w:val="00122FA0"/>
    <w:rsid w:val="001235D1"/>
    <w:rsid w:val="00123949"/>
    <w:rsid w:val="001239CA"/>
    <w:rsid w:val="00123AE5"/>
    <w:rsid w:val="00123B9A"/>
    <w:rsid w:val="00123E24"/>
    <w:rsid w:val="00123F09"/>
    <w:rsid w:val="0012423B"/>
    <w:rsid w:val="00124250"/>
    <w:rsid w:val="00124A5C"/>
    <w:rsid w:val="00124E0E"/>
    <w:rsid w:val="0012512B"/>
    <w:rsid w:val="0012550D"/>
    <w:rsid w:val="0012608B"/>
    <w:rsid w:val="00126593"/>
    <w:rsid w:val="00126B97"/>
    <w:rsid w:val="00126DA9"/>
    <w:rsid w:val="001277B1"/>
    <w:rsid w:val="00127EFD"/>
    <w:rsid w:val="00127FB9"/>
    <w:rsid w:val="00130179"/>
    <w:rsid w:val="00130869"/>
    <w:rsid w:val="00131027"/>
    <w:rsid w:val="0013131B"/>
    <w:rsid w:val="0013135E"/>
    <w:rsid w:val="001315A0"/>
    <w:rsid w:val="00131A28"/>
    <w:rsid w:val="00131F42"/>
    <w:rsid w:val="00132E83"/>
    <w:rsid w:val="00132F36"/>
    <w:rsid w:val="001333DB"/>
    <w:rsid w:val="0013377A"/>
    <w:rsid w:val="0013380E"/>
    <w:rsid w:val="00133840"/>
    <w:rsid w:val="00133EEF"/>
    <w:rsid w:val="001340B2"/>
    <w:rsid w:val="00134441"/>
    <w:rsid w:val="00134594"/>
    <w:rsid w:val="00134985"/>
    <w:rsid w:val="0013523B"/>
    <w:rsid w:val="00135391"/>
    <w:rsid w:val="001353A7"/>
    <w:rsid w:val="00135506"/>
    <w:rsid w:val="0013599A"/>
    <w:rsid w:val="00135BAC"/>
    <w:rsid w:val="00135C06"/>
    <w:rsid w:val="00135E4D"/>
    <w:rsid w:val="00135F65"/>
    <w:rsid w:val="00136270"/>
    <w:rsid w:val="001367D6"/>
    <w:rsid w:val="001368B7"/>
    <w:rsid w:val="00136DAD"/>
    <w:rsid w:val="00136F86"/>
    <w:rsid w:val="001370BD"/>
    <w:rsid w:val="001373F6"/>
    <w:rsid w:val="001374E7"/>
    <w:rsid w:val="00137DCF"/>
    <w:rsid w:val="00137EE5"/>
    <w:rsid w:val="00140882"/>
    <w:rsid w:val="00140B5A"/>
    <w:rsid w:val="001410B2"/>
    <w:rsid w:val="001413FB"/>
    <w:rsid w:val="0014172B"/>
    <w:rsid w:val="00141810"/>
    <w:rsid w:val="001419F3"/>
    <w:rsid w:val="00141BBB"/>
    <w:rsid w:val="00141D2D"/>
    <w:rsid w:val="001420E8"/>
    <w:rsid w:val="00142455"/>
    <w:rsid w:val="00142568"/>
    <w:rsid w:val="0014258C"/>
    <w:rsid w:val="00142C49"/>
    <w:rsid w:val="00143084"/>
    <w:rsid w:val="0014323C"/>
    <w:rsid w:val="00143266"/>
    <w:rsid w:val="001434D0"/>
    <w:rsid w:val="001443EA"/>
    <w:rsid w:val="00144720"/>
    <w:rsid w:val="0014481D"/>
    <w:rsid w:val="00144C9F"/>
    <w:rsid w:val="0014537C"/>
    <w:rsid w:val="001454A1"/>
    <w:rsid w:val="00146460"/>
    <w:rsid w:val="001464C1"/>
    <w:rsid w:val="00146663"/>
    <w:rsid w:val="00146CF7"/>
    <w:rsid w:val="00146ED8"/>
    <w:rsid w:val="00146EF3"/>
    <w:rsid w:val="00147103"/>
    <w:rsid w:val="001472BE"/>
    <w:rsid w:val="00147352"/>
    <w:rsid w:val="00147405"/>
    <w:rsid w:val="00147666"/>
    <w:rsid w:val="00147C0C"/>
    <w:rsid w:val="00147D6D"/>
    <w:rsid w:val="00147FFD"/>
    <w:rsid w:val="00150284"/>
    <w:rsid w:val="0015160E"/>
    <w:rsid w:val="00151A04"/>
    <w:rsid w:val="00151BB7"/>
    <w:rsid w:val="00151DF4"/>
    <w:rsid w:val="001528E8"/>
    <w:rsid w:val="00152C1F"/>
    <w:rsid w:val="001533AD"/>
    <w:rsid w:val="00153659"/>
    <w:rsid w:val="00153EE8"/>
    <w:rsid w:val="00154769"/>
    <w:rsid w:val="0015486F"/>
    <w:rsid w:val="0015488B"/>
    <w:rsid w:val="0015520D"/>
    <w:rsid w:val="0015599B"/>
    <w:rsid w:val="00155A47"/>
    <w:rsid w:val="00155AC6"/>
    <w:rsid w:val="00155CE7"/>
    <w:rsid w:val="0015632B"/>
    <w:rsid w:val="001568E7"/>
    <w:rsid w:val="001569A6"/>
    <w:rsid w:val="00156AE0"/>
    <w:rsid w:val="00156C2E"/>
    <w:rsid w:val="00156FA4"/>
    <w:rsid w:val="00157148"/>
    <w:rsid w:val="0015752E"/>
    <w:rsid w:val="001576C7"/>
    <w:rsid w:val="00157720"/>
    <w:rsid w:val="00157765"/>
    <w:rsid w:val="001577D3"/>
    <w:rsid w:val="001579C4"/>
    <w:rsid w:val="00160704"/>
    <w:rsid w:val="00160F1C"/>
    <w:rsid w:val="0016130C"/>
    <w:rsid w:val="00161C23"/>
    <w:rsid w:val="00162518"/>
    <w:rsid w:val="00162943"/>
    <w:rsid w:val="00162971"/>
    <w:rsid w:val="00162FB6"/>
    <w:rsid w:val="00163087"/>
    <w:rsid w:val="00163092"/>
    <w:rsid w:val="001631B2"/>
    <w:rsid w:val="001635A3"/>
    <w:rsid w:val="001636E8"/>
    <w:rsid w:val="00163919"/>
    <w:rsid w:val="0016391D"/>
    <w:rsid w:val="00163F64"/>
    <w:rsid w:val="0016489D"/>
    <w:rsid w:val="00165088"/>
    <w:rsid w:val="0016518B"/>
    <w:rsid w:val="0016551B"/>
    <w:rsid w:val="001661A6"/>
    <w:rsid w:val="001663B9"/>
    <w:rsid w:val="00166696"/>
    <w:rsid w:val="001666B1"/>
    <w:rsid w:val="001668E1"/>
    <w:rsid w:val="00166FAB"/>
    <w:rsid w:val="00167875"/>
    <w:rsid w:val="00167A46"/>
    <w:rsid w:val="00167BEA"/>
    <w:rsid w:val="00167F75"/>
    <w:rsid w:val="00170385"/>
    <w:rsid w:val="0017045E"/>
    <w:rsid w:val="001706B0"/>
    <w:rsid w:val="001709C5"/>
    <w:rsid w:val="00170B09"/>
    <w:rsid w:val="00170BDF"/>
    <w:rsid w:val="00170EBF"/>
    <w:rsid w:val="00171256"/>
    <w:rsid w:val="001715E7"/>
    <w:rsid w:val="00171E04"/>
    <w:rsid w:val="00171EA5"/>
    <w:rsid w:val="00171F0F"/>
    <w:rsid w:val="00171F54"/>
    <w:rsid w:val="00172460"/>
    <w:rsid w:val="001726CE"/>
    <w:rsid w:val="00172BB7"/>
    <w:rsid w:val="00172F25"/>
    <w:rsid w:val="001733A9"/>
    <w:rsid w:val="001734DB"/>
    <w:rsid w:val="001735EA"/>
    <w:rsid w:val="00173758"/>
    <w:rsid w:val="00173992"/>
    <w:rsid w:val="00173B1F"/>
    <w:rsid w:val="00174266"/>
    <w:rsid w:val="0017439C"/>
    <w:rsid w:val="00174842"/>
    <w:rsid w:val="0017499B"/>
    <w:rsid w:val="00174CDE"/>
    <w:rsid w:val="00174F3F"/>
    <w:rsid w:val="001758E7"/>
    <w:rsid w:val="00175BBA"/>
    <w:rsid w:val="00176D43"/>
    <w:rsid w:val="001771D7"/>
    <w:rsid w:val="00177225"/>
    <w:rsid w:val="00177F34"/>
    <w:rsid w:val="0018018A"/>
    <w:rsid w:val="00180916"/>
    <w:rsid w:val="00180CBF"/>
    <w:rsid w:val="00180E84"/>
    <w:rsid w:val="00180F45"/>
    <w:rsid w:val="00181026"/>
    <w:rsid w:val="001810E8"/>
    <w:rsid w:val="0018162D"/>
    <w:rsid w:val="00181A06"/>
    <w:rsid w:val="001821F2"/>
    <w:rsid w:val="00182DB2"/>
    <w:rsid w:val="0018309A"/>
    <w:rsid w:val="001833BB"/>
    <w:rsid w:val="001834DC"/>
    <w:rsid w:val="00183878"/>
    <w:rsid w:val="00183CAB"/>
    <w:rsid w:val="00183CFF"/>
    <w:rsid w:val="00183E4F"/>
    <w:rsid w:val="00183E6A"/>
    <w:rsid w:val="00184158"/>
    <w:rsid w:val="00184641"/>
    <w:rsid w:val="001847AE"/>
    <w:rsid w:val="0018514D"/>
    <w:rsid w:val="00185573"/>
    <w:rsid w:val="001859D6"/>
    <w:rsid w:val="00185AB7"/>
    <w:rsid w:val="00185ED7"/>
    <w:rsid w:val="0018652F"/>
    <w:rsid w:val="00186A7A"/>
    <w:rsid w:val="00186E14"/>
    <w:rsid w:val="00187774"/>
    <w:rsid w:val="001877FF"/>
    <w:rsid w:val="001878D1"/>
    <w:rsid w:val="00187E1A"/>
    <w:rsid w:val="00187E36"/>
    <w:rsid w:val="00187FC4"/>
    <w:rsid w:val="0019015C"/>
    <w:rsid w:val="0019031D"/>
    <w:rsid w:val="001907E6"/>
    <w:rsid w:val="0019099B"/>
    <w:rsid w:val="00191698"/>
    <w:rsid w:val="001916E6"/>
    <w:rsid w:val="00191C3F"/>
    <w:rsid w:val="00191F08"/>
    <w:rsid w:val="0019224F"/>
    <w:rsid w:val="00192FDD"/>
    <w:rsid w:val="001934DA"/>
    <w:rsid w:val="00193689"/>
    <w:rsid w:val="00193E59"/>
    <w:rsid w:val="0019452B"/>
    <w:rsid w:val="00194EF5"/>
    <w:rsid w:val="00194F49"/>
    <w:rsid w:val="001953A5"/>
    <w:rsid w:val="001955F3"/>
    <w:rsid w:val="00195EE6"/>
    <w:rsid w:val="0019627D"/>
    <w:rsid w:val="0019654C"/>
    <w:rsid w:val="00196888"/>
    <w:rsid w:val="0019695B"/>
    <w:rsid w:val="00196F0E"/>
    <w:rsid w:val="00196F74"/>
    <w:rsid w:val="001974AD"/>
    <w:rsid w:val="0019756B"/>
    <w:rsid w:val="00197584"/>
    <w:rsid w:val="00197FB1"/>
    <w:rsid w:val="001A0972"/>
    <w:rsid w:val="001A0F99"/>
    <w:rsid w:val="001A1407"/>
    <w:rsid w:val="001A21CB"/>
    <w:rsid w:val="001A279F"/>
    <w:rsid w:val="001A28E2"/>
    <w:rsid w:val="001A28F3"/>
    <w:rsid w:val="001A2A60"/>
    <w:rsid w:val="001A2A7C"/>
    <w:rsid w:val="001A31C1"/>
    <w:rsid w:val="001A354C"/>
    <w:rsid w:val="001A3AF4"/>
    <w:rsid w:val="001A3B15"/>
    <w:rsid w:val="001A40FE"/>
    <w:rsid w:val="001A4BE5"/>
    <w:rsid w:val="001A5086"/>
    <w:rsid w:val="001A53CD"/>
    <w:rsid w:val="001A5490"/>
    <w:rsid w:val="001A56CD"/>
    <w:rsid w:val="001A5B2B"/>
    <w:rsid w:val="001A5E66"/>
    <w:rsid w:val="001A63A8"/>
    <w:rsid w:val="001A63F3"/>
    <w:rsid w:val="001A708E"/>
    <w:rsid w:val="001A7435"/>
    <w:rsid w:val="001A745C"/>
    <w:rsid w:val="001A7757"/>
    <w:rsid w:val="001A782D"/>
    <w:rsid w:val="001A7B54"/>
    <w:rsid w:val="001A7BAA"/>
    <w:rsid w:val="001A7BCD"/>
    <w:rsid w:val="001A7CCE"/>
    <w:rsid w:val="001B02D9"/>
    <w:rsid w:val="001B043F"/>
    <w:rsid w:val="001B055A"/>
    <w:rsid w:val="001B0BD9"/>
    <w:rsid w:val="001B1026"/>
    <w:rsid w:val="001B1166"/>
    <w:rsid w:val="001B1BEE"/>
    <w:rsid w:val="001B1C18"/>
    <w:rsid w:val="001B245C"/>
    <w:rsid w:val="001B2973"/>
    <w:rsid w:val="001B2A20"/>
    <w:rsid w:val="001B2AB6"/>
    <w:rsid w:val="001B2BBF"/>
    <w:rsid w:val="001B318D"/>
    <w:rsid w:val="001B34DC"/>
    <w:rsid w:val="001B35E0"/>
    <w:rsid w:val="001B3E79"/>
    <w:rsid w:val="001B4176"/>
    <w:rsid w:val="001B4461"/>
    <w:rsid w:val="001B4686"/>
    <w:rsid w:val="001B557D"/>
    <w:rsid w:val="001B5B1D"/>
    <w:rsid w:val="001B5DC6"/>
    <w:rsid w:val="001B5EE4"/>
    <w:rsid w:val="001B6130"/>
    <w:rsid w:val="001B6607"/>
    <w:rsid w:val="001B6610"/>
    <w:rsid w:val="001B687C"/>
    <w:rsid w:val="001B691D"/>
    <w:rsid w:val="001B6B81"/>
    <w:rsid w:val="001B6F85"/>
    <w:rsid w:val="001B71FD"/>
    <w:rsid w:val="001C0B51"/>
    <w:rsid w:val="001C15CC"/>
    <w:rsid w:val="001C1F17"/>
    <w:rsid w:val="001C1FF3"/>
    <w:rsid w:val="001C2669"/>
    <w:rsid w:val="001C285C"/>
    <w:rsid w:val="001C2A87"/>
    <w:rsid w:val="001C2FA4"/>
    <w:rsid w:val="001C30F8"/>
    <w:rsid w:val="001C31C0"/>
    <w:rsid w:val="001C3A63"/>
    <w:rsid w:val="001C3DEE"/>
    <w:rsid w:val="001C3F0C"/>
    <w:rsid w:val="001C402C"/>
    <w:rsid w:val="001C45C5"/>
    <w:rsid w:val="001C4616"/>
    <w:rsid w:val="001C4DE4"/>
    <w:rsid w:val="001C5670"/>
    <w:rsid w:val="001C58E6"/>
    <w:rsid w:val="001C5ED3"/>
    <w:rsid w:val="001C5EEF"/>
    <w:rsid w:val="001C63F6"/>
    <w:rsid w:val="001C6F9C"/>
    <w:rsid w:val="001C7043"/>
    <w:rsid w:val="001C714A"/>
    <w:rsid w:val="001C714C"/>
    <w:rsid w:val="001C7F09"/>
    <w:rsid w:val="001D0135"/>
    <w:rsid w:val="001D03B8"/>
    <w:rsid w:val="001D050B"/>
    <w:rsid w:val="001D0531"/>
    <w:rsid w:val="001D0AAE"/>
    <w:rsid w:val="001D0B9B"/>
    <w:rsid w:val="001D1688"/>
    <w:rsid w:val="001D1DC6"/>
    <w:rsid w:val="001D2316"/>
    <w:rsid w:val="001D24C8"/>
    <w:rsid w:val="001D2501"/>
    <w:rsid w:val="001D28BE"/>
    <w:rsid w:val="001D2C4C"/>
    <w:rsid w:val="001D30B8"/>
    <w:rsid w:val="001D3926"/>
    <w:rsid w:val="001D3962"/>
    <w:rsid w:val="001D3B92"/>
    <w:rsid w:val="001D3CAC"/>
    <w:rsid w:val="001D45E6"/>
    <w:rsid w:val="001D4854"/>
    <w:rsid w:val="001D4880"/>
    <w:rsid w:val="001D4F57"/>
    <w:rsid w:val="001D52E8"/>
    <w:rsid w:val="001D541D"/>
    <w:rsid w:val="001D55B9"/>
    <w:rsid w:val="001D5850"/>
    <w:rsid w:val="001D5880"/>
    <w:rsid w:val="001D5A60"/>
    <w:rsid w:val="001D5CFE"/>
    <w:rsid w:val="001D6003"/>
    <w:rsid w:val="001D6020"/>
    <w:rsid w:val="001D6281"/>
    <w:rsid w:val="001D6382"/>
    <w:rsid w:val="001D6960"/>
    <w:rsid w:val="001D7551"/>
    <w:rsid w:val="001D7995"/>
    <w:rsid w:val="001D7A58"/>
    <w:rsid w:val="001E008C"/>
    <w:rsid w:val="001E00F3"/>
    <w:rsid w:val="001E0228"/>
    <w:rsid w:val="001E031A"/>
    <w:rsid w:val="001E045B"/>
    <w:rsid w:val="001E04C8"/>
    <w:rsid w:val="001E0788"/>
    <w:rsid w:val="001E07B0"/>
    <w:rsid w:val="001E0918"/>
    <w:rsid w:val="001E0E8A"/>
    <w:rsid w:val="001E156D"/>
    <w:rsid w:val="001E1847"/>
    <w:rsid w:val="001E197E"/>
    <w:rsid w:val="001E1DC4"/>
    <w:rsid w:val="001E1FE4"/>
    <w:rsid w:val="001E249E"/>
    <w:rsid w:val="001E278B"/>
    <w:rsid w:val="001E2B11"/>
    <w:rsid w:val="001E3524"/>
    <w:rsid w:val="001E3661"/>
    <w:rsid w:val="001E3EAE"/>
    <w:rsid w:val="001E3ED0"/>
    <w:rsid w:val="001E3ED4"/>
    <w:rsid w:val="001E3EED"/>
    <w:rsid w:val="001E3F2D"/>
    <w:rsid w:val="001E4639"/>
    <w:rsid w:val="001E50A7"/>
    <w:rsid w:val="001E54F1"/>
    <w:rsid w:val="001E5683"/>
    <w:rsid w:val="001E5AD7"/>
    <w:rsid w:val="001E5C3E"/>
    <w:rsid w:val="001E5E00"/>
    <w:rsid w:val="001E5F6D"/>
    <w:rsid w:val="001E620A"/>
    <w:rsid w:val="001E62DF"/>
    <w:rsid w:val="001E665C"/>
    <w:rsid w:val="001E6D21"/>
    <w:rsid w:val="001E7182"/>
    <w:rsid w:val="001E799F"/>
    <w:rsid w:val="001E7B7D"/>
    <w:rsid w:val="001F0695"/>
    <w:rsid w:val="001F08BE"/>
    <w:rsid w:val="001F0B75"/>
    <w:rsid w:val="001F14C5"/>
    <w:rsid w:val="001F1606"/>
    <w:rsid w:val="001F1E9B"/>
    <w:rsid w:val="001F2094"/>
    <w:rsid w:val="001F22B0"/>
    <w:rsid w:val="001F22D8"/>
    <w:rsid w:val="001F2513"/>
    <w:rsid w:val="001F259D"/>
    <w:rsid w:val="001F279D"/>
    <w:rsid w:val="001F2DDB"/>
    <w:rsid w:val="001F3227"/>
    <w:rsid w:val="001F387E"/>
    <w:rsid w:val="001F3B27"/>
    <w:rsid w:val="001F3F6F"/>
    <w:rsid w:val="001F3FF5"/>
    <w:rsid w:val="001F4040"/>
    <w:rsid w:val="001F4980"/>
    <w:rsid w:val="001F4EC3"/>
    <w:rsid w:val="001F592D"/>
    <w:rsid w:val="001F6730"/>
    <w:rsid w:val="001F6812"/>
    <w:rsid w:val="001F6AB1"/>
    <w:rsid w:val="001F6B82"/>
    <w:rsid w:val="001F6C47"/>
    <w:rsid w:val="001F6D35"/>
    <w:rsid w:val="001F6EE5"/>
    <w:rsid w:val="001F725E"/>
    <w:rsid w:val="001F738E"/>
    <w:rsid w:val="001F7561"/>
    <w:rsid w:val="001F7A6A"/>
    <w:rsid w:val="001F7AB5"/>
    <w:rsid w:val="001F7B55"/>
    <w:rsid w:val="001F7E9F"/>
    <w:rsid w:val="001F7F9E"/>
    <w:rsid w:val="00200FB6"/>
    <w:rsid w:val="0020106B"/>
    <w:rsid w:val="0020156E"/>
    <w:rsid w:val="00201B6C"/>
    <w:rsid w:val="00201E34"/>
    <w:rsid w:val="0020221D"/>
    <w:rsid w:val="002028B0"/>
    <w:rsid w:val="00202CC8"/>
    <w:rsid w:val="00202E6C"/>
    <w:rsid w:val="00202F5E"/>
    <w:rsid w:val="00203125"/>
    <w:rsid w:val="00203CF6"/>
    <w:rsid w:val="002042E5"/>
    <w:rsid w:val="00204375"/>
    <w:rsid w:val="002048CC"/>
    <w:rsid w:val="00204BD7"/>
    <w:rsid w:val="002054D3"/>
    <w:rsid w:val="002055AF"/>
    <w:rsid w:val="00205D9C"/>
    <w:rsid w:val="00206479"/>
    <w:rsid w:val="00206A40"/>
    <w:rsid w:val="00206E02"/>
    <w:rsid w:val="002073AB"/>
    <w:rsid w:val="00207806"/>
    <w:rsid w:val="00207960"/>
    <w:rsid w:val="00207E3C"/>
    <w:rsid w:val="002100A2"/>
    <w:rsid w:val="002107D3"/>
    <w:rsid w:val="00210D5F"/>
    <w:rsid w:val="0021134F"/>
    <w:rsid w:val="0021160D"/>
    <w:rsid w:val="00211CBC"/>
    <w:rsid w:val="00211FBD"/>
    <w:rsid w:val="002121D0"/>
    <w:rsid w:val="00212426"/>
    <w:rsid w:val="002124F8"/>
    <w:rsid w:val="00212610"/>
    <w:rsid w:val="00212C07"/>
    <w:rsid w:val="0021338F"/>
    <w:rsid w:val="00213424"/>
    <w:rsid w:val="002138F7"/>
    <w:rsid w:val="00213965"/>
    <w:rsid w:val="0021438E"/>
    <w:rsid w:val="00214457"/>
    <w:rsid w:val="00214532"/>
    <w:rsid w:val="002147F1"/>
    <w:rsid w:val="002149E9"/>
    <w:rsid w:val="00214D15"/>
    <w:rsid w:val="00214FDC"/>
    <w:rsid w:val="00215762"/>
    <w:rsid w:val="00216CF6"/>
    <w:rsid w:val="00216D11"/>
    <w:rsid w:val="00217098"/>
    <w:rsid w:val="0021789F"/>
    <w:rsid w:val="00217AA0"/>
    <w:rsid w:val="00217EBE"/>
    <w:rsid w:val="00217FF1"/>
    <w:rsid w:val="00220212"/>
    <w:rsid w:val="002206E0"/>
    <w:rsid w:val="00220B14"/>
    <w:rsid w:val="00221121"/>
    <w:rsid w:val="0022130F"/>
    <w:rsid w:val="002213EE"/>
    <w:rsid w:val="00221C39"/>
    <w:rsid w:val="00221D26"/>
    <w:rsid w:val="00222674"/>
    <w:rsid w:val="002228D7"/>
    <w:rsid w:val="00222D88"/>
    <w:rsid w:val="0022332B"/>
    <w:rsid w:val="0022398E"/>
    <w:rsid w:val="002240AB"/>
    <w:rsid w:val="002246CF"/>
    <w:rsid w:val="00224867"/>
    <w:rsid w:val="0022506A"/>
    <w:rsid w:val="002250C4"/>
    <w:rsid w:val="00225376"/>
    <w:rsid w:val="002253AE"/>
    <w:rsid w:val="00225448"/>
    <w:rsid w:val="002259A5"/>
    <w:rsid w:val="00225CA3"/>
    <w:rsid w:val="0022630E"/>
    <w:rsid w:val="002265DF"/>
    <w:rsid w:val="00226CD1"/>
    <w:rsid w:val="00227024"/>
    <w:rsid w:val="00227208"/>
    <w:rsid w:val="00227AA1"/>
    <w:rsid w:val="00227BD5"/>
    <w:rsid w:val="00227D9E"/>
    <w:rsid w:val="00230525"/>
    <w:rsid w:val="00230C09"/>
    <w:rsid w:val="00230F7D"/>
    <w:rsid w:val="00231032"/>
    <w:rsid w:val="002311DE"/>
    <w:rsid w:val="002315D8"/>
    <w:rsid w:val="0023193D"/>
    <w:rsid w:val="002324A4"/>
    <w:rsid w:val="0023283C"/>
    <w:rsid w:val="00232941"/>
    <w:rsid w:val="00232973"/>
    <w:rsid w:val="00232AE3"/>
    <w:rsid w:val="002331CF"/>
    <w:rsid w:val="002337C1"/>
    <w:rsid w:val="002337CA"/>
    <w:rsid w:val="00233DF9"/>
    <w:rsid w:val="00234292"/>
    <w:rsid w:val="00234537"/>
    <w:rsid w:val="00235080"/>
    <w:rsid w:val="002353C4"/>
    <w:rsid w:val="00235408"/>
    <w:rsid w:val="00235D5D"/>
    <w:rsid w:val="00235F8A"/>
    <w:rsid w:val="00236615"/>
    <w:rsid w:val="00236DA8"/>
    <w:rsid w:val="00237111"/>
    <w:rsid w:val="002378DE"/>
    <w:rsid w:val="00240315"/>
    <w:rsid w:val="0024172C"/>
    <w:rsid w:val="00241794"/>
    <w:rsid w:val="0024198F"/>
    <w:rsid w:val="00241D92"/>
    <w:rsid w:val="0024207C"/>
    <w:rsid w:val="00242D77"/>
    <w:rsid w:val="00242FC6"/>
    <w:rsid w:val="00243129"/>
    <w:rsid w:val="002432F9"/>
    <w:rsid w:val="002444D4"/>
    <w:rsid w:val="002446DC"/>
    <w:rsid w:val="00244B50"/>
    <w:rsid w:val="00244D4E"/>
    <w:rsid w:val="00244DE7"/>
    <w:rsid w:val="002452AF"/>
    <w:rsid w:val="002453AC"/>
    <w:rsid w:val="002455C4"/>
    <w:rsid w:val="00245C12"/>
    <w:rsid w:val="00247002"/>
    <w:rsid w:val="00247081"/>
    <w:rsid w:val="002471D4"/>
    <w:rsid w:val="0024789D"/>
    <w:rsid w:val="00250278"/>
    <w:rsid w:val="00250914"/>
    <w:rsid w:val="00250A00"/>
    <w:rsid w:val="00250CC6"/>
    <w:rsid w:val="00251057"/>
    <w:rsid w:val="002514F9"/>
    <w:rsid w:val="002515A6"/>
    <w:rsid w:val="00251A47"/>
    <w:rsid w:val="00251DFA"/>
    <w:rsid w:val="00251E9F"/>
    <w:rsid w:val="002526FF"/>
    <w:rsid w:val="00252C14"/>
    <w:rsid w:val="0025343F"/>
    <w:rsid w:val="00253B86"/>
    <w:rsid w:val="00254051"/>
    <w:rsid w:val="002541AE"/>
    <w:rsid w:val="002543F0"/>
    <w:rsid w:val="00254A88"/>
    <w:rsid w:val="00254FC5"/>
    <w:rsid w:val="0025617F"/>
    <w:rsid w:val="0025684C"/>
    <w:rsid w:val="00256942"/>
    <w:rsid w:val="00256C67"/>
    <w:rsid w:val="00256D05"/>
    <w:rsid w:val="00256ECA"/>
    <w:rsid w:val="0025713E"/>
    <w:rsid w:val="00257880"/>
    <w:rsid w:val="00257D15"/>
    <w:rsid w:val="00257D46"/>
    <w:rsid w:val="0026163F"/>
    <w:rsid w:val="00261834"/>
    <w:rsid w:val="00261984"/>
    <w:rsid w:val="00261A93"/>
    <w:rsid w:val="00261B1C"/>
    <w:rsid w:val="00261C3B"/>
    <w:rsid w:val="00261E5E"/>
    <w:rsid w:val="00261EF2"/>
    <w:rsid w:val="0026251A"/>
    <w:rsid w:val="00262628"/>
    <w:rsid w:val="00262926"/>
    <w:rsid w:val="00262A3D"/>
    <w:rsid w:val="00262B70"/>
    <w:rsid w:val="00262F3D"/>
    <w:rsid w:val="002632EB"/>
    <w:rsid w:val="002633D8"/>
    <w:rsid w:val="00263538"/>
    <w:rsid w:val="00263AC3"/>
    <w:rsid w:val="00263ED0"/>
    <w:rsid w:val="00263FCE"/>
    <w:rsid w:val="00264146"/>
    <w:rsid w:val="002645EE"/>
    <w:rsid w:val="002649D0"/>
    <w:rsid w:val="00264B1E"/>
    <w:rsid w:val="00264FE2"/>
    <w:rsid w:val="0026521D"/>
    <w:rsid w:val="002653A8"/>
    <w:rsid w:val="00265546"/>
    <w:rsid w:val="002655C2"/>
    <w:rsid w:val="00265663"/>
    <w:rsid w:val="00265A64"/>
    <w:rsid w:val="002664FD"/>
    <w:rsid w:val="00266C86"/>
    <w:rsid w:val="00266D73"/>
    <w:rsid w:val="00266DCE"/>
    <w:rsid w:val="0026720E"/>
    <w:rsid w:val="002677FB"/>
    <w:rsid w:val="002701FA"/>
    <w:rsid w:val="002702C4"/>
    <w:rsid w:val="002706F7"/>
    <w:rsid w:val="002709E5"/>
    <w:rsid w:val="002710EC"/>
    <w:rsid w:val="00271554"/>
    <w:rsid w:val="00271662"/>
    <w:rsid w:val="002716DC"/>
    <w:rsid w:val="00271C56"/>
    <w:rsid w:val="002720C1"/>
    <w:rsid w:val="002723F8"/>
    <w:rsid w:val="0027246B"/>
    <w:rsid w:val="002724E4"/>
    <w:rsid w:val="00272524"/>
    <w:rsid w:val="00272569"/>
    <w:rsid w:val="0027262C"/>
    <w:rsid w:val="00272DCE"/>
    <w:rsid w:val="00272E54"/>
    <w:rsid w:val="00273B12"/>
    <w:rsid w:val="00273C79"/>
    <w:rsid w:val="002749B8"/>
    <w:rsid w:val="00275F75"/>
    <w:rsid w:val="0027677B"/>
    <w:rsid w:val="00276F18"/>
    <w:rsid w:val="00276F7A"/>
    <w:rsid w:val="00277312"/>
    <w:rsid w:val="0027785F"/>
    <w:rsid w:val="0027793A"/>
    <w:rsid w:val="00280330"/>
    <w:rsid w:val="00280415"/>
    <w:rsid w:val="00280717"/>
    <w:rsid w:val="00280D96"/>
    <w:rsid w:val="00280EEE"/>
    <w:rsid w:val="00281047"/>
    <w:rsid w:val="00281110"/>
    <w:rsid w:val="00281793"/>
    <w:rsid w:val="002817AF"/>
    <w:rsid w:val="002818FA"/>
    <w:rsid w:val="00281A45"/>
    <w:rsid w:val="0028272E"/>
    <w:rsid w:val="00282BA6"/>
    <w:rsid w:val="00283357"/>
    <w:rsid w:val="00283738"/>
    <w:rsid w:val="00283CA3"/>
    <w:rsid w:val="00284AA2"/>
    <w:rsid w:val="00284B9F"/>
    <w:rsid w:val="00284C75"/>
    <w:rsid w:val="00284FD1"/>
    <w:rsid w:val="0028516F"/>
    <w:rsid w:val="0028570D"/>
    <w:rsid w:val="002857B2"/>
    <w:rsid w:val="00285AED"/>
    <w:rsid w:val="00285FA6"/>
    <w:rsid w:val="002862F1"/>
    <w:rsid w:val="0028698E"/>
    <w:rsid w:val="00286C30"/>
    <w:rsid w:val="00286D7F"/>
    <w:rsid w:val="002871BF"/>
    <w:rsid w:val="002873B8"/>
    <w:rsid w:val="0028760B"/>
    <w:rsid w:val="002877C5"/>
    <w:rsid w:val="00287B07"/>
    <w:rsid w:val="00287E8F"/>
    <w:rsid w:val="0029032E"/>
    <w:rsid w:val="002904CF"/>
    <w:rsid w:val="0029123D"/>
    <w:rsid w:val="00291D5A"/>
    <w:rsid w:val="00292388"/>
    <w:rsid w:val="002923E3"/>
    <w:rsid w:val="002925FD"/>
    <w:rsid w:val="00292995"/>
    <w:rsid w:val="002929C1"/>
    <w:rsid w:val="00292CED"/>
    <w:rsid w:val="002937BB"/>
    <w:rsid w:val="002939BF"/>
    <w:rsid w:val="002940FD"/>
    <w:rsid w:val="002945AD"/>
    <w:rsid w:val="00294D2F"/>
    <w:rsid w:val="00294F71"/>
    <w:rsid w:val="00295883"/>
    <w:rsid w:val="00295B5D"/>
    <w:rsid w:val="00295DE3"/>
    <w:rsid w:val="00295EC9"/>
    <w:rsid w:val="00295F6F"/>
    <w:rsid w:val="00295F80"/>
    <w:rsid w:val="0029632F"/>
    <w:rsid w:val="00296347"/>
    <w:rsid w:val="002968F5"/>
    <w:rsid w:val="00296A01"/>
    <w:rsid w:val="00296DCE"/>
    <w:rsid w:val="002971A0"/>
    <w:rsid w:val="002972A3"/>
    <w:rsid w:val="0029738A"/>
    <w:rsid w:val="00297A21"/>
    <w:rsid w:val="00297C0E"/>
    <w:rsid w:val="00297D3B"/>
    <w:rsid w:val="002A06F2"/>
    <w:rsid w:val="002A0936"/>
    <w:rsid w:val="002A0FBE"/>
    <w:rsid w:val="002A0FE7"/>
    <w:rsid w:val="002A1207"/>
    <w:rsid w:val="002A15E8"/>
    <w:rsid w:val="002A194B"/>
    <w:rsid w:val="002A196E"/>
    <w:rsid w:val="002A2087"/>
    <w:rsid w:val="002A24AF"/>
    <w:rsid w:val="002A2DD8"/>
    <w:rsid w:val="002A3F72"/>
    <w:rsid w:val="002A3FDD"/>
    <w:rsid w:val="002A45C0"/>
    <w:rsid w:val="002A4761"/>
    <w:rsid w:val="002A48E2"/>
    <w:rsid w:val="002A4ACF"/>
    <w:rsid w:val="002A4D3F"/>
    <w:rsid w:val="002A4E91"/>
    <w:rsid w:val="002A5142"/>
    <w:rsid w:val="002A55DA"/>
    <w:rsid w:val="002A5B24"/>
    <w:rsid w:val="002A61C6"/>
    <w:rsid w:val="002A627A"/>
    <w:rsid w:val="002A66A8"/>
    <w:rsid w:val="002A6855"/>
    <w:rsid w:val="002A6C1C"/>
    <w:rsid w:val="002A6C6A"/>
    <w:rsid w:val="002A7398"/>
    <w:rsid w:val="002A7447"/>
    <w:rsid w:val="002A7488"/>
    <w:rsid w:val="002A7D55"/>
    <w:rsid w:val="002B0817"/>
    <w:rsid w:val="002B1088"/>
    <w:rsid w:val="002B18A4"/>
    <w:rsid w:val="002B1EF1"/>
    <w:rsid w:val="002B21CA"/>
    <w:rsid w:val="002B2263"/>
    <w:rsid w:val="002B2541"/>
    <w:rsid w:val="002B25AD"/>
    <w:rsid w:val="002B26CE"/>
    <w:rsid w:val="002B2C1A"/>
    <w:rsid w:val="002B2E66"/>
    <w:rsid w:val="002B2FFD"/>
    <w:rsid w:val="002B38A4"/>
    <w:rsid w:val="002B396B"/>
    <w:rsid w:val="002B3E8B"/>
    <w:rsid w:val="002B448A"/>
    <w:rsid w:val="002B47BC"/>
    <w:rsid w:val="002B4901"/>
    <w:rsid w:val="002B4C84"/>
    <w:rsid w:val="002B4E99"/>
    <w:rsid w:val="002B53D5"/>
    <w:rsid w:val="002B6A62"/>
    <w:rsid w:val="002B7438"/>
    <w:rsid w:val="002B765E"/>
    <w:rsid w:val="002B7CBB"/>
    <w:rsid w:val="002C0DEA"/>
    <w:rsid w:val="002C0EF6"/>
    <w:rsid w:val="002C1063"/>
    <w:rsid w:val="002C2163"/>
    <w:rsid w:val="002C2534"/>
    <w:rsid w:val="002C29D5"/>
    <w:rsid w:val="002C2AC0"/>
    <w:rsid w:val="002C2B45"/>
    <w:rsid w:val="002C2BF9"/>
    <w:rsid w:val="002C3623"/>
    <w:rsid w:val="002C3C8A"/>
    <w:rsid w:val="002C3F0D"/>
    <w:rsid w:val="002C3F40"/>
    <w:rsid w:val="002C43E8"/>
    <w:rsid w:val="002C4497"/>
    <w:rsid w:val="002C47EC"/>
    <w:rsid w:val="002C4F1D"/>
    <w:rsid w:val="002C52E5"/>
    <w:rsid w:val="002C54FF"/>
    <w:rsid w:val="002C55DF"/>
    <w:rsid w:val="002C57D8"/>
    <w:rsid w:val="002C5A0F"/>
    <w:rsid w:val="002C5E4D"/>
    <w:rsid w:val="002C5FAF"/>
    <w:rsid w:val="002C6295"/>
    <w:rsid w:val="002C6CC3"/>
    <w:rsid w:val="002C7614"/>
    <w:rsid w:val="002C7C8E"/>
    <w:rsid w:val="002D0037"/>
    <w:rsid w:val="002D04F1"/>
    <w:rsid w:val="002D08E5"/>
    <w:rsid w:val="002D1057"/>
    <w:rsid w:val="002D15FC"/>
    <w:rsid w:val="002D17C9"/>
    <w:rsid w:val="002D187F"/>
    <w:rsid w:val="002D2617"/>
    <w:rsid w:val="002D29F1"/>
    <w:rsid w:val="002D2B70"/>
    <w:rsid w:val="002D31C6"/>
    <w:rsid w:val="002D3253"/>
    <w:rsid w:val="002D3319"/>
    <w:rsid w:val="002D35C5"/>
    <w:rsid w:val="002D3735"/>
    <w:rsid w:val="002D437C"/>
    <w:rsid w:val="002D4641"/>
    <w:rsid w:val="002D49C0"/>
    <w:rsid w:val="002D4A7B"/>
    <w:rsid w:val="002D4D18"/>
    <w:rsid w:val="002D4D8E"/>
    <w:rsid w:val="002D4FCA"/>
    <w:rsid w:val="002D53B2"/>
    <w:rsid w:val="002D53DB"/>
    <w:rsid w:val="002D548F"/>
    <w:rsid w:val="002D5543"/>
    <w:rsid w:val="002D5A82"/>
    <w:rsid w:val="002D5C37"/>
    <w:rsid w:val="002D667D"/>
    <w:rsid w:val="002D686D"/>
    <w:rsid w:val="002D68DE"/>
    <w:rsid w:val="002D6E7D"/>
    <w:rsid w:val="002D73B4"/>
    <w:rsid w:val="002D768A"/>
    <w:rsid w:val="002D7B07"/>
    <w:rsid w:val="002D7FC1"/>
    <w:rsid w:val="002E06E0"/>
    <w:rsid w:val="002E0B32"/>
    <w:rsid w:val="002E0E68"/>
    <w:rsid w:val="002E0E9A"/>
    <w:rsid w:val="002E2303"/>
    <w:rsid w:val="002E24A6"/>
    <w:rsid w:val="002E31DA"/>
    <w:rsid w:val="002E32EE"/>
    <w:rsid w:val="002E3493"/>
    <w:rsid w:val="002E3B4C"/>
    <w:rsid w:val="002E43D1"/>
    <w:rsid w:val="002E461D"/>
    <w:rsid w:val="002E47CB"/>
    <w:rsid w:val="002E557B"/>
    <w:rsid w:val="002E55BF"/>
    <w:rsid w:val="002E5F20"/>
    <w:rsid w:val="002E6578"/>
    <w:rsid w:val="002E6747"/>
    <w:rsid w:val="002E685A"/>
    <w:rsid w:val="002E687A"/>
    <w:rsid w:val="002E69C8"/>
    <w:rsid w:val="002E6AB7"/>
    <w:rsid w:val="002E6DF2"/>
    <w:rsid w:val="002E6E57"/>
    <w:rsid w:val="002E7325"/>
    <w:rsid w:val="002E7B5A"/>
    <w:rsid w:val="002E7C1A"/>
    <w:rsid w:val="002F0B1C"/>
    <w:rsid w:val="002F133C"/>
    <w:rsid w:val="002F18C6"/>
    <w:rsid w:val="002F1C55"/>
    <w:rsid w:val="002F207E"/>
    <w:rsid w:val="002F2D1F"/>
    <w:rsid w:val="002F3254"/>
    <w:rsid w:val="002F32CA"/>
    <w:rsid w:val="002F382D"/>
    <w:rsid w:val="002F3B6D"/>
    <w:rsid w:val="002F3D83"/>
    <w:rsid w:val="002F3D98"/>
    <w:rsid w:val="002F3EC0"/>
    <w:rsid w:val="002F4413"/>
    <w:rsid w:val="002F4532"/>
    <w:rsid w:val="002F4808"/>
    <w:rsid w:val="002F5070"/>
    <w:rsid w:val="002F523D"/>
    <w:rsid w:val="002F5405"/>
    <w:rsid w:val="002F5611"/>
    <w:rsid w:val="002F59B0"/>
    <w:rsid w:val="002F5C45"/>
    <w:rsid w:val="002F65D2"/>
    <w:rsid w:val="002F7357"/>
    <w:rsid w:val="002F750F"/>
    <w:rsid w:val="002F7731"/>
    <w:rsid w:val="002F7C59"/>
    <w:rsid w:val="002F7F62"/>
    <w:rsid w:val="003000E6"/>
    <w:rsid w:val="00300161"/>
    <w:rsid w:val="0030026F"/>
    <w:rsid w:val="00300674"/>
    <w:rsid w:val="003009E9"/>
    <w:rsid w:val="00300F2B"/>
    <w:rsid w:val="003012A1"/>
    <w:rsid w:val="003012DB"/>
    <w:rsid w:val="00301376"/>
    <w:rsid w:val="003014B0"/>
    <w:rsid w:val="003017EC"/>
    <w:rsid w:val="00301B1E"/>
    <w:rsid w:val="00301DE4"/>
    <w:rsid w:val="00301E57"/>
    <w:rsid w:val="0030230F"/>
    <w:rsid w:val="003027C4"/>
    <w:rsid w:val="00302DF0"/>
    <w:rsid w:val="00302FE3"/>
    <w:rsid w:val="00303D84"/>
    <w:rsid w:val="00303E07"/>
    <w:rsid w:val="00303F06"/>
    <w:rsid w:val="0030446F"/>
    <w:rsid w:val="00304603"/>
    <w:rsid w:val="00304704"/>
    <w:rsid w:val="00304B60"/>
    <w:rsid w:val="0030577E"/>
    <w:rsid w:val="00305C83"/>
    <w:rsid w:val="0030638F"/>
    <w:rsid w:val="003063A0"/>
    <w:rsid w:val="003068C9"/>
    <w:rsid w:val="00306C12"/>
    <w:rsid w:val="003103D6"/>
    <w:rsid w:val="0031084F"/>
    <w:rsid w:val="00310B67"/>
    <w:rsid w:val="003110F4"/>
    <w:rsid w:val="003111C4"/>
    <w:rsid w:val="003118FB"/>
    <w:rsid w:val="00311DEE"/>
    <w:rsid w:val="00312195"/>
    <w:rsid w:val="003123D9"/>
    <w:rsid w:val="00312CE0"/>
    <w:rsid w:val="00312CFC"/>
    <w:rsid w:val="0031317B"/>
    <w:rsid w:val="003132DC"/>
    <w:rsid w:val="00313428"/>
    <w:rsid w:val="00313581"/>
    <w:rsid w:val="00313D83"/>
    <w:rsid w:val="00314CC2"/>
    <w:rsid w:val="00314D27"/>
    <w:rsid w:val="00314E65"/>
    <w:rsid w:val="003150A1"/>
    <w:rsid w:val="00315170"/>
    <w:rsid w:val="003151BA"/>
    <w:rsid w:val="00315576"/>
    <w:rsid w:val="0031590C"/>
    <w:rsid w:val="00315E10"/>
    <w:rsid w:val="00316044"/>
    <w:rsid w:val="00316605"/>
    <w:rsid w:val="003169E6"/>
    <w:rsid w:val="00316F31"/>
    <w:rsid w:val="003176D9"/>
    <w:rsid w:val="00317774"/>
    <w:rsid w:val="0031779F"/>
    <w:rsid w:val="003179F3"/>
    <w:rsid w:val="0032033E"/>
    <w:rsid w:val="00320557"/>
    <w:rsid w:val="003207A5"/>
    <w:rsid w:val="003212AC"/>
    <w:rsid w:val="003217BF"/>
    <w:rsid w:val="00321AC7"/>
    <w:rsid w:val="00322047"/>
    <w:rsid w:val="00322241"/>
    <w:rsid w:val="003227F5"/>
    <w:rsid w:val="00323023"/>
    <w:rsid w:val="003237BA"/>
    <w:rsid w:val="00323A3A"/>
    <w:rsid w:val="00323BEE"/>
    <w:rsid w:val="00323C69"/>
    <w:rsid w:val="00323E1C"/>
    <w:rsid w:val="00323F73"/>
    <w:rsid w:val="0032430F"/>
    <w:rsid w:val="00324618"/>
    <w:rsid w:val="00324A3E"/>
    <w:rsid w:val="0032505F"/>
    <w:rsid w:val="00325642"/>
    <w:rsid w:val="00325EF6"/>
    <w:rsid w:val="00326284"/>
    <w:rsid w:val="00326538"/>
    <w:rsid w:val="0032654F"/>
    <w:rsid w:val="003267F0"/>
    <w:rsid w:val="00326CB3"/>
    <w:rsid w:val="00326CD9"/>
    <w:rsid w:val="00326D36"/>
    <w:rsid w:val="0032760D"/>
    <w:rsid w:val="003276D3"/>
    <w:rsid w:val="00327C36"/>
    <w:rsid w:val="00327DC0"/>
    <w:rsid w:val="00330310"/>
    <w:rsid w:val="00330472"/>
    <w:rsid w:val="00330DB3"/>
    <w:rsid w:val="0033118C"/>
    <w:rsid w:val="0033148F"/>
    <w:rsid w:val="00331807"/>
    <w:rsid w:val="00331D47"/>
    <w:rsid w:val="00331DFA"/>
    <w:rsid w:val="00331E50"/>
    <w:rsid w:val="00332292"/>
    <w:rsid w:val="00332678"/>
    <w:rsid w:val="0033276D"/>
    <w:rsid w:val="0033281E"/>
    <w:rsid w:val="00332A60"/>
    <w:rsid w:val="003337B9"/>
    <w:rsid w:val="00333803"/>
    <w:rsid w:val="00333B10"/>
    <w:rsid w:val="0033487E"/>
    <w:rsid w:val="00335207"/>
    <w:rsid w:val="00335495"/>
    <w:rsid w:val="003358B8"/>
    <w:rsid w:val="003359AB"/>
    <w:rsid w:val="003363AA"/>
    <w:rsid w:val="0033660D"/>
    <w:rsid w:val="0033667B"/>
    <w:rsid w:val="003366B0"/>
    <w:rsid w:val="003367B0"/>
    <w:rsid w:val="00336876"/>
    <w:rsid w:val="00336A4E"/>
    <w:rsid w:val="00336CF4"/>
    <w:rsid w:val="00337128"/>
    <w:rsid w:val="003373FB"/>
    <w:rsid w:val="003379D4"/>
    <w:rsid w:val="00337B7F"/>
    <w:rsid w:val="00337E79"/>
    <w:rsid w:val="00337FDF"/>
    <w:rsid w:val="00337FFD"/>
    <w:rsid w:val="00340349"/>
    <w:rsid w:val="0034036F"/>
    <w:rsid w:val="003404FB"/>
    <w:rsid w:val="00340967"/>
    <w:rsid w:val="00340ADB"/>
    <w:rsid w:val="00340B16"/>
    <w:rsid w:val="00340CAE"/>
    <w:rsid w:val="0034133F"/>
    <w:rsid w:val="0034200D"/>
    <w:rsid w:val="00342485"/>
    <w:rsid w:val="00342D0B"/>
    <w:rsid w:val="00342F5C"/>
    <w:rsid w:val="0034313D"/>
    <w:rsid w:val="00343681"/>
    <w:rsid w:val="00344006"/>
    <w:rsid w:val="00344311"/>
    <w:rsid w:val="003445E4"/>
    <w:rsid w:val="00344AD2"/>
    <w:rsid w:val="00344CE3"/>
    <w:rsid w:val="0034550A"/>
    <w:rsid w:val="00345E91"/>
    <w:rsid w:val="003467D9"/>
    <w:rsid w:val="00346DD5"/>
    <w:rsid w:val="00347247"/>
    <w:rsid w:val="00347273"/>
    <w:rsid w:val="0034729A"/>
    <w:rsid w:val="003472F4"/>
    <w:rsid w:val="00347E92"/>
    <w:rsid w:val="00350004"/>
    <w:rsid w:val="003501E2"/>
    <w:rsid w:val="00350274"/>
    <w:rsid w:val="0035047E"/>
    <w:rsid w:val="003509E3"/>
    <w:rsid w:val="00350B81"/>
    <w:rsid w:val="00350F3E"/>
    <w:rsid w:val="00350F60"/>
    <w:rsid w:val="003510E8"/>
    <w:rsid w:val="0035162E"/>
    <w:rsid w:val="00351909"/>
    <w:rsid w:val="00351DF2"/>
    <w:rsid w:val="00352676"/>
    <w:rsid w:val="00352E45"/>
    <w:rsid w:val="00353136"/>
    <w:rsid w:val="0035363D"/>
    <w:rsid w:val="00353819"/>
    <w:rsid w:val="00354C1C"/>
    <w:rsid w:val="00355148"/>
    <w:rsid w:val="003552CC"/>
    <w:rsid w:val="003554C3"/>
    <w:rsid w:val="003558C6"/>
    <w:rsid w:val="003561F9"/>
    <w:rsid w:val="00356DAA"/>
    <w:rsid w:val="003571FE"/>
    <w:rsid w:val="003573E1"/>
    <w:rsid w:val="0035786F"/>
    <w:rsid w:val="00357995"/>
    <w:rsid w:val="00357997"/>
    <w:rsid w:val="00357ABB"/>
    <w:rsid w:val="00357CD5"/>
    <w:rsid w:val="003605E8"/>
    <w:rsid w:val="0036088B"/>
    <w:rsid w:val="00360AAC"/>
    <w:rsid w:val="00360CC6"/>
    <w:rsid w:val="0036143B"/>
    <w:rsid w:val="00361852"/>
    <w:rsid w:val="00361BCC"/>
    <w:rsid w:val="00361E90"/>
    <w:rsid w:val="00361FFE"/>
    <w:rsid w:val="0036244B"/>
    <w:rsid w:val="0036244F"/>
    <w:rsid w:val="00362703"/>
    <w:rsid w:val="00362EB4"/>
    <w:rsid w:val="00363015"/>
    <w:rsid w:val="0036341F"/>
    <w:rsid w:val="00363C10"/>
    <w:rsid w:val="00363C75"/>
    <w:rsid w:val="00364148"/>
    <w:rsid w:val="00364264"/>
    <w:rsid w:val="00364376"/>
    <w:rsid w:val="0036532B"/>
    <w:rsid w:val="00365F9E"/>
    <w:rsid w:val="003666B2"/>
    <w:rsid w:val="003667B0"/>
    <w:rsid w:val="0036681F"/>
    <w:rsid w:val="00366ACB"/>
    <w:rsid w:val="00367456"/>
    <w:rsid w:val="00367706"/>
    <w:rsid w:val="003677B3"/>
    <w:rsid w:val="003677D7"/>
    <w:rsid w:val="00367A5A"/>
    <w:rsid w:val="00370B59"/>
    <w:rsid w:val="00370E07"/>
    <w:rsid w:val="003712F6"/>
    <w:rsid w:val="00371365"/>
    <w:rsid w:val="0037145B"/>
    <w:rsid w:val="003717A4"/>
    <w:rsid w:val="00371D53"/>
    <w:rsid w:val="00371E0A"/>
    <w:rsid w:val="00371FBB"/>
    <w:rsid w:val="00373331"/>
    <w:rsid w:val="00373641"/>
    <w:rsid w:val="00373A1F"/>
    <w:rsid w:val="00373D99"/>
    <w:rsid w:val="00374075"/>
    <w:rsid w:val="00375059"/>
    <w:rsid w:val="0037557D"/>
    <w:rsid w:val="0037566F"/>
    <w:rsid w:val="00375B4C"/>
    <w:rsid w:val="00375EDA"/>
    <w:rsid w:val="00376B60"/>
    <w:rsid w:val="00377602"/>
    <w:rsid w:val="00377BE6"/>
    <w:rsid w:val="00377BF9"/>
    <w:rsid w:val="00377DB0"/>
    <w:rsid w:val="00380365"/>
    <w:rsid w:val="00381109"/>
    <w:rsid w:val="0038139A"/>
    <w:rsid w:val="00381736"/>
    <w:rsid w:val="00381871"/>
    <w:rsid w:val="00381C3F"/>
    <w:rsid w:val="00381EC9"/>
    <w:rsid w:val="003826B9"/>
    <w:rsid w:val="003827E9"/>
    <w:rsid w:val="00382B20"/>
    <w:rsid w:val="00383081"/>
    <w:rsid w:val="0038362E"/>
    <w:rsid w:val="003837F4"/>
    <w:rsid w:val="0038385C"/>
    <w:rsid w:val="0038393D"/>
    <w:rsid w:val="00383946"/>
    <w:rsid w:val="00383A3B"/>
    <w:rsid w:val="00383C84"/>
    <w:rsid w:val="00384305"/>
    <w:rsid w:val="0038485D"/>
    <w:rsid w:val="00384868"/>
    <w:rsid w:val="0038514D"/>
    <w:rsid w:val="00385323"/>
    <w:rsid w:val="003857DA"/>
    <w:rsid w:val="003862EB"/>
    <w:rsid w:val="0038669C"/>
    <w:rsid w:val="00386853"/>
    <w:rsid w:val="00386E78"/>
    <w:rsid w:val="00387029"/>
    <w:rsid w:val="003872DD"/>
    <w:rsid w:val="00387991"/>
    <w:rsid w:val="00387D92"/>
    <w:rsid w:val="0039000F"/>
    <w:rsid w:val="0039008F"/>
    <w:rsid w:val="003904BF"/>
    <w:rsid w:val="0039068A"/>
    <w:rsid w:val="00390CE2"/>
    <w:rsid w:val="00391515"/>
    <w:rsid w:val="00391A3F"/>
    <w:rsid w:val="00391C30"/>
    <w:rsid w:val="00391C4F"/>
    <w:rsid w:val="00391E4C"/>
    <w:rsid w:val="003921B7"/>
    <w:rsid w:val="00392266"/>
    <w:rsid w:val="003922B5"/>
    <w:rsid w:val="003928FA"/>
    <w:rsid w:val="003929EF"/>
    <w:rsid w:val="00392B80"/>
    <w:rsid w:val="00392EFD"/>
    <w:rsid w:val="00393AF6"/>
    <w:rsid w:val="00393DBA"/>
    <w:rsid w:val="00394008"/>
    <w:rsid w:val="003940FA"/>
    <w:rsid w:val="003944E1"/>
    <w:rsid w:val="003945C6"/>
    <w:rsid w:val="00394A49"/>
    <w:rsid w:val="00394BEA"/>
    <w:rsid w:val="00394D8F"/>
    <w:rsid w:val="00394DB7"/>
    <w:rsid w:val="00394F31"/>
    <w:rsid w:val="00395034"/>
    <w:rsid w:val="00395618"/>
    <w:rsid w:val="003956B8"/>
    <w:rsid w:val="003956BD"/>
    <w:rsid w:val="003956C4"/>
    <w:rsid w:val="00395A2A"/>
    <w:rsid w:val="00395ED9"/>
    <w:rsid w:val="00396043"/>
    <w:rsid w:val="00396143"/>
    <w:rsid w:val="003961F3"/>
    <w:rsid w:val="00396C96"/>
    <w:rsid w:val="00396E64"/>
    <w:rsid w:val="003972C8"/>
    <w:rsid w:val="00397A05"/>
    <w:rsid w:val="00397B04"/>
    <w:rsid w:val="00397BB1"/>
    <w:rsid w:val="003A01C7"/>
    <w:rsid w:val="003A02E1"/>
    <w:rsid w:val="003A031A"/>
    <w:rsid w:val="003A0398"/>
    <w:rsid w:val="003A05B5"/>
    <w:rsid w:val="003A06B8"/>
    <w:rsid w:val="003A0E6B"/>
    <w:rsid w:val="003A13D0"/>
    <w:rsid w:val="003A1446"/>
    <w:rsid w:val="003A1E71"/>
    <w:rsid w:val="003A1FAC"/>
    <w:rsid w:val="003A2941"/>
    <w:rsid w:val="003A2D51"/>
    <w:rsid w:val="003A2EE9"/>
    <w:rsid w:val="003A2F64"/>
    <w:rsid w:val="003A30A5"/>
    <w:rsid w:val="003A3446"/>
    <w:rsid w:val="003A3453"/>
    <w:rsid w:val="003A3D20"/>
    <w:rsid w:val="003A3FFA"/>
    <w:rsid w:val="003A45B9"/>
    <w:rsid w:val="003A589D"/>
    <w:rsid w:val="003A58EA"/>
    <w:rsid w:val="003A5CD6"/>
    <w:rsid w:val="003A5E49"/>
    <w:rsid w:val="003A65CF"/>
    <w:rsid w:val="003A677F"/>
    <w:rsid w:val="003A6CF7"/>
    <w:rsid w:val="003A6E39"/>
    <w:rsid w:val="003A6F84"/>
    <w:rsid w:val="003A705B"/>
    <w:rsid w:val="003A7CC1"/>
    <w:rsid w:val="003A7F4B"/>
    <w:rsid w:val="003A7FA6"/>
    <w:rsid w:val="003B0153"/>
    <w:rsid w:val="003B048A"/>
    <w:rsid w:val="003B0774"/>
    <w:rsid w:val="003B08F4"/>
    <w:rsid w:val="003B09BB"/>
    <w:rsid w:val="003B0B98"/>
    <w:rsid w:val="003B0C48"/>
    <w:rsid w:val="003B0DF0"/>
    <w:rsid w:val="003B0E25"/>
    <w:rsid w:val="003B17C7"/>
    <w:rsid w:val="003B190B"/>
    <w:rsid w:val="003B1CAB"/>
    <w:rsid w:val="003B3465"/>
    <w:rsid w:val="003B3774"/>
    <w:rsid w:val="003B469F"/>
    <w:rsid w:val="003B4821"/>
    <w:rsid w:val="003B59E3"/>
    <w:rsid w:val="003B6050"/>
    <w:rsid w:val="003B6160"/>
    <w:rsid w:val="003B637B"/>
    <w:rsid w:val="003B639D"/>
    <w:rsid w:val="003B66CC"/>
    <w:rsid w:val="003B6CC9"/>
    <w:rsid w:val="003B747D"/>
    <w:rsid w:val="003B7752"/>
    <w:rsid w:val="003B7CD1"/>
    <w:rsid w:val="003B7D85"/>
    <w:rsid w:val="003C0563"/>
    <w:rsid w:val="003C0B11"/>
    <w:rsid w:val="003C0DF2"/>
    <w:rsid w:val="003C0F6F"/>
    <w:rsid w:val="003C119E"/>
    <w:rsid w:val="003C1352"/>
    <w:rsid w:val="003C181D"/>
    <w:rsid w:val="003C1B2A"/>
    <w:rsid w:val="003C2B83"/>
    <w:rsid w:val="003C3A36"/>
    <w:rsid w:val="003C3F82"/>
    <w:rsid w:val="003C4313"/>
    <w:rsid w:val="003C4932"/>
    <w:rsid w:val="003C4A1E"/>
    <w:rsid w:val="003C4E6B"/>
    <w:rsid w:val="003C4F15"/>
    <w:rsid w:val="003C4FFB"/>
    <w:rsid w:val="003C5582"/>
    <w:rsid w:val="003C56C7"/>
    <w:rsid w:val="003C5B99"/>
    <w:rsid w:val="003C6CAE"/>
    <w:rsid w:val="003C725F"/>
    <w:rsid w:val="003C738F"/>
    <w:rsid w:val="003C7A0D"/>
    <w:rsid w:val="003C7AE5"/>
    <w:rsid w:val="003C7E16"/>
    <w:rsid w:val="003C7FE2"/>
    <w:rsid w:val="003D05A4"/>
    <w:rsid w:val="003D0942"/>
    <w:rsid w:val="003D148A"/>
    <w:rsid w:val="003D16E7"/>
    <w:rsid w:val="003D1789"/>
    <w:rsid w:val="003D181F"/>
    <w:rsid w:val="003D1EAC"/>
    <w:rsid w:val="003D1FBA"/>
    <w:rsid w:val="003D2031"/>
    <w:rsid w:val="003D2246"/>
    <w:rsid w:val="003D2574"/>
    <w:rsid w:val="003D2A6E"/>
    <w:rsid w:val="003D3051"/>
    <w:rsid w:val="003D332C"/>
    <w:rsid w:val="003D382D"/>
    <w:rsid w:val="003D38A3"/>
    <w:rsid w:val="003D3BF5"/>
    <w:rsid w:val="003D4497"/>
    <w:rsid w:val="003D4F65"/>
    <w:rsid w:val="003D519D"/>
    <w:rsid w:val="003D52CC"/>
    <w:rsid w:val="003D5569"/>
    <w:rsid w:val="003D583B"/>
    <w:rsid w:val="003D5F1D"/>
    <w:rsid w:val="003D603A"/>
    <w:rsid w:val="003D63B3"/>
    <w:rsid w:val="003D6737"/>
    <w:rsid w:val="003D6D26"/>
    <w:rsid w:val="003D7254"/>
    <w:rsid w:val="003D773A"/>
    <w:rsid w:val="003D7765"/>
    <w:rsid w:val="003D7945"/>
    <w:rsid w:val="003D7E18"/>
    <w:rsid w:val="003E0877"/>
    <w:rsid w:val="003E08B6"/>
    <w:rsid w:val="003E0B0A"/>
    <w:rsid w:val="003E0DC6"/>
    <w:rsid w:val="003E11C9"/>
    <w:rsid w:val="003E1BB7"/>
    <w:rsid w:val="003E1C2B"/>
    <w:rsid w:val="003E3383"/>
    <w:rsid w:val="003E35B1"/>
    <w:rsid w:val="003E385E"/>
    <w:rsid w:val="003E43B2"/>
    <w:rsid w:val="003E43E6"/>
    <w:rsid w:val="003E4E98"/>
    <w:rsid w:val="003E5429"/>
    <w:rsid w:val="003E54FF"/>
    <w:rsid w:val="003E5953"/>
    <w:rsid w:val="003E5FE1"/>
    <w:rsid w:val="003E5FE8"/>
    <w:rsid w:val="003E6D56"/>
    <w:rsid w:val="003E6E70"/>
    <w:rsid w:val="003E6F05"/>
    <w:rsid w:val="003E711E"/>
    <w:rsid w:val="003E75A1"/>
    <w:rsid w:val="003E75D9"/>
    <w:rsid w:val="003E7831"/>
    <w:rsid w:val="003E7D28"/>
    <w:rsid w:val="003E7DF8"/>
    <w:rsid w:val="003F0693"/>
    <w:rsid w:val="003F0EAC"/>
    <w:rsid w:val="003F0FA7"/>
    <w:rsid w:val="003F19A5"/>
    <w:rsid w:val="003F1DAA"/>
    <w:rsid w:val="003F1DEA"/>
    <w:rsid w:val="003F2064"/>
    <w:rsid w:val="003F2C21"/>
    <w:rsid w:val="003F31D0"/>
    <w:rsid w:val="003F32AB"/>
    <w:rsid w:val="003F3716"/>
    <w:rsid w:val="003F37CE"/>
    <w:rsid w:val="003F39D5"/>
    <w:rsid w:val="003F3D39"/>
    <w:rsid w:val="003F3D9F"/>
    <w:rsid w:val="003F4060"/>
    <w:rsid w:val="003F42EE"/>
    <w:rsid w:val="003F447B"/>
    <w:rsid w:val="003F4515"/>
    <w:rsid w:val="003F465F"/>
    <w:rsid w:val="003F4C3E"/>
    <w:rsid w:val="003F563B"/>
    <w:rsid w:val="003F574E"/>
    <w:rsid w:val="003F5B37"/>
    <w:rsid w:val="003F5F3A"/>
    <w:rsid w:val="003F60F0"/>
    <w:rsid w:val="003F6905"/>
    <w:rsid w:val="003F6CE6"/>
    <w:rsid w:val="003F6F8F"/>
    <w:rsid w:val="003F71CA"/>
    <w:rsid w:val="003F76D8"/>
    <w:rsid w:val="003F78EC"/>
    <w:rsid w:val="003F7923"/>
    <w:rsid w:val="004000EB"/>
    <w:rsid w:val="004001E3"/>
    <w:rsid w:val="00400484"/>
    <w:rsid w:val="0040078E"/>
    <w:rsid w:val="004007F4"/>
    <w:rsid w:val="0040094E"/>
    <w:rsid w:val="00400A0D"/>
    <w:rsid w:val="00400EE7"/>
    <w:rsid w:val="00401027"/>
    <w:rsid w:val="00401251"/>
    <w:rsid w:val="00401659"/>
    <w:rsid w:val="004016C7"/>
    <w:rsid w:val="0040190C"/>
    <w:rsid w:val="0040242D"/>
    <w:rsid w:val="0040244B"/>
    <w:rsid w:val="0040282E"/>
    <w:rsid w:val="00402D0A"/>
    <w:rsid w:val="004030E0"/>
    <w:rsid w:val="00403A45"/>
    <w:rsid w:val="00403A4F"/>
    <w:rsid w:val="004046ED"/>
    <w:rsid w:val="004047EF"/>
    <w:rsid w:val="00404880"/>
    <w:rsid w:val="004048A3"/>
    <w:rsid w:val="00404B4A"/>
    <w:rsid w:val="00405302"/>
    <w:rsid w:val="00405E3F"/>
    <w:rsid w:val="004061C9"/>
    <w:rsid w:val="00406D3B"/>
    <w:rsid w:val="00406EA3"/>
    <w:rsid w:val="004070BF"/>
    <w:rsid w:val="004077BD"/>
    <w:rsid w:val="00407876"/>
    <w:rsid w:val="0040796F"/>
    <w:rsid w:val="00407A54"/>
    <w:rsid w:val="00407A74"/>
    <w:rsid w:val="00407EBF"/>
    <w:rsid w:val="00407F41"/>
    <w:rsid w:val="00410531"/>
    <w:rsid w:val="00410537"/>
    <w:rsid w:val="004107E4"/>
    <w:rsid w:val="00411041"/>
    <w:rsid w:val="00411129"/>
    <w:rsid w:val="0041114B"/>
    <w:rsid w:val="00411CBC"/>
    <w:rsid w:val="00412A59"/>
    <w:rsid w:val="00412FC6"/>
    <w:rsid w:val="00413212"/>
    <w:rsid w:val="00413367"/>
    <w:rsid w:val="00413FB1"/>
    <w:rsid w:val="00414A45"/>
    <w:rsid w:val="00414F95"/>
    <w:rsid w:val="00415CA6"/>
    <w:rsid w:val="00415D75"/>
    <w:rsid w:val="00416394"/>
    <w:rsid w:val="00416837"/>
    <w:rsid w:val="00416C46"/>
    <w:rsid w:val="00416EAE"/>
    <w:rsid w:val="00417323"/>
    <w:rsid w:val="004174B7"/>
    <w:rsid w:val="004176C3"/>
    <w:rsid w:val="00417D55"/>
    <w:rsid w:val="004203A9"/>
    <w:rsid w:val="00420509"/>
    <w:rsid w:val="0042059E"/>
    <w:rsid w:val="00420CAE"/>
    <w:rsid w:val="00420D15"/>
    <w:rsid w:val="00421934"/>
    <w:rsid w:val="004219E0"/>
    <w:rsid w:val="00421D4E"/>
    <w:rsid w:val="00421ED6"/>
    <w:rsid w:val="004220C8"/>
    <w:rsid w:val="0042261D"/>
    <w:rsid w:val="004229B6"/>
    <w:rsid w:val="00422D0F"/>
    <w:rsid w:val="00422DEC"/>
    <w:rsid w:val="00422EA5"/>
    <w:rsid w:val="00423D56"/>
    <w:rsid w:val="0042414B"/>
    <w:rsid w:val="004243DF"/>
    <w:rsid w:val="00424804"/>
    <w:rsid w:val="00424CDD"/>
    <w:rsid w:val="00425997"/>
    <w:rsid w:val="0042686B"/>
    <w:rsid w:val="0042687C"/>
    <w:rsid w:val="00426DB6"/>
    <w:rsid w:val="00426E18"/>
    <w:rsid w:val="00427598"/>
    <w:rsid w:val="00427C44"/>
    <w:rsid w:val="004300BA"/>
    <w:rsid w:val="0043072D"/>
    <w:rsid w:val="004308AD"/>
    <w:rsid w:val="004309E5"/>
    <w:rsid w:val="004309FA"/>
    <w:rsid w:val="00431780"/>
    <w:rsid w:val="004319D8"/>
    <w:rsid w:val="00431AE5"/>
    <w:rsid w:val="00431B3C"/>
    <w:rsid w:val="00432026"/>
    <w:rsid w:val="0043237C"/>
    <w:rsid w:val="004324DE"/>
    <w:rsid w:val="00432C49"/>
    <w:rsid w:val="00432DA0"/>
    <w:rsid w:val="00432DDE"/>
    <w:rsid w:val="00433049"/>
    <w:rsid w:val="00433059"/>
    <w:rsid w:val="004338C4"/>
    <w:rsid w:val="00433EBC"/>
    <w:rsid w:val="00434283"/>
    <w:rsid w:val="004342A3"/>
    <w:rsid w:val="00434601"/>
    <w:rsid w:val="00434F25"/>
    <w:rsid w:val="004350D2"/>
    <w:rsid w:val="00435186"/>
    <w:rsid w:val="00435234"/>
    <w:rsid w:val="004354B5"/>
    <w:rsid w:val="00435C3B"/>
    <w:rsid w:val="00435D2D"/>
    <w:rsid w:val="00436297"/>
    <w:rsid w:val="004362D0"/>
    <w:rsid w:val="00436EF3"/>
    <w:rsid w:val="0043751C"/>
    <w:rsid w:val="00437661"/>
    <w:rsid w:val="00437AEF"/>
    <w:rsid w:val="0044030B"/>
    <w:rsid w:val="004404F1"/>
    <w:rsid w:val="00440DE9"/>
    <w:rsid w:val="004413BE"/>
    <w:rsid w:val="00441698"/>
    <w:rsid w:val="00441BD1"/>
    <w:rsid w:val="00441CE1"/>
    <w:rsid w:val="004423B8"/>
    <w:rsid w:val="00442405"/>
    <w:rsid w:val="004426CF"/>
    <w:rsid w:val="00442EF3"/>
    <w:rsid w:val="004431A0"/>
    <w:rsid w:val="004434D5"/>
    <w:rsid w:val="00443611"/>
    <w:rsid w:val="004444C5"/>
    <w:rsid w:val="004446BE"/>
    <w:rsid w:val="00444A1D"/>
    <w:rsid w:val="00444FA8"/>
    <w:rsid w:val="00445A0D"/>
    <w:rsid w:val="00445D39"/>
    <w:rsid w:val="00446555"/>
    <w:rsid w:val="004466A1"/>
    <w:rsid w:val="00446BBB"/>
    <w:rsid w:val="00446CFE"/>
    <w:rsid w:val="00447112"/>
    <w:rsid w:val="0044750F"/>
    <w:rsid w:val="00447A11"/>
    <w:rsid w:val="00447F4F"/>
    <w:rsid w:val="004500AD"/>
    <w:rsid w:val="004501D4"/>
    <w:rsid w:val="004501FC"/>
    <w:rsid w:val="004506B2"/>
    <w:rsid w:val="00450D30"/>
    <w:rsid w:val="004515D0"/>
    <w:rsid w:val="0045168A"/>
    <w:rsid w:val="0045170F"/>
    <w:rsid w:val="00451797"/>
    <w:rsid w:val="004519A1"/>
    <w:rsid w:val="004519EE"/>
    <w:rsid w:val="00451A64"/>
    <w:rsid w:val="00451F62"/>
    <w:rsid w:val="00452338"/>
    <w:rsid w:val="00452597"/>
    <w:rsid w:val="0045280D"/>
    <w:rsid w:val="00452960"/>
    <w:rsid w:val="00452B8F"/>
    <w:rsid w:val="00452F08"/>
    <w:rsid w:val="00453643"/>
    <w:rsid w:val="00453ACF"/>
    <w:rsid w:val="00455125"/>
    <w:rsid w:val="004551D2"/>
    <w:rsid w:val="004552C8"/>
    <w:rsid w:val="004554C9"/>
    <w:rsid w:val="00455BAE"/>
    <w:rsid w:val="00455FA6"/>
    <w:rsid w:val="00456105"/>
    <w:rsid w:val="00456306"/>
    <w:rsid w:val="004563D1"/>
    <w:rsid w:val="00456B54"/>
    <w:rsid w:val="00456B58"/>
    <w:rsid w:val="00456ECB"/>
    <w:rsid w:val="0045768B"/>
    <w:rsid w:val="00460415"/>
    <w:rsid w:val="00460B48"/>
    <w:rsid w:val="00460F3C"/>
    <w:rsid w:val="0046154B"/>
    <w:rsid w:val="00461C49"/>
    <w:rsid w:val="00461CFE"/>
    <w:rsid w:val="00461D17"/>
    <w:rsid w:val="0046247F"/>
    <w:rsid w:val="004626B7"/>
    <w:rsid w:val="00462FA0"/>
    <w:rsid w:val="00463395"/>
    <w:rsid w:val="00463E51"/>
    <w:rsid w:val="00463FD1"/>
    <w:rsid w:val="004640FC"/>
    <w:rsid w:val="004647ED"/>
    <w:rsid w:val="0046494B"/>
    <w:rsid w:val="00464A0B"/>
    <w:rsid w:val="00464BC1"/>
    <w:rsid w:val="00464DFC"/>
    <w:rsid w:val="004655BA"/>
    <w:rsid w:val="00465A8C"/>
    <w:rsid w:val="00466352"/>
    <w:rsid w:val="004663D9"/>
    <w:rsid w:val="0046669B"/>
    <w:rsid w:val="00466C1F"/>
    <w:rsid w:val="00466DEB"/>
    <w:rsid w:val="0046729A"/>
    <w:rsid w:val="00467ABF"/>
    <w:rsid w:val="0047068B"/>
    <w:rsid w:val="00470BC9"/>
    <w:rsid w:val="00471255"/>
    <w:rsid w:val="004731EB"/>
    <w:rsid w:val="004738C6"/>
    <w:rsid w:val="00473C63"/>
    <w:rsid w:val="00474660"/>
    <w:rsid w:val="00474701"/>
    <w:rsid w:val="00474973"/>
    <w:rsid w:val="00474B3F"/>
    <w:rsid w:val="00474B64"/>
    <w:rsid w:val="00474BAA"/>
    <w:rsid w:val="00475250"/>
    <w:rsid w:val="00475657"/>
    <w:rsid w:val="00475969"/>
    <w:rsid w:val="00476316"/>
    <w:rsid w:val="00476467"/>
    <w:rsid w:val="004764FB"/>
    <w:rsid w:val="00476502"/>
    <w:rsid w:val="0047655E"/>
    <w:rsid w:val="00476667"/>
    <w:rsid w:val="00476B46"/>
    <w:rsid w:val="00476D54"/>
    <w:rsid w:val="00476EB0"/>
    <w:rsid w:val="00477307"/>
    <w:rsid w:val="00477F2E"/>
    <w:rsid w:val="00480CA1"/>
    <w:rsid w:val="00480E63"/>
    <w:rsid w:val="00480E79"/>
    <w:rsid w:val="0048198F"/>
    <w:rsid w:val="0048257F"/>
    <w:rsid w:val="004829CD"/>
    <w:rsid w:val="00482A01"/>
    <w:rsid w:val="00482B55"/>
    <w:rsid w:val="00482DD1"/>
    <w:rsid w:val="00483093"/>
    <w:rsid w:val="0048309F"/>
    <w:rsid w:val="00483299"/>
    <w:rsid w:val="00483BC4"/>
    <w:rsid w:val="004845B4"/>
    <w:rsid w:val="00484D60"/>
    <w:rsid w:val="00485E9B"/>
    <w:rsid w:val="004865DD"/>
    <w:rsid w:val="0048660C"/>
    <w:rsid w:val="00486705"/>
    <w:rsid w:val="00486808"/>
    <w:rsid w:val="00486A00"/>
    <w:rsid w:val="00487160"/>
    <w:rsid w:val="00487A39"/>
    <w:rsid w:val="0049056C"/>
    <w:rsid w:val="00490B22"/>
    <w:rsid w:val="00490F5B"/>
    <w:rsid w:val="0049101E"/>
    <w:rsid w:val="0049114B"/>
    <w:rsid w:val="00491396"/>
    <w:rsid w:val="00491DB4"/>
    <w:rsid w:val="004922C8"/>
    <w:rsid w:val="004924AA"/>
    <w:rsid w:val="004925F6"/>
    <w:rsid w:val="004926EA"/>
    <w:rsid w:val="00492B5C"/>
    <w:rsid w:val="00492C4E"/>
    <w:rsid w:val="004933A5"/>
    <w:rsid w:val="0049378F"/>
    <w:rsid w:val="00494152"/>
    <w:rsid w:val="004941A0"/>
    <w:rsid w:val="00494383"/>
    <w:rsid w:val="004943E4"/>
    <w:rsid w:val="0049468B"/>
    <w:rsid w:val="00494888"/>
    <w:rsid w:val="004949AE"/>
    <w:rsid w:val="00494B2B"/>
    <w:rsid w:val="00494BD1"/>
    <w:rsid w:val="00494E9E"/>
    <w:rsid w:val="00495035"/>
    <w:rsid w:val="00495938"/>
    <w:rsid w:val="00495BCB"/>
    <w:rsid w:val="00496689"/>
    <w:rsid w:val="00496B21"/>
    <w:rsid w:val="00496EB9"/>
    <w:rsid w:val="00497124"/>
    <w:rsid w:val="00497324"/>
    <w:rsid w:val="004978DE"/>
    <w:rsid w:val="00497906"/>
    <w:rsid w:val="00497F4A"/>
    <w:rsid w:val="004A0352"/>
    <w:rsid w:val="004A05FC"/>
    <w:rsid w:val="004A072B"/>
    <w:rsid w:val="004A0955"/>
    <w:rsid w:val="004A0A14"/>
    <w:rsid w:val="004A0AFC"/>
    <w:rsid w:val="004A1049"/>
    <w:rsid w:val="004A1597"/>
    <w:rsid w:val="004A1A41"/>
    <w:rsid w:val="004A1DEF"/>
    <w:rsid w:val="004A2120"/>
    <w:rsid w:val="004A2249"/>
    <w:rsid w:val="004A22F0"/>
    <w:rsid w:val="004A2683"/>
    <w:rsid w:val="004A288B"/>
    <w:rsid w:val="004A3776"/>
    <w:rsid w:val="004A394C"/>
    <w:rsid w:val="004A3A7F"/>
    <w:rsid w:val="004A3DC9"/>
    <w:rsid w:val="004A4278"/>
    <w:rsid w:val="004A48AF"/>
    <w:rsid w:val="004A4BC8"/>
    <w:rsid w:val="004A50B3"/>
    <w:rsid w:val="004A5E30"/>
    <w:rsid w:val="004A6349"/>
    <w:rsid w:val="004A66C0"/>
    <w:rsid w:val="004A6EDE"/>
    <w:rsid w:val="004A7A90"/>
    <w:rsid w:val="004A7CE2"/>
    <w:rsid w:val="004B12C6"/>
    <w:rsid w:val="004B1305"/>
    <w:rsid w:val="004B1859"/>
    <w:rsid w:val="004B19F5"/>
    <w:rsid w:val="004B1A97"/>
    <w:rsid w:val="004B1E80"/>
    <w:rsid w:val="004B1ED5"/>
    <w:rsid w:val="004B1FBC"/>
    <w:rsid w:val="004B2C95"/>
    <w:rsid w:val="004B320F"/>
    <w:rsid w:val="004B329B"/>
    <w:rsid w:val="004B38D5"/>
    <w:rsid w:val="004B3C17"/>
    <w:rsid w:val="004B401A"/>
    <w:rsid w:val="004B4237"/>
    <w:rsid w:val="004B42ED"/>
    <w:rsid w:val="004B4498"/>
    <w:rsid w:val="004B4B8A"/>
    <w:rsid w:val="004B4BBE"/>
    <w:rsid w:val="004B4F9B"/>
    <w:rsid w:val="004B5016"/>
    <w:rsid w:val="004B524B"/>
    <w:rsid w:val="004B5696"/>
    <w:rsid w:val="004B59C1"/>
    <w:rsid w:val="004B60F4"/>
    <w:rsid w:val="004B666E"/>
    <w:rsid w:val="004B6F50"/>
    <w:rsid w:val="004B7298"/>
    <w:rsid w:val="004B7320"/>
    <w:rsid w:val="004B7421"/>
    <w:rsid w:val="004B74AA"/>
    <w:rsid w:val="004B75EB"/>
    <w:rsid w:val="004B7626"/>
    <w:rsid w:val="004C010F"/>
    <w:rsid w:val="004C02F5"/>
    <w:rsid w:val="004C04CE"/>
    <w:rsid w:val="004C05F5"/>
    <w:rsid w:val="004C065B"/>
    <w:rsid w:val="004C083E"/>
    <w:rsid w:val="004C0B0F"/>
    <w:rsid w:val="004C0DEC"/>
    <w:rsid w:val="004C0F63"/>
    <w:rsid w:val="004C1188"/>
    <w:rsid w:val="004C1368"/>
    <w:rsid w:val="004C216A"/>
    <w:rsid w:val="004C2871"/>
    <w:rsid w:val="004C2B13"/>
    <w:rsid w:val="004C2BF4"/>
    <w:rsid w:val="004C2D29"/>
    <w:rsid w:val="004C2E4C"/>
    <w:rsid w:val="004C2EB7"/>
    <w:rsid w:val="004C3178"/>
    <w:rsid w:val="004C33F9"/>
    <w:rsid w:val="004C3BD5"/>
    <w:rsid w:val="004C3CA9"/>
    <w:rsid w:val="004C405B"/>
    <w:rsid w:val="004C425C"/>
    <w:rsid w:val="004C42F7"/>
    <w:rsid w:val="004C4506"/>
    <w:rsid w:val="004C493D"/>
    <w:rsid w:val="004C5055"/>
    <w:rsid w:val="004C505F"/>
    <w:rsid w:val="004C51A4"/>
    <w:rsid w:val="004C54C1"/>
    <w:rsid w:val="004C5A61"/>
    <w:rsid w:val="004C5B70"/>
    <w:rsid w:val="004C5EF2"/>
    <w:rsid w:val="004C61B4"/>
    <w:rsid w:val="004C62CC"/>
    <w:rsid w:val="004C6979"/>
    <w:rsid w:val="004C6DAC"/>
    <w:rsid w:val="004C7093"/>
    <w:rsid w:val="004C724E"/>
    <w:rsid w:val="004C7962"/>
    <w:rsid w:val="004C7E75"/>
    <w:rsid w:val="004D01E6"/>
    <w:rsid w:val="004D031B"/>
    <w:rsid w:val="004D0A41"/>
    <w:rsid w:val="004D0D62"/>
    <w:rsid w:val="004D0F3B"/>
    <w:rsid w:val="004D14C5"/>
    <w:rsid w:val="004D14E0"/>
    <w:rsid w:val="004D161A"/>
    <w:rsid w:val="004D1682"/>
    <w:rsid w:val="004D16AE"/>
    <w:rsid w:val="004D2902"/>
    <w:rsid w:val="004D2E11"/>
    <w:rsid w:val="004D38A6"/>
    <w:rsid w:val="004D393E"/>
    <w:rsid w:val="004D4A31"/>
    <w:rsid w:val="004D4BC4"/>
    <w:rsid w:val="004D4E01"/>
    <w:rsid w:val="004D52F1"/>
    <w:rsid w:val="004D53F9"/>
    <w:rsid w:val="004D58FA"/>
    <w:rsid w:val="004D59E6"/>
    <w:rsid w:val="004D647D"/>
    <w:rsid w:val="004D673D"/>
    <w:rsid w:val="004D6AC2"/>
    <w:rsid w:val="004D6C9B"/>
    <w:rsid w:val="004D6D90"/>
    <w:rsid w:val="004D71CE"/>
    <w:rsid w:val="004D7438"/>
    <w:rsid w:val="004D7982"/>
    <w:rsid w:val="004E0619"/>
    <w:rsid w:val="004E0D47"/>
    <w:rsid w:val="004E1495"/>
    <w:rsid w:val="004E1D20"/>
    <w:rsid w:val="004E1E7A"/>
    <w:rsid w:val="004E2018"/>
    <w:rsid w:val="004E2ADD"/>
    <w:rsid w:val="004E2C61"/>
    <w:rsid w:val="004E2E10"/>
    <w:rsid w:val="004E3069"/>
    <w:rsid w:val="004E3157"/>
    <w:rsid w:val="004E3365"/>
    <w:rsid w:val="004E3DED"/>
    <w:rsid w:val="004E437A"/>
    <w:rsid w:val="004E4CEC"/>
    <w:rsid w:val="004E4EBB"/>
    <w:rsid w:val="004E4EBF"/>
    <w:rsid w:val="004E6AD4"/>
    <w:rsid w:val="004E6CEC"/>
    <w:rsid w:val="004E718C"/>
    <w:rsid w:val="004E76C2"/>
    <w:rsid w:val="004E7825"/>
    <w:rsid w:val="004E7B69"/>
    <w:rsid w:val="004F00DF"/>
    <w:rsid w:val="004F01F4"/>
    <w:rsid w:val="004F06F4"/>
    <w:rsid w:val="004F1489"/>
    <w:rsid w:val="004F1597"/>
    <w:rsid w:val="004F1785"/>
    <w:rsid w:val="004F1A54"/>
    <w:rsid w:val="004F1A73"/>
    <w:rsid w:val="004F1BC4"/>
    <w:rsid w:val="004F1C48"/>
    <w:rsid w:val="004F2286"/>
    <w:rsid w:val="004F2521"/>
    <w:rsid w:val="004F2527"/>
    <w:rsid w:val="004F259D"/>
    <w:rsid w:val="004F2768"/>
    <w:rsid w:val="004F2D55"/>
    <w:rsid w:val="004F316B"/>
    <w:rsid w:val="004F36D6"/>
    <w:rsid w:val="004F3BA2"/>
    <w:rsid w:val="004F3E30"/>
    <w:rsid w:val="004F3F1B"/>
    <w:rsid w:val="004F44B0"/>
    <w:rsid w:val="004F4541"/>
    <w:rsid w:val="004F4956"/>
    <w:rsid w:val="004F4D34"/>
    <w:rsid w:val="004F595B"/>
    <w:rsid w:val="004F5A04"/>
    <w:rsid w:val="004F5F6E"/>
    <w:rsid w:val="004F624D"/>
    <w:rsid w:val="004F62C2"/>
    <w:rsid w:val="004F6664"/>
    <w:rsid w:val="004F667D"/>
    <w:rsid w:val="004F6D17"/>
    <w:rsid w:val="004F6D98"/>
    <w:rsid w:val="004F71D6"/>
    <w:rsid w:val="004F7CD1"/>
    <w:rsid w:val="004F7E49"/>
    <w:rsid w:val="00500003"/>
    <w:rsid w:val="0050054A"/>
    <w:rsid w:val="00500884"/>
    <w:rsid w:val="005008D1"/>
    <w:rsid w:val="00500A5A"/>
    <w:rsid w:val="005015AB"/>
    <w:rsid w:val="00501FB0"/>
    <w:rsid w:val="0050299C"/>
    <w:rsid w:val="00502EDB"/>
    <w:rsid w:val="00503484"/>
    <w:rsid w:val="00503831"/>
    <w:rsid w:val="00504072"/>
    <w:rsid w:val="00504600"/>
    <w:rsid w:val="00505B62"/>
    <w:rsid w:val="00505CD6"/>
    <w:rsid w:val="00506019"/>
    <w:rsid w:val="005063CE"/>
    <w:rsid w:val="005063DF"/>
    <w:rsid w:val="005067AF"/>
    <w:rsid w:val="005068BE"/>
    <w:rsid w:val="00506933"/>
    <w:rsid w:val="0050729E"/>
    <w:rsid w:val="00507927"/>
    <w:rsid w:val="00507959"/>
    <w:rsid w:val="00507B10"/>
    <w:rsid w:val="00507C9D"/>
    <w:rsid w:val="0051052A"/>
    <w:rsid w:val="00510612"/>
    <w:rsid w:val="00510711"/>
    <w:rsid w:val="00510AD7"/>
    <w:rsid w:val="00510FE4"/>
    <w:rsid w:val="00511BCE"/>
    <w:rsid w:val="005122BB"/>
    <w:rsid w:val="0051272C"/>
    <w:rsid w:val="005130C0"/>
    <w:rsid w:val="00513140"/>
    <w:rsid w:val="005139F4"/>
    <w:rsid w:val="00514CC3"/>
    <w:rsid w:val="00514EF4"/>
    <w:rsid w:val="00515836"/>
    <w:rsid w:val="00515921"/>
    <w:rsid w:val="00515D0E"/>
    <w:rsid w:val="00515DCC"/>
    <w:rsid w:val="00515E85"/>
    <w:rsid w:val="00516087"/>
    <w:rsid w:val="005163B1"/>
    <w:rsid w:val="00517362"/>
    <w:rsid w:val="005175E3"/>
    <w:rsid w:val="005200FB"/>
    <w:rsid w:val="005201DB"/>
    <w:rsid w:val="00520964"/>
    <w:rsid w:val="00520CBD"/>
    <w:rsid w:val="00520E1B"/>
    <w:rsid w:val="005217B3"/>
    <w:rsid w:val="005219E7"/>
    <w:rsid w:val="00521A22"/>
    <w:rsid w:val="00521C1C"/>
    <w:rsid w:val="00521FC0"/>
    <w:rsid w:val="005221BF"/>
    <w:rsid w:val="00522829"/>
    <w:rsid w:val="0052298A"/>
    <w:rsid w:val="00522C17"/>
    <w:rsid w:val="00523A53"/>
    <w:rsid w:val="00523C63"/>
    <w:rsid w:val="0052459D"/>
    <w:rsid w:val="0052469A"/>
    <w:rsid w:val="005249C1"/>
    <w:rsid w:val="00524C49"/>
    <w:rsid w:val="00525AC2"/>
    <w:rsid w:val="00525CF4"/>
    <w:rsid w:val="00526760"/>
    <w:rsid w:val="0052687A"/>
    <w:rsid w:val="00526BB6"/>
    <w:rsid w:val="00526E02"/>
    <w:rsid w:val="0052744F"/>
    <w:rsid w:val="00527888"/>
    <w:rsid w:val="005278CD"/>
    <w:rsid w:val="00527D96"/>
    <w:rsid w:val="00527EB9"/>
    <w:rsid w:val="00530616"/>
    <w:rsid w:val="0053085D"/>
    <w:rsid w:val="005309D3"/>
    <w:rsid w:val="00530DFD"/>
    <w:rsid w:val="00530E23"/>
    <w:rsid w:val="00530F2E"/>
    <w:rsid w:val="005314DD"/>
    <w:rsid w:val="00531575"/>
    <w:rsid w:val="00531928"/>
    <w:rsid w:val="00531C1D"/>
    <w:rsid w:val="00531F94"/>
    <w:rsid w:val="0053264A"/>
    <w:rsid w:val="00532B61"/>
    <w:rsid w:val="005331E7"/>
    <w:rsid w:val="005332A3"/>
    <w:rsid w:val="005338E4"/>
    <w:rsid w:val="0053398B"/>
    <w:rsid w:val="00533C81"/>
    <w:rsid w:val="0053477B"/>
    <w:rsid w:val="00534819"/>
    <w:rsid w:val="00534957"/>
    <w:rsid w:val="00534A74"/>
    <w:rsid w:val="00534D11"/>
    <w:rsid w:val="00535156"/>
    <w:rsid w:val="005351BC"/>
    <w:rsid w:val="005352EE"/>
    <w:rsid w:val="00535373"/>
    <w:rsid w:val="005360C6"/>
    <w:rsid w:val="005362D8"/>
    <w:rsid w:val="00536664"/>
    <w:rsid w:val="005366AB"/>
    <w:rsid w:val="00536FD1"/>
    <w:rsid w:val="00536FFC"/>
    <w:rsid w:val="005371F0"/>
    <w:rsid w:val="00537F86"/>
    <w:rsid w:val="005406F3"/>
    <w:rsid w:val="00540E17"/>
    <w:rsid w:val="00540EF9"/>
    <w:rsid w:val="00541203"/>
    <w:rsid w:val="0054162B"/>
    <w:rsid w:val="0054192D"/>
    <w:rsid w:val="00541DFC"/>
    <w:rsid w:val="00542090"/>
    <w:rsid w:val="0054266E"/>
    <w:rsid w:val="005428F1"/>
    <w:rsid w:val="00542920"/>
    <w:rsid w:val="00542EB2"/>
    <w:rsid w:val="00543802"/>
    <w:rsid w:val="00544182"/>
    <w:rsid w:val="005445A6"/>
    <w:rsid w:val="005446BE"/>
    <w:rsid w:val="00545269"/>
    <w:rsid w:val="00545398"/>
    <w:rsid w:val="00545BFD"/>
    <w:rsid w:val="00545DA2"/>
    <w:rsid w:val="00545F71"/>
    <w:rsid w:val="00546596"/>
    <w:rsid w:val="00546EBE"/>
    <w:rsid w:val="00547ABA"/>
    <w:rsid w:val="00547C50"/>
    <w:rsid w:val="005500B2"/>
    <w:rsid w:val="005505E4"/>
    <w:rsid w:val="00550891"/>
    <w:rsid w:val="00550BB4"/>
    <w:rsid w:val="005514E4"/>
    <w:rsid w:val="005518E8"/>
    <w:rsid w:val="00551C13"/>
    <w:rsid w:val="0055203D"/>
    <w:rsid w:val="00552157"/>
    <w:rsid w:val="00553196"/>
    <w:rsid w:val="00553745"/>
    <w:rsid w:val="00553F72"/>
    <w:rsid w:val="005546BC"/>
    <w:rsid w:val="00554985"/>
    <w:rsid w:val="00554BB9"/>
    <w:rsid w:val="00554D61"/>
    <w:rsid w:val="005550A6"/>
    <w:rsid w:val="00555306"/>
    <w:rsid w:val="0055563A"/>
    <w:rsid w:val="00555B99"/>
    <w:rsid w:val="005563D1"/>
    <w:rsid w:val="005563D8"/>
    <w:rsid w:val="00556570"/>
    <w:rsid w:val="00556720"/>
    <w:rsid w:val="0055681C"/>
    <w:rsid w:val="00557253"/>
    <w:rsid w:val="005577FC"/>
    <w:rsid w:val="00560A0C"/>
    <w:rsid w:val="00560A7F"/>
    <w:rsid w:val="00561279"/>
    <w:rsid w:val="00561482"/>
    <w:rsid w:val="00561E01"/>
    <w:rsid w:val="0056233C"/>
    <w:rsid w:val="00562509"/>
    <w:rsid w:val="00562F64"/>
    <w:rsid w:val="00564272"/>
    <w:rsid w:val="0056483C"/>
    <w:rsid w:val="0056488B"/>
    <w:rsid w:val="005648B5"/>
    <w:rsid w:val="00564974"/>
    <w:rsid w:val="00565B81"/>
    <w:rsid w:val="00566027"/>
    <w:rsid w:val="0056635B"/>
    <w:rsid w:val="00566418"/>
    <w:rsid w:val="0056643D"/>
    <w:rsid w:val="0056691E"/>
    <w:rsid w:val="005670B8"/>
    <w:rsid w:val="0056732B"/>
    <w:rsid w:val="0056793A"/>
    <w:rsid w:val="00567BCA"/>
    <w:rsid w:val="00567C30"/>
    <w:rsid w:val="00570421"/>
    <w:rsid w:val="00570796"/>
    <w:rsid w:val="00570BC3"/>
    <w:rsid w:val="00570D51"/>
    <w:rsid w:val="00570E02"/>
    <w:rsid w:val="005729F1"/>
    <w:rsid w:val="00572B81"/>
    <w:rsid w:val="00572D46"/>
    <w:rsid w:val="005730BE"/>
    <w:rsid w:val="0057360E"/>
    <w:rsid w:val="00573758"/>
    <w:rsid w:val="00573A5E"/>
    <w:rsid w:val="00573B79"/>
    <w:rsid w:val="00573CB8"/>
    <w:rsid w:val="00574153"/>
    <w:rsid w:val="005741FD"/>
    <w:rsid w:val="005746B1"/>
    <w:rsid w:val="005747A7"/>
    <w:rsid w:val="00574D85"/>
    <w:rsid w:val="00574DE7"/>
    <w:rsid w:val="00575DDE"/>
    <w:rsid w:val="00575F3B"/>
    <w:rsid w:val="005765FA"/>
    <w:rsid w:val="00576AD4"/>
    <w:rsid w:val="00576C9F"/>
    <w:rsid w:val="00576F22"/>
    <w:rsid w:val="005771B7"/>
    <w:rsid w:val="005775D1"/>
    <w:rsid w:val="00577C05"/>
    <w:rsid w:val="0058004F"/>
    <w:rsid w:val="005805BB"/>
    <w:rsid w:val="005809FD"/>
    <w:rsid w:val="00580D25"/>
    <w:rsid w:val="00580D82"/>
    <w:rsid w:val="00580FB8"/>
    <w:rsid w:val="005811B8"/>
    <w:rsid w:val="005813A5"/>
    <w:rsid w:val="005817BC"/>
    <w:rsid w:val="005822DE"/>
    <w:rsid w:val="005823E4"/>
    <w:rsid w:val="0058283D"/>
    <w:rsid w:val="005829B6"/>
    <w:rsid w:val="00582C6E"/>
    <w:rsid w:val="005833E4"/>
    <w:rsid w:val="00583743"/>
    <w:rsid w:val="005837F0"/>
    <w:rsid w:val="0058391B"/>
    <w:rsid w:val="00583AFB"/>
    <w:rsid w:val="00583ED5"/>
    <w:rsid w:val="0058434A"/>
    <w:rsid w:val="00584731"/>
    <w:rsid w:val="0058482F"/>
    <w:rsid w:val="00584A6D"/>
    <w:rsid w:val="00584CE6"/>
    <w:rsid w:val="005851F0"/>
    <w:rsid w:val="00585661"/>
    <w:rsid w:val="00585897"/>
    <w:rsid w:val="00585B47"/>
    <w:rsid w:val="00585DB9"/>
    <w:rsid w:val="00586357"/>
    <w:rsid w:val="00586D27"/>
    <w:rsid w:val="00586D74"/>
    <w:rsid w:val="0058747B"/>
    <w:rsid w:val="005879B5"/>
    <w:rsid w:val="00587AC7"/>
    <w:rsid w:val="00590988"/>
    <w:rsid w:val="00590D7D"/>
    <w:rsid w:val="00591895"/>
    <w:rsid w:val="00591B3B"/>
    <w:rsid w:val="00591C72"/>
    <w:rsid w:val="00591C75"/>
    <w:rsid w:val="00591E8F"/>
    <w:rsid w:val="005920CC"/>
    <w:rsid w:val="0059225B"/>
    <w:rsid w:val="005923CC"/>
    <w:rsid w:val="00592950"/>
    <w:rsid w:val="00592B06"/>
    <w:rsid w:val="00592EED"/>
    <w:rsid w:val="0059357B"/>
    <w:rsid w:val="005935E2"/>
    <w:rsid w:val="00593872"/>
    <w:rsid w:val="00593A00"/>
    <w:rsid w:val="00593B90"/>
    <w:rsid w:val="00593FBF"/>
    <w:rsid w:val="0059486A"/>
    <w:rsid w:val="00594F60"/>
    <w:rsid w:val="005951DF"/>
    <w:rsid w:val="005955CD"/>
    <w:rsid w:val="00595A55"/>
    <w:rsid w:val="00595C2F"/>
    <w:rsid w:val="00596791"/>
    <w:rsid w:val="00596A0C"/>
    <w:rsid w:val="005A08A0"/>
    <w:rsid w:val="005A08BE"/>
    <w:rsid w:val="005A122E"/>
    <w:rsid w:val="005A1558"/>
    <w:rsid w:val="005A189D"/>
    <w:rsid w:val="005A19F4"/>
    <w:rsid w:val="005A29FF"/>
    <w:rsid w:val="005A2D72"/>
    <w:rsid w:val="005A34E0"/>
    <w:rsid w:val="005A4174"/>
    <w:rsid w:val="005A4250"/>
    <w:rsid w:val="005A4569"/>
    <w:rsid w:val="005A498A"/>
    <w:rsid w:val="005A4A4E"/>
    <w:rsid w:val="005A4ACD"/>
    <w:rsid w:val="005A4C59"/>
    <w:rsid w:val="005A50CE"/>
    <w:rsid w:val="005A5126"/>
    <w:rsid w:val="005A5492"/>
    <w:rsid w:val="005A6478"/>
    <w:rsid w:val="005A6557"/>
    <w:rsid w:val="005A6F3E"/>
    <w:rsid w:val="005A7A3F"/>
    <w:rsid w:val="005A7C2B"/>
    <w:rsid w:val="005A7DEE"/>
    <w:rsid w:val="005B0011"/>
    <w:rsid w:val="005B05EC"/>
    <w:rsid w:val="005B06B5"/>
    <w:rsid w:val="005B0800"/>
    <w:rsid w:val="005B0899"/>
    <w:rsid w:val="005B0BF5"/>
    <w:rsid w:val="005B0E7A"/>
    <w:rsid w:val="005B12B3"/>
    <w:rsid w:val="005B1598"/>
    <w:rsid w:val="005B182E"/>
    <w:rsid w:val="005B18B3"/>
    <w:rsid w:val="005B19FC"/>
    <w:rsid w:val="005B216C"/>
    <w:rsid w:val="005B2186"/>
    <w:rsid w:val="005B2711"/>
    <w:rsid w:val="005B292F"/>
    <w:rsid w:val="005B2B75"/>
    <w:rsid w:val="005B2E59"/>
    <w:rsid w:val="005B326E"/>
    <w:rsid w:val="005B3C4B"/>
    <w:rsid w:val="005B3DD0"/>
    <w:rsid w:val="005B42CC"/>
    <w:rsid w:val="005B48B4"/>
    <w:rsid w:val="005B4CBC"/>
    <w:rsid w:val="005B4D62"/>
    <w:rsid w:val="005B62B7"/>
    <w:rsid w:val="005B669F"/>
    <w:rsid w:val="005B66B4"/>
    <w:rsid w:val="005B6AC7"/>
    <w:rsid w:val="005B6ADF"/>
    <w:rsid w:val="005B6FDA"/>
    <w:rsid w:val="005B6FF5"/>
    <w:rsid w:val="005B6FF6"/>
    <w:rsid w:val="005B7109"/>
    <w:rsid w:val="005B75EE"/>
    <w:rsid w:val="005B76EC"/>
    <w:rsid w:val="005B7852"/>
    <w:rsid w:val="005B7B1F"/>
    <w:rsid w:val="005C0136"/>
    <w:rsid w:val="005C027D"/>
    <w:rsid w:val="005C06FB"/>
    <w:rsid w:val="005C0940"/>
    <w:rsid w:val="005C0BFC"/>
    <w:rsid w:val="005C13BE"/>
    <w:rsid w:val="005C16B0"/>
    <w:rsid w:val="005C2205"/>
    <w:rsid w:val="005C2485"/>
    <w:rsid w:val="005C30D4"/>
    <w:rsid w:val="005C3416"/>
    <w:rsid w:val="005C351C"/>
    <w:rsid w:val="005C3955"/>
    <w:rsid w:val="005C3E66"/>
    <w:rsid w:val="005C4167"/>
    <w:rsid w:val="005C4227"/>
    <w:rsid w:val="005C43CE"/>
    <w:rsid w:val="005C4968"/>
    <w:rsid w:val="005C49F6"/>
    <w:rsid w:val="005C59DA"/>
    <w:rsid w:val="005C5B20"/>
    <w:rsid w:val="005C6021"/>
    <w:rsid w:val="005C6264"/>
    <w:rsid w:val="005C66F1"/>
    <w:rsid w:val="005C700A"/>
    <w:rsid w:val="005C709F"/>
    <w:rsid w:val="005C7968"/>
    <w:rsid w:val="005D034A"/>
    <w:rsid w:val="005D036A"/>
    <w:rsid w:val="005D0373"/>
    <w:rsid w:val="005D0E25"/>
    <w:rsid w:val="005D0F10"/>
    <w:rsid w:val="005D0FFA"/>
    <w:rsid w:val="005D178C"/>
    <w:rsid w:val="005D1CAB"/>
    <w:rsid w:val="005D2124"/>
    <w:rsid w:val="005D2206"/>
    <w:rsid w:val="005D2ABC"/>
    <w:rsid w:val="005D321C"/>
    <w:rsid w:val="005D3328"/>
    <w:rsid w:val="005D358F"/>
    <w:rsid w:val="005D365F"/>
    <w:rsid w:val="005D3A34"/>
    <w:rsid w:val="005D3A45"/>
    <w:rsid w:val="005D3C71"/>
    <w:rsid w:val="005D3F35"/>
    <w:rsid w:val="005D44D9"/>
    <w:rsid w:val="005D4741"/>
    <w:rsid w:val="005D489B"/>
    <w:rsid w:val="005D4CDC"/>
    <w:rsid w:val="005D5478"/>
    <w:rsid w:val="005D5DAA"/>
    <w:rsid w:val="005D6111"/>
    <w:rsid w:val="005D63B8"/>
    <w:rsid w:val="005D6429"/>
    <w:rsid w:val="005D64A7"/>
    <w:rsid w:val="005D693A"/>
    <w:rsid w:val="005D69EC"/>
    <w:rsid w:val="005D6B08"/>
    <w:rsid w:val="005D727C"/>
    <w:rsid w:val="005D72DF"/>
    <w:rsid w:val="005D76EC"/>
    <w:rsid w:val="005D780C"/>
    <w:rsid w:val="005D7DA5"/>
    <w:rsid w:val="005D7EF1"/>
    <w:rsid w:val="005D7FF3"/>
    <w:rsid w:val="005E0288"/>
    <w:rsid w:val="005E066B"/>
    <w:rsid w:val="005E06AB"/>
    <w:rsid w:val="005E0778"/>
    <w:rsid w:val="005E09CE"/>
    <w:rsid w:val="005E0BF1"/>
    <w:rsid w:val="005E0D8A"/>
    <w:rsid w:val="005E0EDD"/>
    <w:rsid w:val="005E1045"/>
    <w:rsid w:val="005E1049"/>
    <w:rsid w:val="005E11A0"/>
    <w:rsid w:val="005E127E"/>
    <w:rsid w:val="005E12CC"/>
    <w:rsid w:val="005E14A8"/>
    <w:rsid w:val="005E14CD"/>
    <w:rsid w:val="005E158F"/>
    <w:rsid w:val="005E1BFC"/>
    <w:rsid w:val="005E1D56"/>
    <w:rsid w:val="005E1D62"/>
    <w:rsid w:val="005E1EA4"/>
    <w:rsid w:val="005E1EC2"/>
    <w:rsid w:val="005E20E3"/>
    <w:rsid w:val="005E20FA"/>
    <w:rsid w:val="005E23A7"/>
    <w:rsid w:val="005E267F"/>
    <w:rsid w:val="005E2B39"/>
    <w:rsid w:val="005E2BBF"/>
    <w:rsid w:val="005E3240"/>
    <w:rsid w:val="005E327C"/>
    <w:rsid w:val="005E342A"/>
    <w:rsid w:val="005E3751"/>
    <w:rsid w:val="005E3B57"/>
    <w:rsid w:val="005E3F1D"/>
    <w:rsid w:val="005E3FFA"/>
    <w:rsid w:val="005E41A7"/>
    <w:rsid w:val="005E45A4"/>
    <w:rsid w:val="005E4625"/>
    <w:rsid w:val="005E48DE"/>
    <w:rsid w:val="005E4E29"/>
    <w:rsid w:val="005E4E63"/>
    <w:rsid w:val="005E4ECC"/>
    <w:rsid w:val="005E4F16"/>
    <w:rsid w:val="005E500D"/>
    <w:rsid w:val="005E5174"/>
    <w:rsid w:val="005E5A1A"/>
    <w:rsid w:val="005E6001"/>
    <w:rsid w:val="005E6164"/>
    <w:rsid w:val="005E637F"/>
    <w:rsid w:val="005E664F"/>
    <w:rsid w:val="005E674D"/>
    <w:rsid w:val="005E6C6D"/>
    <w:rsid w:val="005E70AD"/>
    <w:rsid w:val="005E73FA"/>
    <w:rsid w:val="005E7512"/>
    <w:rsid w:val="005E76A5"/>
    <w:rsid w:val="005F00F9"/>
    <w:rsid w:val="005F0887"/>
    <w:rsid w:val="005F0DDE"/>
    <w:rsid w:val="005F14EA"/>
    <w:rsid w:val="005F14FD"/>
    <w:rsid w:val="005F1665"/>
    <w:rsid w:val="005F17D4"/>
    <w:rsid w:val="005F1CF3"/>
    <w:rsid w:val="005F1FF0"/>
    <w:rsid w:val="005F24CB"/>
    <w:rsid w:val="005F3201"/>
    <w:rsid w:val="005F3294"/>
    <w:rsid w:val="005F36E7"/>
    <w:rsid w:val="005F3A32"/>
    <w:rsid w:val="005F3D1E"/>
    <w:rsid w:val="005F3D92"/>
    <w:rsid w:val="005F3DBB"/>
    <w:rsid w:val="005F3DC3"/>
    <w:rsid w:val="005F3FE8"/>
    <w:rsid w:val="005F46E5"/>
    <w:rsid w:val="005F4709"/>
    <w:rsid w:val="005F4C34"/>
    <w:rsid w:val="005F4CBB"/>
    <w:rsid w:val="005F4F42"/>
    <w:rsid w:val="005F507E"/>
    <w:rsid w:val="005F56C7"/>
    <w:rsid w:val="005F5BCB"/>
    <w:rsid w:val="005F5DDC"/>
    <w:rsid w:val="005F6C75"/>
    <w:rsid w:val="005F7044"/>
    <w:rsid w:val="005F7D36"/>
    <w:rsid w:val="006001D8"/>
    <w:rsid w:val="00600368"/>
    <w:rsid w:val="00600939"/>
    <w:rsid w:val="00600AFD"/>
    <w:rsid w:val="00600E36"/>
    <w:rsid w:val="00600E4E"/>
    <w:rsid w:val="006015CD"/>
    <w:rsid w:val="0060165C"/>
    <w:rsid w:val="00601954"/>
    <w:rsid w:val="00601C6B"/>
    <w:rsid w:val="00601D4C"/>
    <w:rsid w:val="00601E8A"/>
    <w:rsid w:val="006021BF"/>
    <w:rsid w:val="00602DEC"/>
    <w:rsid w:val="00603747"/>
    <w:rsid w:val="006039C2"/>
    <w:rsid w:val="00603A88"/>
    <w:rsid w:val="00604037"/>
    <w:rsid w:val="0060415F"/>
    <w:rsid w:val="0060465E"/>
    <w:rsid w:val="0060482E"/>
    <w:rsid w:val="00604CBB"/>
    <w:rsid w:val="00604E9C"/>
    <w:rsid w:val="006052FF"/>
    <w:rsid w:val="00605430"/>
    <w:rsid w:val="006054EA"/>
    <w:rsid w:val="006056A8"/>
    <w:rsid w:val="00605ADF"/>
    <w:rsid w:val="00606163"/>
    <w:rsid w:val="00606D1F"/>
    <w:rsid w:val="00607283"/>
    <w:rsid w:val="00607403"/>
    <w:rsid w:val="0060783F"/>
    <w:rsid w:val="00607A2F"/>
    <w:rsid w:val="006106B9"/>
    <w:rsid w:val="006106F9"/>
    <w:rsid w:val="00610C6D"/>
    <w:rsid w:val="00611489"/>
    <w:rsid w:val="0061199D"/>
    <w:rsid w:val="006119A1"/>
    <w:rsid w:val="00611BBB"/>
    <w:rsid w:val="00612213"/>
    <w:rsid w:val="006123D8"/>
    <w:rsid w:val="00612476"/>
    <w:rsid w:val="00612D32"/>
    <w:rsid w:val="00612D75"/>
    <w:rsid w:val="00612F7C"/>
    <w:rsid w:val="0061332E"/>
    <w:rsid w:val="006134FA"/>
    <w:rsid w:val="00613719"/>
    <w:rsid w:val="00613AA5"/>
    <w:rsid w:val="006145AE"/>
    <w:rsid w:val="00614AE4"/>
    <w:rsid w:val="00614CC3"/>
    <w:rsid w:val="00615159"/>
    <w:rsid w:val="006152EA"/>
    <w:rsid w:val="0061584C"/>
    <w:rsid w:val="00615C65"/>
    <w:rsid w:val="006161E6"/>
    <w:rsid w:val="00616578"/>
    <w:rsid w:val="0061669D"/>
    <w:rsid w:val="0061681D"/>
    <w:rsid w:val="00616DEE"/>
    <w:rsid w:val="00617A1E"/>
    <w:rsid w:val="00617AC8"/>
    <w:rsid w:val="00620317"/>
    <w:rsid w:val="00620507"/>
    <w:rsid w:val="00620647"/>
    <w:rsid w:val="006208B4"/>
    <w:rsid w:val="00620A58"/>
    <w:rsid w:val="006210FE"/>
    <w:rsid w:val="0062114B"/>
    <w:rsid w:val="0062155D"/>
    <w:rsid w:val="006216B4"/>
    <w:rsid w:val="00621798"/>
    <w:rsid w:val="00622353"/>
    <w:rsid w:val="00622E20"/>
    <w:rsid w:val="00623E2F"/>
    <w:rsid w:val="0062457C"/>
    <w:rsid w:val="006247DD"/>
    <w:rsid w:val="00624930"/>
    <w:rsid w:val="00624ABB"/>
    <w:rsid w:val="00624FD7"/>
    <w:rsid w:val="00625045"/>
    <w:rsid w:val="00625258"/>
    <w:rsid w:val="00625307"/>
    <w:rsid w:val="00625381"/>
    <w:rsid w:val="006253B1"/>
    <w:rsid w:val="006253BD"/>
    <w:rsid w:val="006255DD"/>
    <w:rsid w:val="006259DB"/>
    <w:rsid w:val="006259FD"/>
    <w:rsid w:val="00625AFF"/>
    <w:rsid w:val="00625DC7"/>
    <w:rsid w:val="00625E84"/>
    <w:rsid w:val="00626967"/>
    <w:rsid w:val="00626D03"/>
    <w:rsid w:val="00626EA8"/>
    <w:rsid w:val="00627119"/>
    <w:rsid w:val="00627551"/>
    <w:rsid w:val="006279E7"/>
    <w:rsid w:val="00627DA9"/>
    <w:rsid w:val="00630055"/>
    <w:rsid w:val="00630297"/>
    <w:rsid w:val="006306D4"/>
    <w:rsid w:val="00630BA6"/>
    <w:rsid w:val="00630C7B"/>
    <w:rsid w:val="00630D2D"/>
    <w:rsid w:val="00630E2B"/>
    <w:rsid w:val="00630EEF"/>
    <w:rsid w:val="00631109"/>
    <w:rsid w:val="006319E8"/>
    <w:rsid w:val="00631AD8"/>
    <w:rsid w:val="00631BA7"/>
    <w:rsid w:val="00631ED7"/>
    <w:rsid w:val="00632C63"/>
    <w:rsid w:val="00632D2E"/>
    <w:rsid w:val="00632F1C"/>
    <w:rsid w:val="00633098"/>
    <w:rsid w:val="00633421"/>
    <w:rsid w:val="00633A38"/>
    <w:rsid w:val="00633B99"/>
    <w:rsid w:val="00633D72"/>
    <w:rsid w:val="0063458D"/>
    <w:rsid w:val="00634918"/>
    <w:rsid w:val="006349B1"/>
    <w:rsid w:val="006349D4"/>
    <w:rsid w:val="00634DC0"/>
    <w:rsid w:val="00634FD2"/>
    <w:rsid w:val="0063520E"/>
    <w:rsid w:val="0063544C"/>
    <w:rsid w:val="0063599B"/>
    <w:rsid w:val="00635AE2"/>
    <w:rsid w:val="00635C41"/>
    <w:rsid w:val="00635DC9"/>
    <w:rsid w:val="00636067"/>
    <w:rsid w:val="006362E5"/>
    <w:rsid w:val="00636462"/>
    <w:rsid w:val="00637733"/>
    <w:rsid w:val="00637B42"/>
    <w:rsid w:val="00637D23"/>
    <w:rsid w:val="00637D37"/>
    <w:rsid w:val="00637FAA"/>
    <w:rsid w:val="0064007A"/>
    <w:rsid w:val="00640249"/>
    <w:rsid w:val="00640981"/>
    <w:rsid w:val="00640B09"/>
    <w:rsid w:val="00640DBD"/>
    <w:rsid w:val="00640F67"/>
    <w:rsid w:val="00641069"/>
    <w:rsid w:val="00641223"/>
    <w:rsid w:val="006413B5"/>
    <w:rsid w:val="00641481"/>
    <w:rsid w:val="0064189F"/>
    <w:rsid w:val="00641F30"/>
    <w:rsid w:val="00642072"/>
    <w:rsid w:val="00642222"/>
    <w:rsid w:val="006423CC"/>
    <w:rsid w:val="00642686"/>
    <w:rsid w:val="00642FE9"/>
    <w:rsid w:val="00643181"/>
    <w:rsid w:val="006440B8"/>
    <w:rsid w:val="006443E5"/>
    <w:rsid w:val="00644966"/>
    <w:rsid w:val="00644997"/>
    <w:rsid w:val="006449E5"/>
    <w:rsid w:val="00645118"/>
    <w:rsid w:val="00645578"/>
    <w:rsid w:val="00645F4C"/>
    <w:rsid w:val="00646210"/>
    <w:rsid w:val="0064637F"/>
    <w:rsid w:val="00646778"/>
    <w:rsid w:val="00646937"/>
    <w:rsid w:val="00647069"/>
    <w:rsid w:val="006472C0"/>
    <w:rsid w:val="006474A2"/>
    <w:rsid w:val="006479B3"/>
    <w:rsid w:val="006479DB"/>
    <w:rsid w:val="00647F86"/>
    <w:rsid w:val="00650079"/>
    <w:rsid w:val="006501A2"/>
    <w:rsid w:val="006502AE"/>
    <w:rsid w:val="00650745"/>
    <w:rsid w:val="00650B49"/>
    <w:rsid w:val="00650DA8"/>
    <w:rsid w:val="0065193F"/>
    <w:rsid w:val="00652087"/>
    <w:rsid w:val="006523F1"/>
    <w:rsid w:val="006527A7"/>
    <w:rsid w:val="00652B83"/>
    <w:rsid w:val="00653252"/>
    <w:rsid w:val="00653B00"/>
    <w:rsid w:val="00653F85"/>
    <w:rsid w:val="0065451D"/>
    <w:rsid w:val="0065489E"/>
    <w:rsid w:val="0065493B"/>
    <w:rsid w:val="00654D26"/>
    <w:rsid w:val="006554A1"/>
    <w:rsid w:val="00655C5D"/>
    <w:rsid w:val="00655E14"/>
    <w:rsid w:val="00655FEB"/>
    <w:rsid w:val="00656322"/>
    <w:rsid w:val="0065634B"/>
    <w:rsid w:val="00657141"/>
    <w:rsid w:val="00660A42"/>
    <w:rsid w:val="00660BFD"/>
    <w:rsid w:val="006612E4"/>
    <w:rsid w:val="006618B8"/>
    <w:rsid w:val="00662847"/>
    <w:rsid w:val="00662C32"/>
    <w:rsid w:val="006630A6"/>
    <w:rsid w:val="00663AB3"/>
    <w:rsid w:val="0066433F"/>
    <w:rsid w:val="00664C50"/>
    <w:rsid w:val="00664C6F"/>
    <w:rsid w:val="00665839"/>
    <w:rsid w:val="00665DDE"/>
    <w:rsid w:val="00665E59"/>
    <w:rsid w:val="006662C5"/>
    <w:rsid w:val="0066630D"/>
    <w:rsid w:val="00666521"/>
    <w:rsid w:val="006669CB"/>
    <w:rsid w:val="00666F2A"/>
    <w:rsid w:val="00667290"/>
    <w:rsid w:val="006676CE"/>
    <w:rsid w:val="00667835"/>
    <w:rsid w:val="00667ED1"/>
    <w:rsid w:val="006704A1"/>
    <w:rsid w:val="006704B9"/>
    <w:rsid w:val="006704DA"/>
    <w:rsid w:val="00670A38"/>
    <w:rsid w:val="00670B17"/>
    <w:rsid w:val="00671472"/>
    <w:rsid w:val="00671543"/>
    <w:rsid w:val="0067160F"/>
    <w:rsid w:val="00671898"/>
    <w:rsid w:val="00671B1F"/>
    <w:rsid w:val="00671E06"/>
    <w:rsid w:val="00672783"/>
    <w:rsid w:val="00672A57"/>
    <w:rsid w:val="00672C2F"/>
    <w:rsid w:val="0067378D"/>
    <w:rsid w:val="00673947"/>
    <w:rsid w:val="00673D8D"/>
    <w:rsid w:val="00674022"/>
    <w:rsid w:val="00674052"/>
    <w:rsid w:val="006743C9"/>
    <w:rsid w:val="00674955"/>
    <w:rsid w:val="00674B06"/>
    <w:rsid w:val="00674EAB"/>
    <w:rsid w:val="006750F8"/>
    <w:rsid w:val="00675926"/>
    <w:rsid w:val="00675C26"/>
    <w:rsid w:val="00675E3E"/>
    <w:rsid w:val="00676063"/>
    <w:rsid w:val="006761C3"/>
    <w:rsid w:val="006764F6"/>
    <w:rsid w:val="00676839"/>
    <w:rsid w:val="00677328"/>
    <w:rsid w:val="00677336"/>
    <w:rsid w:val="00677463"/>
    <w:rsid w:val="0067750C"/>
    <w:rsid w:val="0067762B"/>
    <w:rsid w:val="00677AF9"/>
    <w:rsid w:val="00677E4A"/>
    <w:rsid w:val="00680248"/>
    <w:rsid w:val="0068051E"/>
    <w:rsid w:val="0068052C"/>
    <w:rsid w:val="006810AA"/>
    <w:rsid w:val="006812F2"/>
    <w:rsid w:val="0068180B"/>
    <w:rsid w:val="00681CE3"/>
    <w:rsid w:val="00681CE5"/>
    <w:rsid w:val="00682B1E"/>
    <w:rsid w:val="00682F26"/>
    <w:rsid w:val="00682F38"/>
    <w:rsid w:val="006835D3"/>
    <w:rsid w:val="00683C87"/>
    <w:rsid w:val="00684018"/>
    <w:rsid w:val="00684625"/>
    <w:rsid w:val="00684825"/>
    <w:rsid w:val="00684BB2"/>
    <w:rsid w:val="00684EA2"/>
    <w:rsid w:val="00684EA8"/>
    <w:rsid w:val="00685769"/>
    <w:rsid w:val="00685AB1"/>
    <w:rsid w:val="006860A2"/>
    <w:rsid w:val="00686B55"/>
    <w:rsid w:val="00686CAA"/>
    <w:rsid w:val="0068717F"/>
    <w:rsid w:val="00687597"/>
    <w:rsid w:val="00687F5D"/>
    <w:rsid w:val="0069000C"/>
    <w:rsid w:val="00690030"/>
    <w:rsid w:val="00690062"/>
    <w:rsid w:val="006902B8"/>
    <w:rsid w:val="00690322"/>
    <w:rsid w:val="006904E2"/>
    <w:rsid w:val="00690763"/>
    <w:rsid w:val="00691686"/>
    <w:rsid w:val="00691E8E"/>
    <w:rsid w:val="00691EE1"/>
    <w:rsid w:val="00692158"/>
    <w:rsid w:val="00693B38"/>
    <w:rsid w:val="00693B6C"/>
    <w:rsid w:val="00693EDD"/>
    <w:rsid w:val="00693F06"/>
    <w:rsid w:val="00693FFD"/>
    <w:rsid w:val="00694052"/>
    <w:rsid w:val="006947D5"/>
    <w:rsid w:val="006949A8"/>
    <w:rsid w:val="0069507F"/>
    <w:rsid w:val="0069509F"/>
    <w:rsid w:val="00695DDA"/>
    <w:rsid w:val="0069626B"/>
    <w:rsid w:val="006968E3"/>
    <w:rsid w:val="00696FD4"/>
    <w:rsid w:val="006971B7"/>
    <w:rsid w:val="006978AD"/>
    <w:rsid w:val="00697F57"/>
    <w:rsid w:val="00697FD5"/>
    <w:rsid w:val="006A011A"/>
    <w:rsid w:val="006A08D6"/>
    <w:rsid w:val="006A0A7C"/>
    <w:rsid w:val="006A0C90"/>
    <w:rsid w:val="006A0FD0"/>
    <w:rsid w:val="006A1182"/>
    <w:rsid w:val="006A14B1"/>
    <w:rsid w:val="006A18DD"/>
    <w:rsid w:val="006A2D18"/>
    <w:rsid w:val="006A30E2"/>
    <w:rsid w:val="006A3A0E"/>
    <w:rsid w:val="006A49E2"/>
    <w:rsid w:val="006A540A"/>
    <w:rsid w:val="006A5670"/>
    <w:rsid w:val="006A5DC5"/>
    <w:rsid w:val="006A5EE5"/>
    <w:rsid w:val="006A6229"/>
    <w:rsid w:val="006A6649"/>
    <w:rsid w:val="006A6686"/>
    <w:rsid w:val="006A6B92"/>
    <w:rsid w:val="006A6CB6"/>
    <w:rsid w:val="006A6D11"/>
    <w:rsid w:val="006A75E6"/>
    <w:rsid w:val="006A7712"/>
    <w:rsid w:val="006A7B9F"/>
    <w:rsid w:val="006A7C8C"/>
    <w:rsid w:val="006A7D48"/>
    <w:rsid w:val="006A7D99"/>
    <w:rsid w:val="006B0425"/>
    <w:rsid w:val="006B0432"/>
    <w:rsid w:val="006B045C"/>
    <w:rsid w:val="006B0893"/>
    <w:rsid w:val="006B0D55"/>
    <w:rsid w:val="006B0E30"/>
    <w:rsid w:val="006B195C"/>
    <w:rsid w:val="006B1B4E"/>
    <w:rsid w:val="006B1BC4"/>
    <w:rsid w:val="006B1DE0"/>
    <w:rsid w:val="006B1E02"/>
    <w:rsid w:val="006B205E"/>
    <w:rsid w:val="006B2420"/>
    <w:rsid w:val="006B259C"/>
    <w:rsid w:val="006B284C"/>
    <w:rsid w:val="006B2DAC"/>
    <w:rsid w:val="006B3151"/>
    <w:rsid w:val="006B3233"/>
    <w:rsid w:val="006B36B5"/>
    <w:rsid w:val="006B3DC7"/>
    <w:rsid w:val="006B3F2E"/>
    <w:rsid w:val="006B454E"/>
    <w:rsid w:val="006B4578"/>
    <w:rsid w:val="006B4694"/>
    <w:rsid w:val="006B4972"/>
    <w:rsid w:val="006B4F69"/>
    <w:rsid w:val="006B53DE"/>
    <w:rsid w:val="006B58F7"/>
    <w:rsid w:val="006B5E1F"/>
    <w:rsid w:val="006B5F84"/>
    <w:rsid w:val="006B6433"/>
    <w:rsid w:val="006B64F8"/>
    <w:rsid w:val="006B656B"/>
    <w:rsid w:val="006B66D2"/>
    <w:rsid w:val="006B6B2A"/>
    <w:rsid w:val="006B6BD5"/>
    <w:rsid w:val="006B7784"/>
    <w:rsid w:val="006B79A0"/>
    <w:rsid w:val="006B7CF6"/>
    <w:rsid w:val="006C01EE"/>
    <w:rsid w:val="006C0452"/>
    <w:rsid w:val="006C0771"/>
    <w:rsid w:val="006C09E3"/>
    <w:rsid w:val="006C0D14"/>
    <w:rsid w:val="006C0DAC"/>
    <w:rsid w:val="006C0F17"/>
    <w:rsid w:val="006C1058"/>
    <w:rsid w:val="006C11AF"/>
    <w:rsid w:val="006C11F7"/>
    <w:rsid w:val="006C14C3"/>
    <w:rsid w:val="006C153A"/>
    <w:rsid w:val="006C1710"/>
    <w:rsid w:val="006C17AD"/>
    <w:rsid w:val="006C236F"/>
    <w:rsid w:val="006C2651"/>
    <w:rsid w:val="006C274B"/>
    <w:rsid w:val="006C29C4"/>
    <w:rsid w:val="006C2AD6"/>
    <w:rsid w:val="006C2C2C"/>
    <w:rsid w:val="006C2D99"/>
    <w:rsid w:val="006C39BC"/>
    <w:rsid w:val="006C3AA4"/>
    <w:rsid w:val="006C3C49"/>
    <w:rsid w:val="006C4029"/>
    <w:rsid w:val="006C41B9"/>
    <w:rsid w:val="006C44BC"/>
    <w:rsid w:val="006C45E3"/>
    <w:rsid w:val="006C46D7"/>
    <w:rsid w:val="006C4783"/>
    <w:rsid w:val="006C4BF5"/>
    <w:rsid w:val="006C4E00"/>
    <w:rsid w:val="006C570C"/>
    <w:rsid w:val="006C58A7"/>
    <w:rsid w:val="006C5FAB"/>
    <w:rsid w:val="006C6165"/>
    <w:rsid w:val="006C6246"/>
    <w:rsid w:val="006C63CD"/>
    <w:rsid w:val="006C6D7B"/>
    <w:rsid w:val="006C6DF7"/>
    <w:rsid w:val="006C76ED"/>
    <w:rsid w:val="006C7DF4"/>
    <w:rsid w:val="006D0315"/>
    <w:rsid w:val="006D0794"/>
    <w:rsid w:val="006D0C3A"/>
    <w:rsid w:val="006D0C4B"/>
    <w:rsid w:val="006D0CDA"/>
    <w:rsid w:val="006D1BC6"/>
    <w:rsid w:val="006D1C86"/>
    <w:rsid w:val="006D2319"/>
    <w:rsid w:val="006D23A6"/>
    <w:rsid w:val="006D2491"/>
    <w:rsid w:val="006D24F2"/>
    <w:rsid w:val="006D2534"/>
    <w:rsid w:val="006D2C68"/>
    <w:rsid w:val="006D2DD2"/>
    <w:rsid w:val="006D3332"/>
    <w:rsid w:val="006D3A6E"/>
    <w:rsid w:val="006D3F90"/>
    <w:rsid w:val="006D4C62"/>
    <w:rsid w:val="006D5870"/>
    <w:rsid w:val="006D5A7D"/>
    <w:rsid w:val="006D5BB0"/>
    <w:rsid w:val="006D61E2"/>
    <w:rsid w:val="006D6540"/>
    <w:rsid w:val="006D6755"/>
    <w:rsid w:val="006D6BBC"/>
    <w:rsid w:val="006D6CB2"/>
    <w:rsid w:val="006D6D19"/>
    <w:rsid w:val="006D7474"/>
    <w:rsid w:val="006D7578"/>
    <w:rsid w:val="006D7764"/>
    <w:rsid w:val="006E005A"/>
    <w:rsid w:val="006E0A56"/>
    <w:rsid w:val="006E0A81"/>
    <w:rsid w:val="006E0ADF"/>
    <w:rsid w:val="006E0C70"/>
    <w:rsid w:val="006E0FED"/>
    <w:rsid w:val="006E13D2"/>
    <w:rsid w:val="006E1A58"/>
    <w:rsid w:val="006E1CF7"/>
    <w:rsid w:val="006E1E59"/>
    <w:rsid w:val="006E2297"/>
    <w:rsid w:val="006E22AE"/>
    <w:rsid w:val="006E2BE8"/>
    <w:rsid w:val="006E2C29"/>
    <w:rsid w:val="006E2D4A"/>
    <w:rsid w:val="006E2D73"/>
    <w:rsid w:val="006E354F"/>
    <w:rsid w:val="006E3845"/>
    <w:rsid w:val="006E3B8D"/>
    <w:rsid w:val="006E3F48"/>
    <w:rsid w:val="006E4108"/>
    <w:rsid w:val="006E4450"/>
    <w:rsid w:val="006E4F88"/>
    <w:rsid w:val="006E517D"/>
    <w:rsid w:val="006E51C8"/>
    <w:rsid w:val="006E536F"/>
    <w:rsid w:val="006E5DC7"/>
    <w:rsid w:val="006E5E4A"/>
    <w:rsid w:val="006E6514"/>
    <w:rsid w:val="006E69A5"/>
    <w:rsid w:val="006E6AAD"/>
    <w:rsid w:val="006E6C19"/>
    <w:rsid w:val="006E6D1A"/>
    <w:rsid w:val="006E716A"/>
    <w:rsid w:val="006E7743"/>
    <w:rsid w:val="006E77C3"/>
    <w:rsid w:val="006E7AD6"/>
    <w:rsid w:val="006E7E06"/>
    <w:rsid w:val="006F0420"/>
    <w:rsid w:val="006F07BB"/>
    <w:rsid w:val="006F0810"/>
    <w:rsid w:val="006F0BC8"/>
    <w:rsid w:val="006F0D6B"/>
    <w:rsid w:val="006F2186"/>
    <w:rsid w:val="006F21C0"/>
    <w:rsid w:val="006F2287"/>
    <w:rsid w:val="006F2315"/>
    <w:rsid w:val="006F23F5"/>
    <w:rsid w:val="006F2E3C"/>
    <w:rsid w:val="006F38AC"/>
    <w:rsid w:val="006F3A48"/>
    <w:rsid w:val="006F3B16"/>
    <w:rsid w:val="006F45EA"/>
    <w:rsid w:val="006F460F"/>
    <w:rsid w:val="006F4775"/>
    <w:rsid w:val="006F47C5"/>
    <w:rsid w:val="006F4BE7"/>
    <w:rsid w:val="006F4EA0"/>
    <w:rsid w:val="006F5213"/>
    <w:rsid w:val="006F5583"/>
    <w:rsid w:val="006F5E29"/>
    <w:rsid w:val="006F603F"/>
    <w:rsid w:val="006F6311"/>
    <w:rsid w:val="006F680C"/>
    <w:rsid w:val="006F6C6E"/>
    <w:rsid w:val="006F6D09"/>
    <w:rsid w:val="006F72E4"/>
    <w:rsid w:val="006F76D9"/>
    <w:rsid w:val="006F7CCC"/>
    <w:rsid w:val="006F7EB8"/>
    <w:rsid w:val="00700044"/>
    <w:rsid w:val="0070033F"/>
    <w:rsid w:val="00700681"/>
    <w:rsid w:val="007006D5"/>
    <w:rsid w:val="00700AA1"/>
    <w:rsid w:val="00701127"/>
    <w:rsid w:val="007013C4"/>
    <w:rsid w:val="0070184A"/>
    <w:rsid w:val="00701BEA"/>
    <w:rsid w:val="00701D72"/>
    <w:rsid w:val="0070215C"/>
    <w:rsid w:val="007021D5"/>
    <w:rsid w:val="0070255F"/>
    <w:rsid w:val="00702582"/>
    <w:rsid w:val="00702779"/>
    <w:rsid w:val="0070286A"/>
    <w:rsid w:val="00703BE2"/>
    <w:rsid w:val="0070425F"/>
    <w:rsid w:val="00704707"/>
    <w:rsid w:val="007048EA"/>
    <w:rsid w:val="00704A70"/>
    <w:rsid w:val="0070533C"/>
    <w:rsid w:val="00705354"/>
    <w:rsid w:val="00706331"/>
    <w:rsid w:val="00706464"/>
    <w:rsid w:val="007073AF"/>
    <w:rsid w:val="0070790F"/>
    <w:rsid w:val="0070796A"/>
    <w:rsid w:val="00710185"/>
    <w:rsid w:val="007103FC"/>
    <w:rsid w:val="007107B7"/>
    <w:rsid w:val="00710C3D"/>
    <w:rsid w:val="00710D2B"/>
    <w:rsid w:val="00711371"/>
    <w:rsid w:val="0071174A"/>
    <w:rsid w:val="00711BCC"/>
    <w:rsid w:val="0071234A"/>
    <w:rsid w:val="0071242E"/>
    <w:rsid w:val="007126E8"/>
    <w:rsid w:val="007129DB"/>
    <w:rsid w:val="0071347D"/>
    <w:rsid w:val="00713683"/>
    <w:rsid w:val="00713AFB"/>
    <w:rsid w:val="00713C39"/>
    <w:rsid w:val="00713C51"/>
    <w:rsid w:val="00713DE9"/>
    <w:rsid w:val="007142F4"/>
    <w:rsid w:val="007144A8"/>
    <w:rsid w:val="007144E9"/>
    <w:rsid w:val="00714FAE"/>
    <w:rsid w:val="007152BB"/>
    <w:rsid w:val="00715D05"/>
    <w:rsid w:val="00715D3B"/>
    <w:rsid w:val="00715EFF"/>
    <w:rsid w:val="00715F04"/>
    <w:rsid w:val="00715FA3"/>
    <w:rsid w:val="00716511"/>
    <w:rsid w:val="00716A3D"/>
    <w:rsid w:val="00717413"/>
    <w:rsid w:val="007204FA"/>
    <w:rsid w:val="007217DA"/>
    <w:rsid w:val="00721813"/>
    <w:rsid w:val="00721A46"/>
    <w:rsid w:val="00722102"/>
    <w:rsid w:val="007223A0"/>
    <w:rsid w:val="00722595"/>
    <w:rsid w:val="00722C92"/>
    <w:rsid w:val="00722D61"/>
    <w:rsid w:val="00723047"/>
    <w:rsid w:val="007231E2"/>
    <w:rsid w:val="00723221"/>
    <w:rsid w:val="00724459"/>
    <w:rsid w:val="007246BA"/>
    <w:rsid w:val="00724962"/>
    <w:rsid w:val="00724A40"/>
    <w:rsid w:val="00724E64"/>
    <w:rsid w:val="00725F51"/>
    <w:rsid w:val="00725FF2"/>
    <w:rsid w:val="007262ED"/>
    <w:rsid w:val="00726F65"/>
    <w:rsid w:val="00727217"/>
    <w:rsid w:val="007275DB"/>
    <w:rsid w:val="0072799C"/>
    <w:rsid w:val="007313E4"/>
    <w:rsid w:val="007317A9"/>
    <w:rsid w:val="007322E2"/>
    <w:rsid w:val="00732437"/>
    <w:rsid w:val="00732520"/>
    <w:rsid w:val="00732926"/>
    <w:rsid w:val="00732CA3"/>
    <w:rsid w:val="0073322A"/>
    <w:rsid w:val="00733480"/>
    <w:rsid w:val="0073389E"/>
    <w:rsid w:val="007338A3"/>
    <w:rsid w:val="00733C60"/>
    <w:rsid w:val="00734020"/>
    <w:rsid w:val="0073406B"/>
    <w:rsid w:val="0073412F"/>
    <w:rsid w:val="00734667"/>
    <w:rsid w:val="00735252"/>
    <w:rsid w:val="0073535A"/>
    <w:rsid w:val="007355C7"/>
    <w:rsid w:val="00735665"/>
    <w:rsid w:val="00735781"/>
    <w:rsid w:val="007357AB"/>
    <w:rsid w:val="00735EC1"/>
    <w:rsid w:val="00735F57"/>
    <w:rsid w:val="007362C5"/>
    <w:rsid w:val="00736BC9"/>
    <w:rsid w:val="00737688"/>
    <w:rsid w:val="00737EFC"/>
    <w:rsid w:val="00740023"/>
    <w:rsid w:val="007407AA"/>
    <w:rsid w:val="00740C0C"/>
    <w:rsid w:val="00740E42"/>
    <w:rsid w:val="00740ED3"/>
    <w:rsid w:val="007411C4"/>
    <w:rsid w:val="007413F5"/>
    <w:rsid w:val="007415FE"/>
    <w:rsid w:val="007416AF"/>
    <w:rsid w:val="00741726"/>
    <w:rsid w:val="00741791"/>
    <w:rsid w:val="007422EB"/>
    <w:rsid w:val="0074247A"/>
    <w:rsid w:val="0074269C"/>
    <w:rsid w:val="00742B9D"/>
    <w:rsid w:val="00743851"/>
    <w:rsid w:val="007439D9"/>
    <w:rsid w:val="00743DC6"/>
    <w:rsid w:val="007449EA"/>
    <w:rsid w:val="00744A64"/>
    <w:rsid w:val="00744B61"/>
    <w:rsid w:val="007454E5"/>
    <w:rsid w:val="00745680"/>
    <w:rsid w:val="00745CB8"/>
    <w:rsid w:val="00745FFA"/>
    <w:rsid w:val="007463A9"/>
    <w:rsid w:val="0074662A"/>
    <w:rsid w:val="00747AF2"/>
    <w:rsid w:val="00747B95"/>
    <w:rsid w:val="00747C66"/>
    <w:rsid w:val="00747DCF"/>
    <w:rsid w:val="00750BB1"/>
    <w:rsid w:val="00751979"/>
    <w:rsid w:val="00751B71"/>
    <w:rsid w:val="00751D1E"/>
    <w:rsid w:val="007522CE"/>
    <w:rsid w:val="0075295A"/>
    <w:rsid w:val="00752CC0"/>
    <w:rsid w:val="00753274"/>
    <w:rsid w:val="007535A1"/>
    <w:rsid w:val="007537F3"/>
    <w:rsid w:val="00753AE4"/>
    <w:rsid w:val="007540BC"/>
    <w:rsid w:val="00754262"/>
    <w:rsid w:val="00754647"/>
    <w:rsid w:val="00754BD1"/>
    <w:rsid w:val="00754E9C"/>
    <w:rsid w:val="007551D2"/>
    <w:rsid w:val="00755804"/>
    <w:rsid w:val="00755983"/>
    <w:rsid w:val="00755A30"/>
    <w:rsid w:val="00755C7A"/>
    <w:rsid w:val="00755F0D"/>
    <w:rsid w:val="007561C0"/>
    <w:rsid w:val="007564FB"/>
    <w:rsid w:val="007569D9"/>
    <w:rsid w:val="00756E23"/>
    <w:rsid w:val="00757772"/>
    <w:rsid w:val="007579C4"/>
    <w:rsid w:val="00757C7C"/>
    <w:rsid w:val="00757EFD"/>
    <w:rsid w:val="007603B0"/>
    <w:rsid w:val="007609EA"/>
    <w:rsid w:val="00761264"/>
    <w:rsid w:val="00761365"/>
    <w:rsid w:val="00761FD4"/>
    <w:rsid w:val="00762223"/>
    <w:rsid w:val="00762266"/>
    <w:rsid w:val="007625DB"/>
    <w:rsid w:val="00762E5B"/>
    <w:rsid w:val="00762E76"/>
    <w:rsid w:val="00762EC9"/>
    <w:rsid w:val="00762F4B"/>
    <w:rsid w:val="00763E75"/>
    <w:rsid w:val="0076472B"/>
    <w:rsid w:val="00764772"/>
    <w:rsid w:val="00764959"/>
    <w:rsid w:val="007650D4"/>
    <w:rsid w:val="007652B2"/>
    <w:rsid w:val="007652C4"/>
    <w:rsid w:val="00765E74"/>
    <w:rsid w:val="007663A1"/>
    <w:rsid w:val="007663B4"/>
    <w:rsid w:val="0076647E"/>
    <w:rsid w:val="00766998"/>
    <w:rsid w:val="00766A10"/>
    <w:rsid w:val="00766BFF"/>
    <w:rsid w:val="00766F65"/>
    <w:rsid w:val="0077091C"/>
    <w:rsid w:val="00770ACC"/>
    <w:rsid w:val="00770B4C"/>
    <w:rsid w:val="00770CA7"/>
    <w:rsid w:val="0077193A"/>
    <w:rsid w:val="00771A04"/>
    <w:rsid w:val="00772029"/>
    <w:rsid w:val="00772366"/>
    <w:rsid w:val="0077249D"/>
    <w:rsid w:val="00772893"/>
    <w:rsid w:val="00772A6D"/>
    <w:rsid w:val="00773204"/>
    <w:rsid w:val="007737F5"/>
    <w:rsid w:val="007738D2"/>
    <w:rsid w:val="00773AC4"/>
    <w:rsid w:val="0077416F"/>
    <w:rsid w:val="007741DD"/>
    <w:rsid w:val="007745AC"/>
    <w:rsid w:val="007748FD"/>
    <w:rsid w:val="00774E56"/>
    <w:rsid w:val="007756A9"/>
    <w:rsid w:val="00775823"/>
    <w:rsid w:val="007762C3"/>
    <w:rsid w:val="00776468"/>
    <w:rsid w:val="00776616"/>
    <w:rsid w:val="007766AC"/>
    <w:rsid w:val="00776E9D"/>
    <w:rsid w:val="00776EF1"/>
    <w:rsid w:val="0077762C"/>
    <w:rsid w:val="007776DC"/>
    <w:rsid w:val="0077777B"/>
    <w:rsid w:val="0078056A"/>
    <w:rsid w:val="00780A1F"/>
    <w:rsid w:val="00780C3D"/>
    <w:rsid w:val="0078105C"/>
    <w:rsid w:val="00781203"/>
    <w:rsid w:val="007814D5"/>
    <w:rsid w:val="0078172E"/>
    <w:rsid w:val="007819DE"/>
    <w:rsid w:val="00781FF8"/>
    <w:rsid w:val="00782119"/>
    <w:rsid w:val="007821A1"/>
    <w:rsid w:val="007828CE"/>
    <w:rsid w:val="00783514"/>
    <w:rsid w:val="0078462C"/>
    <w:rsid w:val="00784673"/>
    <w:rsid w:val="00784BFD"/>
    <w:rsid w:val="00785491"/>
    <w:rsid w:val="0078556E"/>
    <w:rsid w:val="00785B25"/>
    <w:rsid w:val="00785D35"/>
    <w:rsid w:val="00785D37"/>
    <w:rsid w:val="007860D2"/>
    <w:rsid w:val="00786140"/>
    <w:rsid w:val="007863FE"/>
    <w:rsid w:val="0078675D"/>
    <w:rsid w:val="00786DF6"/>
    <w:rsid w:val="007874B5"/>
    <w:rsid w:val="0078767F"/>
    <w:rsid w:val="007879EC"/>
    <w:rsid w:val="00787B63"/>
    <w:rsid w:val="0079006C"/>
    <w:rsid w:val="007901FB"/>
    <w:rsid w:val="00790946"/>
    <w:rsid w:val="00790C42"/>
    <w:rsid w:val="00790D5F"/>
    <w:rsid w:val="00790FF6"/>
    <w:rsid w:val="007911DC"/>
    <w:rsid w:val="007919E1"/>
    <w:rsid w:val="00791D88"/>
    <w:rsid w:val="00791F6D"/>
    <w:rsid w:val="00792823"/>
    <w:rsid w:val="00792A61"/>
    <w:rsid w:val="00792F5E"/>
    <w:rsid w:val="0079340D"/>
    <w:rsid w:val="00793EFF"/>
    <w:rsid w:val="00794088"/>
    <w:rsid w:val="00794394"/>
    <w:rsid w:val="00794D60"/>
    <w:rsid w:val="00794EF6"/>
    <w:rsid w:val="00795443"/>
    <w:rsid w:val="007957C2"/>
    <w:rsid w:val="00795838"/>
    <w:rsid w:val="00795AA0"/>
    <w:rsid w:val="00795CD1"/>
    <w:rsid w:val="007961C4"/>
    <w:rsid w:val="00796B98"/>
    <w:rsid w:val="00797317"/>
    <w:rsid w:val="00797A4E"/>
    <w:rsid w:val="00797B95"/>
    <w:rsid w:val="00797BF4"/>
    <w:rsid w:val="007A03A0"/>
    <w:rsid w:val="007A06E6"/>
    <w:rsid w:val="007A08DB"/>
    <w:rsid w:val="007A0A08"/>
    <w:rsid w:val="007A0FA8"/>
    <w:rsid w:val="007A1920"/>
    <w:rsid w:val="007A1E0C"/>
    <w:rsid w:val="007A2F06"/>
    <w:rsid w:val="007A31FD"/>
    <w:rsid w:val="007A4300"/>
    <w:rsid w:val="007A4354"/>
    <w:rsid w:val="007A4771"/>
    <w:rsid w:val="007A4D4E"/>
    <w:rsid w:val="007A4F81"/>
    <w:rsid w:val="007A52E4"/>
    <w:rsid w:val="007A577F"/>
    <w:rsid w:val="007A5D1D"/>
    <w:rsid w:val="007A5F23"/>
    <w:rsid w:val="007A60B7"/>
    <w:rsid w:val="007A6131"/>
    <w:rsid w:val="007A65B7"/>
    <w:rsid w:val="007A661C"/>
    <w:rsid w:val="007A6632"/>
    <w:rsid w:val="007A6A3E"/>
    <w:rsid w:val="007A6AEB"/>
    <w:rsid w:val="007A6E29"/>
    <w:rsid w:val="007A7B12"/>
    <w:rsid w:val="007A7BFD"/>
    <w:rsid w:val="007B0255"/>
    <w:rsid w:val="007B04E6"/>
    <w:rsid w:val="007B050B"/>
    <w:rsid w:val="007B06D9"/>
    <w:rsid w:val="007B073D"/>
    <w:rsid w:val="007B0DDB"/>
    <w:rsid w:val="007B129E"/>
    <w:rsid w:val="007B20B5"/>
    <w:rsid w:val="007B20ED"/>
    <w:rsid w:val="007B2452"/>
    <w:rsid w:val="007B2748"/>
    <w:rsid w:val="007B2982"/>
    <w:rsid w:val="007B2CD0"/>
    <w:rsid w:val="007B2F1B"/>
    <w:rsid w:val="007B3149"/>
    <w:rsid w:val="007B3919"/>
    <w:rsid w:val="007B396F"/>
    <w:rsid w:val="007B3DC6"/>
    <w:rsid w:val="007B3E6D"/>
    <w:rsid w:val="007B46A1"/>
    <w:rsid w:val="007B4742"/>
    <w:rsid w:val="007B4FCE"/>
    <w:rsid w:val="007B5374"/>
    <w:rsid w:val="007B5674"/>
    <w:rsid w:val="007B5FAA"/>
    <w:rsid w:val="007B617F"/>
    <w:rsid w:val="007B698D"/>
    <w:rsid w:val="007B69DD"/>
    <w:rsid w:val="007B6A77"/>
    <w:rsid w:val="007B6DA0"/>
    <w:rsid w:val="007B6E9E"/>
    <w:rsid w:val="007B7BCD"/>
    <w:rsid w:val="007C0254"/>
    <w:rsid w:val="007C02EB"/>
    <w:rsid w:val="007C0823"/>
    <w:rsid w:val="007C0A40"/>
    <w:rsid w:val="007C0B4D"/>
    <w:rsid w:val="007C107B"/>
    <w:rsid w:val="007C1242"/>
    <w:rsid w:val="007C142A"/>
    <w:rsid w:val="007C1B49"/>
    <w:rsid w:val="007C1DA2"/>
    <w:rsid w:val="007C2616"/>
    <w:rsid w:val="007C2671"/>
    <w:rsid w:val="007C26D3"/>
    <w:rsid w:val="007C2810"/>
    <w:rsid w:val="007C2989"/>
    <w:rsid w:val="007C32A5"/>
    <w:rsid w:val="007C3326"/>
    <w:rsid w:val="007C37AD"/>
    <w:rsid w:val="007C3BB1"/>
    <w:rsid w:val="007C3C0F"/>
    <w:rsid w:val="007C3DAF"/>
    <w:rsid w:val="007C3E6B"/>
    <w:rsid w:val="007C408C"/>
    <w:rsid w:val="007C4432"/>
    <w:rsid w:val="007C45A9"/>
    <w:rsid w:val="007C4C94"/>
    <w:rsid w:val="007C5C29"/>
    <w:rsid w:val="007C60EA"/>
    <w:rsid w:val="007C62A6"/>
    <w:rsid w:val="007C672F"/>
    <w:rsid w:val="007C67D4"/>
    <w:rsid w:val="007C6911"/>
    <w:rsid w:val="007C693E"/>
    <w:rsid w:val="007C6B29"/>
    <w:rsid w:val="007D0370"/>
    <w:rsid w:val="007D03D4"/>
    <w:rsid w:val="007D0CFB"/>
    <w:rsid w:val="007D0FAF"/>
    <w:rsid w:val="007D1B8F"/>
    <w:rsid w:val="007D1DEF"/>
    <w:rsid w:val="007D25D0"/>
    <w:rsid w:val="007D2806"/>
    <w:rsid w:val="007D28BB"/>
    <w:rsid w:val="007D2DBF"/>
    <w:rsid w:val="007D3A1B"/>
    <w:rsid w:val="007D3B5F"/>
    <w:rsid w:val="007D3D56"/>
    <w:rsid w:val="007D3EB6"/>
    <w:rsid w:val="007D3EDF"/>
    <w:rsid w:val="007D4469"/>
    <w:rsid w:val="007D46D1"/>
    <w:rsid w:val="007D4ACF"/>
    <w:rsid w:val="007D4F2F"/>
    <w:rsid w:val="007D51C8"/>
    <w:rsid w:val="007D52AC"/>
    <w:rsid w:val="007D53C4"/>
    <w:rsid w:val="007D5656"/>
    <w:rsid w:val="007D691C"/>
    <w:rsid w:val="007D7010"/>
    <w:rsid w:val="007D7550"/>
    <w:rsid w:val="007D7ABB"/>
    <w:rsid w:val="007D7D4F"/>
    <w:rsid w:val="007D7E8C"/>
    <w:rsid w:val="007E00E3"/>
    <w:rsid w:val="007E00F8"/>
    <w:rsid w:val="007E0691"/>
    <w:rsid w:val="007E0858"/>
    <w:rsid w:val="007E098A"/>
    <w:rsid w:val="007E0CBB"/>
    <w:rsid w:val="007E0F86"/>
    <w:rsid w:val="007E181C"/>
    <w:rsid w:val="007E1BAE"/>
    <w:rsid w:val="007E1C25"/>
    <w:rsid w:val="007E1D29"/>
    <w:rsid w:val="007E224B"/>
    <w:rsid w:val="007E22B1"/>
    <w:rsid w:val="007E2496"/>
    <w:rsid w:val="007E261D"/>
    <w:rsid w:val="007E377C"/>
    <w:rsid w:val="007E389C"/>
    <w:rsid w:val="007E394D"/>
    <w:rsid w:val="007E4456"/>
    <w:rsid w:val="007E46A9"/>
    <w:rsid w:val="007E49D0"/>
    <w:rsid w:val="007E4BB4"/>
    <w:rsid w:val="007E539F"/>
    <w:rsid w:val="007E575F"/>
    <w:rsid w:val="007E5929"/>
    <w:rsid w:val="007E59E2"/>
    <w:rsid w:val="007E6397"/>
    <w:rsid w:val="007E6B65"/>
    <w:rsid w:val="007E6FDF"/>
    <w:rsid w:val="007E77C3"/>
    <w:rsid w:val="007F00DD"/>
    <w:rsid w:val="007F08E7"/>
    <w:rsid w:val="007F0B10"/>
    <w:rsid w:val="007F105A"/>
    <w:rsid w:val="007F17D0"/>
    <w:rsid w:val="007F189B"/>
    <w:rsid w:val="007F1937"/>
    <w:rsid w:val="007F1A1C"/>
    <w:rsid w:val="007F1C60"/>
    <w:rsid w:val="007F1D7E"/>
    <w:rsid w:val="007F1EE5"/>
    <w:rsid w:val="007F33A0"/>
    <w:rsid w:val="007F39E8"/>
    <w:rsid w:val="007F415E"/>
    <w:rsid w:val="007F445F"/>
    <w:rsid w:val="007F4761"/>
    <w:rsid w:val="007F4FDC"/>
    <w:rsid w:val="007F507D"/>
    <w:rsid w:val="007F528D"/>
    <w:rsid w:val="007F5C47"/>
    <w:rsid w:val="007F5D47"/>
    <w:rsid w:val="007F5D9E"/>
    <w:rsid w:val="007F62A3"/>
    <w:rsid w:val="007F6424"/>
    <w:rsid w:val="007F6CE0"/>
    <w:rsid w:val="007F725D"/>
    <w:rsid w:val="008006B8"/>
    <w:rsid w:val="0080080B"/>
    <w:rsid w:val="00800AE6"/>
    <w:rsid w:val="00800D88"/>
    <w:rsid w:val="00800EC2"/>
    <w:rsid w:val="0080135B"/>
    <w:rsid w:val="008016C7"/>
    <w:rsid w:val="00801D5B"/>
    <w:rsid w:val="0080204E"/>
    <w:rsid w:val="00802144"/>
    <w:rsid w:val="00802183"/>
    <w:rsid w:val="00802634"/>
    <w:rsid w:val="00802799"/>
    <w:rsid w:val="00802A20"/>
    <w:rsid w:val="0080306C"/>
    <w:rsid w:val="00803679"/>
    <w:rsid w:val="00803F51"/>
    <w:rsid w:val="008042B1"/>
    <w:rsid w:val="00804796"/>
    <w:rsid w:val="00804822"/>
    <w:rsid w:val="00804B8B"/>
    <w:rsid w:val="00804BE4"/>
    <w:rsid w:val="00804EBF"/>
    <w:rsid w:val="0080582A"/>
    <w:rsid w:val="0080627D"/>
    <w:rsid w:val="00806497"/>
    <w:rsid w:val="00806523"/>
    <w:rsid w:val="0080670C"/>
    <w:rsid w:val="00806992"/>
    <w:rsid w:val="00806F68"/>
    <w:rsid w:val="008075CE"/>
    <w:rsid w:val="00807E20"/>
    <w:rsid w:val="008103D5"/>
    <w:rsid w:val="0081048B"/>
    <w:rsid w:val="00810553"/>
    <w:rsid w:val="00811049"/>
    <w:rsid w:val="00811136"/>
    <w:rsid w:val="008112A3"/>
    <w:rsid w:val="0081156F"/>
    <w:rsid w:val="00811A66"/>
    <w:rsid w:val="00811B20"/>
    <w:rsid w:val="00811D27"/>
    <w:rsid w:val="00811D6C"/>
    <w:rsid w:val="00811E79"/>
    <w:rsid w:val="00811FF2"/>
    <w:rsid w:val="00812073"/>
    <w:rsid w:val="008121C2"/>
    <w:rsid w:val="008122A3"/>
    <w:rsid w:val="00812680"/>
    <w:rsid w:val="00812A4D"/>
    <w:rsid w:val="00812B02"/>
    <w:rsid w:val="00812C21"/>
    <w:rsid w:val="00812CC9"/>
    <w:rsid w:val="008136C0"/>
    <w:rsid w:val="008136E8"/>
    <w:rsid w:val="00813D13"/>
    <w:rsid w:val="00814013"/>
    <w:rsid w:val="00814067"/>
    <w:rsid w:val="008141CD"/>
    <w:rsid w:val="00814AFD"/>
    <w:rsid w:val="00814BA3"/>
    <w:rsid w:val="0081507B"/>
    <w:rsid w:val="00815AAF"/>
    <w:rsid w:val="00815EC5"/>
    <w:rsid w:val="00816468"/>
    <w:rsid w:val="00816D97"/>
    <w:rsid w:val="00816EC4"/>
    <w:rsid w:val="008171CE"/>
    <w:rsid w:val="008174E6"/>
    <w:rsid w:val="00817BBF"/>
    <w:rsid w:val="00817E2D"/>
    <w:rsid w:val="00820036"/>
    <w:rsid w:val="00820639"/>
    <w:rsid w:val="0082089C"/>
    <w:rsid w:val="008209B5"/>
    <w:rsid w:val="008209D3"/>
    <w:rsid w:val="00820A1A"/>
    <w:rsid w:val="00820BC8"/>
    <w:rsid w:val="00820E05"/>
    <w:rsid w:val="00820EDF"/>
    <w:rsid w:val="00821018"/>
    <w:rsid w:val="0082132E"/>
    <w:rsid w:val="008213AF"/>
    <w:rsid w:val="008214DB"/>
    <w:rsid w:val="00821688"/>
    <w:rsid w:val="008217B4"/>
    <w:rsid w:val="00821CED"/>
    <w:rsid w:val="00821E7A"/>
    <w:rsid w:val="00821F9B"/>
    <w:rsid w:val="0082200C"/>
    <w:rsid w:val="00822207"/>
    <w:rsid w:val="008227E4"/>
    <w:rsid w:val="00822845"/>
    <w:rsid w:val="008232FD"/>
    <w:rsid w:val="008233DB"/>
    <w:rsid w:val="00823446"/>
    <w:rsid w:val="00823B69"/>
    <w:rsid w:val="00823C7F"/>
    <w:rsid w:val="008241EF"/>
    <w:rsid w:val="008244B9"/>
    <w:rsid w:val="0082463E"/>
    <w:rsid w:val="0082483A"/>
    <w:rsid w:val="00824938"/>
    <w:rsid w:val="00824ACA"/>
    <w:rsid w:val="0082506B"/>
    <w:rsid w:val="00825201"/>
    <w:rsid w:val="0082577B"/>
    <w:rsid w:val="0082599B"/>
    <w:rsid w:val="00825A17"/>
    <w:rsid w:val="0082602C"/>
    <w:rsid w:val="008260BB"/>
    <w:rsid w:val="00826229"/>
    <w:rsid w:val="00826249"/>
    <w:rsid w:val="00826312"/>
    <w:rsid w:val="0082631E"/>
    <w:rsid w:val="008263D6"/>
    <w:rsid w:val="00826FC4"/>
    <w:rsid w:val="0082704C"/>
    <w:rsid w:val="008273AD"/>
    <w:rsid w:val="0082744F"/>
    <w:rsid w:val="00827554"/>
    <w:rsid w:val="00827DCA"/>
    <w:rsid w:val="00827E23"/>
    <w:rsid w:val="00830C6F"/>
    <w:rsid w:val="00830CB9"/>
    <w:rsid w:val="0083133C"/>
    <w:rsid w:val="00831626"/>
    <w:rsid w:val="008319BE"/>
    <w:rsid w:val="00831B62"/>
    <w:rsid w:val="00831C89"/>
    <w:rsid w:val="00831E70"/>
    <w:rsid w:val="00832115"/>
    <w:rsid w:val="0083279C"/>
    <w:rsid w:val="00832DDB"/>
    <w:rsid w:val="008331A3"/>
    <w:rsid w:val="00833448"/>
    <w:rsid w:val="0083396C"/>
    <w:rsid w:val="0083397F"/>
    <w:rsid w:val="0083406E"/>
    <w:rsid w:val="00834780"/>
    <w:rsid w:val="00836002"/>
    <w:rsid w:val="008362CE"/>
    <w:rsid w:val="00836391"/>
    <w:rsid w:val="00836DFA"/>
    <w:rsid w:val="00837045"/>
    <w:rsid w:val="0083782F"/>
    <w:rsid w:val="00837C8F"/>
    <w:rsid w:val="00840149"/>
    <w:rsid w:val="0084047A"/>
    <w:rsid w:val="0084065E"/>
    <w:rsid w:val="00840831"/>
    <w:rsid w:val="00840944"/>
    <w:rsid w:val="0084095C"/>
    <w:rsid w:val="00840D2C"/>
    <w:rsid w:val="008410A6"/>
    <w:rsid w:val="00841529"/>
    <w:rsid w:val="00842773"/>
    <w:rsid w:val="00842801"/>
    <w:rsid w:val="00842CF9"/>
    <w:rsid w:val="00842F8A"/>
    <w:rsid w:val="008430D9"/>
    <w:rsid w:val="00843638"/>
    <w:rsid w:val="00843787"/>
    <w:rsid w:val="0084378F"/>
    <w:rsid w:val="00843963"/>
    <w:rsid w:val="0084397A"/>
    <w:rsid w:val="0084492C"/>
    <w:rsid w:val="00844D60"/>
    <w:rsid w:val="00844EA6"/>
    <w:rsid w:val="0084524C"/>
    <w:rsid w:val="00845A1B"/>
    <w:rsid w:val="00845C61"/>
    <w:rsid w:val="0084693C"/>
    <w:rsid w:val="00846F14"/>
    <w:rsid w:val="008472DF"/>
    <w:rsid w:val="0084736F"/>
    <w:rsid w:val="00847868"/>
    <w:rsid w:val="00850621"/>
    <w:rsid w:val="0085088A"/>
    <w:rsid w:val="00850FC3"/>
    <w:rsid w:val="0085100B"/>
    <w:rsid w:val="008514B9"/>
    <w:rsid w:val="00851562"/>
    <w:rsid w:val="008516A9"/>
    <w:rsid w:val="008516CF"/>
    <w:rsid w:val="008517E1"/>
    <w:rsid w:val="00851C35"/>
    <w:rsid w:val="008522C0"/>
    <w:rsid w:val="00852978"/>
    <w:rsid w:val="00852AB4"/>
    <w:rsid w:val="00852BBD"/>
    <w:rsid w:val="00852EED"/>
    <w:rsid w:val="008530DB"/>
    <w:rsid w:val="00853413"/>
    <w:rsid w:val="008534E9"/>
    <w:rsid w:val="00853DA4"/>
    <w:rsid w:val="00854307"/>
    <w:rsid w:val="008543B3"/>
    <w:rsid w:val="00854508"/>
    <w:rsid w:val="00854617"/>
    <w:rsid w:val="00854622"/>
    <w:rsid w:val="00854C54"/>
    <w:rsid w:val="00854E88"/>
    <w:rsid w:val="0085518E"/>
    <w:rsid w:val="00855287"/>
    <w:rsid w:val="0085569A"/>
    <w:rsid w:val="00855D3D"/>
    <w:rsid w:val="00856146"/>
    <w:rsid w:val="008562D6"/>
    <w:rsid w:val="0085636C"/>
    <w:rsid w:val="00856667"/>
    <w:rsid w:val="0085671B"/>
    <w:rsid w:val="00856A35"/>
    <w:rsid w:val="008570FE"/>
    <w:rsid w:val="00857823"/>
    <w:rsid w:val="00857B87"/>
    <w:rsid w:val="00860039"/>
    <w:rsid w:val="008607FB"/>
    <w:rsid w:val="00860D0E"/>
    <w:rsid w:val="00860DD0"/>
    <w:rsid w:val="00862623"/>
    <w:rsid w:val="00862A68"/>
    <w:rsid w:val="00862C93"/>
    <w:rsid w:val="00863059"/>
    <w:rsid w:val="008633BE"/>
    <w:rsid w:val="00863C92"/>
    <w:rsid w:val="00864143"/>
    <w:rsid w:val="0086529F"/>
    <w:rsid w:val="00865474"/>
    <w:rsid w:val="00865AE6"/>
    <w:rsid w:val="00865E3A"/>
    <w:rsid w:val="00865FF3"/>
    <w:rsid w:val="0086605E"/>
    <w:rsid w:val="00866095"/>
    <w:rsid w:val="00866417"/>
    <w:rsid w:val="00866D7E"/>
    <w:rsid w:val="00866DA3"/>
    <w:rsid w:val="00867815"/>
    <w:rsid w:val="0086799F"/>
    <w:rsid w:val="00867A12"/>
    <w:rsid w:val="00867CC2"/>
    <w:rsid w:val="00870A60"/>
    <w:rsid w:val="0087102C"/>
    <w:rsid w:val="00871394"/>
    <w:rsid w:val="00871738"/>
    <w:rsid w:val="00871BA2"/>
    <w:rsid w:val="008722AA"/>
    <w:rsid w:val="008724B7"/>
    <w:rsid w:val="008725F9"/>
    <w:rsid w:val="00872DF1"/>
    <w:rsid w:val="00872E78"/>
    <w:rsid w:val="00872F9E"/>
    <w:rsid w:val="00873BC7"/>
    <w:rsid w:val="00873EDC"/>
    <w:rsid w:val="008740D9"/>
    <w:rsid w:val="008740DD"/>
    <w:rsid w:val="008744FF"/>
    <w:rsid w:val="00875453"/>
    <w:rsid w:val="0087591E"/>
    <w:rsid w:val="0087593F"/>
    <w:rsid w:val="00875DB0"/>
    <w:rsid w:val="008766F6"/>
    <w:rsid w:val="00876C54"/>
    <w:rsid w:val="00876DA3"/>
    <w:rsid w:val="00876F64"/>
    <w:rsid w:val="008772DF"/>
    <w:rsid w:val="00877C9E"/>
    <w:rsid w:val="008800F6"/>
    <w:rsid w:val="0088012F"/>
    <w:rsid w:val="00880636"/>
    <w:rsid w:val="0088065E"/>
    <w:rsid w:val="008807AE"/>
    <w:rsid w:val="00880C6B"/>
    <w:rsid w:val="00880F51"/>
    <w:rsid w:val="00881562"/>
    <w:rsid w:val="00881DC7"/>
    <w:rsid w:val="00881FE7"/>
    <w:rsid w:val="0088202E"/>
    <w:rsid w:val="00882811"/>
    <w:rsid w:val="008828E2"/>
    <w:rsid w:val="00882937"/>
    <w:rsid w:val="00882D64"/>
    <w:rsid w:val="00882F0E"/>
    <w:rsid w:val="008831FC"/>
    <w:rsid w:val="0088357D"/>
    <w:rsid w:val="00883B5A"/>
    <w:rsid w:val="00883C92"/>
    <w:rsid w:val="00884216"/>
    <w:rsid w:val="00884319"/>
    <w:rsid w:val="00884973"/>
    <w:rsid w:val="00884BF8"/>
    <w:rsid w:val="00884EBA"/>
    <w:rsid w:val="00884FAB"/>
    <w:rsid w:val="0088531A"/>
    <w:rsid w:val="0088570D"/>
    <w:rsid w:val="008858FE"/>
    <w:rsid w:val="00885A3B"/>
    <w:rsid w:val="00885F16"/>
    <w:rsid w:val="00886DE6"/>
    <w:rsid w:val="00887227"/>
    <w:rsid w:val="00887931"/>
    <w:rsid w:val="008879C4"/>
    <w:rsid w:val="00887EE9"/>
    <w:rsid w:val="008900FF"/>
    <w:rsid w:val="008904B6"/>
    <w:rsid w:val="0089084E"/>
    <w:rsid w:val="00890E85"/>
    <w:rsid w:val="00891553"/>
    <w:rsid w:val="0089198F"/>
    <w:rsid w:val="00891CAE"/>
    <w:rsid w:val="00892138"/>
    <w:rsid w:val="0089213D"/>
    <w:rsid w:val="0089219B"/>
    <w:rsid w:val="008927EC"/>
    <w:rsid w:val="00892C7A"/>
    <w:rsid w:val="00892FF2"/>
    <w:rsid w:val="0089323D"/>
    <w:rsid w:val="00893511"/>
    <w:rsid w:val="00893763"/>
    <w:rsid w:val="00893996"/>
    <w:rsid w:val="00893CCF"/>
    <w:rsid w:val="00895BD4"/>
    <w:rsid w:val="00896137"/>
    <w:rsid w:val="00896C4E"/>
    <w:rsid w:val="00896CC7"/>
    <w:rsid w:val="00896F15"/>
    <w:rsid w:val="00896FE3"/>
    <w:rsid w:val="008971B8"/>
    <w:rsid w:val="00897554"/>
    <w:rsid w:val="00897D4E"/>
    <w:rsid w:val="00897D66"/>
    <w:rsid w:val="008A0387"/>
    <w:rsid w:val="008A09BF"/>
    <w:rsid w:val="008A0BBF"/>
    <w:rsid w:val="008A1033"/>
    <w:rsid w:val="008A183B"/>
    <w:rsid w:val="008A20DB"/>
    <w:rsid w:val="008A22AB"/>
    <w:rsid w:val="008A28BD"/>
    <w:rsid w:val="008A3132"/>
    <w:rsid w:val="008A32A6"/>
    <w:rsid w:val="008A3D81"/>
    <w:rsid w:val="008A4351"/>
    <w:rsid w:val="008A4819"/>
    <w:rsid w:val="008A4AF8"/>
    <w:rsid w:val="008A4B23"/>
    <w:rsid w:val="008A4B6C"/>
    <w:rsid w:val="008A4D08"/>
    <w:rsid w:val="008A4D54"/>
    <w:rsid w:val="008A54E4"/>
    <w:rsid w:val="008A5D1A"/>
    <w:rsid w:val="008A5DDC"/>
    <w:rsid w:val="008A6441"/>
    <w:rsid w:val="008A6715"/>
    <w:rsid w:val="008A674C"/>
    <w:rsid w:val="008A6AB0"/>
    <w:rsid w:val="008A6D59"/>
    <w:rsid w:val="008A6EB2"/>
    <w:rsid w:val="008A6EFC"/>
    <w:rsid w:val="008A73DC"/>
    <w:rsid w:val="008A7ED4"/>
    <w:rsid w:val="008B0367"/>
    <w:rsid w:val="008B06B8"/>
    <w:rsid w:val="008B0C2D"/>
    <w:rsid w:val="008B0C3B"/>
    <w:rsid w:val="008B0ECD"/>
    <w:rsid w:val="008B0FF6"/>
    <w:rsid w:val="008B11E6"/>
    <w:rsid w:val="008B179C"/>
    <w:rsid w:val="008B1CA9"/>
    <w:rsid w:val="008B22B3"/>
    <w:rsid w:val="008B242F"/>
    <w:rsid w:val="008B276C"/>
    <w:rsid w:val="008B30E7"/>
    <w:rsid w:val="008B34F8"/>
    <w:rsid w:val="008B38F7"/>
    <w:rsid w:val="008B3993"/>
    <w:rsid w:val="008B448E"/>
    <w:rsid w:val="008B4510"/>
    <w:rsid w:val="008B4547"/>
    <w:rsid w:val="008B47B2"/>
    <w:rsid w:val="008B4865"/>
    <w:rsid w:val="008B488D"/>
    <w:rsid w:val="008B4B85"/>
    <w:rsid w:val="008B4EC5"/>
    <w:rsid w:val="008B4F9C"/>
    <w:rsid w:val="008B50A5"/>
    <w:rsid w:val="008B5AE4"/>
    <w:rsid w:val="008B5C33"/>
    <w:rsid w:val="008B6119"/>
    <w:rsid w:val="008B69DE"/>
    <w:rsid w:val="008B6B29"/>
    <w:rsid w:val="008B6B78"/>
    <w:rsid w:val="008B75AE"/>
    <w:rsid w:val="008B7692"/>
    <w:rsid w:val="008B78EA"/>
    <w:rsid w:val="008B79EB"/>
    <w:rsid w:val="008B7B47"/>
    <w:rsid w:val="008B7C9C"/>
    <w:rsid w:val="008B7E1E"/>
    <w:rsid w:val="008C04AE"/>
    <w:rsid w:val="008C0794"/>
    <w:rsid w:val="008C08CB"/>
    <w:rsid w:val="008C0EBC"/>
    <w:rsid w:val="008C151C"/>
    <w:rsid w:val="008C1B96"/>
    <w:rsid w:val="008C1E63"/>
    <w:rsid w:val="008C292E"/>
    <w:rsid w:val="008C2A3A"/>
    <w:rsid w:val="008C2DA8"/>
    <w:rsid w:val="008C2F8B"/>
    <w:rsid w:val="008C342C"/>
    <w:rsid w:val="008C3A26"/>
    <w:rsid w:val="008C40EC"/>
    <w:rsid w:val="008C457E"/>
    <w:rsid w:val="008C5150"/>
    <w:rsid w:val="008C531F"/>
    <w:rsid w:val="008C5618"/>
    <w:rsid w:val="008C5AA8"/>
    <w:rsid w:val="008C60EA"/>
    <w:rsid w:val="008C6CDC"/>
    <w:rsid w:val="008C6EF6"/>
    <w:rsid w:val="008C70E7"/>
    <w:rsid w:val="008C71C1"/>
    <w:rsid w:val="008C7564"/>
    <w:rsid w:val="008C7656"/>
    <w:rsid w:val="008C786A"/>
    <w:rsid w:val="008C7DDC"/>
    <w:rsid w:val="008C7EA1"/>
    <w:rsid w:val="008D07C6"/>
    <w:rsid w:val="008D0C2C"/>
    <w:rsid w:val="008D0F8B"/>
    <w:rsid w:val="008D1221"/>
    <w:rsid w:val="008D1A1E"/>
    <w:rsid w:val="008D1ADB"/>
    <w:rsid w:val="008D23D4"/>
    <w:rsid w:val="008D2B83"/>
    <w:rsid w:val="008D3006"/>
    <w:rsid w:val="008D3417"/>
    <w:rsid w:val="008D3451"/>
    <w:rsid w:val="008D3C26"/>
    <w:rsid w:val="008D4165"/>
    <w:rsid w:val="008D4571"/>
    <w:rsid w:val="008D46CE"/>
    <w:rsid w:val="008D4A49"/>
    <w:rsid w:val="008D4C0D"/>
    <w:rsid w:val="008D4C2B"/>
    <w:rsid w:val="008D6BA0"/>
    <w:rsid w:val="008D6DA4"/>
    <w:rsid w:val="008D70CF"/>
    <w:rsid w:val="008D7236"/>
    <w:rsid w:val="008D73D7"/>
    <w:rsid w:val="008D74A9"/>
    <w:rsid w:val="008D78A3"/>
    <w:rsid w:val="008E041C"/>
    <w:rsid w:val="008E0EB6"/>
    <w:rsid w:val="008E14CD"/>
    <w:rsid w:val="008E18BC"/>
    <w:rsid w:val="008E1E84"/>
    <w:rsid w:val="008E2784"/>
    <w:rsid w:val="008E2A0C"/>
    <w:rsid w:val="008E2CF1"/>
    <w:rsid w:val="008E2D24"/>
    <w:rsid w:val="008E2F3F"/>
    <w:rsid w:val="008E36F1"/>
    <w:rsid w:val="008E3B2F"/>
    <w:rsid w:val="008E3EBD"/>
    <w:rsid w:val="008E3FD0"/>
    <w:rsid w:val="008E4008"/>
    <w:rsid w:val="008E498C"/>
    <w:rsid w:val="008E4B86"/>
    <w:rsid w:val="008E51CA"/>
    <w:rsid w:val="008E552F"/>
    <w:rsid w:val="008E570A"/>
    <w:rsid w:val="008E5928"/>
    <w:rsid w:val="008E5933"/>
    <w:rsid w:val="008E6518"/>
    <w:rsid w:val="008E6623"/>
    <w:rsid w:val="008E6787"/>
    <w:rsid w:val="008E6AF6"/>
    <w:rsid w:val="008E71D9"/>
    <w:rsid w:val="008E75F2"/>
    <w:rsid w:val="008E7945"/>
    <w:rsid w:val="008E7B8A"/>
    <w:rsid w:val="008F0829"/>
    <w:rsid w:val="008F08CE"/>
    <w:rsid w:val="008F0ADC"/>
    <w:rsid w:val="008F0B18"/>
    <w:rsid w:val="008F0B25"/>
    <w:rsid w:val="008F0C51"/>
    <w:rsid w:val="008F14F5"/>
    <w:rsid w:val="008F153F"/>
    <w:rsid w:val="008F168E"/>
    <w:rsid w:val="008F1A05"/>
    <w:rsid w:val="008F1A6D"/>
    <w:rsid w:val="008F1ABA"/>
    <w:rsid w:val="008F1C72"/>
    <w:rsid w:val="008F2136"/>
    <w:rsid w:val="008F226A"/>
    <w:rsid w:val="008F2498"/>
    <w:rsid w:val="008F2936"/>
    <w:rsid w:val="008F32EB"/>
    <w:rsid w:val="008F354E"/>
    <w:rsid w:val="008F360D"/>
    <w:rsid w:val="008F3CA2"/>
    <w:rsid w:val="008F3D53"/>
    <w:rsid w:val="008F3F57"/>
    <w:rsid w:val="008F4A09"/>
    <w:rsid w:val="008F4A63"/>
    <w:rsid w:val="008F4AC0"/>
    <w:rsid w:val="008F52A7"/>
    <w:rsid w:val="008F5328"/>
    <w:rsid w:val="008F5637"/>
    <w:rsid w:val="008F5C98"/>
    <w:rsid w:val="008F6EBC"/>
    <w:rsid w:val="008F7306"/>
    <w:rsid w:val="008F765D"/>
    <w:rsid w:val="008F7CED"/>
    <w:rsid w:val="00900738"/>
    <w:rsid w:val="00900920"/>
    <w:rsid w:val="00900D64"/>
    <w:rsid w:val="009012A0"/>
    <w:rsid w:val="0090133E"/>
    <w:rsid w:val="009020B5"/>
    <w:rsid w:val="009021F1"/>
    <w:rsid w:val="00902376"/>
    <w:rsid w:val="0090266F"/>
    <w:rsid w:val="0090295F"/>
    <w:rsid w:val="00902ABD"/>
    <w:rsid w:val="00903375"/>
    <w:rsid w:val="00903F29"/>
    <w:rsid w:val="0090445B"/>
    <w:rsid w:val="00905100"/>
    <w:rsid w:val="00905B43"/>
    <w:rsid w:val="00905DCB"/>
    <w:rsid w:val="00905E99"/>
    <w:rsid w:val="00905F95"/>
    <w:rsid w:val="00905FA8"/>
    <w:rsid w:val="009064DD"/>
    <w:rsid w:val="009066FC"/>
    <w:rsid w:val="00906776"/>
    <w:rsid w:val="00906785"/>
    <w:rsid w:val="009069E0"/>
    <w:rsid w:val="00906E10"/>
    <w:rsid w:val="00907D0A"/>
    <w:rsid w:val="0091003B"/>
    <w:rsid w:val="0091037B"/>
    <w:rsid w:val="009106E1"/>
    <w:rsid w:val="00910835"/>
    <w:rsid w:val="00910BFD"/>
    <w:rsid w:val="00911568"/>
    <w:rsid w:val="009115DF"/>
    <w:rsid w:val="0091169B"/>
    <w:rsid w:val="00911D4C"/>
    <w:rsid w:val="00912066"/>
    <w:rsid w:val="009127C4"/>
    <w:rsid w:val="00912BBE"/>
    <w:rsid w:val="0091300F"/>
    <w:rsid w:val="00913041"/>
    <w:rsid w:val="00913207"/>
    <w:rsid w:val="009134C9"/>
    <w:rsid w:val="0091363C"/>
    <w:rsid w:val="00913CE3"/>
    <w:rsid w:val="00914032"/>
    <w:rsid w:val="00914822"/>
    <w:rsid w:val="00914879"/>
    <w:rsid w:val="00914B6C"/>
    <w:rsid w:val="009155DB"/>
    <w:rsid w:val="00915BE2"/>
    <w:rsid w:val="00915E7B"/>
    <w:rsid w:val="00915FF9"/>
    <w:rsid w:val="00916130"/>
    <w:rsid w:val="00916BF2"/>
    <w:rsid w:val="0091756C"/>
    <w:rsid w:val="009178F0"/>
    <w:rsid w:val="00917E02"/>
    <w:rsid w:val="00917E1A"/>
    <w:rsid w:val="00920141"/>
    <w:rsid w:val="00920917"/>
    <w:rsid w:val="0092152E"/>
    <w:rsid w:val="0092165A"/>
    <w:rsid w:val="00921914"/>
    <w:rsid w:val="00921920"/>
    <w:rsid w:val="00922068"/>
    <w:rsid w:val="0092256B"/>
    <w:rsid w:val="00922670"/>
    <w:rsid w:val="00922822"/>
    <w:rsid w:val="00922BC1"/>
    <w:rsid w:val="009231F2"/>
    <w:rsid w:val="00923358"/>
    <w:rsid w:val="00923F5C"/>
    <w:rsid w:val="00924177"/>
    <w:rsid w:val="009243DA"/>
    <w:rsid w:val="00924457"/>
    <w:rsid w:val="00924948"/>
    <w:rsid w:val="009254B7"/>
    <w:rsid w:val="009259A7"/>
    <w:rsid w:val="00926117"/>
    <w:rsid w:val="0092678F"/>
    <w:rsid w:val="00926B2F"/>
    <w:rsid w:val="00926EE7"/>
    <w:rsid w:val="00927135"/>
    <w:rsid w:val="00927350"/>
    <w:rsid w:val="00927407"/>
    <w:rsid w:val="009300D5"/>
    <w:rsid w:val="00930658"/>
    <w:rsid w:val="0093100F"/>
    <w:rsid w:val="009315F1"/>
    <w:rsid w:val="00931D8E"/>
    <w:rsid w:val="0093207D"/>
    <w:rsid w:val="00932081"/>
    <w:rsid w:val="009323D5"/>
    <w:rsid w:val="009324A8"/>
    <w:rsid w:val="0093253D"/>
    <w:rsid w:val="00932B1A"/>
    <w:rsid w:val="00932D98"/>
    <w:rsid w:val="00932ECE"/>
    <w:rsid w:val="009331B4"/>
    <w:rsid w:val="009334AC"/>
    <w:rsid w:val="0093384A"/>
    <w:rsid w:val="00933D0F"/>
    <w:rsid w:val="009344D4"/>
    <w:rsid w:val="009345BA"/>
    <w:rsid w:val="0093497E"/>
    <w:rsid w:val="009349FE"/>
    <w:rsid w:val="00934EFF"/>
    <w:rsid w:val="00934F13"/>
    <w:rsid w:val="009351DA"/>
    <w:rsid w:val="009353F8"/>
    <w:rsid w:val="0093582E"/>
    <w:rsid w:val="00935A4F"/>
    <w:rsid w:val="00935D0C"/>
    <w:rsid w:val="00936880"/>
    <w:rsid w:val="00936F44"/>
    <w:rsid w:val="0093777B"/>
    <w:rsid w:val="00937EC2"/>
    <w:rsid w:val="00937FB0"/>
    <w:rsid w:val="00940800"/>
    <w:rsid w:val="00941541"/>
    <w:rsid w:val="0094185C"/>
    <w:rsid w:val="00941B3E"/>
    <w:rsid w:val="00941C34"/>
    <w:rsid w:val="00941F4C"/>
    <w:rsid w:val="00942DA1"/>
    <w:rsid w:val="00943122"/>
    <w:rsid w:val="0094339E"/>
    <w:rsid w:val="00943490"/>
    <w:rsid w:val="00943531"/>
    <w:rsid w:val="0094366E"/>
    <w:rsid w:val="009436ED"/>
    <w:rsid w:val="00944032"/>
    <w:rsid w:val="00944288"/>
    <w:rsid w:val="009442A3"/>
    <w:rsid w:val="00944737"/>
    <w:rsid w:val="00944BFC"/>
    <w:rsid w:val="00944CA2"/>
    <w:rsid w:val="00945F92"/>
    <w:rsid w:val="00945FC4"/>
    <w:rsid w:val="009461BC"/>
    <w:rsid w:val="009462EF"/>
    <w:rsid w:val="009468A7"/>
    <w:rsid w:val="009469E6"/>
    <w:rsid w:val="00946A80"/>
    <w:rsid w:val="00946C5C"/>
    <w:rsid w:val="00946C63"/>
    <w:rsid w:val="00947090"/>
    <w:rsid w:val="00947A03"/>
    <w:rsid w:val="00950634"/>
    <w:rsid w:val="00950728"/>
    <w:rsid w:val="00950756"/>
    <w:rsid w:val="00950E39"/>
    <w:rsid w:val="009519F0"/>
    <w:rsid w:val="00952C24"/>
    <w:rsid w:val="00952ED7"/>
    <w:rsid w:val="00952FCD"/>
    <w:rsid w:val="00952FF5"/>
    <w:rsid w:val="009533E7"/>
    <w:rsid w:val="00953636"/>
    <w:rsid w:val="00953758"/>
    <w:rsid w:val="0095389B"/>
    <w:rsid w:val="0095452D"/>
    <w:rsid w:val="00954BCF"/>
    <w:rsid w:val="00954FE2"/>
    <w:rsid w:val="00955682"/>
    <w:rsid w:val="00955734"/>
    <w:rsid w:val="0095580F"/>
    <w:rsid w:val="00955C28"/>
    <w:rsid w:val="00955F66"/>
    <w:rsid w:val="00956202"/>
    <w:rsid w:val="00956D57"/>
    <w:rsid w:val="00956DC9"/>
    <w:rsid w:val="00956F56"/>
    <w:rsid w:val="00957224"/>
    <w:rsid w:val="00957963"/>
    <w:rsid w:val="00957C30"/>
    <w:rsid w:val="00957E07"/>
    <w:rsid w:val="009600CD"/>
    <w:rsid w:val="00960538"/>
    <w:rsid w:val="00960927"/>
    <w:rsid w:val="00961FC6"/>
    <w:rsid w:val="00962329"/>
    <w:rsid w:val="0096240F"/>
    <w:rsid w:val="00962E09"/>
    <w:rsid w:val="0096391D"/>
    <w:rsid w:val="00963C13"/>
    <w:rsid w:val="009644ED"/>
    <w:rsid w:val="009649DD"/>
    <w:rsid w:val="00964F06"/>
    <w:rsid w:val="0096545C"/>
    <w:rsid w:val="009654D8"/>
    <w:rsid w:val="00965C0A"/>
    <w:rsid w:val="00966357"/>
    <w:rsid w:val="00967E2C"/>
    <w:rsid w:val="00967E77"/>
    <w:rsid w:val="00967ED1"/>
    <w:rsid w:val="00967FCC"/>
    <w:rsid w:val="0097050A"/>
    <w:rsid w:val="0097079C"/>
    <w:rsid w:val="009707D7"/>
    <w:rsid w:val="0097097E"/>
    <w:rsid w:val="009712AE"/>
    <w:rsid w:val="009714C3"/>
    <w:rsid w:val="009717D8"/>
    <w:rsid w:val="0097190B"/>
    <w:rsid w:val="00971A2A"/>
    <w:rsid w:val="00971D1D"/>
    <w:rsid w:val="00971E5B"/>
    <w:rsid w:val="00971ED5"/>
    <w:rsid w:val="009724C3"/>
    <w:rsid w:val="0097269C"/>
    <w:rsid w:val="00972AA6"/>
    <w:rsid w:val="00972EC8"/>
    <w:rsid w:val="00973173"/>
    <w:rsid w:val="009732FC"/>
    <w:rsid w:val="0097366E"/>
    <w:rsid w:val="00973D3C"/>
    <w:rsid w:val="00974050"/>
    <w:rsid w:val="0097442E"/>
    <w:rsid w:val="00974A82"/>
    <w:rsid w:val="00974F85"/>
    <w:rsid w:val="00975018"/>
    <w:rsid w:val="0097508A"/>
    <w:rsid w:val="00975340"/>
    <w:rsid w:val="00975429"/>
    <w:rsid w:val="00975482"/>
    <w:rsid w:val="00975A59"/>
    <w:rsid w:val="00975A5B"/>
    <w:rsid w:val="00975C18"/>
    <w:rsid w:val="00975F9C"/>
    <w:rsid w:val="00976210"/>
    <w:rsid w:val="009762E0"/>
    <w:rsid w:val="009777B8"/>
    <w:rsid w:val="00980530"/>
    <w:rsid w:val="00980A44"/>
    <w:rsid w:val="00981380"/>
    <w:rsid w:val="009818B7"/>
    <w:rsid w:val="00981EEF"/>
    <w:rsid w:val="009821C9"/>
    <w:rsid w:val="0098271E"/>
    <w:rsid w:val="009827B4"/>
    <w:rsid w:val="00982915"/>
    <w:rsid w:val="00982C05"/>
    <w:rsid w:val="00983042"/>
    <w:rsid w:val="00983274"/>
    <w:rsid w:val="0098336C"/>
    <w:rsid w:val="00983580"/>
    <w:rsid w:val="00983A40"/>
    <w:rsid w:val="00984EFB"/>
    <w:rsid w:val="009851DA"/>
    <w:rsid w:val="009851EC"/>
    <w:rsid w:val="00985E91"/>
    <w:rsid w:val="00986251"/>
    <w:rsid w:val="0098684C"/>
    <w:rsid w:val="00986947"/>
    <w:rsid w:val="00986DBA"/>
    <w:rsid w:val="00986E66"/>
    <w:rsid w:val="00987034"/>
    <w:rsid w:val="00987158"/>
    <w:rsid w:val="00987243"/>
    <w:rsid w:val="009875D5"/>
    <w:rsid w:val="0098780C"/>
    <w:rsid w:val="00987891"/>
    <w:rsid w:val="00987896"/>
    <w:rsid w:val="009901FE"/>
    <w:rsid w:val="00990264"/>
    <w:rsid w:val="00990667"/>
    <w:rsid w:val="009914CD"/>
    <w:rsid w:val="00991883"/>
    <w:rsid w:val="00991B37"/>
    <w:rsid w:val="00992434"/>
    <w:rsid w:val="00992565"/>
    <w:rsid w:val="00992650"/>
    <w:rsid w:val="0099268E"/>
    <w:rsid w:val="00992924"/>
    <w:rsid w:val="00992B24"/>
    <w:rsid w:val="00992F5D"/>
    <w:rsid w:val="00993145"/>
    <w:rsid w:val="009932E6"/>
    <w:rsid w:val="00993716"/>
    <w:rsid w:val="00994090"/>
    <w:rsid w:val="00994702"/>
    <w:rsid w:val="00994EF8"/>
    <w:rsid w:val="00994F3D"/>
    <w:rsid w:val="00995123"/>
    <w:rsid w:val="00995EEF"/>
    <w:rsid w:val="009963AD"/>
    <w:rsid w:val="009966E7"/>
    <w:rsid w:val="00996BF5"/>
    <w:rsid w:val="009975A7"/>
    <w:rsid w:val="0099760D"/>
    <w:rsid w:val="009979C8"/>
    <w:rsid w:val="00997A02"/>
    <w:rsid w:val="00997CFA"/>
    <w:rsid w:val="00997D88"/>
    <w:rsid w:val="009A0136"/>
    <w:rsid w:val="009A041C"/>
    <w:rsid w:val="009A07D4"/>
    <w:rsid w:val="009A09EA"/>
    <w:rsid w:val="009A0D42"/>
    <w:rsid w:val="009A0E84"/>
    <w:rsid w:val="009A11ED"/>
    <w:rsid w:val="009A15B8"/>
    <w:rsid w:val="009A1788"/>
    <w:rsid w:val="009A228D"/>
    <w:rsid w:val="009A268C"/>
    <w:rsid w:val="009A2729"/>
    <w:rsid w:val="009A2783"/>
    <w:rsid w:val="009A2C3D"/>
    <w:rsid w:val="009A2DDF"/>
    <w:rsid w:val="009A3482"/>
    <w:rsid w:val="009A3512"/>
    <w:rsid w:val="009A35A6"/>
    <w:rsid w:val="009A364D"/>
    <w:rsid w:val="009A38E5"/>
    <w:rsid w:val="009A3CCA"/>
    <w:rsid w:val="009A4457"/>
    <w:rsid w:val="009A48B1"/>
    <w:rsid w:val="009A4B84"/>
    <w:rsid w:val="009A4F48"/>
    <w:rsid w:val="009A51FA"/>
    <w:rsid w:val="009A5D3F"/>
    <w:rsid w:val="009A63F7"/>
    <w:rsid w:val="009A6616"/>
    <w:rsid w:val="009A66EF"/>
    <w:rsid w:val="009A66F7"/>
    <w:rsid w:val="009A6B5E"/>
    <w:rsid w:val="009A6CB4"/>
    <w:rsid w:val="009A6FC3"/>
    <w:rsid w:val="009A75C8"/>
    <w:rsid w:val="009A7F3B"/>
    <w:rsid w:val="009B0435"/>
    <w:rsid w:val="009B065C"/>
    <w:rsid w:val="009B0A50"/>
    <w:rsid w:val="009B0DC3"/>
    <w:rsid w:val="009B0E23"/>
    <w:rsid w:val="009B0FCB"/>
    <w:rsid w:val="009B12EE"/>
    <w:rsid w:val="009B1CFC"/>
    <w:rsid w:val="009B22B4"/>
    <w:rsid w:val="009B2617"/>
    <w:rsid w:val="009B269B"/>
    <w:rsid w:val="009B27AB"/>
    <w:rsid w:val="009B2A14"/>
    <w:rsid w:val="009B2A33"/>
    <w:rsid w:val="009B3384"/>
    <w:rsid w:val="009B33AF"/>
    <w:rsid w:val="009B358F"/>
    <w:rsid w:val="009B3B8B"/>
    <w:rsid w:val="009B43FB"/>
    <w:rsid w:val="009B459E"/>
    <w:rsid w:val="009B4BA2"/>
    <w:rsid w:val="009B4D08"/>
    <w:rsid w:val="009B57C2"/>
    <w:rsid w:val="009B6678"/>
    <w:rsid w:val="009B66F6"/>
    <w:rsid w:val="009B6DA5"/>
    <w:rsid w:val="009B6DF6"/>
    <w:rsid w:val="009B70BB"/>
    <w:rsid w:val="009B7222"/>
    <w:rsid w:val="009B72F1"/>
    <w:rsid w:val="009B736E"/>
    <w:rsid w:val="009B7538"/>
    <w:rsid w:val="009C0363"/>
    <w:rsid w:val="009C036F"/>
    <w:rsid w:val="009C078B"/>
    <w:rsid w:val="009C09B7"/>
    <w:rsid w:val="009C09E3"/>
    <w:rsid w:val="009C1543"/>
    <w:rsid w:val="009C23A5"/>
    <w:rsid w:val="009C2487"/>
    <w:rsid w:val="009C3AD7"/>
    <w:rsid w:val="009C418F"/>
    <w:rsid w:val="009C4293"/>
    <w:rsid w:val="009C45F5"/>
    <w:rsid w:val="009C4686"/>
    <w:rsid w:val="009C4E18"/>
    <w:rsid w:val="009C4F8F"/>
    <w:rsid w:val="009C50AE"/>
    <w:rsid w:val="009C52B8"/>
    <w:rsid w:val="009C548E"/>
    <w:rsid w:val="009C5764"/>
    <w:rsid w:val="009C5CEA"/>
    <w:rsid w:val="009C5E15"/>
    <w:rsid w:val="009C630A"/>
    <w:rsid w:val="009C64F6"/>
    <w:rsid w:val="009C6A4C"/>
    <w:rsid w:val="009C6B6B"/>
    <w:rsid w:val="009C6C66"/>
    <w:rsid w:val="009C747F"/>
    <w:rsid w:val="009C7934"/>
    <w:rsid w:val="009C7A7B"/>
    <w:rsid w:val="009C7B65"/>
    <w:rsid w:val="009D0092"/>
    <w:rsid w:val="009D00CC"/>
    <w:rsid w:val="009D07E6"/>
    <w:rsid w:val="009D0830"/>
    <w:rsid w:val="009D08F3"/>
    <w:rsid w:val="009D13AF"/>
    <w:rsid w:val="009D1AE1"/>
    <w:rsid w:val="009D1E41"/>
    <w:rsid w:val="009D1EF3"/>
    <w:rsid w:val="009D2BE3"/>
    <w:rsid w:val="009D2CE1"/>
    <w:rsid w:val="009D2F30"/>
    <w:rsid w:val="009D34D1"/>
    <w:rsid w:val="009D3761"/>
    <w:rsid w:val="009D388E"/>
    <w:rsid w:val="009D38BF"/>
    <w:rsid w:val="009D3E7A"/>
    <w:rsid w:val="009D45A2"/>
    <w:rsid w:val="009D45CA"/>
    <w:rsid w:val="009D49F3"/>
    <w:rsid w:val="009D4B1D"/>
    <w:rsid w:val="009D52CE"/>
    <w:rsid w:val="009D5AAE"/>
    <w:rsid w:val="009D5E04"/>
    <w:rsid w:val="009D5F28"/>
    <w:rsid w:val="009D5F9D"/>
    <w:rsid w:val="009D65F2"/>
    <w:rsid w:val="009D65FC"/>
    <w:rsid w:val="009D66A9"/>
    <w:rsid w:val="009D6F01"/>
    <w:rsid w:val="009D6FBF"/>
    <w:rsid w:val="009D7070"/>
    <w:rsid w:val="009D73FD"/>
    <w:rsid w:val="009D74E5"/>
    <w:rsid w:val="009D7A55"/>
    <w:rsid w:val="009D7ABA"/>
    <w:rsid w:val="009D7D41"/>
    <w:rsid w:val="009E003D"/>
    <w:rsid w:val="009E0064"/>
    <w:rsid w:val="009E0482"/>
    <w:rsid w:val="009E05C8"/>
    <w:rsid w:val="009E06CB"/>
    <w:rsid w:val="009E08E2"/>
    <w:rsid w:val="009E0A70"/>
    <w:rsid w:val="009E14E4"/>
    <w:rsid w:val="009E1522"/>
    <w:rsid w:val="009E18BF"/>
    <w:rsid w:val="009E1AAD"/>
    <w:rsid w:val="009E258D"/>
    <w:rsid w:val="009E2B69"/>
    <w:rsid w:val="009E33C5"/>
    <w:rsid w:val="009E3675"/>
    <w:rsid w:val="009E36FE"/>
    <w:rsid w:val="009E3B5C"/>
    <w:rsid w:val="009E4237"/>
    <w:rsid w:val="009E43FD"/>
    <w:rsid w:val="009E4586"/>
    <w:rsid w:val="009E45B4"/>
    <w:rsid w:val="009E45DE"/>
    <w:rsid w:val="009E4645"/>
    <w:rsid w:val="009E52DD"/>
    <w:rsid w:val="009E5460"/>
    <w:rsid w:val="009E5DFD"/>
    <w:rsid w:val="009E5EFD"/>
    <w:rsid w:val="009E6E6A"/>
    <w:rsid w:val="009E7030"/>
    <w:rsid w:val="009E71E5"/>
    <w:rsid w:val="009F085B"/>
    <w:rsid w:val="009F0A7D"/>
    <w:rsid w:val="009F0CDE"/>
    <w:rsid w:val="009F1039"/>
    <w:rsid w:val="009F117E"/>
    <w:rsid w:val="009F1985"/>
    <w:rsid w:val="009F1F22"/>
    <w:rsid w:val="009F259C"/>
    <w:rsid w:val="009F2C0A"/>
    <w:rsid w:val="009F2D52"/>
    <w:rsid w:val="009F2D7E"/>
    <w:rsid w:val="009F2D9E"/>
    <w:rsid w:val="009F309B"/>
    <w:rsid w:val="009F3214"/>
    <w:rsid w:val="009F334F"/>
    <w:rsid w:val="009F347D"/>
    <w:rsid w:val="009F3571"/>
    <w:rsid w:val="009F3CB4"/>
    <w:rsid w:val="009F3CE6"/>
    <w:rsid w:val="009F42BB"/>
    <w:rsid w:val="009F46E6"/>
    <w:rsid w:val="009F4757"/>
    <w:rsid w:val="009F478D"/>
    <w:rsid w:val="009F49D2"/>
    <w:rsid w:val="009F4AA3"/>
    <w:rsid w:val="009F4B62"/>
    <w:rsid w:val="009F4C0F"/>
    <w:rsid w:val="009F4D46"/>
    <w:rsid w:val="009F54E3"/>
    <w:rsid w:val="009F5914"/>
    <w:rsid w:val="009F5D5E"/>
    <w:rsid w:val="009F5E46"/>
    <w:rsid w:val="009F5F9D"/>
    <w:rsid w:val="009F65AE"/>
    <w:rsid w:val="009F677D"/>
    <w:rsid w:val="009F6A57"/>
    <w:rsid w:val="009F6C98"/>
    <w:rsid w:val="009F6F55"/>
    <w:rsid w:val="009F73F1"/>
    <w:rsid w:val="009F7559"/>
    <w:rsid w:val="00A00657"/>
    <w:rsid w:val="00A01579"/>
    <w:rsid w:val="00A01B9F"/>
    <w:rsid w:val="00A01D32"/>
    <w:rsid w:val="00A02295"/>
    <w:rsid w:val="00A02D05"/>
    <w:rsid w:val="00A02E6B"/>
    <w:rsid w:val="00A0321C"/>
    <w:rsid w:val="00A0336E"/>
    <w:rsid w:val="00A0356C"/>
    <w:rsid w:val="00A03722"/>
    <w:rsid w:val="00A0383B"/>
    <w:rsid w:val="00A03D63"/>
    <w:rsid w:val="00A03DE9"/>
    <w:rsid w:val="00A048B6"/>
    <w:rsid w:val="00A04A85"/>
    <w:rsid w:val="00A04AFC"/>
    <w:rsid w:val="00A04B92"/>
    <w:rsid w:val="00A050AA"/>
    <w:rsid w:val="00A05A32"/>
    <w:rsid w:val="00A05ADF"/>
    <w:rsid w:val="00A05AF1"/>
    <w:rsid w:val="00A061DB"/>
    <w:rsid w:val="00A06D73"/>
    <w:rsid w:val="00A06EDC"/>
    <w:rsid w:val="00A06F04"/>
    <w:rsid w:val="00A07196"/>
    <w:rsid w:val="00A075B1"/>
    <w:rsid w:val="00A07820"/>
    <w:rsid w:val="00A079EE"/>
    <w:rsid w:val="00A07DBE"/>
    <w:rsid w:val="00A10D05"/>
    <w:rsid w:val="00A1106F"/>
    <w:rsid w:val="00A11399"/>
    <w:rsid w:val="00A1156B"/>
    <w:rsid w:val="00A115EA"/>
    <w:rsid w:val="00A11761"/>
    <w:rsid w:val="00A117C4"/>
    <w:rsid w:val="00A11971"/>
    <w:rsid w:val="00A126FA"/>
    <w:rsid w:val="00A12D3A"/>
    <w:rsid w:val="00A1356F"/>
    <w:rsid w:val="00A14124"/>
    <w:rsid w:val="00A14716"/>
    <w:rsid w:val="00A14AA3"/>
    <w:rsid w:val="00A14B95"/>
    <w:rsid w:val="00A14C26"/>
    <w:rsid w:val="00A1566B"/>
    <w:rsid w:val="00A15DAD"/>
    <w:rsid w:val="00A16002"/>
    <w:rsid w:val="00A160B6"/>
    <w:rsid w:val="00A16494"/>
    <w:rsid w:val="00A167DF"/>
    <w:rsid w:val="00A16AED"/>
    <w:rsid w:val="00A16BCC"/>
    <w:rsid w:val="00A16E8D"/>
    <w:rsid w:val="00A16FED"/>
    <w:rsid w:val="00A173AD"/>
    <w:rsid w:val="00A17BF9"/>
    <w:rsid w:val="00A2035D"/>
    <w:rsid w:val="00A2039E"/>
    <w:rsid w:val="00A203C7"/>
    <w:rsid w:val="00A20424"/>
    <w:rsid w:val="00A20448"/>
    <w:rsid w:val="00A20A30"/>
    <w:rsid w:val="00A20DA9"/>
    <w:rsid w:val="00A2112A"/>
    <w:rsid w:val="00A214CF"/>
    <w:rsid w:val="00A214E3"/>
    <w:rsid w:val="00A21DA3"/>
    <w:rsid w:val="00A21F30"/>
    <w:rsid w:val="00A22B81"/>
    <w:rsid w:val="00A22DD3"/>
    <w:rsid w:val="00A22FD6"/>
    <w:rsid w:val="00A23537"/>
    <w:rsid w:val="00A23D55"/>
    <w:rsid w:val="00A244D7"/>
    <w:rsid w:val="00A247A3"/>
    <w:rsid w:val="00A249AF"/>
    <w:rsid w:val="00A24A04"/>
    <w:rsid w:val="00A2536A"/>
    <w:rsid w:val="00A254CA"/>
    <w:rsid w:val="00A25594"/>
    <w:rsid w:val="00A256DF"/>
    <w:rsid w:val="00A25807"/>
    <w:rsid w:val="00A260C1"/>
    <w:rsid w:val="00A26683"/>
    <w:rsid w:val="00A26BC5"/>
    <w:rsid w:val="00A26DB4"/>
    <w:rsid w:val="00A2714D"/>
    <w:rsid w:val="00A27447"/>
    <w:rsid w:val="00A278F9"/>
    <w:rsid w:val="00A27B95"/>
    <w:rsid w:val="00A27D7F"/>
    <w:rsid w:val="00A27FC7"/>
    <w:rsid w:val="00A3154D"/>
    <w:rsid w:val="00A32503"/>
    <w:rsid w:val="00A326BA"/>
    <w:rsid w:val="00A3299D"/>
    <w:rsid w:val="00A32D7A"/>
    <w:rsid w:val="00A32E0D"/>
    <w:rsid w:val="00A331D2"/>
    <w:rsid w:val="00A33247"/>
    <w:rsid w:val="00A334D6"/>
    <w:rsid w:val="00A339B1"/>
    <w:rsid w:val="00A340D1"/>
    <w:rsid w:val="00A341DC"/>
    <w:rsid w:val="00A348DC"/>
    <w:rsid w:val="00A34D17"/>
    <w:rsid w:val="00A34DB1"/>
    <w:rsid w:val="00A3548C"/>
    <w:rsid w:val="00A363FA"/>
    <w:rsid w:val="00A3653A"/>
    <w:rsid w:val="00A36686"/>
    <w:rsid w:val="00A36E7D"/>
    <w:rsid w:val="00A374C7"/>
    <w:rsid w:val="00A37727"/>
    <w:rsid w:val="00A37811"/>
    <w:rsid w:val="00A3797F"/>
    <w:rsid w:val="00A37D51"/>
    <w:rsid w:val="00A37F98"/>
    <w:rsid w:val="00A40CEC"/>
    <w:rsid w:val="00A41062"/>
    <w:rsid w:val="00A419AF"/>
    <w:rsid w:val="00A42328"/>
    <w:rsid w:val="00A4299E"/>
    <w:rsid w:val="00A43019"/>
    <w:rsid w:val="00A434B6"/>
    <w:rsid w:val="00A4386C"/>
    <w:rsid w:val="00A43A94"/>
    <w:rsid w:val="00A43D38"/>
    <w:rsid w:val="00A44E9E"/>
    <w:rsid w:val="00A4506E"/>
    <w:rsid w:val="00A450EC"/>
    <w:rsid w:val="00A453FE"/>
    <w:rsid w:val="00A454AC"/>
    <w:rsid w:val="00A45559"/>
    <w:rsid w:val="00A456F4"/>
    <w:rsid w:val="00A45C26"/>
    <w:rsid w:val="00A46037"/>
    <w:rsid w:val="00A462FC"/>
    <w:rsid w:val="00A463E4"/>
    <w:rsid w:val="00A46415"/>
    <w:rsid w:val="00A46705"/>
    <w:rsid w:val="00A46721"/>
    <w:rsid w:val="00A47074"/>
    <w:rsid w:val="00A47135"/>
    <w:rsid w:val="00A4728F"/>
    <w:rsid w:val="00A473FD"/>
    <w:rsid w:val="00A47431"/>
    <w:rsid w:val="00A47736"/>
    <w:rsid w:val="00A47C17"/>
    <w:rsid w:val="00A47FF3"/>
    <w:rsid w:val="00A502D9"/>
    <w:rsid w:val="00A505D4"/>
    <w:rsid w:val="00A50AFD"/>
    <w:rsid w:val="00A51139"/>
    <w:rsid w:val="00A51414"/>
    <w:rsid w:val="00A515F5"/>
    <w:rsid w:val="00A51872"/>
    <w:rsid w:val="00A518BC"/>
    <w:rsid w:val="00A51950"/>
    <w:rsid w:val="00A51B9E"/>
    <w:rsid w:val="00A526D6"/>
    <w:rsid w:val="00A52B84"/>
    <w:rsid w:val="00A52EB4"/>
    <w:rsid w:val="00A53117"/>
    <w:rsid w:val="00A534F9"/>
    <w:rsid w:val="00A53544"/>
    <w:rsid w:val="00A5390A"/>
    <w:rsid w:val="00A53A75"/>
    <w:rsid w:val="00A5450E"/>
    <w:rsid w:val="00A545FB"/>
    <w:rsid w:val="00A552B9"/>
    <w:rsid w:val="00A55538"/>
    <w:rsid w:val="00A565BA"/>
    <w:rsid w:val="00A57001"/>
    <w:rsid w:val="00A5717E"/>
    <w:rsid w:val="00A5730F"/>
    <w:rsid w:val="00A575E2"/>
    <w:rsid w:val="00A5769D"/>
    <w:rsid w:val="00A57D7D"/>
    <w:rsid w:val="00A6014F"/>
    <w:rsid w:val="00A60330"/>
    <w:rsid w:val="00A60CF0"/>
    <w:rsid w:val="00A60E31"/>
    <w:rsid w:val="00A60ED3"/>
    <w:rsid w:val="00A61149"/>
    <w:rsid w:val="00A61246"/>
    <w:rsid w:val="00A61465"/>
    <w:rsid w:val="00A621B0"/>
    <w:rsid w:val="00A621D2"/>
    <w:rsid w:val="00A62350"/>
    <w:rsid w:val="00A623D6"/>
    <w:rsid w:val="00A623D8"/>
    <w:rsid w:val="00A626D6"/>
    <w:rsid w:val="00A629FF"/>
    <w:rsid w:val="00A62B46"/>
    <w:rsid w:val="00A62B9D"/>
    <w:rsid w:val="00A62F0F"/>
    <w:rsid w:val="00A63886"/>
    <w:rsid w:val="00A63969"/>
    <w:rsid w:val="00A63A63"/>
    <w:rsid w:val="00A63D2C"/>
    <w:rsid w:val="00A63EA5"/>
    <w:rsid w:val="00A6416A"/>
    <w:rsid w:val="00A644FD"/>
    <w:rsid w:val="00A645B8"/>
    <w:rsid w:val="00A64D01"/>
    <w:rsid w:val="00A654FE"/>
    <w:rsid w:val="00A6567A"/>
    <w:rsid w:val="00A662C5"/>
    <w:rsid w:val="00A664FA"/>
    <w:rsid w:val="00A667BE"/>
    <w:rsid w:val="00A66813"/>
    <w:rsid w:val="00A66DFC"/>
    <w:rsid w:val="00A674D7"/>
    <w:rsid w:val="00A7022B"/>
    <w:rsid w:val="00A70478"/>
    <w:rsid w:val="00A709A1"/>
    <w:rsid w:val="00A70F60"/>
    <w:rsid w:val="00A7190A"/>
    <w:rsid w:val="00A72044"/>
    <w:rsid w:val="00A72246"/>
    <w:rsid w:val="00A72750"/>
    <w:rsid w:val="00A728D0"/>
    <w:rsid w:val="00A73017"/>
    <w:rsid w:val="00A73170"/>
    <w:rsid w:val="00A736E4"/>
    <w:rsid w:val="00A74158"/>
    <w:rsid w:val="00A742D4"/>
    <w:rsid w:val="00A752C3"/>
    <w:rsid w:val="00A753D8"/>
    <w:rsid w:val="00A754C0"/>
    <w:rsid w:val="00A754FB"/>
    <w:rsid w:val="00A75628"/>
    <w:rsid w:val="00A75A33"/>
    <w:rsid w:val="00A75AA0"/>
    <w:rsid w:val="00A75D2C"/>
    <w:rsid w:val="00A75F83"/>
    <w:rsid w:val="00A76AC8"/>
    <w:rsid w:val="00A76AD3"/>
    <w:rsid w:val="00A7704F"/>
    <w:rsid w:val="00A770F8"/>
    <w:rsid w:val="00A7730D"/>
    <w:rsid w:val="00A773B6"/>
    <w:rsid w:val="00A77475"/>
    <w:rsid w:val="00A775EB"/>
    <w:rsid w:val="00A77C11"/>
    <w:rsid w:val="00A803E8"/>
    <w:rsid w:val="00A80BAF"/>
    <w:rsid w:val="00A80C25"/>
    <w:rsid w:val="00A80C9A"/>
    <w:rsid w:val="00A810C1"/>
    <w:rsid w:val="00A81206"/>
    <w:rsid w:val="00A81589"/>
    <w:rsid w:val="00A816EC"/>
    <w:rsid w:val="00A8176D"/>
    <w:rsid w:val="00A81E76"/>
    <w:rsid w:val="00A8245F"/>
    <w:rsid w:val="00A8259C"/>
    <w:rsid w:val="00A825F3"/>
    <w:rsid w:val="00A82B9F"/>
    <w:rsid w:val="00A837D0"/>
    <w:rsid w:val="00A83B01"/>
    <w:rsid w:val="00A83EBE"/>
    <w:rsid w:val="00A83F7E"/>
    <w:rsid w:val="00A84351"/>
    <w:rsid w:val="00A84569"/>
    <w:rsid w:val="00A84909"/>
    <w:rsid w:val="00A84912"/>
    <w:rsid w:val="00A84959"/>
    <w:rsid w:val="00A85817"/>
    <w:rsid w:val="00A85A66"/>
    <w:rsid w:val="00A85CBE"/>
    <w:rsid w:val="00A85E7C"/>
    <w:rsid w:val="00A8621D"/>
    <w:rsid w:val="00A86CF1"/>
    <w:rsid w:val="00A86D46"/>
    <w:rsid w:val="00A871F2"/>
    <w:rsid w:val="00A876E6"/>
    <w:rsid w:val="00A87D7B"/>
    <w:rsid w:val="00A901DF"/>
    <w:rsid w:val="00A90511"/>
    <w:rsid w:val="00A90E62"/>
    <w:rsid w:val="00A90EAA"/>
    <w:rsid w:val="00A90EB1"/>
    <w:rsid w:val="00A910E6"/>
    <w:rsid w:val="00A9148A"/>
    <w:rsid w:val="00A91C45"/>
    <w:rsid w:val="00A91C93"/>
    <w:rsid w:val="00A925C1"/>
    <w:rsid w:val="00A928C8"/>
    <w:rsid w:val="00A92FAB"/>
    <w:rsid w:val="00A93509"/>
    <w:rsid w:val="00A93511"/>
    <w:rsid w:val="00A93621"/>
    <w:rsid w:val="00A93659"/>
    <w:rsid w:val="00A9454F"/>
    <w:rsid w:val="00A94F6F"/>
    <w:rsid w:val="00A954CC"/>
    <w:rsid w:val="00A95A1E"/>
    <w:rsid w:val="00A95EB5"/>
    <w:rsid w:val="00A962F9"/>
    <w:rsid w:val="00A9644F"/>
    <w:rsid w:val="00A964B2"/>
    <w:rsid w:val="00A9709A"/>
    <w:rsid w:val="00A97615"/>
    <w:rsid w:val="00A978F8"/>
    <w:rsid w:val="00A97A35"/>
    <w:rsid w:val="00A97C85"/>
    <w:rsid w:val="00A97CFC"/>
    <w:rsid w:val="00AA06F5"/>
    <w:rsid w:val="00AA0B85"/>
    <w:rsid w:val="00AA1095"/>
    <w:rsid w:val="00AA1563"/>
    <w:rsid w:val="00AA15FD"/>
    <w:rsid w:val="00AA1A9D"/>
    <w:rsid w:val="00AA1BBB"/>
    <w:rsid w:val="00AA2FE4"/>
    <w:rsid w:val="00AA307D"/>
    <w:rsid w:val="00AA3783"/>
    <w:rsid w:val="00AA3AD1"/>
    <w:rsid w:val="00AA3BFA"/>
    <w:rsid w:val="00AA45FD"/>
    <w:rsid w:val="00AA495D"/>
    <w:rsid w:val="00AA4DE6"/>
    <w:rsid w:val="00AA4F87"/>
    <w:rsid w:val="00AA5277"/>
    <w:rsid w:val="00AA5763"/>
    <w:rsid w:val="00AA60BE"/>
    <w:rsid w:val="00AA7097"/>
    <w:rsid w:val="00AA7460"/>
    <w:rsid w:val="00AA74E7"/>
    <w:rsid w:val="00AB0283"/>
    <w:rsid w:val="00AB034F"/>
    <w:rsid w:val="00AB04E0"/>
    <w:rsid w:val="00AB0A19"/>
    <w:rsid w:val="00AB0AE7"/>
    <w:rsid w:val="00AB1341"/>
    <w:rsid w:val="00AB219D"/>
    <w:rsid w:val="00AB2265"/>
    <w:rsid w:val="00AB25D2"/>
    <w:rsid w:val="00AB2A49"/>
    <w:rsid w:val="00AB2BB8"/>
    <w:rsid w:val="00AB319E"/>
    <w:rsid w:val="00AB37E9"/>
    <w:rsid w:val="00AB3BA5"/>
    <w:rsid w:val="00AB40E5"/>
    <w:rsid w:val="00AB4B4D"/>
    <w:rsid w:val="00AB4B75"/>
    <w:rsid w:val="00AB533E"/>
    <w:rsid w:val="00AB5662"/>
    <w:rsid w:val="00AB56F6"/>
    <w:rsid w:val="00AB59AE"/>
    <w:rsid w:val="00AB5EFC"/>
    <w:rsid w:val="00AB6601"/>
    <w:rsid w:val="00AB6995"/>
    <w:rsid w:val="00AB6A12"/>
    <w:rsid w:val="00AB6E5F"/>
    <w:rsid w:val="00AB7071"/>
    <w:rsid w:val="00AB7105"/>
    <w:rsid w:val="00AB796D"/>
    <w:rsid w:val="00AC0911"/>
    <w:rsid w:val="00AC13D9"/>
    <w:rsid w:val="00AC15AB"/>
    <w:rsid w:val="00AC1718"/>
    <w:rsid w:val="00AC1AAA"/>
    <w:rsid w:val="00AC225C"/>
    <w:rsid w:val="00AC2BDC"/>
    <w:rsid w:val="00AC309A"/>
    <w:rsid w:val="00AC3401"/>
    <w:rsid w:val="00AC3828"/>
    <w:rsid w:val="00AC4324"/>
    <w:rsid w:val="00AC497A"/>
    <w:rsid w:val="00AC4B93"/>
    <w:rsid w:val="00AC4C69"/>
    <w:rsid w:val="00AC4DD6"/>
    <w:rsid w:val="00AC4E97"/>
    <w:rsid w:val="00AC4FFE"/>
    <w:rsid w:val="00AC582E"/>
    <w:rsid w:val="00AC586D"/>
    <w:rsid w:val="00AC591F"/>
    <w:rsid w:val="00AC6113"/>
    <w:rsid w:val="00AC67EC"/>
    <w:rsid w:val="00AC6A5A"/>
    <w:rsid w:val="00AC6C9E"/>
    <w:rsid w:val="00AC6DDF"/>
    <w:rsid w:val="00AC6EB6"/>
    <w:rsid w:val="00AC6EDB"/>
    <w:rsid w:val="00AC7388"/>
    <w:rsid w:val="00AC7598"/>
    <w:rsid w:val="00AC76EC"/>
    <w:rsid w:val="00AC7A65"/>
    <w:rsid w:val="00AC7C3A"/>
    <w:rsid w:val="00AD0049"/>
    <w:rsid w:val="00AD00A6"/>
    <w:rsid w:val="00AD017A"/>
    <w:rsid w:val="00AD0424"/>
    <w:rsid w:val="00AD04F1"/>
    <w:rsid w:val="00AD0609"/>
    <w:rsid w:val="00AD0E0B"/>
    <w:rsid w:val="00AD0E19"/>
    <w:rsid w:val="00AD1483"/>
    <w:rsid w:val="00AD182B"/>
    <w:rsid w:val="00AD1B79"/>
    <w:rsid w:val="00AD1E44"/>
    <w:rsid w:val="00AD2009"/>
    <w:rsid w:val="00AD2457"/>
    <w:rsid w:val="00AD2812"/>
    <w:rsid w:val="00AD2F5B"/>
    <w:rsid w:val="00AD3F58"/>
    <w:rsid w:val="00AD448B"/>
    <w:rsid w:val="00AD48AD"/>
    <w:rsid w:val="00AD4916"/>
    <w:rsid w:val="00AD516B"/>
    <w:rsid w:val="00AD59C1"/>
    <w:rsid w:val="00AD5EC1"/>
    <w:rsid w:val="00AD6389"/>
    <w:rsid w:val="00AD678B"/>
    <w:rsid w:val="00AD6D65"/>
    <w:rsid w:val="00AD7211"/>
    <w:rsid w:val="00AD7832"/>
    <w:rsid w:val="00AE11CC"/>
    <w:rsid w:val="00AE1251"/>
    <w:rsid w:val="00AE18B5"/>
    <w:rsid w:val="00AE19B1"/>
    <w:rsid w:val="00AE1B5B"/>
    <w:rsid w:val="00AE1B76"/>
    <w:rsid w:val="00AE26B7"/>
    <w:rsid w:val="00AE26BA"/>
    <w:rsid w:val="00AE28A5"/>
    <w:rsid w:val="00AE2B4C"/>
    <w:rsid w:val="00AE347D"/>
    <w:rsid w:val="00AE3878"/>
    <w:rsid w:val="00AE3DC2"/>
    <w:rsid w:val="00AE41F3"/>
    <w:rsid w:val="00AE455F"/>
    <w:rsid w:val="00AE4AB2"/>
    <w:rsid w:val="00AE4D19"/>
    <w:rsid w:val="00AE4F53"/>
    <w:rsid w:val="00AE561B"/>
    <w:rsid w:val="00AE5DCE"/>
    <w:rsid w:val="00AE62FD"/>
    <w:rsid w:val="00AE65CF"/>
    <w:rsid w:val="00AE6FF8"/>
    <w:rsid w:val="00AE76BF"/>
    <w:rsid w:val="00AE7D60"/>
    <w:rsid w:val="00AE7D6E"/>
    <w:rsid w:val="00AE7DB7"/>
    <w:rsid w:val="00AF0055"/>
    <w:rsid w:val="00AF0965"/>
    <w:rsid w:val="00AF0B4E"/>
    <w:rsid w:val="00AF0E83"/>
    <w:rsid w:val="00AF1ED0"/>
    <w:rsid w:val="00AF21EE"/>
    <w:rsid w:val="00AF222E"/>
    <w:rsid w:val="00AF2261"/>
    <w:rsid w:val="00AF22DB"/>
    <w:rsid w:val="00AF231E"/>
    <w:rsid w:val="00AF23E7"/>
    <w:rsid w:val="00AF2723"/>
    <w:rsid w:val="00AF28F0"/>
    <w:rsid w:val="00AF2924"/>
    <w:rsid w:val="00AF29B5"/>
    <w:rsid w:val="00AF2E0E"/>
    <w:rsid w:val="00AF2F75"/>
    <w:rsid w:val="00AF335B"/>
    <w:rsid w:val="00AF3495"/>
    <w:rsid w:val="00AF36A5"/>
    <w:rsid w:val="00AF44E7"/>
    <w:rsid w:val="00AF44FA"/>
    <w:rsid w:val="00AF461B"/>
    <w:rsid w:val="00AF48A0"/>
    <w:rsid w:val="00AF4A43"/>
    <w:rsid w:val="00AF4B39"/>
    <w:rsid w:val="00AF4E14"/>
    <w:rsid w:val="00AF552A"/>
    <w:rsid w:val="00AF5AE0"/>
    <w:rsid w:val="00AF6256"/>
    <w:rsid w:val="00AF628E"/>
    <w:rsid w:val="00AF62F4"/>
    <w:rsid w:val="00AF6320"/>
    <w:rsid w:val="00AF6575"/>
    <w:rsid w:val="00AF67EC"/>
    <w:rsid w:val="00AF6C97"/>
    <w:rsid w:val="00AF6F5E"/>
    <w:rsid w:val="00AF7107"/>
    <w:rsid w:val="00AF759F"/>
    <w:rsid w:val="00AF77EA"/>
    <w:rsid w:val="00AF79AD"/>
    <w:rsid w:val="00AF7C37"/>
    <w:rsid w:val="00AF7EE0"/>
    <w:rsid w:val="00B00071"/>
    <w:rsid w:val="00B00AD5"/>
    <w:rsid w:val="00B00CB4"/>
    <w:rsid w:val="00B0149B"/>
    <w:rsid w:val="00B014BC"/>
    <w:rsid w:val="00B01749"/>
    <w:rsid w:val="00B01A80"/>
    <w:rsid w:val="00B01FCA"/>
    <w:rsid w:val="00B0201B"/>
    <w:rsid w:val="00B02361"/>
    <w:rsid w:val="00B02875"/>
    <w:rsid w:val="00B02C2B"/>
    <w:rsid w:val="00B02E4C"/>
    <w:rsid w:val="00B0311B"/>
    <w:rsid w:val="00B03D44"/>
    <w:rsid w:val="00B03E13"/>
    <w:rsid w:val="00B0454E"/>
    <w:rsid w:val="00B04676"/>
    <w:rsid w:val="00B05028"/>
    <w:rsid w:val="00B053E4"/>
    <w:rsid w:val="00B055C5"/>
    <w:rsid w:val="00B05625"/>
    <w:rsid w:val="00B05C00"/>
    <w:rsid w:val="00B05C7E"/>
    <w:rsid w:val="00B05D98"/>
    <w:rsid w:val="00B06284"/>
    <w:rsid w:val="00B06824"/>
    <w:rsid w:val="00B06B4E"/>
    <w:rsid w:val="00B06C30"/>
    <w:rsid w:val="00B07016"/>
    <w:rsid w:val="00B070E3"/>
    <w:rsid w:val="00B07102"/>
    <w:rsid w:val="00B074F7"/>
    <w:rsid w:val="00B07679"/>
    <w:rsid w:val="00B07907"/>
    <w:rsid w:val="00B07994"/>
    <w:rsid w:val="00B07CD6"/>
    <w:rsid w:val="00B07E20"/>
    <w:rsid w:val="00B07F52"/>
    <w:rsid w:val="00B1000D"/>
    <w:rsid w:val="00B10A59"/>
    <w:rsid w:val="00B10F2A"/>
    <w:rsid w:val="00B11932"/>
    <w:rsid w:val="00B11966"/>
    <w:rsid w:val="00B119F6"/>
    <w:rsid w:val="00B12AC9"/>
    <w:rsid w:val="00B12C0C"/>
    <w:rsid w:val="00B12CE4"/>
    <w:rsid w:val="00B13359"/>
    <w:rsid w:val="00B13B81"/>
    <w:rsid w:val="00B13E01"/>
    <w:rsid w:val="00B13F44"/>
    <w:rsid w:val="00B13FD7"/>
    <w:rsid w:val="00B14374"/>
    <w:rsid w:val="00B14959"/>
    <w:rsid w:val="00B14DB0"/>
    <w:rsid w:val="00B15532"/>
    <w:rsid w:val="00B1590D"/>
    <w:rsid w:val="00B163D2"/>
    <w:rsid w:val="00B1642F"/>
    <w:rsid w:val="00B16B61"/>
    <w:rsid w:val="00B17218"/>
    <w:rsid w:val="00B172F2"/>
    <w:rsid w:val="00B20082"/>
    <w:rsid w:val="00B2072B"/>
    <w:rsid w:val="00B2072F"/>
    <w:rsid w:val="00B20C2D"/>
    <w:rsid w:val="00B20EE1"/>
    <w:rsid w:val="00B20F31"/>
    <w:rsid w:val="00B21714"/>
    <w:rsid w:val="00B217C3"/>
    <w:rsid w:val="00B22BEB"/>
    <w:rsid w:val="00B23145"/>
    <w:rsid w:val="00B23610"/>
    <w:rsid w:val="00B23714"/>
    <w:rsid w:val="00B23799"/>
    <w:rsid w:val="00B23935"/>
    <w:rsid w:val="00B23A89"/>
    <w:rsid w:val="00B23D2B"/>
    <w:rsid w:val="00B23DAE"/>
    <w:rsid w:val="00B240BA"/>
    <w:rsid w:val="00B241FC"/>
    <w:rsid w:val="00B24298"/>
    <w:rsid w:val="00B249EF"/>
    <w:rsid w:val="00B24A28"/>
    <w:rsid w:val="00B24B46"/>
    <w:rsid w:val="00B24C49"/>
    <w:rsid w:val="00B24D57"/>
    <w:rsid w:val="00B25407"/>
    <w:rsid w:val="00B25646"/>
    <w:rsid w:val="00B256D7"/>
    <w:rsid w:val="00B25890"/>
    <w:rsid w:val="00B258DB"/>
    <w:rsid w:val="00B259FF"/>
    <w:rsid w:val="00B26367"/>
    <w:rsid w:val="00B2696C"/>
    <w:rsid w:val="00B2758D"/>
    <w:rsid w:val="00B279BE"/>
    <w:rsid w:val="00B27AF9"/>
    <w:rsid w:val="00B27CB1"/>
    <w:rsid w:val="00B27DB9"/>
    <w:rsid w:val="00B302EA"/>
    <w:rsid w:val="00B30737"/>
    <w:rsid w:val="00B30C9B"/>
    <w:rsid w:val="00B30D96"/>
    <w:rsid w:val="00B311ED"/>
    <w:rsid w:val="00B316B3"/>
    <w:rsid w:val="00B3180A"/>
    <w:rsid w:val="00B31BFD"/>
    <w:rsid w:val="00B31C7B"/>
    <w:rsid w:val="00B31D4F"/>
    <w:rsid w:val="00B31E58"/>
    <w:rsid w:val="00B32C12"/>
    <w:rsid w:val="00B33251"/>
    <w:rsid w:val="00B335AE"/>
    <w:rsid w:val="00B33A83"/>
    <w:rsid w:val="00B33C42"/>
    <w:rsid w:val="00B33CE6"/>
    <w:rsid w:val="00B3400F"/>
    <w:rsid w:val="00B340AE"/>
    <w:rsid w:val="00B34781"/>
    <w:rsid w:val="00B34C14"/>
    <w:rsid w:val="00B34C9F"/>
    <w:rsid w:val="00B3592B"/>
    <w:rsid w:val="00B3603B"/>
    <w:rsid w:val="00B3609D"/>
    <w:rsid w:val="00B3639B"/>
    <w:rsid w:val="00B36F10"/>
    <w:rsid w:val="00B370CC"/>
    <w:rsid w:val="00B37428"/>
    <w:rsid w:val="00B37BEC"/>
    <w:rsid w:val="00B37E46"/>
    <w:rsid w:val="00B4022F"/>
    <w:rsid w:val="00B406AB"/>
    <w:rsid w:val="00B4092D"/>
    <w:rsid w:val="00B40DCE"/>
    <w:rsid w:val="00B41571"/>
    <w:rsid w:val="00B41692"/>
    <w:rsid w:val="00B41701"/>
    <w:rsid w:val="00B41880"/>
    <w:rsid w:val="00B419C9"/>
    <w:rsid w:val="00B41BA2"/>
    <w:rsid w:val="00B41E0E"/>
    <w:rsid w:val="00B42012"/>
    <w:rsid w:val="00B42134"/>
    <w:rsid w:val="00B421D0"/>
    <w:rsid w:val="00B426DC"/>
    <w:rsid w:val="00B428D4"/>
    <w:rsid w:val="00B42A94"/>
    <w:rsid w:val="00B431A2"/>
    <w:rsid w:val="00B43610"/>
    <w:rsid w:val="00B43E76"/>
    <w:rsid w:val="00B44216"/>
    <w:rsid w:val="00B443DC"/>
    <w:rsid w:val="00B44B7C"/>
    <w:rsid w:val="00B44BA0"/>
    <w:rsid w:val="00B44BD4"/>
    <w:rsid w:val="00B44E1C"/>
    <w:rsid w:val="00B4558B"/>
    <w:rsid w:val="00B4571B"/>
    <w:rsid w:val="00B45921"/>
    <w:rsid w:val="00B478A6"/>
    <w:rsid w:val="00B478FF"/>
    <w:rsid w:val="00B47C0A"/>
    <w:rsid w:val="00B500A9"/>
    <w:rsid w:val="00B50293"/>
    <w:rsid w:val="00B506C6"/>
    <w:rsid w:val="00B506C9"/>
    <w:rsid w:val="00B50976"/>
    <w:rsid w:val="00B50A05"/>
    <w:rsid w:val="00B511C3"/>
    <w:rsid w:val="00B512E2"/>
    <w:rsid w:val="00B51830"/>
    <w:rsid w:val="00B51D22"/>
    <w:rsid w:val="00B522FC"/>
    <w:rsid w:val="00B5234E"/>
    <w:rsid w:val="00B526E4"/>
    <w:rsid w:val="00B52B00"/>
    <w:rsid w:val="00B53066"/>
    <w:rsid w:val="00B533F2"/>
    <w:rsid w:val="00B534F4"/>
    <w:rsid w:val="00B53721"/>
    <w:rsid w:val="00B537BA"/>
    <w:rsid w:val="00B53A4B"/>
    <w:rsid w:val="00B540F9"/>
    <w:rsid w:val="00B542C8"/>
    <w:rsid w:val="00B54E15"/>
    <w:rsid w:val="00B551C2"/>
    <w:rsid w:val="00B55A32"/>
    <w:rsid w:val="00B569C5"/>
    <w:rsid w:val="00B56B7F"/>
    <w:rsid w:val="00B56C52"/>
    <w:rsid w:val="00B5707B"/>
    <w:rsid w:val="00B57141"/>
    <w:rsid w:val="00B572F4"/>
    <w:rsid w:val="00B573C2"/>
    <w:rsid w:val="00B573C9"/>
    <w:rsid w:val="00B57667"/>
    <w:rsid w:val="00B577EC"/>
    <w:rsid w:val="00B5786E"/>
    <w:rsid w:val="00B57BE7"/>
    <w:rsid w:val="00B600D6"/>
    <w:rsid w:val="00B6051F"/>
    <w:rsid w:val="00B60ED4"/>
    <w:rsid w:val="00B610AA"/>
    <w:rsid w:val="00B61211"/>
    <w:rsid w:val="00B61A79"/>
    <w:rsid w:val="00B61DD1"/>
    <w:rsid w:val="00B61F59"/>
    <w:rsid w:val="00B621A0"/>
    <w:rsid w:val="00B62253"/>
    <w:rsid w:val="00B6231B"/>
    <w:rsid w:val="00B62565"/>
    <w:rsid w:val="00B62785"/>
    <w:rsid w:val="00B62B35"/>
    <w:rsid w:val="00B62DBA"/>
    <w:rsid w:val="00B6304E"/>
    <w:rsid w:val="00B631B1"/>
    <w:rsid w:val="00B639BB"/>
    <w:rsid w:val="00B640CA"/>
    <w:rsid w:val="00B641DA"/>
    <w:rsid w:val="00B64416"/>
    <w:rsid w:val="00B648C5"/>
    <w:rsid w:val="00B64FB3"/>
    <w:rsid w:val="00B655E1"/>
    <w:rsid w:val="00B6637F"/>
    <w:rsid w:val="00B663CB"/>
    <w:rsid w:val="00B66525"/>
    <w:rsid w:val="00B66EDB"/>
    <w:rsid w:val="00B67041"/>
    <w:rsid w:val="00B67195"/>
    <w:rsid w:val="00B6731B"/>
    <w:rsid w:val="00B67345"/>
    <w:rsid w:val="00B673F4"/>
    <w:rsid w:val="00B67846"/>
    <w:rsid w:val="00B6795B"/>
    <w:rsid w:val="00B67E82"/>
    <w:rsid w:val="00B7014D"/>
    <w:rsid w:val="00B7032A"/>
    <w:rsid w:val="00B71106"/>
    <w:rsid w:val="00B71137"/>
    <w:rsid w:val="00B714FC"/>
    <w:rsid w:val="00B72200"/>
    <w:rsid w:val="00B723BE"/>
    <w:rsid w:val="00B723E0"/>
    <w:rsid w:val="00B72CED"/>
    <w:rsid w:val="00B72FC1"/>
    <w:rsid w:val="00B72FC8"/>
    <w:rsid w:val="00B73233"/>
    <w:rsid w:val="00B743BD"/>
    <w:rsid w:val="00B745ED"/>
    <w:rsid w:val="00B74D17"/>
    <w:rsid w:val="00B75892"/>
    <w:rsid w:val="00B759D6"/>
    <w:rsid w:val="00B75D6C"/>
    <w:rsid w:val="00B75DBE"/>
    <w:rsid w:val="00B76266"/>
    <w:rsid w:val="00B762D6"/>
    <w:rsid w:val="00B76E0E"/>
    <w:rsid w:val="00B76E7C"/>
    <w:rsid w:val="00B77564"/>
    <w:rsid w:val="00B77931"/>
    <w:rsid w:val="00B77C1E"/>
    <w:rsid w:val="00B80238"/>
    <w:rsid w:val="00B80BB2"/>
    <w:rsid w:val="00B80D5D"/>
    <w:rsid w:val="00B80FA4"/>
    <w:rsid w:val="00B810F0"/>
    <w:rsid w:val="00B810F1"/>
    <w:rsid w:val="00B812DD"/>
    <w:rsid w:val="00B8175F"/>
    <w:rsid w:val="00B819C2"/>
    <w:rsid w:val="00B81BAF"/>
    <w:rsid w:val="00B82891"/>
    <w:rsid w:val="00B82C77"/>
    <w:rsid w:val="00B82DF1"/>
    <w:rsid w:val="00B8342C"/>
    <w:rsid w:val="00B83D5E"/>
    <w:rsid w:val="00B84092"/>
    <w:rsid w:val="00B842CA"/>
    <w:rsid w:val="00B843A4"/>
    <w:rsid w:val="00B844DC"/>
    <w:rsid w:val="00B84D91"/>
    <w:rsid w:val="00B850A0"/>
    <w:rsid w:val="00B8533F"/>
    <w:rsid w:val="00B85977"/>
    <w:rsid w:val="00B85DBB"/>
    <w:rsid w:val="00B865F5"/>
    <w:rsid w:val="00B86A26"/>
    <w:rsid w:val="00B86B82"/>
    <w:rsid w:val="00B86D31"/>
    <w:rsid w:val="00B86E37"/>
    <w:rsid w:val="00B873DF"/>
    <w:rsid w:val="00B8747D"/>
    <w:rsid w:val="00B876B4"/>
    <w:rsid w:val="00B87872"/>
    <w:rsid w:val="00B87AC5"/>
    <w:rsid w:val="00B87E27"/>
    <w:rsid w:val="00B90196"/>
    <w:rsid w:val="00B908FF"/>
    <w:rsid w:val="00B90A48"/>
    <w:rsid w:val="00B90EF8"/>
    <w:rsid w:val="00B912D0"/>
    <w:rsid w:val="00B916EC"/>
    <w:rsid w:val="00B9196A"/>
    <w:rsid w:val="00B919C0"/>
    <w:rsid w:val="00B91BBB"/>
    <w:rsid w:val="00B923E0"/>
    <w:rsid w:val="00B928D4"/>
    <w:rsid w:val="00B92DAE"/>
    <w:rsid w:val="00B92F78"/>
    <w:rsid w:val="00B930EB"/>
    <w:rsid w:val="00B9323C"/>
    <w:rsid w:val="00B93C62"/>
    <w:rsid w:val="00B93DC3"/>
    <w:rsid w:val="00B9408F"/>
    <w:rsid w:val="00B943CF"/>
    <w:rsid w:val="00B94684"/>
    <w:rsid w:val="00B947C0"/>
    <w:rsid w:val="00B94A24"/>
    <w:rsid w:val="00B94EB7"/>
    <w:rsid w:val="00B953BA"/>
    <w:rsid w:val="00B95641"/>
    <w:rsid w:val="00B959B4"/>
    <w:rsid w:val="00B95B49"/>
    <w:rsid w:val="00B95CEE"/>
    <w:rsid w:val="00B95D2F"/>
    <w:rsid w:val="00B95DCC"/>
    <w:rsid w:val="00B95FC2"/>
    <w:rsid w:val="00B9605E"/>
    <w:rsid w:val="00B961D0"/>
    <w:rsid w:val="00B96367"/>
    <w:rsid w:val="00B96803"/>
    <w:rsid w:val="00B9722F"/>
    <w:rsid w:val="00B97605"/>
    <w:rsid w:val="00B97A9D"/>
    <w:rsid w:val="00BA00C8"/>
    <w:rsid w:val="00BA082A"/>
    <w:rsid w:val="00BA09E0"/>
    <w:rsid w:val="00BA0D65"/>
    <w:rsid w:val="00BA0D8B"/>
    <w:rsid w:val="00BA111A"/>
    <w:rsid w:val="00BA20E7"/>
    <w:rsid w:val="00BA2188"/>
    <w:rsid w:val="00BA252C"/>
    <w:rsid w:val="00BA29EF"/>
    <w:rsid w:val="00BA2A89"/>
    <w:rsid w:val="00BA3243"/>
    <w:rsid w:val="00BA34DA"/>
    <w:rsid w:val="00BA38A3"/>
    <w:rsid w:val="00BA3D44"/>
    <w:rsid w:val="00BA4B2B"/>
    <w:rsid w:val="00BA4B30"/>
    <w:rsid w:val="00BA4FAC"/>
    <w:rsid w:val="00BA51CE"/>
    <w:rsid w:val="00BA592D"/>
    <w:rsid w:val="00BA5C13"/>
    <w:rsid w:val="00BA6134"/>
    <w:rsid w:val="00BA62AE"/>
    <w:rsid w:val="00BA631F"/>
    <w:rsid w:val="00BA69C4"/>
    <w:rsid w:val="00BA744D"/>
    <w:rsid w:val="00BB0161"/>
    <w:rsid w:val="00BB0773"/>
    <w:rsid w:val="00BB0C05"/>
    <w:rsid w:val="00BB0CEB"/>
    <w:rsid w:val="00BB0E40"/>
    <w:rsid w:val="00BB0F23"/>
    <w:rsid w:val="00BB104F"/>
    <w:rsid w:val="00BB11EC"/>
    <w:rsid w:val="00BB1A8E"/>
    <w:rsid w:val="00BB2021"/>
    <w:rsid w:val="00BB21CB"/>
    <w:rsid w:val="00BB2388"/>
    <w:rsid w:val="00BB240C"/>
    <w:rsid w:val="00BB25A5"/>
    <w:rsid w:val="00BB2780"/>
    <w:rsid w:val="00BB279E"/>
    <w:rsid w:val="00BB2831"/>
    <w:rsid w:val="00BB284E"/>
    <w:rsid w:val="00BB2F9A"/>
    <w:rsid w:val="00BB38C0"/>
    <w:rsid w:val="00BB390C"/>
    <w:rsid w:val="00BB39C7"/>
    <w:rsid w:val="00BB3D0E"/>
    <w:rsid w:val="00BB4661"/>
    <w:rsid w:val="00BB4B96"/>
    <w:rsid w:val="00BB5414"/>
    <w:rsid w:val="00BB5430"/>
    <w:rsid w:val="00BB5D78"/>
    <w:rsid w:val="00BB6323"/>
    <w:rsid w:val="00BB6637"/>
    <w:rsid w:val="00BB69F0"/>
    <w:rsid w:val="00BB6DC3"/>
    <w:rsid w:val="00BB7374"/>
    <w:rsid w:val="00BB7547"/>
    <w:rsid w:val="00BB7610"/>
    <w:rsid w:val="00BB7679"/>
    <w:rsid w:val="00BB7A88"/>
    <w:rsid w:val="00BB7EE1"/>
    <w:rsid w:val="00BC016D"/>
    <w:rsid w:val="00BC0206"/>
    <w:rsid w:val="00BC067F"/>
    <w:rsid w:val="00BC0918"/>
    <w:rsid w:val="00BC0920"/>
    <w:rsid w:val="00BC0B32"/>
    <w:rsid w:val="00BC0C85"/>
    <w:rsid w:val="00BC0DEE"/>
    <w:rsid w:val="00BC111C"/>
    <w:rsid w:val="00BC12B0"/>
    <w:rsid w:val="00BC13F9"/>
    <w:rsid w:val="00BC152F"/>
    <w:rsid w:val="00BC1EA4"/>
    <w:rsid w:val="00BC1F9C"/>
    <w:rsid w:val="00BC2002"/>
    <w:rsid w:val="00BC24FD"/>
    <w:rsid w:val="00BC298B"/>
    <w:rsid w:val="00BC29AB"/>
    <w:rsid w:val="00BC2C2C"/>
    <w:rsid w:val="00BC2E9A"/>
    <w:rsid w:val="00BC33D4"/>
    <w:rsid w:val="00BC3AB2"/>
    <w:rsid w:val="00BC43ED"/>
    <w:rsid w:val="00BC48BC"/>
    <w:rsid w:val="00BC4A7F"/>
    <w:rsid w:val="00BC4FC2"/>
    <w:rsid w:val="00BC502C"/>
    <w:rsid w:val="00BC5262"/>
    <w:rsid w:val="00BC544B"/>
    <w:rsid w:val="00BC5525"/>
    <w:rsid w:val="00BC5758"/>
    <w:rsid w:val="00BC5968"/>
    <w:rsid w:val="00BC5C34"/>
    <w:rsid w:val="00BC62E6"/>
    <w:rsid w:val="00BC6658"/>
    <w:rsid w:val="00BC6C8A"/>
    <w:rsid w:val="00BC6CEF"/>
    <w:rsid w:val="00BC6D2E"/>
    <w:rsid w:val="00BC6F35"/>
    <w:rsid w:val="00BC6FBB"/>
    <w:rsid w:val="00BC7332"/>
    <w:rsid w:val="00BC7415"/>
    <w:rsid w:val="00BC741C"/>
    <w:rsid w:val="00BC76CB"/>
    <w:rsid w:val="00BC79C5"/>
    <w:rsid w:val="00BD0340"/>
    <w:rsid w:val="00BD0392"/>
    <w:rsid w:val="00BD06F6"/>
    <w:rsid w:val="00BD0E83"/>
    <w:rsid w:val="00BD1C81"/>
    <w:rsid w:val="00BD341E"/>
    <w:rsid w:val="00BD362C"/>
    <w:rsid w:val="00BD4855"/>
    <w:rsid w:val="00BD4AD5"/>
    <w:rsid w:val="00BD4BB5"/>
    <w:rsid w:val="00BD4E08"/>
    <w:rsid w:val="00BD5DC4"/>
    <w:rsid w:val="00BD612B"/>
    <w:rsid w:val="00BD6202"/>
    <w:rsid w:val="00BD63E5"/>
    <w:rsid w:val="00BD69FA"/>
    <w:rsid w:val="00BD7939"/>
    <w:rsid w:val="00BE081A"/>
    <w:rsid w:val="00BE0F0C"/>
    <w:rsid w:val="00BE114F"/>
    <w:rsid w:val="00BE130D"/>
    <w:rsid w:val="00BE1509"/>
    <w:rsid w:val="00BE16D4"/>
    <w:rsid w:val="00BE1702"/>
    <w:rsid w:val="00BE1917"/>
    <w:rsid w:val="00BE1BF4"/>
    <w:rsid w:val="00BE2525"/>
    <w:rsid w:val="00BE2713"/>
    <w:rsid w:val="00BE276F"/>
    <w:rsid w:val="00BE2CDE"/>
    <w:rsid w:val="00BE2E38"/>
    <w:rsid w:val="00BE3024"/>
    <w:rsid w:val="00BE3FB0"/>
    <w:rsid w:val="00BE499B"/>
    <w:rsid w:val="00BE4BAD"/>
    <w:rsid w:val="00BE4ED7"/>
    <w:rsid w:val="00BE51C9"/>
    <w:rsid w:val="00BE57E1"/>
    <w:rsid w:val="00BE5A63"/>
    <w:rsid w:val="00BE5B11"/>
    <w:rsid w:val="00BE6258"/>
    <w:rsid w:val="00BE62F5"/>
    <w:rsid w:val="00BE6380"/>
    <w:rsid w:val="00BE6852"/>
    <w:rsid w:val="00BE70E0"/>
    <w:rsid w:val="00BE72F2"/>
    <w:rsid w:val="00BE7A8B"/>
    <w:rsid w:val="00BE7BC7"/>
    <w:rsid w:val="00BE7E77"/>
    <w:rsid w:val="00BF0233"/>
    <w:rsid w:val="00BF038D"/>
    <w:rsid w:val="00BF0460"/>
    <w:rsid w:val="00BF0495"/>
    <w:rsid w:val="00BF0C44"/>
    <w:rsid w:val="00BF10BF"/>
    <w:rsid w:val="00BF1B3B"/>
    <w:rsid w:val="00BF1B3C"/>
    <w:rsid w:val="00BF1E41"/>
    <w:rsid w:val="00BF2425"/>
    <w:rsid w:val="00BF2B0E"/>
    <w:rsid w:val="00BF2B39"/>
    <w:rsid w:val="00BF2CFD"/>
    <w:rsid w:val="00BF2E75"/>
    <w:rsid w:val="00BF34CC"/>
    <w:rsid w:val="00BF376F"/>
    <w:rsid w:val="00BF380A"/>
    <w:rsid w:val="00BF39B3"/>
    <w:rsid w:val="00BF40EA"/>
    <w:rsid w:val="00BF45DF"/>
    <w:rsid w:val="00BF4DD6"/>
    <w:rsid w:val="00BF4E1E"/>
    <w:rsid w:val="00BF5283"/>
    <w:rsid w:val="00BF5537"/>
    <w:rsid w:val="00BF57E6"/>
    <w:rsid w:val="00BF593C"/>
    <w:rsid w:val="00BF6376"/>
    <w:rsid w:val="00BF6593"/>
    <w:rsid w:val="00BF6964"/>
    <w:rsid w:val="00BF72F7"/>
    <w:rsid w:val="00BF7FBC"/>
    <w:rsid w:val="00C00432"/>
    <w:rsid w:val="00C00B56"/>
    <w:rsid w:val="00C00D64"/>
    <w:rsid w:val="00C00F96"/>
    <w:rsid w:val="00C0112D"/>
    <w:rsid w:val="00C01360"/>
    <w:rsid w:val="00C01381"/>
    <w:rsid w:val="00C018E6"/>
    <w:rsid w:val="00C01AED"/>
    <w:rsid w:val="00C01D5F"/>
    <w:rsid w:val="00C021E1"/>
    <w:rsid w:val="00C0248C"/>
    <w:rsid w:val="00C02CBF"/>
    <w:rsid w:val="00C0345E"/>
    <w:rsid w:val="00C03BD3"/>
    <w:rsid w:val="00C03E10"/>
    <w:rsid w:val="00C04330"/>
    <w:rsid w:val="00C044E4"/>
    <w:rsid w:val="00C047B6"/>
    <w:rsid w:val="00C04818"/>
    <w:rsid w:val="00C056A4"/>
    <w:rsid w:val="00C056B6"/>
    <w:rsid w:val="00C0616C"/>
    <w:rsid w:val="00C06664"/>
    <w:rsid w:val="00C06898"/>
    <w:rsid w:val="00C068F2"/>
    <w:rsid w:val="00C06B36"/>
    <w:rsid w:val="00C06C3A"/>
    <w:rsid w:val="00C07488"/>
    <w:rsid w:val="00C07589"/>
    <w:rsid w:val="00C0758C"/>
    <w:rsid w:val="00C079DE"/>
    <w:rsid w:val="00C07B5E"/>
    <w:rsid w:val="00C10088"/>
    <w:rsid w:val="00C10110"/>
    <w:rsid w:val="00C1051A"/>
    <w:rsid w:val="00C10576"/>
    <w:rsid w:val="00C10691"/>
    <w:rsid w:val="00C115C1"/>
    <w:rsid w:val="00C119A1"/>
    <w:rsid w:val="00C11D55"/>
    <w:rsid w:val="00C12156"/>
    <w:rsid w:val="00C12605"/>
    <w:rsid w:val="00C12A4C"/>
    <w:rsid w:val="00C12DE8"/>
    <w:rsid w:val="00C13703"/>
    <w:rsid w:val="00C137C4"/>
    <w:rsid w:val="00C137D4"/>
    <w:rsid w:val="00C138FE"/>
    <w:rsid w:val="00C14014"/>
    <w:rsid w:val="00C1413A"/>
    <w:rsid w:val="00C142A9"/>
    <w:rsid w:val="00C1430D"/>
    <w:rsid w:val="00C14DC7"/>
    <w:rsid w:val="00C14DED"/>
    <w:rsid w:val="00C1528D"/>
    <w:rsid w:val="00C15337"/>
    <w:rsid w:val="00C153A7"/>
    <w:rsid w:val="00C153EA"/>
    <w:rsid w:val="00C15626"/>
    <w:rsid w:val="00C15D82"/>
    <w:rsid w:val="00C1610B"/>
    <w:rsid w:val="00C16851"/>
    <w:rsid w:val="00C16B39"/>
    <w:rsid w:val="00C1705B"/>
    <w:rsid w:val="00C17395"/>
    <w:rsid w:val="00C175AE"/>
    <w:rsid w:val="00C17772"/>
    <w:rsid w:val="00C17B1D"/>
    <w:rsid w:val="00C2017F"/>
    <w:rsid w:val="00C2088E"/>
    <w:rsid w:val="00C20C82"/>
    <w:rsid w:val="00C216CA"/>
    <w:rsid w:val="00C21E70"/>
    <w:rsid w:val="00C21F2E"/>
    <w:rsid w:val="00C2201D"/>
    <w:rsid w:val="00C22088"/>
    <w:rsid w:val="00C2224C"/>
    <w:rsid w:val="00C22A4A"/>
    <w:rsid w:val="00C22C4A"/>
    <w:rsid w:val="00C22D31"/>
    <w:rsid w:val="00C22DB9"/>
    <w:rsid w:val="00C2313A"/>
    <w:rsid w:val="00C23793"/>
    <w:rsid w:val="00C23CBD"/>
    <w:rsid w:val="00C23D61"/>
    <w:rsid w:val="00C23E2C"/>
    <w:rsid w:val="00C241FC"/>
    <w:rsid w:val="00C248B7"/>
    <w:rsid w:val="00C25402"/>
    <w:rsid w:val="00C25AA0"/>
    <w:rsid w:val="00C25B35"/>
    <w:rsid w:val="00C26312"/>
    <w:rsid w:val="00C267C5"/>
    <w:rsid w:val="00C27236"/>
    <w:rsid w:val="00C27E07"/>
    <w:rsid w:val="00C3050D"/>
    <w:rsid w:val="00C307C6"/>
    <w:rsid w:val="00C3096B"/>
    <w:rsid w:val="00C30A75"/>
    <w:rsid w:val="00C30C82"/>
    <w:rsid w:val="00C31233"/>
    <w:rsid w:val="00C313D8"/>
    <w:rsid w:val="00C31BFA"/>
    <w:rsid w:val="00C32210"/>
    <w:rsid w:val="00C32490"/>
    <w:rsid w:val="00C3257C"/>
    <w:rsid w:val="00C32A84"/>
    <w:rsid w:val="00C33346"/>
    <w:rsid w:val="00C338B8"/>
    <w:rsid w:val="00C3399D"/>
    <w:rsid w:val="00C34033"/>
    <w:rsid w:val="00C345E6"/>
    <w:rsid w:val="00C34B21"/>
    <w:rsid w:val="00C34E49"/>
    <w:rsid w:val="00C34FEE"/>
    <w:rsid w:val="00C356F0"/>
    <w:rsid w:val="00C35757"/>
    <w:rsid w:val="00C3698B"/>
    <w:rsid w:val="00C36B71"/>
    <w:rsid w:val="00C37341"/>
    <w:rsid w:val="00C3744C"/>
    <w:rsid w:val="00C37BC6"/>
    <w:rsid w:val="00C37E05"/>
    <w:rsid w:val="00C37E0D"/>
    <w:rsid w:val="00C37E39"/>
    <w:rsid w:val="00C37FC6"/>
    <w:rsid w:val="00C37FDE"/>
    <w:rsid w:val="00C4023A"/>
    <w:rsid w:val="00C4070E"/>
    <w:rsid w:val="00C40E3B"/>
    <w:rsid w:val="00C4242B"/>
    <w:rsid w:val="00C4244B"/>
    <w:rsid w:val="00C42506"/>
    <w:rsid w:val="00C4270B"/>
    <w:rsid w:val="00C433E2"/>
    <w:rsid w:val="00C433E8"/>
    <w:rsid w:val="00C43809"/>
    <w:rsid w:val="00C43FEA"/>
    <w:rsid w:val="00C44396"/>
    <w:rsid w:val="00C443B3"/>
    <w:rsid w:val="00C44466"/>
    <w:rsid w:val="00C444D5"/>
    <w:rsid w:val="00C445CC"/>
    <w:rsid w:val="00C447BE"/>
    <w:rsid w:val="00C44EFA"/>
    <w:rsid w:val="00C45154"/>
    <w:rsid w:val="00C45A11"/>
    <w:rsid w:val="00C45B31"/>
    <w:rsid w:val="00C45DE5"/>
    <w:rsid w:val="00C4638C"/>
    <w:rsid w:val="00C46D8A"/>
    <w:rsid w:val="00C472D6"/>
    <w:rsid w:val="00C4763B"/>
    <w:rsid w:val="00C4796A"/>
    <w:rsid w:val="00C47B1E"/>
    <w:rsid w:val="00C47E34"/>
    <w:rsid w:val="00C47E39"/>
    <w:rsid w:val="00C500F1"/>
    <w:rsid w:val="00C505E0"/>
    <w:rsid w:val="00C50E58"/>
    <w:rsid w:val="00C51048"/>
    <w:rsid w:val="00C512F1"/>
    <w:rsid w:val="00C51797"/>
    <w:rsid w:val="00C5192C"/>
    <w:rsid w:val="00C51CD1"/>
    <w:rsid w:val="00C51FE4"/>
    <w:rsid w:val="00C5231A"/>
    <w:rsid w:val="00C52380"/>
    <w:rsid w:val="00C529CD"/>
    <w:rsid w:val="00C52B78"/>
    <w:rsid w:val="00C537AE"/>
    <w:rsid w:val="00C54458"/>
    <w:rsid w:val="00C54C29"/>
    <w:rsid w:val="00C5531A"/>
    <w:rsid w:val="00C557FC"/>
    <w:rsid w:val="00C571A7"/>
    <w:rsid w:val="00C5795B"/>
    <w:rsid w:val="00C57B4E"/>
    <w:rsid w:val="00C57B6F"/>
    <w:rsid w:val="00C60404"/>
    <w:rsid w:val="00C60414"/>
    <w:rsid w:val="00C605DB"/>
    <w:rsid w:val="00C6063D"/>
    <w:rsid w:val="00C60B52"/>
    <w:rsid w:val="00C60C8B"/>
    <w:rsid w:val="00C610AC"/>
    <w:rsid w:val="00C61222"/>
    <w:rsid w:val="00C61316"/>
    <w:rsid w:val="00C61342"/>
    <w:rsid w:val="00C6140D"/>
    <w:rsid w:val="00C617A1"/>
    <w:rsid w:val="00C61AFB"/>
    <w:rsid w:val="00C61B25"/>
    <w:rsid w:val="00C629E7"/>
    <w:rsid w:val="00C62ADF"/>
    <w:rsid w:val="00C62B07"/>
    <w:rsid w:val="00C6330B"/>
    <w:rsid w:val="00C636AA"/>
    <w:rsid w:val="00C636F4"/>
    <w:rsid w:val="00C6389E"/>
    <w:rsid w:val="00C63AB1"/>
    <w:rsid w:val="00C640BF"/>
    <w:rsid w:val="00C6432E"/>
    <w:rsid w:val="00C6461F"/>
    <w:rsid w:val="00C646DE"/>
    <w:rsid w:val="00C64A9C"/>
    <w:rsid w:val="00C64D32"/>
    <w:rsid w:val="00C64D4D"/>
    <w:rsid w:val="00C64E64"/>
    <w:rsid w:val="00C65092"/>
    <w:rsid w:val="00C65156"/>
    <w:rsid w:val="00C657A0"/>
    <w:rsid w:val="00C669C4"/>
    <w:rsid w:val="00C66A5C"/>
    <w:rsid w:val="00C67BF6"/>
    <w:rsid w:val="00C67E4F"/>
    <w:rsid w:val="00C706D5"/>
    <w:rsid w:val="00C7076F"/>
    <w:rsid w:val="00C70EF0"/>
    <w:rsid w:val="00C71062"/>
    <w:rsid w:val="00C71068"/>
    <w:rsid w:val="00C7129B"/>
    <w:rsid w:val="00C716A1"/>
    <w:rsid w:val="00C719E6"/>
    <w:rsid w:val="00C71AA8"/>
    <w:rsid w:val="00C71C70"/>
    <w:rsid w:val="00C7279D"/>
    <w:rsid w:val="00C72ADA"/>
    <w:rsid w:val="00C72AF8"/>
    <w:rsid w:val="00C72E06"/>
    <w:rsid w:val="00C73F00"/>
    <w:rsid w:val="00C7430B"/>
    <w:rsid w:val="00C74321"/>
    <w:rsid w:val="00C746C4"/>
    <w:rsid w:val="00C74B16"/>
    <w:rsid w:val="00C74E4C"/>
    <w:rsid w:val="00C74FB2"/>
    <w:rsid w:val="00C74FD9"/>
    <w:rsid w:val="00C75039"/>
    <w:rsid w:val="00C7516D"/>
    <w:rsid w:val="00C756E4"/>
    <w:rsid w:val="00C75F77"/>
    <w:rsid w:val="00C76041"/>
    <w:rsid w:val="00C76438"/>
    <w:rsid w:val="00C76896"/>
    <w:rsid w:val="00C76D46"/>
    <w:rsid w:val="00C7780A"/>
    <w:rsid w:val="00C7788F"/>
    <w:rsid w:val="00C77C7B"/>
    <w:rsid w:val="00C800FA"/>
    <w:rsid w:val="00C80889"/>
    <w:rsid w:val="00C80898"/>
    <w:rsid w:val="00C80B85"/>
    <w:rsid w:val="00C80D1A"/>
    <w:rsid w:val="00C81B67"/>
    <w:rsid w:val="00C81CBF"/>
    <w:rsid w:val="00C81D61"/>
    <w:rsid w:val="00C820C7"/>
    <w:rsid w:val="00C82342"/>
    <w:rsid w:val="00C825CE"/>
    <w:rsid w:val="00C82AB6"/>
    <w:rsid w:val="00C830B2"/>
    <w:rsid w:val="00C8406B"/>
    <w:rsid w:val="00C849BA"/>
    <w:rsid w:val="00C84C33"/>
    <w:rsid w:val="00C84CC1"/>
    <w:rsid w:val="00C852AE"/>
    <w:rsid w:val="00C8542D"/>
    <w:rsid w:val="00C85A5A"/>
    <w:rsid w:val="00C86142"/>
    <w:rsid w:val="00C86811"/>
    <w:rsid w:val="00C870EC"/>
    <w:rsid w:val="00C873D5"/>
    <w:rsid w:val="00C87593"/>
    <w:rsid w:val="00C876FF"/>
    <w:rsid w:val="00C905AC"/>
    <w:rsid w:val="00C90A5F"/>
    <w:rsid w:val="00C9125A"/>
    <w:rsid w:val="00C9167E"/>
    <w:rsid w:val="00C916B5"/>
    <w:rsid w:val="00C91AB2"/>
    <w:rsid w:val="00C91C8A"/>
    <w:rsid w:val="00C92355"/>
    <w:rsid w:val="00C9268A"/>
    <w:rsid w:val="00C92F0D"/>
    <w:rsid w:val="00C9313A"/>
    <w:rsid w:val="00C93306"/>
    <w:rsid w:val="00C934DE"/>
    <w:rsid w:val="00C94467"/>
    <w:rsid w:val="00C94976"/>
    <w:rsid w:val="00C94E10"/>
    <w:rsid w:val="00C94EB6"/>
    <w:rsid w:val="00C95532"/>
    <w:rsid w:val="00C95583"/>
    <w:rsid w:val="00C95B3F"/>
    <w:rsid w:val="00C95D1C"/>
    <w:rsid w:val="00C95D4A"/>
    <w:rsid w:val="00C95F2F"/>
    <w:rsid w:val="00C967E0"/>
    <w:rsid w:val="00C96F9D"/>
    <w:rsid w:val="00C97050"/>
    <w:rsid w:val="00C970BB"/>
    <w:rsid w:val="00C9712C"/>
    <w:rsid w:val="00C972FF"/>
    <w:rsid w:val="00C97395"/>
    <w:rsid w:val="00C97436"/>
    <w:rsid w:val="00C9765F"/>
    <w:rsid w:val="00C97F78"/>
    <w:rsid w:val="00CA0165"/>
    <w:rsid w:val="00CA0671"/>
    <w:rsid w:val="00CA0C22"/>
    <w:rsid w:val="00CA0CCC"/>
    <w:rsid w:val="00CA0FEB"/>
    <w:rsid w:val="00CA14EC"/>
    <w:rsid w:val="00CA153B"/>
    <w:rsid w:val="00CA1A2C"/>
    <w:rsid w:val="00CA21C2"/>
    <w:rsid w:val="00CA25E2"/>
    <w:rsid w:val="00CA3109"/>
    <w:rsid w:val="00CA3210"/>
    <w:rsid w:val="00CA350E"/>
    <w:rsid w:val="00CA3C81"/>
    <w:rsid w:val="00CA3CA2"/>
    <w:rsid w:val="00CA4466"/>
    <w:rsid w:val="00CA4495"/>
    <w:rsid w:val="00CA4E88"/>
    <w:rsid w:val="00CA5042"/>
    <w:rsid w:val="00CA5739"/>
    <w:rsid w:val="00CA5952"/>
    <w:rsid w:val="00CA5E1E"/>
    <w:rsid w:val="00CA663D"/>
    <w:rsid w:val="00CA6785"/>
    <w:rsid w:val="00CA6826"/>
    <w:rsid w:val="00CA698E"/>
    <w:rsid w:val="00CA6F84"/>
    <w:rsid w:val="00CA752A"/>
    <w:rsid w:val="00CA7B7C"/>
    <w:rsid w:val="00CB02D9"/>
    <w:rsid w:val="00CB03A2"/>
    <w:rsid w:val="00CB047C"/>
    <w:rsid w:val="00CB0B1F"/>
    <w:rsid w:val="00CB0B92"/>
    <w:rsid w:val="00CB0D90"/>
    <w:rsid w:val="00CB15B3"/>
    <w:rsid w:val="00CB16A6"/>
    <w:rsid w:val="00CB1B29"/>
    <w:rsid w:val="00CB1C1C"/>
    <w:rsid w:val="00CB2073"/>
    <w:rsid w:val="00CB24AE"/>
    <w:rsid w:val="00CB2AFC"/>
    <w:rsid w:val="00CB2BE2"/>
    <w:rsid w:val="00CB2C1E"/>
    <w:rsid w:val="00CB2C84"/>
    <w:rsid w:val="00CB3394"/>
    <w:rsid w:val="00CB39CD"/>
    <w:rsid w:val="00CB3AD1"/>
    <w:rsid w:val="00CB3DE9"/>
    <w:rsid w:val="00CB4772"/>
    <w:rsid w:val="00CB490E"/>
    <w:rsid w:val="00CB4B05"/>
    <w:rsid w:val="00CB4C60"/>
    <w:rsid w:val="00CB4CDB"/>
    <w:rsid w:val="00CB4EFF"/>
    <w:rsid w:val="00CB5DD7"/>
    <w:rsid w:val="00CB607C"/>
    <w:rsid w:val="00CB6273"/>
    <w:rsid w:val="00CB7553"/>
    <w:rsid w:val="00CB76B3"/>
    <w:rsid w:val="00CB7CF6"/>
    <w:rsid w:val="00CC031A"/>
    <w:rsid w:val="00CC0881"/>
    <w:rsid w:val="00CC09F2"/>
    <w:rsid w:val="00CC0A71"/>
    <w:rsid w:val="00CC0B73"/>
    <w:rsid w:val="00CC0E8D"/>
    <w:rsid w:val="00CC11A7"/>
    <w:rsid w:val="00CC1358"/>
    <w:rsid w:val="00CC15D2"/>
    <w:rsid w:val="00CC18C7"/>
    <w:rsid w:val="00CC1EF6"/>
    <w:rsid w:val="00CC2642"/>
    <w:rsid w:val="00CC27F8"/>
    <w:rsid w:val="00CC2AB6"/>
    <w:rsid w:val="00CC2B8B"/>
    <w:rsid w:val="00CC3111"/>
    <w:rsid w:val="00CC3F15"/>
    <w:rsid w:val="00CC45CD"/>
    <w:rsid w:val="00CC4739"/>
    <w:rsid w:val="00CC614F"/>
    <w:rsid w:val="00CC64F9"/>
    <w:rsid w:val="00CC6FAA"/>
    <w:rsid w:val="00CC7BF1"/>
    <w:rsid w:val="00CC7C14"/>
    <w:rsid w:val="00CC7D3E"/>
    <w:rsid w:val="00CC7DF9"/>
    <w:rsid w:val="00CD09D0"/>
    <w:rsid w:val="00CD0AB6"/>
    <w:rsid w:val="00CD13F9"/>
    <w:rsid w:val="00CD16AC"/>
    <w:rsid w:val="00CD1976"/>
    <w:rsid w:val="00CD1FF4"/>
    <w:rsid w:val="00CD2312"/>
    <w:rsid w:val="00CD2C3B"/>
    <w:rsid w:val="00CD3108"/>
    <w:rsid w:val="00CD3836"/>
    <w:rsid w:val="00CD4025"/>
    <w:rsid w:val="00CD4B76"/>
    <w:rsid w:val="00CD4D02"/>
    <w:rsid w:val="00CD4F0E"/>
    <w:rsid w:val="00CD513A"/>
    <w:rsid w:val="00CD579B"/>
    <w:rsid w:val="00CD5EA8"/>
    <w:rsid w:val="00CD614F"/>
    <w:rsid w:val="00CD61BA"/>
    <w:rsid w:val="00CD6396"/>
    <w:rsid w:val="00CD6421"/>
    <w:rsid w:val="00CD692F"/>
    <w:rsid w:val="00CD6DEC"/>
    <w:rsid w:val="00CD7400"/>
    <w:rsid w:val="00CD75DD"/>
    <w:rsid w:val="00CD7A5D"/>
    <w:rsid w:val="00CD7BCE"/>
    <w:rsid w:val="00CD7F5A"/>
    <w:rsid w:val="00CE035C"/>
    <w:rsid w:val="00CE0989"/>
    <w:rsid w:val="00CE0D00"/>
    <w:rsid w:val="00CE0E18"/>
    <w:rsid w:val="00CE0ED3"/>
    <w:rsid w:val="00CE0F11"/>
    <w:rsid w:val="00CE109C"/>
    <w:rsid w:val="00CE1799"/>
    <w:rsid w:val="00CE1A25"/>
    <w:rsid w:val="00CE1FFF"/>
    <w:rsid w:val="00CE2039"/>
    <w:rsid w:val="00CE208C"/>
    <w:rsid w:val="00CE2188"/>
    <w:rsid w:val="00CE282D"/>
    <w:rsid w:val="00CE36EF"/>
    <w:rsid w:val="00CE37CE"/>
    <w:rsid w:val="00CE3890"/>
    <w:rsid w:val="00CE3BC8"/>
    <w:rsid w:val="00CE3D28"/>
    <w:rsid w:val="00CE3D9F"/>
    <w:rsid w:val="00CE3E52"/>
    <w:rsid w:val="00CE46CB"/>
    <w:rsid w:val="00CE4DF0"/>
    <w:rsid w:val="00CE5950"/>
    <w:rsid w:val="00CE59E2"/>
    <w:rsid w:val="00CE5FA6"/>
    <w:rsid w:val="00CE6377"/>
    <w:rsid w:val="00CE645E"/>
    <w:rsid w:val="00CE67E2"/>
    <w:rsid w:val="00CE6AA9"/>
    <w:rsid w:val="00CE6ABF"/>
    <w:rsid w:val="00CE79B0"/>
    <w:rsid w:val="00CE7C52"/>
    <w:rsid w:val="00CE7DAD"/>
    <w:rsid w:val="00CF0169"/>
    <w:rsid w:val="00CF03F0"/>
    <w:rsid w:val="00CF099C"/>
    <w:rsid w:val="00CF0A58"/>
    <w:rsid w:val="00CF0B4E"/>
    <w:rsid w:val="00CF0CB3"/>
    <w:rsid w:val="00CF10B2"/>
    <w:rsid w:val="00CF1142"/>
    <w:rsid w:val="00CF16BD"/>
    <w:rsid w:val="00CF17DC"/>
    <w:rsid w:val="00CF1AEA"/>
    <w:rsid w:val="00CF1FC1"/>
    <w:rsid w:val="00CF212F"/>
    <w:rsid w:val="00CF21FB"/>
    <w:rsid w:val="00CF2497"/>
    <w:rsid w:val="00CF2516"/>
    <w:rsid w:val="00CF263E"/>
    <w:rsid w:val="00CF2C2D"/>
    <w:rsid w:val="00CF30D8"/>
    <w:rsid w:val="00CF3153"/>
    <w:rsid w:val="00CF3537"/>
    <w:rsid w:val="00CF369E"/>
    <w:rsid w:val="00CF3CC6"/>
    <w:rsid w:val="00CF3D9E"/>
    <w:rsid w:val="00CF45D8"/>
    <w:rsid w:val="00CF4654"/>
    <w:rsid w:val="00CF4712"/>
    <w:rsid w:val="00CF4727"/>
    <w:rsid w:val="00CF4A40"/>
    <w:rsid w:val="00CF4D3B"/>
    <w:rsid w:val="00CF5C4F"/>
    <w:rsid w:val="00CF5FEC"/>
    <w:rsid w:val="00CF6155"/>
    <w:rsid w:val="00CF633E"/>
    <w:rsid w:val="00CF696B"/>
    <w:rsid w:val="00CF6C37"/>
    <w:rsid w:val="00CF6DA6"/>
    <w:rsid w:val="00CF755F"/>
    <w:rsid w:val="00D002E3"/>
    <w:rsid w:val="00D00F80"/>
    <w:rsid w:val="00D00FC5"/>
    <w:rsid w:val="00D010FA"/>
    <w:rsid w:val="00D01491"/>
    <w:rsid w:val="00D01592"/>
    <w:rsid w:val="00D02C65"/>
    <w:rsid w:val="00D02F1B"/>
    <w:rsid w:val="00D032EE"/>
    <w:rsid w:val="00D03368"/>
    <w:rsid w:val="00D039A2"/>
    <w:rsid w:val="00D04124"/>
    <w:rsid w:val="00D043DE"/>
    <w:rsid w:val="00D05B06"/>
    <w:rsid w:val="00D0654F"/>
    <w:rsid w:val="00D066EA"/>
    <w:rsid w:val="00D069E4"/>
    <w:rsid w:val="00D06DF3"/>
    <w:rsid w:val="00D077AE"/>
    <w:rsid w:val="00D07A39"/>
    <w:rsid w:val="00D10712"/>
    <w:rsid w:val="00D10EA0"/>
    <w:rsid w:val="00D12301"/>
    <w:rsid w:val="00D127DE"/>
    <w:rsid w:val="00D129FA"/>
    <w:rsid w:val="00D12ACC"/>
    <w:rsid w:val="00D12F05"/>
    <w:rsid w:val="00D1324F"/>
    <w:rsid w:val="00D133B5"/>
    <w:rsid w:val="00D13868"/>
    <w:rsid w:val="00D14109"/>
    <w:rsid w:val="00D14128"/>
    <w:rsid w:val="00D144A4"/>
    <w:rsid w:val="00D1476A"/>
    <w:rsid w:val="00D147CD"/>
    <w:rsid w:val="00D148A0"/>
    <w:rsid w:val="00D14CC7"/>
    <w:rsid w:val="00D14FF2"/>
    <w:rsid w:val="00D1516D"/>
    <w:rsid w:val="00D15626"/>
    <w:rsid w:val="00D15BF2"/>
    <w:rsid w:val="00D15DED"/>
    <w:rsid w:val="00D15E25"/>
    <w:rsid w:val="00D16733"/>
    <w:rsid w:val="00D16B1D"/>
    <w:rsid w:val="00D16DDF"/>
    <w:rsid w:val="00D16FEA"/>
    <w:rsid w:val="00D171EE"/>
    <w:rsid w:val="00D17253"/>
    <w:rsid w:val="00D17921"/>
    <w:rsid w:val="00D17B3D"/>
    <w:rsid w:val="00D2078E"/>
    <w:rsid w:val="00D20A6D"/>
    <w:rsid w:val="00D20BB3"/>
    <w:rsid w:val="00D20C24"/>
    <w:rsid w:val="00D20F6F"/>
    <w:rsid w:val="00D2166E"/>
    <w:rsid w:val="00D21E9D"/>
    <w:rsid w:val="00D22328"/>
    <w:rsid w:val="00D223E0"/>
    <w:rsid w:val="00D22801"/>
    <w:rsid w:val="00D22922"/>
    <w:rsid w:val="00D22F42"/>
    <w:rsid w:val="00D2345F"/>
    <w:rsid w:val="00D234CD"/>
    <w:rsid w:val="00D23B5F"/>
    <w:rsid w:val="00D240CE"/>
    <w:rsid w:val="00D241DB"/>
    <w:rsid w:val="00D24526"/>
    <w:rsid w:val="00D2454A"/>
    <w:rsid w:val="00D246AD"/>
    <w:rsid w:val="00D25222"/>
    <w:rsid w:val="00D256C6"/>
    <w:rsid w:val="00D256FD"/>
    <w:rsid w:val="00D26487"/>
    <w:rsid w:val="00D26A09"/>
    <w:rsid w:val="00D26CCF"/>
    <w:rsid w:val="00D27440"/>
    <w:rsid w:val="00D27740"/>
    <w:rsid w:val="00D2787E"/>
    <w:rsid w:val="00D27C1C"/>
    <w:rsid w:val="00D27CA3"/>
    <w:rsid w:val="00D308EC"/>
    <w:rsid w:val="00D30A3E"/>
    <w:rsid w:val="00D3113A"/>
    <w:rsid w:val="00D315E2"/>
    <w:rsid w:val="00D31A1D"/>
    <w:rsid w:val="00D32846"/>
    <w:rsid w:val="00D329E4"/>
    <w:rsid w:val="00D32FCE"/>
    <w:rsid w:val="00D33289"/>
    <w:rsid w:val="00D337A6"/>
    <w:rsid w:val="00D33B69"/>
    <w:rsid w:val="00D33DE0"/>
    <w:rsid w:val="00D33F01"/>
    <w:rsid w:val="00D33F9B"/>
    <w:rsid w:val="00D34BDC"/>
    <w:rsid w:val="00D34BEB"/>
    <w:rsid w:val="00D35015"/>
    <w:rsid w:val="00D3513B"/>
    <w:rsid w:val="00D35BA7"/>
    <w:rsid w:val="00D35C25"/>
    <w:rsid w:val="00D35D06"/>
    <w:rsid w:val="00D35DE1"/>
    <w:rsid w:val="00D3601A"/>
    <w:rsid w:val="00D363C3"/>
    <w:rsid w:val="00D369C1"/>
    <w:rsid w:val="00D36AAF"/>
    <w:rsid w:val="00D36AE7"/>
    <w:rsid w:val="00D36F06"/>
    <w:rsid w:val="00D37842"/>
    <w:rsid w:val="00D37A5E"/>
    <w:rsid w:val="00D40122"/>
    <w:rsid w:val="00D40383"/>
    <w:rsid w:val="00D4088F"/>
    <w:rsid w:val="00D40925"/>
    <w:rsid w:val="00D40CE6"/>
    <w:rsid w:val="00D40E44"/>
    <w:rsid w:val="00D41366"/>
    <w:rsid w:val="00D413BB"/>
    <w:rsid w:val="00D41B70"/>
    <w:rsid w:val="00D41D94"/>
    <w:rsid w:val="00D421C6"/>
    <w:rsid w:val="00D423C3"/>
    <w:rsid w:val="00D42477"/>
    <w:rsid w:val="00D426FD"/>
    <w:rsid w:val="00D42929"/>
    <w:rsid w:val="00D42AE6"/>
    <w:rsid w:val="00D42B88"/>
    <w:rsid w:val="00D42E25"/>
    <w:rsid w:val="00D432A3"/>
    <w:rsid w:val="00D432F8"/>
    <w:rsid w:val="00D43304"/>
    <w:rsid w:val="00D43329"/>
    <w:rsid w:val="00D43CD9"/>
    <w:rsid w:val="00D43D17"/>
    <w:rsid w:val="00D45498"/>
    <w:rsid w:val="00D45555"/>
    <w:rsid w:val="00D458F5"/>
    <w:rsid w:val="00D45946"/>
    <w:rsid w:val="00D461BF"/>
    <w:rsid w:val="00D465A4"/>
    <w:rsid w:val="00D46CC9"/>
    <w:rsid w:val="00D46F21"/>
    <w:rsid w:val="00D47028"/>
    <w:rsid w:val="00D477B0"/>
    <w:rsid w:val="00D47A3F"/>
    <w:rsid w:val="00D47A8D"/>
    <w:rsid w:val="00D47AE8"/>
    <w:rsid w:val="00D47DFE"/>
    <w:rsid w:val="00D507E6"/>
    <w:rsid w:val="00D50962"/>
    <w:rsid w:val="00D50B67"/>
    <w:rsid w:val="00D50EBC"/>
    <w:rsid w:val="00D5289E"/>
    <w:rsid w:val="00D52B38"/>
    <w:rsid w:val="00D5376D"/>
    <w:rsid w:val="00D53AC5"/>
    <w:rsid w:val="00D53ADE"/>
    <w:rsid w:val="00D53AE1"/>
    <w:rsid w:val="00D53D93"/>
    <w:rsid w:val="00D54139"/>
    <w:rsid w:val="00D54251"/>
    <w:rsid w:val="00D54731"/>
    <w:rsid w:val="00D547C5"/>
    <w:rsid w:val="00D549A8"/>
    <w:rsid w:val="00D54FB2"/>
    <w:rsid w:val="00D552B7"/>
    <w:rsid w:val="00D56210"/>
    <w:rsid w:val="00D5649A"/>
    <w:rsid w:val="00D5649D"/>
    <w:rsid w:val="00D5656C"/>
    <w:rsid w:val="00D56910"/>
    <w:rsid w:val="00D56C22"/>
    <w:rsid w:val="00D56E67"/>
    <w:rsid w:val="00D5709F"/>
    <w:rsid w:val="00D572CF"/>
    <w:rsid w:val="00D5788B"/>
    <w:rsid w:val="00D60041"/>
    <w:rsid w:val="00D60521"/>
    <w:rsid w:val="00D60538"/>
    <w:rsid w:val="00D60572"/>
    <w:rsid w:val="00D605A7"/>
    <w:rsid w:val="00D608D1"/>
    <w:rsid w:val="00D60C2C"/>
    <w:rsid w:val="00D60EA5"/>
    <w:rsid w:val="00D611D6"/>
    <w:rsid w:val="00D61277"/>
    <w:rsid w:val="00D612E9"/>
    <w:rsid w:val="00D61473"/>
    <w:rsid w:val="00D61AA2"/>
    <w:rsid w:val="00D61ABE"/>
    <w:rsid w:val="00D61B07"/>
    <w:rsid w:val="00D62192"/>
    <w:rsid w:val="00D623D7"/>
    <w:rsid w:val="00D62456"/>
    <w:rsid w:val="00D624DC"/>
    <w:rsid w:val="00D6255B"/>
    <w:rsid w:val="00D62813"/>
    <w:rsid w:val="00D63BCD"/>
    <w:rsid w:val="00D63F67"/>
    <w:rsid w:val="00D63FE9"/>
    <w:rsid w:val="00D642D1"/>
    <w:rsid w:val="00D64908"/>
    <w:rsid w:val="00D64978"/>
    <w:rsid w:val="00D65150"/>
    <w:rsid w:val="00D65295"/>
    <w:rsid w:val="00D6561E"/>
    <w:rsid w:val="00D65880"/>
    <w:rsid w:val="00D65C43"/>
    <w:rsid w:val="00D66B1F"/>
    <w:rsid w:val="00D66FCC"/>
    <w:rsid w:val="00D67955"/>
    <w:rsid w:val="00D67CAA"/>
    <w:rsid w:val="00D67DD6"/>
    <w:rsid w:val="00D70094"/>
    <w:rsid w:val="00D70165"/>
    <w:rsid w:val="00D7036B"/>
    <w:rsid w:val="00D70378"/>
    <w:rsid w:val="00D703F8"/>
    <w:rsid w:val="00D70588"/>
    <w:rsid w:val="00D70955"/>
    <w:rsid w:val="00D70E01"/>
    <w:rsid w:val="00D71078"/>
    <w:rsid w:val="00D7136E"/>
    <w:rsid w:val="00D713F3"/>
    <w:rsid w:val="00D714B5"/>
    <w:rsid w:val="00D71F13"/>
    <w:rsid w:val="00D71F3D"/>
    <w:rsid w:val="00D71F99"/>
    <w:rsid w:val="00D71FE8"/>
    <w:rsid w:val="00D721AC"/>
    <w:rsid w:val="00D722B5"/>
    <w:rsid w:val="00D72359"/>
    <w:rsid w:val="00D734A0"/>
    <w:rsid w:val="00D738F1"/>
    <w:rsid w:val="00D73BB8"/>
    <w:rsid w:val="00D74357"/>
    <w:rsid w:val="00D747FF"/>
    <w:rsid w:val="00D748DD"/>
    <w:rsid w:val="00D74B62"/>
    <w:rsid w:val="00D75020"/>
    <w:rsid w:val="00D754B7"/>
    <w:rsid w:val="00D75772"/>
    <w:rsid w:val="00D757A6"/>
    <w:rsid w:val="00D75C91"/>
    <w:rsid w:val="00D76326"/>
    <w:rsid w:val="00D7748B"/>
    <w:rsid w:val="00D77651"/>
    <w:rsid w:val="00D776E4"/>
    <w:rsid w:val="00D802DF"/>
    <w:rsid w:val="00D80383"/>
    <w:rsid w:val="00D80648"/>
    <w:rsid w:val="00D80A72"/>
    <w:rsid w:val="00D81245"/>
    <w:rsid w:val="00D8173F"/>
    <w:rsid w:val="00D81FD6"/>
    <w:rsid w:val="00D82ED0"/>
    <w:rsid w:val="00D83216"/>
    <w:rsid w:val="00D83A86"/>
    <w:rsid w:val="00D83D20"/>
    <w:rsid w:val="00D83EB9"/>
    <w:rsid w:val="00D84059"/>
    <w:rsid w:val="00D8466D"/>
    <w:rsid w:val="00D84751"/>
    <w:rsid w:val="00D84BE6"/>
    <w:rsid w:val="00D84CDD"/>
    <w:rsid w:val="00D84FE1"/>
    <w:rsid w:val="00D85291"/>
    <w:rsid w:val="00D85504"/>
    <w:rsid w:val="00D85771"/>
    <w:rsid w:val="00D85799"/>
    <w:rsid w:val="00D85E92"/>
    <w:rsid w:val="00D8624F"/>
    <w:rsid w:val="00D86847"/>
    <w:rsid w:val="00D8733E"/>
    <w:rsid w:val="00D879C0"/>
    <w:rsid w:val="00D87B26"/>
    <w:rsid w:val="00D87DE2"/>
    <w:rsid w:val="00D9006F"/>
    <w:rsid w:val="00D90316"/>
    <w:rsid w:val="00D90889"/>
    <w:rsid w:val="00D91225"/>
    <w:rsid w:val="00D9128F"/>
    <w:rsid w:val="00D91B49"/>
    <w:rsid w:val="00D92669"/>
    <w:rsid w:val="00D92AE5"/>
    <w:rsid w:val="00D92FEC"/>
    <w:rsid w:val="00D93447"/>
    <w:rsid w:val="00D937CD"/>
    <w:rsid w:val="00D93875"/>
    <w:rsid w:val="00D93943"/>
    <w:rsid w:val="00D93DC7"/>
    <w:rsid w:val="00D93ED8"/>
    <w:rsid w:val="00D93FC4"/>
    <w:rsid w:val="00D941D4"/>
    <w:rsid w:val="00D94344"/>
    <w:rsid w:val="00D946A2"/>
    <w:rsid w:val="00D9497A"/>
    <w:rsid w:val="00D94B77"/>
    <w:rsid w:val="00D94D95"/>
    <w:rsid w:val="00D94E3D"/>
    <w:rsid w:val="00D95739"/>
    <w:rsid w:val="00D95C46"/>
    <w:rsid w:val="00D95E93"/>
    <w:rsid w:val="00D964CD"/>
    <w:rsid w:val="00D9658A"/>
    <w:rsid w:val="00D97077"/>
    <w:rsid w:val="00D977B1"/>
    <w:rsid w:val="00DA01CC"/>
    <w:rsid w:val="00DA0AD5"/>
    <w:rsid w:val="00DA0BA6"/>
    <w:rsid w:val="00DA1381"/>
    <w:rsid w:val="00DA1707"/>
    <w:rsid w:val="00DA1E72"/>
    <w:rsid w:val="00DA21A7"/>
    <w:rsid w:val="00DA2319"/>
    <w:rsid w:val="00DA2EAC"/>
    <w:rsid w:val="00DA316C"/>
    <w:rsid w:val="00DA3442"/>
    <w:rsid w:val="00DA35B1"/>
    <w:rsid w:val="00DA37DC"/>
    <w:rsid w:val="00DA3B20"/>
    <w:rsid w:val="00DA3C91"/>
    <w:rsid w:val="00DA3E56"/>
    <w:rsid w:val="00DA4C6B"/>
    <w:rsid w:val="00DA5343"/>
    <w:rsid w:val="00DA54E1"/>
    <w:rsid w:val="00DA5CB8"/>
    <w:rsid w:val="00DA5F9A"/>
    <w:rsid w:val="00DA67E7"/>
    <w:rsid w:val="00DA6A3B"/>
    <w:rsid w:val="00DA6A56"/>
    <w:rsid w:val="00DA6B70"/>
    <w:rsid w:val="00DA7F06"/>
    <w:rsid w:val="00DB0B6D"/>
    <w:rsid w:val="00DB0C0A"/>
    <w:rsid w:val="00DB1094"/>
    <w:rsid w:val="00DB16DF"/>
    <w:rsid w:val="00DB1A14"/>
    <w:rsid w:val="00DB211E"/>
    <w:rsid w:val="00DB2255"/>
    <w:rsid w:val="00DB2B2D"/>
    <w:rsid w:val="00DB2BCD"/>
    <w:rsid w:val="00DB2E38"/>
    <w:rsid w:val="00DB2E60"/>
    <w:rsid w:val="00DB2FA9"/>
    <w:rsid w:val="00DB30BB"/>
    <w:rsid w:val="00DB31A6"/>
    <w:rsid w:val="00DB32DD"/>
    <w:rsid w:val="00DB37EB"/>
    <w:rsid w:val="00DB4859"/>
    <w:rsid w:val="00DB5451"/>
    <w:rsid w:val="00DB581F"/>
    <w:rsid w:val="00DB6078"/>
    <w:rsid w:val="00DB61B7"/>
    <w:rsid w:val="00DB61D1"/>
    <w:rsid w:val="00DB6505"/>
    <w:rsid w:val="00DB673C"/>
    <w:rsid w:val="00DB6972"/>
    <w:rsid w:val="00DB69A2"/>
    <w:rsid w:val="00DB6B19"/>
    <w:rsid w:val="00DB6EA6"/>
    <w:rsid w:val="00DB7596"/>
    <w:rsid w:val="00DB7F73"/>
    <w:rsid w:val="00DC008D"/>
    <w:rsid w:val="00DC0246"/>
    <w:rsid w:val="00DC0560"/>
    <w:rsid w:val="00DC09DA"/>
    <w:rsid w:val="00DC0A72"/>
    <w:rsid w:val="00DC0E9B"/>
    <w:rsid w:val="00DC11E7"/>
    <w:rsid w:val="00DC157E"/>
    <w:rsid w:val="00DC1967"/>
    <w:rsid w:val="00DC1B8E"/>
    <w:rsid w:val="00DC1F55"/>
    <w:rsid w:val="00DC2B92"/>
    <w:rsid w:val="00DC3716"/>
    <w:rsid w:val="00DC3A23"/>
    <w:rsid w:val="00DC3AD2"/>
    <w:rsid w:val="00DC3BE3"/>
    <w:rsid w:val="00DC43D5"/>
    <w:rsid w:val="00DC4652"/>
    <w:rsid w:val="00DC4E0B"/>
    <w:rsid w:val="00DC51E6"/>
    <w:rsid w:val="00DC5236"/>
    <w:rsid w:val="00DC57F1"/>
    <w:rsid w:val="00DC5817"/>
    <w:rsid w:val="00DC586D"/>
    <w:rsid w:val="00DC5E10"/>
    <w:rsid w:val="00DC6283"/>
    <w:rsid w:val="00DC63FC"/>
    <w:rsid w:val="00DC6700"/>
    <w:rsid w:val="00DC6A7D"/>
    <w:rsid w:val="00DC6C57"/>
    <w:rsid w:val="00DC7102"/>
    <w:rsid w:val="00DC7473"/>
    <w:rsid w:val="00DC7504"/>
    <w:rsid w:val="00DC767C"/>
    <w:rsid w:val="00DC77E0"/>
    <w:rsid w:val="00DC7C0A"/>
    <w:rsid w:val="00DD0236"/>
    <w:rsid w:val="00DD07B5"/>
    <w:rsid w:val="00DD07FF"/>
    <w:rsid w:val="00DD0CC8"/>
    <w:rsid w:val="00DD117E"/>
    <w:rsid w:val="00DD13CF"/>
    <w:rsid w:val="00DD1ADB"/>
    <w:rsid w:val="00DD1E51"/>
    <w:rsid w:val="00DD1E5E"/>
    <w:rsid w:val="00DD2346"/>
    <w:rsid w:val="00DD2F78"/>
    <w:rsid w:val="00DD3A2E"/>
    <w:rsid w:val="00DD3A5D"/>
    <w:rsid w:val="00DD3B05"/>
    <w:rsid w:val="00DD46C8"/>
    <w:rsid w:val="00DD51D5"/>
    <w:rsid w:val="00DD62E8"/>
    <w:rsid w:val="00DD6737"/>
    <w:rsid w:val="00DD6C58"/>
    <w:rsid w:val="00DD6C5A"/>
    <w:rsid w:val="00DD76CF"/>
    <w:rsid w:val="00DD7947"/>
    <w:rsid w:val="00DE0040"/>
    <w:rsid w:val="00DE02B7"/>
    <w:rsid w:val="00DE0517"/>
    <w:rsid w:val="00DE0C0A"/>
    <w:rsid w:val="00DE0D14"/>
    <w:rsid w:val="00DE0D32"/>
    <w:rsid w:val="00DE102F"/>
    <w:rsid w:val="00DE1B78"/>
    <w:rsid w:val="00DE1D92"/>
    <w:rsid w:val="00DE1DBE"/>
    <w:rsid w:val="00DE213A"/>
    <w:rsid w:val="00DE2301"/>
    <w:rsid w:val="00DE2486"/>
    <w:rsid w:val="00DE3259"/>
    <w:rsid w:val="00DE37F9"/>
    <w:rsid w:val="00DE3ED3"/>
    <w:rsid w:val="00DE3EE6"/>
    <w:rsid w:val="00DE463C"/>
    <w:rsid w:val="00DE4FDD"/>
    <w:rsid w:val="00DE54AA"/>
    <w:rsid w:val="00DE57FC"/>
    <w:rsid w:val="00DE5A77"/>
    <w:rsid w:val="00DE5CBE"/>
    <w:rsid w:val="00DE629F"/>
    <w:rsid w:val="00DE6576"/>
    <w:rsid w:val="00DE659E"/>
    <w:rsid w:val="00DE6A55"/>
    <w:rsid w:val="00DE6E7E"/>
    <w:rsid w:val="00DE70E5"/>
    <w:rsid w:val="00DE7190"/>
    <w:rsid w:val="00DE7271"/>
    <w:rsid w:val="00DE7698"/>
    <w:rsid w:val="00DE7B35"/>
    <w:rsid w:val="00DE7CCE"/>
    <w:rsid w:val="00DE7FF6"/>
    <w:rsid w:val="00DF01A4"/>
    <w:rsid w:val="00DF079C"/>
    <w:rsid w:val="00DF0917"/>
    <w:rsid w:val="00DF0E1A"/>
    <w:rsid w:val="00DF10DE"/>
    <w:rsid w:val="00DF1614"/>
    <w:rsid w:val="00DF1E7F"/>
    <w:rsid w:val="00DF1F1B"/>
    <w:rsid w:val="00DF227B"/>
    <w:rsid w:val="00DF25BD"/>
    <w:rsid w:val="00DF2714"/>
    <w:rsid w:val="00DF2741"/>
    <w:rsid w:val="00DF292B"/>
    <w:rsid w:val="00DF2E2A"/>
    <w:rsid w:val="00DF323E"/>
    <w:rsid w:val="00DF33DE"/>
    <w:rsid w:val="00DF3E90"/>
    <w:rsid w:val="00DF4329"/>
    <w:rsid w:val="00DF4B36"/>
    <w:rsid w:val="00DF5371"/>
    <w:rsid w:val="00DF56B8"/>
    <w:rsid w:val="00DF581F"/>
    <w:rsid w:val="00DF5F7F"/>
    <w:rsid w:val="00DF5FB7"/>
    <w:rsid w:val="00DF6343"/>
    <w:rsid w:val="00DF63B8"/>
    <w:rsid w:val="00DF677B"/>
    <w:rsid w:val="00DF67A2"/>
    <w:rsid w:val="00DF7386"/>
    <w:rsid w:val="00DF75CE"/>
    <w:rsid w:val="00DF799E"/>
    <w:rsid w:val="00E0004B"/>
    <w:rsid w:val="00E00263"/>
    <w:rsid w:val="00E00721"/>
    <w:rsid w:val="00E00879"/>
    <w:rsid w:val="00E0148E"/>
    <w:rsid w:val="00E01799"/>
    <w:rsid w:val="00E017F9"/>
    <w:rsid w:val="00E01D74"/>
    <w:rsid w:val="00E01DC6"/>
    <w:rsid w:val="00E01E6B"/>
    <w:rsid w:val="00E02AD7"/>
    <w:rsid w:val="00E02C73"/>
    <w:rsid w:val="00E0309B"/>
    <w:rsid w:val="00E032D5"/>
    <w:rsid w:val="00E034B2"/>
    <w:rsid w:val="00E03AA6"/>
    <w:rsid w:val="00E03E1E"/>
    <w:rsid w:val="00E045ED"/>
    <w:rsid w:val="00E04724"/>
    <w:rsid w:val="00E049B1"/>
    <w:rsid w:val="00E04F2A"/>
    <w:rsid w:val="00E05B03"/>
    <w:rsid w:val="00E05B1F"/>
    <w:rsid w:val="00E05BAB"/>
    <w:rsid w:val="00E0603A"/>
    <w:rsid w:val="00E06085"/>
    <w:rsid w:val="00E0623A"/>
    <w:rsid w:val="00E0637E"/>
    <w:rsid w:val="00E066E7"/>
    <w:rsid w:val="00E0674B"/>
    <w:rsid w:val="00E06EA1"/>
    <w:rsid w:val="00E06F9C"/>
    <w:rsid w:val="00E07580"/>
    <w:rsid w:val="00E07832"/>
    <w:rsid w:val="00E07926"/>
    <w:rsid w:val="00E07FA9"/>
    <w:rsid w:val="00E07FDB"/>
    <w:rsid w:val="00E10639"/>
    <w:rsid w:val="00E10817"/>
    <w:rsid w:val="00E10B9E"/>
    <w:rsid w:val="00E10C33"/>
    <w:rsid w:val="00E11238"/>
    <w:rsid w:val="00E1149B"/>
    <w:rsid w:val="00E1163A"/>
    <w:rsid w:val="00E1166C"/>
    <w:rsid w:val="00E119C6"/>
    <w:rsid w:val="00E11BE5"/>
    <w:rsid w:val="00E11D32"/>
    <w:rsid w:val="00E12AB7"/>
    <w:rsid w:val="00E12C4E"/>
    <w:rsid w:val="00E12C95"/>
    <w:rsid w:val="00E12D5A"/>
    <w:rsid w:val="00E12F15"/>
    <w:rsid w:val="00E131A3"/>
    <w:rsid w:val="00E134EE"/>
    <w:rsid w:val="00E13A64"/>
    <w:rsid w:val="00E13C5F"/>
    <w:rsid w:val="00E13C61"/>
    <w:rsid w:val="00E13CE4"/>
    <w:rsid w:val="00E13E6B"/>
    <w:rsid w:val="00E1414E"/>
    <w:rsid w:val="00E14196"/>
    <w:rsid w:val="00E1453D"/>
    <w:rsid w:val="00E149E1"/>
    <w:rsid w:val="00E14A80"/>
    <w:rsid w:val="00E14E60"/>
    <w:rsid w:val="00E1574D"/>
    <w:rsid w:val="00E15B44"/>
    <w:rsid w:val="00E15DA2"/>
    <w:rsid w:val="00E15E3C"/>
    <w:rsid w:val="00E1635D"/>
    <w:rsid w:val="00E16839"/>
    <w:rsid w:val="00E16E62"/>
    <w:rsid w:val="00E17043"/>
    <w:rsid w:val="00E173B3"/>
    <w:rsid w:val="00E17D18"/>
    <w:rsid w:val="00E201AF"/>
    <w:rsid w:val="00E207E4"/>
    <w:rsid w:val="00E2099A"/>
    <w:rsid w:val="00E20B65"/>
    <w:rsid w:val="00E21595"/>
    <w:rsid w:val="00E220DD"/>
    <w:rsid w:val="00E22C0D"/>
    <w:rsid w:val="00E22CF2"/>
    <w:rsid w:val="00E22FBA"/>
    <w:rsid w:val="00E2370A"/>
    <w:rsid w:val="00E23C49"/>
    <w:rsid w:val="00E23D71"/>
    <w:rsid w:val="00E24281"/>
    <w:rsid w:val="00E24300"/>
    <w:rsid w:val="00E248DC"/>
    <w:rsid w:val="00E250CA"/>
    <w:rsid w:val="00E2537D"/>
    <w:rsid w:val="00E256BA"/>
    <w:rsid w:val="00E25810"/>
    <w:rsid w:val="00E2582D"/>
    <w:rsid w:val="00E25994"/>
    <w:rsid w:val="00E25AC1"/>
    <w:rsid w:val="00E26321"/>
    <w:rsid w:val="00E2636C"/>
    <w:rsid w:val="00E264DF"/>
    <w:rsid w:val="00E27B90"/>
    <w:rsid w:val="00E27DAB"/>
    <w:rsid w:val="00E27F6D"/>
    <w:rsid w:val="00E305DE"/>
    <w:rsid w:val="00E306A2"/>
    <w:rsid w:val="00E3092C"/>
    <w:rsid w:val="00E30AE2"/>
    <w:rsid w:val="00E30F7B"/>
    <w:rsid w:val="00E31585"/>
    <w:rsid w:val="00E315BE"/>
    <w:rsid w:val="00E3188E"/>
    <w:rsid w:val="00E31A2F"/>
    <w:rsid w:val="00E32003"/>
    <w:rsid w:val="00E32482"/>
    <w:rsid w:val="00E3286E"/>
    <w:rsid w:val="00E33644"/>
    <w:rsid w:val="00E336D7"/>
    <w:rsid w:val="00E33B18"/>
    <w:rsid w:val="00E33D3C"/>
    <w:rsid w:val="00E3419C"/>
    <w:rsid w:val="00E3424D"/>
    <w:rsid w:val="00E3437B"/>
    <w:rsid w:val="00E34AF0"/>
    <w:rsid w:val="00E34FB8"/>
    <w:rsid w:val="00E35006"/>
    <w:rsid w:val="00E35078"/>
    <w:rsid w:val="00E35251"/>
    <w:rsid w:val="00E35F63"/>
    <w:rsid w:val="00E36344"/>
    <w:rsid w:val="00E3676D"/>
    <w:rsid w:val="00E3684A"/>
    <w:rsid w:val="00E36D53"/>
    <w:rsid w:val="00E370E0"/>
    <w:rsid w:val="00E37F9C"/>
    <w:rsid w:val="00E408E7"/>
    <w:rsid w:val="00E40BC0"/>
    <w:rsid w:val="00E40FF5"/>
    <w:rsid w:val="00E41285"/>
    <w:rsid w:val="00E41596"/>
    <w:rsid w:val="00E417D0"/>
    <w:rsid w:val="00E41A8D"/>
    <w:rsid w:val="00E41B51"/>
    <w:rsid w:val="00E41CA6"/>
    <w:rsid w:val="00E41E64"/>
    <w:rsid w:val="00E41F28"/>
    <w:rsid w:val="00E4202C"/>
    <w:rsid w:val="00E4202D"/>
    <w:rsid w:val="00E42230"/>
    <w:rsid w:val="00E4244D"/>
    <w:rsid w:val="00E42515"/>
    <w:rsid w:val="00E42895"/>
    <w:rsid w:val="00E43081"/>
    <w:rsid w:val="00E43BC6"/>
    <w:rsid w:val="00E43CD8"/>
    <w:rsid w:val="00E4408F"/>
    <w:rsid w:val="00E44285"/>
    <w:rsid w:val="00E44488"/>
    <w:rsid w:val="00E444BA"/>
    <w:rsid w:val="00E446BD"/>
    <w:rsid w:val="00E44784"/>
    <w:rsid w:val="00E449AF"/>
    <w:rsid w:val="00E44AE8"/>
    <w:rsid w:val="00E4544C"/>
    <w:rsid w:val="00E454C0"/>
    <w:rsid w:val="00E45632"/>
    <w:rsid w:val="00E45DEF"/>
    <w:rsid w:val="00E46705"/>
    <w:rsid w:val="00E46C1D"/>
    <w:rsid w:val="00E475C4"/>
    <w:rsid w:val="00E5024E"/>
    <w:rsid w:val="00E50261"/>
    <w:rsid w:val="00E51D89"/>
    <w:rsid w:val="00E51E10"/>
    <w:rsid w:val="00E51EB1"/>
    <w:rsid w:val="00E52299"/>
    <w:rsid w:val="00E522A0"/>
    <w:rsid w:val="00E52637"/>
    <w:rsid w:val="00E526BA"/>
    <w:rsid w:val="00E52716"/>
    <w:rsid w:val="00E52A53"/>
    <w:rsid w:val="00E52F24"/>
    <w:rsid w:val="00E53092"/>
    <w:rsid w:val="00E531EC"/>
    <w:rsid w:val="00E53715"/>
    <w:rsid w:val="00E53895"/>
    <w:rsid w:val="00E539AE"/>
    <w:rsid w:val="00E53A54"/>
    <w:rsid w:val="00E53BB2"/>
    <w:rsid w:val="00E54197"/>
    <w:rsid w:val="00E54CF8"/>
    <w:rsid w:val="00E5582A"/>
    <w:rsid w:val="00E55AFA"/>
    <w:rsid w:val="00E55BE5"/>
    <w:rsid w:val="00E55C82"/>
    <w:rsid w:val="00E55EC3"/>
    <w:rsid w:val="00E564A6"/>
    <w:rsid w:val="00E56DA9"/>
    <w:rsid w:val="00E5761C"/>
    <w:rsid w:val="00E57F8C"/>
    <w:rsid w:val="00E6024C"/>
    <w:rsid w:val="00E604A3"/>
    <w:rsid w:val="00E6076F"/>
    <w:rsid w:val="00E60980"/>
    <w:rsid w:val="00E60A61"/>
    <w:rsid w:val="00E6114E"/>
    <w:rsid w:val="00E61642"/>
    <w:rsid w:val="00E61796"/>
    <w:rsid w:val="00E62680"/>
    <w:rsid w:val="00E62AD9"/>
    <w:rsid w:val="00E62DB8"/>
    <w:rsid w:val="00E62FF0"/>
    <w:rsid w:val="00E6344A"/>
    <w:rsid w:val="00E63EF1"/>
    <w:rsid w:val="00E640DA"/>
    <w:rsid w:val="00E643EE"/>
    <w:rsid w:val="00E644A9"/>
    <w:rsid w:val="00E64A5E"/>
    <w:rsid w:val="00E64AB9"/>
    <w:rsid w:val="00E64AED"/>
    <w:rsid w:val="00E64B6E"/>
    <w:rsid w:val="00E64D32"/>
    <w:rsid w:val="00E64E43"/>
    <w:rsid w:val="00E65718"/>
    <w:rsid w:val="00E65CEE"/>
    <w:rsid w:val="00E660F1"/>
    <w:rsid w:val="00E662D1"/>
    <w:rsid w:val="00E6650B"/>
    <w:rsid w:val="00E66B09"/>
    <w:rsid w:val="00E66C85"/>
    <w:rsid w:val="00E66CB3"/>
    <w:rsid w:val="00E67EB5"/>
    <w:rsid w:val="00E70142"/>
    <w:rsid w:val="00E70485"/>
    <w:rsid w:val="00E705F6"/>
    <w:rsid w:val="00E70C9C"/>
    <w:rsid w:val="00E70EDF"/>
    <w:rsid w:val="00E70F71"/>
    <w:rsid w:val="00E7107D"/>
    <w:rsid w:val="00E7117F"/>
    <w:rsid w:val="00E718C6"/>
    <w:rsid w:val="00E71AD9"/>
    <w:rsid w:val="00E723BA"/>
    <w:rsid w:val="00E724AE"/>
    <w:rsid w:val="00E726B7"/>
    <w:rsid w:val="00E72E1F"/>
    <w:rsid w:val="00E72F89"/>
    <w:rsid w:val="00E73132"/>
    <w:rsid w:val="00E731AA"/>
    <w:rsid w:val="00E7340E"/>
    <w:rsid w:val="00E7377C"/>
    <w:rsid w:val="00E73A2B"/>
    <w:rsid w:val="00E73B0B"/>
    <w:rsid w:val="00E73DD9"/>
    <w:rsid w:val="00E745EF"/>
    <w:rsid w:val="00E74ACD"/>
    <w:rsid w:val="00E74D28"/>
    <w:rsid w:val="00E74DBD"/>
    <w:rsid w:val="00E7586D"/>
    <w:rsid w:val="00E75D90"/>
    <w:rsid w:val="00E765BB"/>
    <w:rsid w:val="00E77028"/>
    <w:rsid w:val="00E7752B"/>
    <w:rsid w:val="00E77A5B"/>
    <w:rsid w:val="00E77AB1"/>
    <w:rsid w:val="00E77C16"/>
    <w:rsid w:val="00E808B3"/>
    <w:rsid w:val="00E80BBD"/>
    <w:rsid w:val="00E813B4"/>
    <w:rsid w:val="00E81427"/>
    <w:rsid w:val="00E81834"/>
    <w:rsid w:val="00E81AFF"/>
    <w:rsid w:val="00E81F95"/>
    <w:rsid w:val="00E81FFA"/>
    <w:rsid w:val="00E82632"/>
    <w:rsid w:val="00E82905"/>
    <w:rsid w:val="00E82AD6"/>
    <w:rsid w:val="00E82B5D"/>
    <w:rsid w:val="00E831CE"/>
    <w:rsid w:val="00E83363"/>
    <w:rsid w:val="00E833FF"/>
    <w:rsid w:val="00E83BA3"/>
    <w:rsid w:val="00E83E56"/>
    <w:rsid w:val="00E83EAB"/>
    <w:rsid w:val="00E83F6C"/>
    <w:rsid w:val="00E83FB4"/>
    <w:rsid w:val="00E842F7"/>
    <w:rsid w:val="00E84358"/>
    <w:rsid w:val="00E847DD"/>
    <w:rsid w:val="00E84818"/>
    <w:rsid w:val="00E84D94"/>
    <w:rsid w:val="00E84ECF"/>
    <w:rsid w:val="00E851B7"/>
    <w:rsid w:val="00E85362"/>
    <w:rsid w:val="00E853C4"/>
    <w:rsid w:val="00E86719"/>
    <w:rsid w:val="00E86B83"/>
    <w:rsid w:val="00E86F8A"/>
    <w:rsid w:val="00E873CC"/>
    <w:rsid w:val="00E8754C"/>
    <w:rsid w:val="00E87733"/>
    <w:rsid w:val="00E87863"/>
    <w:rsid w:val="00E87B4B"/>
    <w:rsid w:val="00E87BB6"/>
    <w:rsid w:val="00E87D23"/>
    <w:rsid w:val="00E87DD4"/>
    <w:rsid w:val="00E912B3"/>
    <w:rsid w:val="00E9196B"/>
    <w:rsid w:val="00E91F6B"/>
    <w:rsid w:val="00E920FB"/>
    <w:rsid w:val="00E92620"/>
    <w:rsid w:val="00E92A19"/>
    <w:rsid w:val="00E92DD0"/>
    <w:rsid w:val="00E92FE2"/>
    <w:rsid w:val="00E93DA1"/>
    <w:rsid w:val="00E943C8"/>
    <w:rsid w:val="00E9457D"/>
    <w:rsid w:val="00E948E1"/>
    <w:rsid w:val="00E94E1A"/>
    <w:rsid w:val="00E94E7B"/>
    <w:rsid w:val="00E95657"/>
    <w:rsid w:val="00E95706"/>
    <w:rsid w:val="00E95831"/>
    <w:rsid w:val="00E95CF7"/>
    <w:rsid w:val="00E96454"/>
    <w:rsid w:val="00E96477"/>
    <w:rsid w:val="00E96974"/>
    <w:rsid w:val="00E96FD8"/>
    <w:rsid w:val="00E96FF7"/>
    <w:rsid w:val="00E97104"/>
    <w:rsid w:val="00E971B7"/>
    <w:rsid w:val="00E978EA"/>
    <w:rsid w:val="00E97900"/>
    <w:rsid w:val="00E97ADA"/>
    <w:rsid w:val="00E97BD2"/>
    <w:rsid w:val="00E97EC6"/>
    <w:rsid w:val="00E97F92"/>
    <w:rsid w:val="00EA03A5"/>
    <w:rsid w:val="00EA044E"/>
    <w:rsid w:val="00EA068C"/>
    <w:rsid w:val="00EA0698"/>
    <w:rsid w:val="00EA0846"/>
    <w:rsid w:val="00EA0A31"/>
    <w:rsid w:val="00EA1AAC"/>
    <w:rsid w:val="00EA221D"/>
    <w:rsid w:val="00EA29F2"/>
    <w:rsid w:val="00EA34CE"/>
    <w:rsid w:val="00EA3545"/>
    <w:rsid w:val="00EA39C4"/>
    <w:rsid w:val="00EA3C87"/>
    <w:rsid w:val="00EA3CFE"/>
    <w:rsid w:val="00EA4129"/>
    <w:rsid w:val="00EA41DA"/>
    <w:rsid w:val="00EA44B5"/>
    <w:rsid w:val="00EA4613"/>
    <w:rsid w:val="00EA47F2"/>
    <w:rsid w:val="00EA54FF"/>
    <w:rsid w:val="00EA6458"/>
    <w:rsid w:val="00EA6461"/>
    <w:rsid w:val="00EA67F5"/>
    <w:rsid w:val="00EA69BD"/>
    <w:rsid w:val="00EA78E0"/>
    <w:rsid w:val="00EA7944"/>
    <w:rsid w:val="00EA79C6"/>
    <w:rsid w:val="00EA7B5D"/>
    <w:rsid w:val="00EA7D46"/>
    <w:rsid w:val="00EA7EF5"/>
    <w:rsid w:val="00EB022C"/>
    <w:rsid w:val="00EB0D35"/>
    <w:rsid w:val="00EB13D2"/>
    <w:rsid w:val="00EB13E9"/>
    <w:rsid w:val="00EB1E02"/>
    <w:rsid w:val="00EB218E"/>
    <w:rsid w:val="00EB2584"/>
    <w:rsid w:val="00EB25DD"/>
    <w:rsid w:val="00EB2A84"/>
    <w:rsid w:val="00EB2B1A"/>
    <w:rsid w:val="00EB2E03"/>
    <w:rsid w:val="00EB2F47"/>
    <w:rsid w:val="00EB3DEC"/>
    <w:rsid w:val="00EB4177"/>
    <w:rsid w:val="00EB4237"/>
    <w:rsid w:val="00EB46AC"/>
    <w:rsid w:val="00EB47E4"/>
    <w:rsid w:val="00EB584E"/>
    <w:rsid w:val="00EB5B8F"/>
    <w:rsid w:val="00EB61B3"/>
    <w:rsid w:val="00EB65B3"/>
    <w:rsid w:val="00EB6CF8"/>
    <w:rsid w:val="00EB6D64"/>
    <w:rsid w:val="00EB7412"/>
    <w:rsid w:val="00EB7561"/>
    <w:rsid w:val="00EB75F7"/>
    <w:rsid w:val="00EB7D81"/>
    <w:rsid w:val="00EC03A0"/>
    <w:rsid w:val="00EC03F8"/>
    <w:rsid w:val="00EC0891"/>
    <w:rsid w:val="00EC090D"/>
    <w:rsid w:val="00EC126F"/>
    <w:rsid w:val="00EC1462"/>
    <w:rsid w:val="00EC1BEA"/>
    <w:rsid w:val="00EC221A"/>
    <w:rsid w:val="00EC23AE"/>
    <w:rsid w:val="00EC23CD"/>
    <w:rsid w:val="00EC2B2C"/>
    <w:rsid w:val="00EC31C4"/>
    <w:rsid w:val="00EC3201"/>
    <w:rsid w:val="00EC32A0"/>
    <w:rsid w:val="00EC345A"/>
    <w:rsid w:val="00EC3477"/>
    <w:rsid w:val="00EC34E8"/>
    <w:rsid w:val="00EC3556"/>
    <w:rsid w:val="00EC45BA"/>
    <w:rsid w:val="00EC4ADC"/>
    <w:rsid w:val="00EC528F"/>
    <w:rsid w:val="00EC54CD"/>
    <w:rsid w:val="00EC566C"/>
    <w:rsid w:val="00EC5790"/>
    <w:rsid w:val="00EC58AE"/>
    <w:rsid w:val="00EC5CBC"/>
    <w:rsid w:val="00EC6105"/>
    <w:rsid w:val="00EC6145"/>
    <w:rsid w:val="00EC648C"/>
    <w:rsid w:val="00EC69D9"/>
    <w:rsid w:val="00EC727E"/>
    <w:rsid w:val="00ED013E"/>
    <w:rsid w:val="00ED0624"/>
    <w:rsid w:val="00ED06DC"/>
    <w:rsid w:val="00ED0A86"/>
    <w:rsid w:val="00ED0BAC"/>
    <w:rsid w:val="00ED0BFD"/>
    <w:rsid w:val="00ED1367"/>
    <w:rsid w:val="00ED1382"/>
    <w:rsid w:val="00ED1905"/>
    <w:rsid w:val="00ED2403"/>
    <w:rsid w:val="00ED2978"/>
    <w:rsid w:val="00ED2D00"/>
    <w:rsid w:val="00ED2D9C"/>
    <w:rsid w:val="00ED32E8"/>
    <w:rsid w:val="00ED32F2"/>
    <w:rsid w:val="00ED3377"/>
    <w:rsid w:val="00ED3553"/>
    <w:rsid w:val="00ED3B4C"/>
    <w:rsid w:val="00ED3C6F"/>
    <w:rsid w:val="00ED3C96"/>
    <w:rsid w:val="00ED3D36"/>
    <w:rsid w:val="00ED3F9C"/>
    <w:rsid w:val="00ED3FE3"/>
    <w:rsid w:val="00ED457E"/>
    <w:rsid w:val="00ED4D28"/>
    <w:rsid w:val="00ED4F36"/>
    <w:rsid w:val="00ED4F59"/>
    <w:rsid w:val="00ED513A"/>
    <w:rsid w:val="00ED51FF"/>
    <w:rsid w:val="00ED579E"/>
    <w:rsid w:val="00ED6136"/>
    <w:rsid w:val="00ED6520"/>
    <w:rsid w:val="00ED6556"/>
    <w:rsid w:val="00ED65A3"/>
    <w:rsid w:val="00ED684C"/>
    <w:rsid w:val="00ED685F"/>
    <w:rsid w:val="00ED6941"/>
    <w:rsid w:val="00ED69D6"/>
    <w:rsid w:val="00ED6DB4"/>
    <w:rsid w:val="00ED718A"/>
    <w:rsid w:val="00ED78D2"/>
    <w:rsid w:val="00ED799A"/>
    <w:rsid w:val="00EE0FE0"/>
    <w:rsid w:val="00EE1631"/>
    <w:rsid w:val="00EE264E"/>
    <w:rsid w:val="00EE2733"/>
    <w:rsid w:val="00EE2881"/>
    <w:rsid w:val="00EE298F"/>
    <w:rsid w:val="00EE2C50"/>
    <w:rsid w:val="00EE2D8D"/>
    <w:rsid w:val="00EE2EF9"/>
    <w:rsid w:val="00EE32E7"/>
    <w:rsid w:val="00EE33A4"/>
    <w:rsid w:val="00EE3C8B"/>
    <w:rsid w:val="00EE3F34"/>
    <w:rsid w:val="00EE4646"/>
    <w:rsid w:val="00EE4D3A"/>
    <w:rsid w:val="00EE5673"/>
    <w:rsid w:val="00EE5829"/>
    <w:rsid w:val="00EE5A61"/>
    <w:rsid w:val="00EE6559"/>
    <w:rsid w:val="00EE69CD"/>
    <w:rsid w:val="00EE727D"/>
    <w:rsid w:val="00EE767A"/>
    <w:rsid w:val="00EE781F"/>
    <w:rsid w:val="00EE7AEA"/>
    <w:rsid w:val="00EE7DB8"/>
    <w:rsid w:val="00EE7ECA"/>
    <w:rsid w:val="00EE7EF4"/>
    <w:rsid w:val="00EF0262"/>
    <w:rsid w:val="00EF03FD"/>
    <w:rsid w:val="00EF04D6"/>
    <w:rsid w:val="00EF0E2B"/>
    <w:rsid w:val="00EF0E80"/>
    <w:rsid w:val="00EF1245"/>
    <w:rsid w:val="00EF14B2"/>
    <w:rsid w:val="00EF154B"/>
    <w:rsid w:val="00EF15A3"/>
    <w:rsid w:val="00EF18A7"/>
    <w:rsid w:val="00EF1A6A"/>
    <w:rsid w:val="00EF1D43"/>
    <w:rsid w:val="00EF1EA6"/>
    <w:rsid w:val="00EF2936"/>
    <w:rsid w:val="00EF2ED2"/>
    <w:rsid w:val="00EF30E5"/>
    <w:rsid w:val="00EF318C"/>
    <w:rsid w:val="00EF3346"/>
    <w:rsid w:val="00EF33FD"/>
    <w:rsid w:val="00EF34EC"/>
    <w:rsid w:val="00EF3D37"/>
    <w:rsid w:val="00EF4106"/>
    <w:rsid w:val="00EF44D8"/>
    <w:rsid w:val="00EF44EF"/>
    <w:rsid w:val="00EF4707"/>
    <w:rsid w:val="00EF4942"/>
    <w:rsid w:val="00EF4E5F"/>
    <w:rsid w:val="00EF4EB2"/>
    <w:rsid w:val="00EF4F4A"/>
    <w:rsid w:val="00EF54DB"/>
    <w:rsid w:val="00EF5867"/>
    <w:rsid w:val="00EF5ADD"/>
    <w:rsid w:val="00EF5CE0"/>
    <w:rsid w:val="00EF5F7F"/>
    <w:rsid w:val="00EF62DA"/>
    <w:rsid w:val="00EF66A9"/>
    <w:rsid w:val="00EF67C4"/>
    <w:rsid w:val="00EF6914"/>
    <w:rsid w:val="00EF6D54"/>
    <w:rsid w:val="00EF74A7"/>
    <w:rsid w:val="00EF7B0B"/>
    <w:rsid w:val="00EF7C95"/>
    <w:rsid w:val="00F00A95"/>
    <w:rsid w:val="00F00BAE"/>
    <w:rsid w:val="00F00F4C"/>
    <w:rsid w:val="00F01152"/>
    <w:rsid w:val="00F019C1"/>
    <w:rsid w:val="00F019EB"/>
    <w:rsid w:val="00F023DE"/>
    <w:rsid w:val="00F026BC"/>
    <w:rsid w:val="00F02BD8"/>
    <w:rsid w:val="00F03753"/>
    <w:rsid w:val="00F03813"/>
    <w:rsid w:val="00F03A39"/>
    <w:rsid w:val="00F03C69"/>
    <w:rsid w:val="00F0438B"/>
    <w:rsid w:val="00F045C9"/>
    <w:rsid w:val="00F04C13"/>
    <w:rsid w:val="00F05097"/>
    <w:rsid w:val="00F051A4"/>
    <w:rsid w:val="00F05231"/>
    <w:rsid w:val="00F052F6"/>
    <w:rsid w:val="00F05762"/>
    <w:rsid w:val="00F057FE"/>
    <w:rsid w:val="00F0582A"/>
    <w:rsid w:val="00F05937"/>
    <w:rsid w:val="00F05A36"/>
    <w:rsid w:val="00F05AAF"/>
    <w:rsid w:val="00F06647"/>
    <w:rsid w:val="00F06948"/>
    <w:rsid w:val="00F0696C"/>
    <w:rsid w:val="00F06ED4"/>
    <w:rsid w:val="00F06F40"/>
    <w:rsid w:val="00F10177"/>
    <w:rsid w:val="00F10A3C"/>
    <w:rsid w:val="00F10DE8"/>
    <w:rsid w:val="00F10E48"/>
    <w:rsid w:val="00F10E5D"/>
    <w:rsid w:val="00F10FAF"/>
    <w:rsid w:val="00F115C7"/>
    <w:rsid w:val="00F11678"/>
    <w:rsid w:val="00F11FEA"/>
    <w:rsid w:val="00F120BA"/>
    <w:rsid w:val="00F125E8"/>
    <w:rsid w:val="00F12885"/>
    <w:rsid w:val="00F12992"/>
    <w:rsid w:val="00F12F18"/>
    <w:rsid w:val="00F12FA7"/>
    <w:rsid w:val="00F12FF6"/>
    <w:rsid w:val="00F13196"/>
    <w:rsid w:val="00F1350B"/>
    <w:rsid w:val="00F135A6"/>
    <w:rsid w:val="00F1392A"/>
    <w:rsid w:val="00F13AFD"/>
    <w:rsid w:val="00F13ECC"/>
    <w:rsid w:val="00F14100"/>
    <w:rsid w:val="00F145D9"/>
    <w:rsid w:val="00F1461C"/>
    <w:rsid w:val="00F148FB"/>
    <w:rsid w:val="00F14BC5"/>
    <w:rsid w:val="00F15387"/>
    <w:rsid w:val="00F154B5"/>
    <w:rsid w:val="00F154C6"/>
    <w:rsid w:val="00F156AC"/>
    <w:rsid w:val="00F15754"/>
    <w:rsid w:val="00F15BD3"/>
    <w:rsid w:val="00F16822"/>
    <w:rsid w:val="00F1791F"/>
    <w:rsid w:val="00F17B09"/>
    <w:rsid w:val="00F20051"/>
    <w:rsid w:val="00F20259"/>
    <w:rsid w:val="00F202C0"/>
    <w:rsid w:val="00F208FC"/>
    <w:rsid w:val="00F2208D"/>
    <w:rsid w:val="00F22302"/>
    <w:rsid w:val="00F22ED7"/>
    <w:rsid w:val="00F22F6E"/>
    <w:rsid w:val="00F23554"/>
    <w:rsid w:val="00F2378F"/>
    <w:rsid w:val="00F237D0"/>
    <w:rsid w:val="00F2401D"/>
    <w:rsid w:val="00F2404D"/>
    <w:rsid w:val="00F24183"/>
    <w:rsid w:val="00F24270"/>
    <w:rsid w:val="00F24745"/>
    <w:rsid w:val="00F24BF6"/>
    <w:rsid w:val="00F24D25"/>
    <w:rsid w:val="00F26006"/>
    <w:rsid w:val="00F260F5"/>
    <w:rsid w:val="00F261B5"/>
    <w:rsid w:val="00F261FF"/>
    <w:rsid w:val="00F26682"/>
    <w:rsid w:val="00F26700"/>
    <w:rsid w:val="00F26796"/>
    <w:rsid w:val="00F269D0"/>
    <w:rsid w:val="00F273FC"/>
    <w:rsid w:val="00F30023"/>
    <w:rsid w:val="00F30142"/>
    <w:rsid w:val="00F30595"/>
    <w:rsid w:val="00F309C8"/>
    <w:rsid w:val="00F30BE1"/>
    <w:rsid w:val="00F30C76"/>
    <w:rsid w:val="00F312B5"/>
    <w:rsid w:val="00F31578"/>
    <w:rsid w:val="00F3190A"/>
    <w:rsid w:val="00F31C95"/>
    <w:rsid w:val="00F32083"/>
    <w:rsid w:val="00F325F7"/>
    <w:rsid w:val="00F328C6"/>
    <w:rsid w:val="00F32AE2"/>
    <w:rsid w:val="00F32B10"/>
    <w:rsid w:val="00F32BB9"/>
    <w:rsid w:val="00F32EFF"/>
    <w:rsid w:val="00F32F88"/>
    <w:rsid w:val="00F32FBA"/>
    <w:rsid w:val="00F32FDC"/>
    <w:rsid w:val="00F331DF"/>
    <w:rsid w:val="00F33589"/>
    <w:rsid w:val="00F33622"/>
    <w:rsid w:val="00F33EAB"/>
    <w:rsid w:val="00F341F8"/>
    <w:rsid w:val="00F3436E"/>
    <w:rsid w:val="00F3475D"/>
    <w:rsid w:val="00F3491A"/>
    <w:rsid w:val="00F34A2B"/>
    <w:rsid w:val="00F350BC"/>
    <w:rsid w:val="00F361F5"/>
    <w:rsid w:val="00F36332"/>
    <w:rsid w:val="00F36798"/>
    <w:rsid w:val="00F36807"/>
    <w:rsid w:val="00F36A8F"/>
    <w:rsid w:val="00F36B54"/>
    <w:rsid w:val="00F370C0"/>
    <w:rsid w:val="00F37519"/>
    <w:rsid w:val="00F379F6"/>
    <w:rsid w:val="00F37B16"/>
    <w:rsid w:val="00F37D2E"/>
    <w:rsid w:val="00F4083A"/>
    <w:rsid w:val="00F40848"/>
    <w:rsid w:val="00F40C58"/>
    <w:rsid w:val="00F40E91"/>
    <w:rsid w:val="00F41252"/>
    <w:rsid w:val="00F412EE"/>
    <w:rsid w:val="00F413EB"/>
    <w:rsid w:val="00F42366"/>
    <w:rsid w:val="00F4261C"/>
    <w:rsid w:val="00F4297D"/>
    <w:rsid w:val="00F43178"/>
    <w:rsid w:val="00F433BE"/>
    <w:rsid w:val="00F43573"/>
    <w:rsid w:val="00F4359F"/>
    <w:rsid w:val="00F43605"/>
    <w:rsid w:val="00F43FF3"/>
    <w:rsid w:val="00F44638"/>
    <w:rsid w:val="00F44746"/>
    <w:rsid w:val="00F44A3F"/>
    <w:rsid w:val="00F44E9D"/>
    <w:rsid w:val="00F45152"/>
    <w:rsid w:val="00F456B4"/>
    <w:rsid w:val="00F458CB"/>
    <w:rsid w:val="00F45BDE"/>
    <w:rsid w:val="00F46307"/>
    <w:rsid w:val="00F46381"/>
    <w:rsid w:val="00F46702"/>
    <w:rsid w:val="00F46DB2"/>
    <w:rsid w:val="00F47B86"/>
    <w:rsid w:val="00F47EE6"/>
    <w:rsid w:val="00F50173"/>
    <w:rsid w:val="00F50224"/>
    <w:rsid w:val="00F50471"/>
    <w:rsid w:val="00F505B0"/>
    <w:rsid w:val="00F5064B"/>
    <w:rsid w:val="00F506F7"/>
    <w:rsid w:val="00F5115A"/>
    <w:rsid w:val="00F51271"/>
    <w:rsid w:val="00F515D3"/>
    <w:rsid w:val="00F516C6"/>
    <w:rsid w:val="00F51E37"/>
    <w:rsid w:val="00F52017"/>
    <w:rsid w:val="00F52150"/>
    <w:rsid w:val="00F52257"/>
    <w:rsid w:val="00F524A1"/>
    <w:rsid w:val="00F52E2D"/>
    <w:rsid w:val="00F5317F"/>
    <w:rsid w:val="00F531A5"/>
    <w:rsid w:val="00F53465"/>
    <w:rsid w:val="00F5358D"/>
    <w:rsid w:val="00F53819"/>
    <w:rsid w:val="00F53A6C"/>
    <w:rsid w:val="00F53BF2"/>
    <w:rsid w:val="00F53C92"/>
    <w:rsid w:val="00F54148"/>
    <w:rsid w:val="00F542F4"/>
    <w:rsid w:val="00F54439"/>
    <w:rsid w:val="00F54796"/>
    <w:rsid w:val="00F54BB3"/>
    <w:rsid w:val="00F54C5B"/>
    <w:rsid w:val="00F54EE8"/>
    <w:rsid w:val="00F55131"/>
    <w:rsid w:val="00F55515"/>
    <w:rsid w:val="00F55BCB"/>
    <w:rsid w:val="00F561F3"/>
    <w:rsid w:val="00F56795"/>
    <w:rsid w:val="00F56F0A"/>
    <w:rsid w:val="00F57088"/>
    <w:rsid w:val="00F572F6"/>
    <w:rsid w:val="00F57C3C"/>
    <w:rsid w:val="00F60CA0"/>
    <w:rsid w:val="00F60CA2"/>
    <w:rsid w:val="00F612E9"/>
    <w:rsid w:val="00F616AD"/>
    <w:rsid w:val="00F61A98"/>
    <w:rsid w:val="00F61B8B"/>
    <w:rsid w:val="00F61C6F"/>
    <w:rsid w:val="00F62014"/>
    <w:rsid w:val="00F62378"/>
    <w:rsid w:val="00F6239D"/>
    <w:rsid w:val="00F62537"/>
    <w:rsid w:val="00F62B1A"/>
    <w:rsid w:val="00F62C48"/>
    <w:rsid w:val="00F633D1"/>
    <w:rsid w:val="00F63D50"/>
    <w:rsid w:val="00F63F48"/>
    <w:rsid w:val="00F64185"/>
    <w:rsid w:val="00F645F5"/>
    <w:rsid w:val="00F64652"/>
    <w:rsid w:val="00F6480E"/>
    <w:rsid w:val="00F64991"/>
    <w:rsid w:val="00F64BA7"/>
    <w:rsid w:val="00F64FCA"/>
    <w:rsid w:val="00F64FDA"/>
    <w:rsid w:val="00F651C3"/>
    <w:rsid w:val="00F65381"/>
    <w:rsid w:val="00F65530"/>
    <w:rsid w:val="00F65783"/>
    <w:rsid w:val="00F6682B"/>
    <w:rsid w:val="00F668A3"/>
    <w:rsid w:val="00F6698F"/>
    <w:rsid w:val="00F66C01"/>
    <w:rsid w:val="00F67300"/>
    <w:rsid w:val="00F67AE3"/>
    <w:rsid w:val="00F67C92"/>
    <w:rsid w:val="00F67F29"/>
    <w:rsid w:val="00F70AAF"/>
    <w:rsid w:val="00F70F7B"/>
    <w:rsid w:val="00F7104F"/>
    <w:rsid w:val="00F715DD"/>
    <w:rsid w:val="00F71D08"/>
    <w:rsid w:val="00F71D91"/>
    <w:rsid w:val="00F71E91"/>
    <w:rsid w:val="00F71F2A"/>
    <w:rsid w:val="00F72508"/>
    <w:rsid w:val="00F72816"/>
    <w:rsid w:val="00F72B7C"/>
    <w:rsid w:val="00F72BC8"/>
    <w:rsid w:val="00F730F4"/>
    <w:rsid w:val="00F73199"/>
    <w:rsid w:val="00F735DA"/>
    <w:rsid w:val="00F73A05"/>
    <w:rsid w:val="00F74919"/>
    <w:rsid w:val="00F74CCE"/>
    <w:rsid w:val="00F74E36"/>
    <w:rsid w:val="00F752AD"/>
    <w:rsid w:val="00F75648"/>
    <w:rsid w:val="00F75952"/>
    <w:rsid w:val="00F75D32"/>
    <w:rsid w:val="00F75F6B"/>
    <w:rsid w:val="00F7644D"/>
    <w:rsid w:val="00F7676E"/>
    <w:rsid w:val="00F76AFB"/>
    <w:rsid w:val="00F774C3"/>
    <w:rsid w:val="00F776FB"/>
    <w:rsid w:val="00F77E39"/>
    <w:rsid w:val="00F807E2"/>
    <w:rsid w:val="00F808D5"/>
    <w:rsid w:val="00F80988"/>
    <w:rsid w:val="00F80C5A"/>
    <w:rsid w:val="00F80E5F"/>
    <w:rsid w:val="00F81939"/>
    <w:rsid w:val="00F81FF7"/>
    <w:rsid w:val="00F820BB"/>
    <w:rsid w:val="00F8220E"/>
    <w:rsid w:val="00F823BC"/>
    <w:rsid w:val="00F82750"/>
    <w:rsid w:val="00F83504"/>
    <w:rsid w:val="00F839A3"/>
    <w:rsid w:val="00F83AE5"/>
    <w:rsid w:val="00F84110"/>
    <w:rsid w:val="00F843EE"/>
    <w:rsid w:val="00F84895"/>
    <w:rsid w:val="00F84B65"/>
    <w:rsid w:val="00F85878"/>
    <w:rsid w:val="00F85A34"/>
    <w:rsid w:val="00F85A86"/>
    <w:rsid w:val="00F85E92"/>
    <w:rsid w:val="00F85EFE"/>
    <w:rsid w:val="00F870E4"/>
    <w:rsid w:val="00F871E7"/>
    <w:rsid w:val="00F8722A"/>
    <w:rsid w:val="00F87A72"/>
    <w:rsid w:val="00F90455"/>
    <w:rsid w:val="00F90EDA"/>
    <w:rsid w:val="00F91B3F"/>
    <w:rsid w:val="00F91CDB"/>
    <w:rsid w:val="00F9211D"/>
    <w:rsid w:val="00F92594"/>
    <w:rsid w:val="00F92CE6"/>
    <w:rsid w:val="00F92E33"/>
    <w:rsid w:val="00F92FE4"/>
    <w:rsid w:val="00F93362"/>
    <w:rsid w:val="00F937D8"/>
    <w:rsid w:val="00F937E8"/>
    <w:rsid w:val="00F93C53"/>
    <w:rsid w:val="00F9420F"/>
    <w:rsid w:val="00F94225"/>
    <w:rsid w:val="00F94292"/>
    <w:rsid w:val="00F946D3"/>
    <w:rsid w:val="00F94D57"/>
    <w:rsid w:val="00F954CB"/>
    <w:rsid w:val="00F9565C"/>
    <w:rsid w:val="00F95B78"/>
    <w:rsid w:val="00F96604"/>
    <w:rsid w:val="00F967E7"/>
    <w:rsid w:val="00F96E5F"/>
    <w:rsid w:val="00F970B6"/>
    <w:rsid w:val="00F970FB"/>
    <w:rsid w:val="00FA0277"/>
    <w:rsid w:val="00FA0392"/>
    <w:rsid w:val="00FA0BAA"/>
    <w:rsid w:val="00FA10F8"/>
    <w:rsid w:val="00FA1C2A"/>
    <w:rsid w:val="00FA1CCE"/>
    <w:rsid w:val="00FA2AC4"/>
    <w:rsid w:val="00FA2E93"/>
    <w:rsid w:val="00FA2F6D"/>
    <w:rsid w:val="00FA2FB5"/>
    <w:rsid w:val="00FA36ED"/>
    <w:rsid w:val="00FA3B31"/>
    <w:rsid w:val="00FA4571"/>
    <w:rsid w:val="00FA4A4B"/>
    <w:rsid w:val="00FA4AAB"/>
    <w:rsid w:val="00FA4CB5"/>
    <w:rsid w:val="00FA5D82"/>
    <w:rsid w:val="00FA5F25"/>
    <w:rsid w:val="00FA5FFF"/>
    <w:rsid w:val="00FA615D"/>
    <w:rsid w:val="00FA6224"/>
    <w:rsid w:val="00FA62D6"/>
    <w:rsid w:val="00FA62E3"/>
    <w:rsid w:val="00FA640E"/>
    <w:rsid w:val="00FA6852"/>
    <w:rsid w:val="00FA6892"/>
    <w:rsid w:val="00FA6DFD"/>
    <w:rsid w:val="00FA7063"/>
    <w:rsid w:val="00FA738C"/>
    <w:rsid w:val="00FA7A3B"/>
    <w:rsid w:val="00FA7BBD"/>
    <w:rsid w:val="00FA7D22"/>
    <w:rsid w:val="00FB01CA"/>
    <w:rsid w:val="00FB07AB"/>
    <w:rsid w:val="00FB08CE"/>
    <w:rsid w:val="00FB09CB"/>
    <w:rsid w:val="00FB1620"/>
    <w:rsid w:val="00FB176C"/>
    <w:rsid w:val="00FB22AD"/>
    <w:rsid w:val="00FB22F4"/>
    <w:rsid w:val="00FB2490"/>
    <w:rsid w:val="00FB264D"/>
    <w:rsid w:val="00FB2785"/>
    <w:rsid w:val="00FB28DB"/>
    <w:rsid w:val="00FB2B3F"/>
    <w:rsid w:val="00FB2C05"/>
    <w:rsid w:val="00FB3478"/>
    <w:rsid w:val="00FB3767"/>
    <w:rsid w:val="00FB38EB"/>
    <w:rsid w:val="00FB3A29"/>
    <w:rsid w:val="00FB4066"/>
    <w:rsid w:val="00FB40ED"/>
    <w:rsid w:val="00FB4DDB"/>
    <w:rsid w:val="00FB4F5A"/>
    <w:rsid w:val="00FB4FDA"/>
    <w:rsid w:val="00FB5684"/>
    <w:rsid w:val="00FB5B51"/>
    <w:rsid w:val="00FB5F7F"/>
    <w:rsid w:val="00FB66F7"/>
    <w:rsid w:val="00FB6C6C"/>
    <w:rsid w:val="00FB6D4A"/>
    <w:rsid w:val="00FB73D5"/>
    <w:rsid w:val="00FB7535"/>
    <w:rsid w:val="00FB7F0C"/>
    <w:rsid w:val="00FC01C8"/>
    <w:rsid w:val="00FC0533"/>
    <w:rsid w:val="00FC05BA"/>
    <w:rsid w:val="00FC0881"/>
    <w:rsid w:val="00FC0D5B"/>
    <w:rsid w:val="00FC0DB8"/>
    <w:rsid w:val="00FC1709"/>
    <w:rsid w:val="00FC1E29"/>
    <w:rsid w:val="00FC2276"/>
    <w:rsid w:val="00FC271E"/>
    <w:rsid w:val="00FC2F6B"/>
    <w:rsid w:val="00FC34CE"/>
    <w:rsid w:val="00FC3818"/>
    <w:rsid w:val="00FC382E"/>
    <w:rsid w:val="00FC3F71"/>
    <w:rsid w:val="00FC4011"/>
    <w:rsid w:val="00FC4394"/>
    <w:rsid w:val="00FC44D3"/>
    <w:rsid w:val="00FC462F"/>
    <w:rsid w:val="00FC477E"/>
    <w:rsid w:val="00FC4C95"/>
    <w:rsid w:val="00FC4D7F"/>
    <w:rsid w:val="00FC56A5"/>
    <w:rsid w:val="00FC5AD6"/>
    <w:rsid w:val="00FC5BEF"/>
    <w:rsid w:val="00FC5C66"/>
    <w:rsid w:val="00FC5E19"/>
    <w:rsid w:val="00FC62A4"/>
    <w:rsid w:val="00FC673A"/>
    <w:rsid w:val="00FC682A"/>
    <w:rsid w:val="00FC6A4A"/>
    <w:rsid w:val="00FC76CC"/>
    <w:rsid w:val="00FD0125"/>
    <w:rsid w:val="00FD026C"/>
    <w:rsid w:val="00FD0551"/>
    <w:rsid w:val="00FD087A"/>
    <w:rsid w:val="00FD0BD2"/>
    <w:rsid w:val="00FD0BF7"/>
    <w:rsid w:val="00FD0ECD"/>
    <w:rsid w:val="00FD19DC"/>
    <w:rsid w:val="00FD1C0E"/>
    <w:rsid w:val="00FD1DDB"/>
    <w:rsid w:val="00FD28F1"/>
    <w:rsid w:val="00FD2E1A"/>
    <w:rsid w:val="00FD2EEA"/>
    <w:rsid w:val="00FD3014"/>
    <w:rsid w:val="00FD37EE"/>
    <w:rsid w:val="00FD3E7C"/>
    <w:rsid w:val="00FD4947"/>
    <w:rsid w:val="00FD4F33"/>
    <w:rsid w:val="00FD5800"/>
    <w:rsid w:val="00FD5BE0"/>
    <w:rsid w:val="00FD5C2F"/>
    <w:rsid w:val="00FD5EC4"/>
    <w:rsid w:val="00FD618F"/>
    <w:rsid w:val="00FD67CA"/>
    <w:rsid w:val="00FD6B56"/>
    <w:rsid w:val="00FD7772"/>
    <w:rsid w:val="00FD7C34"/>
    <w:rsid w:val="00FD7E39"/>
    <w:rsid w:val="00FE04B0"/>
    <w:rsid w:val="00FE0949"/>
    <w:rsid w:val="00FE0ADE"/>
    <w:rsid w:val="00FE0EAC"/>
    <w:rsid w:val="00FE0ED0"/>
    <w:rsid w:val="00FE1037"/>
    <w:rsid w:val="00FE119E"/>
    <w:rsid w:val="00FE130C"/>
    <w:rsid w:val="00FE133D"/>
    <w:rsid w:val="00FE197C"/>
    <w:rsid w:val="00FE1B2F"/>
    <w:rsid w:val="00FE1E82"/>
    <w:rsid w:val="00FE1EE1"/>
    <w:rsid w:val="00FE28BC"/>
    <w:rsid w:val="00FE28BE"/>
    <w:rsid w:val="00FE2AE1"/>
    <w:rsid w:val="00FE30B0"/>
    <w:rsid w:val="00FE322B"/>
    <w:rsid w:val="00FE3399"/>
    <w:rsid w:val="00FE3618"/>
    <w:rsid w:val="00FE3703"/>
    <w:rsid w:val="00FE3941"/>
    <w:rsid w:val="00FE3F9A"/>
    <w:rsid w:val="00FE46C8"/>
    <w:rsid w:val="00FE4F4A"/>
    <w:rsid w:val="00FE503E"/>
    <w:rsid w:val="00FE550F"/>
    <w:rsid w:val="00FE5CB1"/>
    <w:rsid w:val="00FE5D24"/>
    <w:rsid w:val="00FE5F49"/>
    <w:rsid w:val="00FE5F59"/>
    <w:rsid w:val="00FE692F"/>
    <w:rsid w:val="00FE6CE0"/>
    <w:rsid w:val="00FE73B3"/>
    <w:rsid w:val="00FE746D"/>
    <w:rsid w:val="00FE7DC5"/>
    <w:rsid w:val="00FF016B"/>
    <w:rsid w:val="00FF0386"/>
    <w:rsid w:val="00FF05F1"/>
    <w:rsid w:val="00FF154F"/>
    <w:rsid w:val="00FF160A"/>
    <w:rsid w:val="00FF1C45"/>
    <w:rsid w:val="00FF1ED0"/>
    <w:rsid w:val="00FF216D"/>
    <w:rsid w:val="00FF2729"/>
    <w:rsid w:val="00FF276D"/>
    <w:rsid w:val="00FF2AD9"/>
    <w:rsid w:val="00FF2ECC"/>
    <w:rsid w:val="00FF325C"/>
    <w:rsid w:val="00FF3464"/>
    <w:rsid w:val="00FF35F7"/>
    <w:rsid w:val="00FF3D07"/>
    <w:rsid w:val="00FF42D5"/>
    <w:rsid w:val="00FF4348"/>
    <w:rsid w:val="00FF4A82"/>
    <w:rsid w:val="00FF4B6E"/>
    <w:rsid w:val="00FF4D12"/>
    <w:rsid w:val="00FF58C9"/>
    <w:rsid w:val="00FF5F30"/>
    <w:rsid w:val="00FF667A"/>
    <w:rsid w:val="00FF66B1"/>
    <w:rsid w:val="00FF68DB"/>
    <w:rsid w:val="00FF6DC9"/>
    <w:rsid w:val="00FF751C"/>
    <w:rsid w:val="00FF7B5F"/>
    <w:rsid w:val="00FF7C0E"/>
    <w:rsid w:val="00FF7C92"/>
    <w:rsid w:val="00FF7CDA"/>
    <w:rsid w:val="022EF49A"/>
    <w:rsid w:val="03481700"/>
    <w:rsid w:val="03AD4E95"/>
    <w:rsid w:val="05C8D799"/>
    <w:rsid w:val="0A45CEF5"/>
    <w:rsid w:val="0CDEA97B"/>
    <w:rsid w:val="0D536017"/>
    <w:rsid w:val="0D85185E"/>
    <w:rsid w:val="10AE4BC4"/>
    <w:rsid w:val="1275E221"/>
    <w:rsid w:val="13ADA401"/>
    <w:rsid w:val="150F371D"/>
    <w:rsid w:val="17D84861"/>
    <w:rsid w:val="1AC32C8B"/>
    <w:rsid w:val="1B1B2F51"/>
    <w:rsid w:val="1B693306"/>
    <w:rsid w:val="1C00386E"/>
    <w:rsid w:val="1C2F0492"/>
    <w:rsid w:val="1EBF74D1"/>
    <w:rsid w:val="1ED7166D"/>
    <w:rsid w:val="1F7CF2A1"/>
    <w:rsid w:val="21007442"/>
    <w:rsid w:val="229B838F"/>
    <w:rsid w:val="26D71CC7"/>
    <w:rsid w:val="2954B013"/>
    <w:rsid w:val="30D959D0"/>
    <w:rsid w:val="331F62AE"/>
    <w:rsid w:val="356934CA"/>
    <w:rsid w:val="36266E2A"/>
    <w:rsid w:val="37F183C2"/>
    <w:rsid w:val="38A04FC6"/>
    <w:rsid w:val="39A44A57"/>
    <w:rsid w:val="3DA5E96A"/>
    <w:rsid w:val="4153A246"/>
    <w:rsid w:val="424CE2D1"/>
    <w:rsid w:val="42BEFE24"/>
    <w:rsid w:val="46683A43"/>
    <w:rsid w:val="47B2E27B"/>
    <w:rsid w:val="48DFB2C8"/>
    <w:rsid w:val="4A469821"/>
    <w:rsid w:val="4AF7AFF7"/>
    <w:rsid w:val="4E84A3A5"/>
    <w:rsid w:val="4F2A36E9"/>
    <w:rsid w:val="51EFE53C"/>
    <w:rsid w:val="52489A1E"/>
    <w:rsid w:val="54216279"/>
    <w:rsid w:val="54CCE68C"/>
    <w:rsid w:val="57CEAE18"/>
    <w:rsid w:val="5C7FC336"/>
    <w:rsid w:val="5D2A811D"/>
    <w:rsid w:val="63C5B96C"/>
    <w:rsid w:val="696EC203"/>
    <w:rsid w:val="6A3814CC"/>
    <w:rsid w:val="6D1DFD07"/>
    <w:rsid w:val="70DFCD2D"/>
    <w:rsid w:val="727C5788"/>
    <w:rsid w:val="77950EB5"/>
    <w:rsid w:val="7ADC9003"/>
    <w:rsid w:val="7C8C6ED5"/>
    <w:rsid w:val="7E583210"/>
    <w:rsid w:val="7FE01FB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55DC"/>
  <w15:docId w15:val="{DA497462-6EBD-4D20-8B42-02CDAA46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95B"/>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02305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A58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02305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305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2305C"/>
    <w:rPr>
      <w:rFonts w:ascii="Arial" w:eastAsia="Times New Roman" w:hAnsi="Arial" w:cs="Arial"/>
      <w:b/>
      <w:bCs/>
      <w:sz w:val="26"/>
      <w:szCs w:val="26"/>
      <w:lang w:eastAsia="pl-PL"/>
    </w:rPr>
  </w:style>
  <w:style w:type="table" w:styleId="Tabela-Siatka">
    <w:name w:val="Table Grid"/>
    <w:basedOn w:val="Standardowy"/>
    <w:uiPriority w:val="59"/>
    <w:rsid w:val="0002305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230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5C"/>
    <w:rPr>
      <w:rFonts w:ascii="Tahoma" w:eastAsia="Calibri" w:hAnsi="Tahoma" w:cs="Tahoma"/>
      <w:sz w:val="16"/>
      <w:szCs w:val="16"/>
    </w:rPr>
  </w:style>
  <w:style w:type="paragraph" w:styleId="Nagwek">
    <w:name w:val="header"/>
    <w:basedOn w:val="Normalny"/>
    <w:link w:val="NagwekZnak"/>
    <w:uiPriority w:val="99"/>
    <w:unhideWhenUsed/>
    <w:rsid w:val="0002305C"/>
    <w:pPr>
      <w:tabs>
        <w:tab w:val="center" w:pos="4536"/>
        <w:tab w:val="right" w:pos="9072"/>
      </w:tabs>
      <w:spacing w:line="240" w:lineRule="auto"/>
    </w:pPr>
  </w:style>
  <w:style w:type="character" w:customStyle="1" w:styleId="NagwekZnak">
    <w:name w:val="Nagłówek Znak"/>
    <w:basedOn w:val="Domylnaczcionkaakapitu"/>
    <w:link w:val="Nagwek"/>
    <w:uiPriority w:val="99"/>
    <w:rsid w:val="0002305C"/>
    <w:rPr>
      <w:rFonts w:ascii="Calibri" w:eastAsia="Calibri" w:hAnsi="Calibri" w:cs="Times New Roman"/>
    </w:rPr>
  </w:style>
  <w:style w:type="paragraph" w:styleId="Stopka">
    <w:name w:val="footer"/>
    <w:basedOn w:val="Normalny"/>
    <w:link w:val="StopkaZnak"/>
    <w:uiPriority w:val="99"/>
    <w:unhideWhenUsed/>
    <w:rsid w:val="0002305C"/>
    <w:pPr>
      <w:tabs>
        <w:tab w:val="center" w:pos="4536"/>
        <w:tab w:val="right" w:pos="9072"/>
      </w:tabs>
      <w:spacing w:line="240" w:lineRule="auto"/>
    </w:pPr>
  </w:style>
  <w:style w:type="character" w:customStyle="1" w:styleId="StopkaZnak">
    <w:name w:val="Stopka Znak"/>
    <w:basedOn w:val="Domylnaczcionkaakapitu"/>
    <w:link w:val="Stopka"/>
    <w:uiPriority w:val="99"/>
    <w:rsid w:val="0002305C"/>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2305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05C"/>
    <w:rPr>
      <w:rFonts w:ascii="Calibri" w:eastAsia="Calibri" w:hAnsi="Calibri" w:cs="Times New Roman"/>
      <w:sz w:val="20"/>
      <w:szCs w:val="20"/>
    </w:rPr>
  </w:style>
  <w:style w:type="character" w:styleId="Odwoanieprzypisukocowego">
    <w:name w:val="endnote reference"/>
    <w:uiPriority w:val="99"/>
    <w:semiHidden/>
    <w:unhideWhenUsed/>
    <w:rsid w:val="0002305C"/>
    <w:rPr>
      <w:vertAlign w:val="superscript"/>
    </w:rPr>
  </w:style>
  <w:style w:type="paragraph" w:styleId="Akapitzlist">
    <w:name w:val="List Paragraph"/>
    <w:basedOn w:val="Normalny"/>
    <w:uiPriority w:val="34"/>
    <w:qFormat/>
    <w:rsid w:val="0002305C"/>
    <w:pPr>
      <w:ind w:left="720"/>
      <w:contextualSpacing/>
    </w:pPr>
  </w:style>
  <w:style w:type="character" w:styleId="Odwoaniedokomentarza">
    <w:name w:val="annotation reference"/>
    <w:uiPriority w:val="99"/>
    <w:semiHidden/>
    <w:unhideWhenUsed/>
    <w:rsid w:val="0002305C"/>
    <w:rPr>
      <w:sz w:val="16"/>
      <w:szCs w:val="16"/>
    </w:rPr>
  </w:style>
  <w:style w:type="paragraph" w:styleId="Tekstkomentarza">
    <w:name w:val="annotation text"/>
    <w:basedOn w:val="Normalny"/>
    <w:link w:val="TekstkomentarzaZnak"/>
    <w:uiPriority w:val="99"/>
    <w:unhideWhenUsed/>
    <w:rsid w:val="0002305C"/>
    <w:rPr>
      <w:sz w:val="20"/>
      <w:szCs w:val="20"/>
    </w:rPr>
  </w:style>
  <w:style w:type="character" w:customStyle="1" w:styleId="TekstkomentarzaZnak">
    <w:name w:val="Tekst komentarza Znak"/>
    <w:basedOn w:val="Domylnaczcionkaakapitu"/>
    <w:link w:val="Tekstkomentarza"/>
    <w:uiPriority w:val="99"/>
    <w:rsid w:val="0002305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2305C"/>
    <w:rPr>
      <w:b/>
      <w:bCs/>
    </w:rPr>
  </w:style>
  <w:style w:type="character" w:customStyle="1" w:styleId="TematkomentarzaZnak">
    <w:name w:val="Temat komentarza Znak"/>
    <w:basedOn w:val="TekstkomentarzaZnak"/>
    <w:link w:val="Tematkomentarza"/>
    <w:uiPriority w:val="99"/>
    <w:semiHidden/>
    <w:rsid w:val="0002305C"/>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02305C"/>
    <w:rPr>
      <w:sz w:val="20"/>
      <w:szCs w:val="20"/>
    </w:rPr>
  </w:style>
  <w:style w:type="character" w:customStyle="1" w:styleId="TekstprzypisudolnegoZnak">
    <w:name w:val="Tekst przypisu dolnego Znak"/>
    <w:basedOn w:val="Domylnaczcionkaakapitu"/>
    <w:link w:val="Tekstprzypisudolnego"/>
    <w:uiPriority w:val="99"/>
    <w:rsid w:val="0002305C"/>
    <w:rPr>
      <w:rFonts w:ascii="Calibri" w:eastAsia="Calibri" w:hAnsi="Calibri" w:cs="Times New Roman"/>
      <w:sz w:val="20"/>
      <w:szCs w:val="20"/>
    </w:rPr>
  </w:style>
  <w:style w:type="character" w:styleId="Odwoanieprzypisudolnego">
    <w:name w:val="footnote reference"/>
    <w:aliases w:val="Odwołanie przypisu,FZ,(Voetnootmarkering),Footnote Reference_LVL6,Footnote Reference_LVL61,Footnote Reference_LVL62,Footnote Reference_LVL63,Footnote Reference_LVL64,Footnote Reference Number,Footnote symbol,Voetnootverwijzing"/>
    <w:uiPriority w:val="99"/>
    <w:unhideWhenUsed/>
    <w:rsid w:val="0002305C"/>
    <w:rPr>
      <w:vertAlign w:val="superscript"/>
    </w:rPr>
  </w:style>
  <w:style w:type="character" w:styleId="Hipercze">
    <w:name w:val="Hyperlink"/>
    <w:uiPriority w:val="99"/>
    <w:unhideWhenUsed/>
    <w:rsid w:val="0002305C"/>
    <w:rPr>
      <w:color w:val="0000FF"/>
      <w:u w:val="single"/>
    </w:rPr>
  </w:style>
  <w:style w:type="character" w:styleId="UyteHipercze">
    <w:name w:val="FollowedHyperlink"/>
    <w:uiPriority w:val="99"/>
    <w:semiHidden/>
    <w:unhideWhenUsed/>
    <w:rsid w:val="0002305C"/>
    <w:rPr>
      <w:color w:val="800080"/>
      <w:u w:val="single"/>
    </w:rPr>
  </w:style>
  <w:style w:type="paragraph" w:customStyle="1" w:styleId="pchanged">
    <w:name w:val="p.changed"/>
    <w:rsid w:val="0002305C"/>
    <w:pPr>
      <w:widowControl w:val="0"/>
      <w:autoSpaceDE w:val="0"/>
      <w:autoSpaceDN w:val="0"/>
      <w:adjustRightInd w:val="0"/>
      <w:spacing w:after="0" w:line="40" w:lineRule="atLeast"/>
      <w:jc w:val="both"/>
    </w:pPr>
    <w:rPr>
      <w:rFonts w:ascii="Arial" w:eastAsia="Times New Roman" w:hAnsi="Arial" w:cs="Arial"/>
      <w:color w:val="FF0000"/>
      <w:sz w:val="18"/>
      <w:szCs w:val="18"/>
      <w:lang w:eastAsia="pl-PL"/>
    </w:rPr>
  </w:style>
  <w:style w:type="character" w:styleId="Pogrubienie">
    <w:name w:val="Strong"/>
    <w:uiPriority w:val="22"/>
    <w:qFormat/>
    <w:rsid w:val="0002305C"/>
    <w:rPr>
      <w:rFonts w:ascii="Times New Roman" w:hAnsi="Times New Roman" w:cs="Times New Roman" w:hint="default"/>
      <w:b/>
      <w:bCs/>
    </w:rPr>
  </w:style>
  <w:style w:type="paragraph" w:customStyle="1" w:styleId="ManualNumPar1">
    <w:name w:val="Manual NumPar 1"/>
    <w:basedOn w:val="Normalny"/>
    <w:next w:val="Normalny"/>
    <w:rsid w:val="0002305C"/>
    <w:pPr>
      <w:tabs>
        <w:tab w:val="left" w:pos="851"/>
      </w:tabs>
      <w:spacing w:before="120" w:after="120" w:line="240" w:lineRule="auto"/>
      <w:ind w:left="850" w:hanging="850"/>
      <w:jc w:val="both"/>
    </w:pPr>
    <w:rPr>
      <w:rFonts w:ascii="Times New Roman" w:eastAsia="Times New Roman" w:hAnsi="Times New Roman"/>
      <w:sz w:val="24"/>
      <w:szCs w:val="24"/>
      <w:lang w:val="en-GB" w:eastAsia="fr-BE"/>
    </w:rPr>
  </w:style>
  <w:style w:type="paragraph" w:customStyle="1" w:styleId="Akapitzlist1">
    <w:name w:val="Akapit z listą1"/>
    <w:basedOn w:val="Normalny"/>
    <w:rsid w:val="0002305C"/>
    <w:pPr>
      <w:spacing w:after="200"/>
      <w:ind w:left="720"/>
      <w:contextualSpacing/>
    </w:pPr>
    <w:rPr>
      <w:rFonts w:eastAsia="Times New Roman"/>
    </w:rPr>
  </w:style>
  <w:style w:type="paragraph" w:customStyle="1" w:styleId="Default">
    <w:name w:val="Default"/>
    <w:rsid w:val="000230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02305C"/>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2305C"/>
    <w:rPr>
      <w:rFonts w:ascii="Times New Roman" w:eastAsia="Times New Roman" w:hAnsi="Times New Roman" w:cs="Times New Roman"/>
      <w:sz w:val="24"/>
      <w:szCs w:val="24"/>
      <w:lang w:eastAsia="pl-PL"/>
    </w:rPr>
  </w:style>
  <w:style w:type="paragraph" w:customStyle="1" w:styleId="CM1">
    <w:name w:val="CM1"/>
    <w:basedOn w:val="Default"/>
    <w:next w:val="Default"/>
    <w:rsid w:val="0002305C"/>
    <w:rPr>
      <w:rFonts w:ascii="EUAlbertina" w:hAnsi="EUAlbertina"/>
      <w:color w:val="auto"/>
    </w:rPr>
  </w:style>
  <w:style w:type="paragraph" w:customStyle="1" w:styleId="CM3">
    <w:name w:val="CM3"/>
    <w:basedOn w:val="Default"/>
    <w:next w:val="Default"/>
    <w:rsid w:val="0002305C"/>
    <w:rPr>
      <w:rFonts w:ascii="EUAlbertina" w:hAnsi="EUAlbertina"/>
      <w:color w:val="auto"/>
    </w:rPr>
  </w:style>
  <w:style w:type="paragraph" w:customStyle="1" w:styleId="CM4">
    <w:name w:val="CM4"/>
    <w:basedOn w:val="Default"/>
    <w:next w:val="Default"/>
    <w:uiPriority w:val="99"/>
    <w:rsid w:val="0002305C"/>
    <w:rPr>
      <w:rFonts w:ascii="EUAlbertina" w:hAnsi="EUAlbertina"/>
      <w:color w:val="auto"/>
    </w:rPr>
  </w:style>
  <w:style w:type="paragraph" w:customStyle="1" w:styleId="p">
    <w:name w:val="p"/>
    <w:uiPriority w:val="99"/>
    <w:rsid w:val="0002305C"/>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customStyle="1" w:styleId="parinner">
    <w:name w:val="parinner"/>
    <w:basedOn w:val="Normalny"/>
    <w:rsid w:val="0002305C"/>
    <w:pPr>
      <w:spacing w:before="30" w:after="45" w:line="240" w:lineRule="auto"/>
    </w:pPr>
    <w:rPr>
      <w:rFonts w:ascii="Times New Roman" w:eastAsia="Times New Roman" w:hAnsi="Times New Roman"/>
      <w:sz w:val="24"/>
      <w:szCs w:val="24"/>
      <w:lang w:eastAsia="pl-PL"/>
    </w:rPr>
  </w:style>
  <w:style w:type="paragraph" w:customStyle="1" w:styleId="ppkt">
    <w:name w:val="p.pkt"/>
    <w:uiPriority w:val="99"/>
    <w:rsid w:val="0002305C"/>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customStyle="1" w:styleId="divpkt">
    <w:name w:val="div.pkt"/>
    <w:rsid w:val="0002305C"/>
    <w:pPr>
      <w:widowControl w:val="0"/>
      <w:autoSpaceDE w:val="0"/>
      <w:autoSpaceDN w:val="0"/>
      <w:adjustRightInd w:val="0"/>
      <w:spacing w:after="0" w:line="40" w:lineRule="atLeast"/>
      <w:ind w:left="460"/>
      <w:jc w:val="both"/>
    </w:pPr>
    <w:rPr>
      <w:rFonts w:ascii="Arial" w:eastAsia="Times New Roman" w:hAnsi="Arial" w:cs="Arial"/>
      <w:color w:val="000000"/>
      <w:sz w:val="18"/>
      <w:szCs w:val="18"/>
      <w:lang w:eastAsia="pl-PL"/>
    </w:rPr>
  </w:style>
  <w:style w:type="paragraph" w:styleId="NormalnyWeb">
    <w:name w:val="Normal (Web)"/>
    <w:basedOn w:val="Normalny"/>
    <w:uiPriority w:val="99"/>
    <w:rsid w:val="0002305C"/>
    <w:pPr>
      <w:spacing w:before="32" w:after="47"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02305C"/>
    <w:pPr>
      <w:spacing w:after="200"/>
      <w:jc w:val="center"/>
    </w:pPr>
    <w:rPr>
      <w:b/>
      <w:sz w:val="28"/>
    </w:rPr>
  </w:style>
  <w:style w:type="character" w:customStyle="1" w:styleId="TytuZnak">
    <w:name w:val="Tytuł Znak"/>
    <w:basedOn w:val="Domylnaczcionkaakapitu"/>
    <w:link w:val="Tytu"/>
    <w:rsid w:val="0002305C"/>
    <w:rPr>
      <w:rFonts w:ascii="Calibri" w:eastAsia="Calibri" w:hAnsi="Calibri" w:cs="Times New Roman"/>
      <w:b/>
      <w:sz w:val="28"/>
    </w:rPr>
  </w:style>
  <w:style w:type="character" w:customStyle="1" w:styleId="FootnoteTextChar">
    <w:name w:val="Footnote Text Char"/>
    <w:semiHidden/>
    <w:locked/>
    <w:rsid w:val="0002305C"/>
    <w:rPr>
      <w:rFonts w:cs="Times New Roman"/>
      <w:sz w:val="20"/>
      <w:szCs w:val="20"/>
    </w:rPr>
  </w:style>
  <w:style w:type="paragraph" w:customStyle="1" w:styleId="ZLITLITwPKTzmlitwpktliter">
    <w:name w:val="Z_LIT/LIT_w_PKT – zm. lit. w pkt literą"/>
    <w:basedOn w:val="Normalny"/>
    <w:uiPriority w:val="48"/>
    <w:qFormat/>
    <w:rsid w:val="003227F5"/>
    <w:pPr>
      <w:spacing w:line="360" w:lineRule="auto"/>
      <w:ind w:left="1973" w:hanging="476"/>
      <w:jc w:val="both"/>
    </w:pPr>
    <w:rPr>
      <w:rFonts w:ascii="Times" w:eastAsiaTheme="minorEastAsia" w:hAnsi="Times" w:cs="Arial"/>
      <w:bCs/>
      <w:sz w:val="24"/>
      <w:szCs w:val="20"/>
      <w:lang w:eastAsia="pl-PL"/>
    </w:rPr>
  </w:style>
  <w:style w:type="paragraph" w:customStyle="1" w:styleId="ZLITPKTzmpktliter">
    <w:name w:val="Z_LIT/PKT – zm. pkt literą"/>
    <w:basedOn w:val="Normalny"/>
    <w:uiPriority w:val="47"/>
    <w:qFormat/>
    <w:rsid w:val="003227F5"/>
    <w:pPr>
      <w:spacing w:line="360" w:lineRule="auto"/>
      <w:ind w:left="1497" w:hanging="510"/>
      <w:jc w:val="both"/>
    </w:pPr>
    <w:rPr>
      <w:rFonts w:ascii="Times" w:eastAsiaTheme="minorEastAsia" w:hAnsi="Times" w:cs="Arial"/>
      <w:bCs/>
      <w:sz w:val="24"/>
      <w:szCs w:val="20"/>
      <w:lang w:eastAsia="pl-PL"/>
    </w:rPr>
  </w:style>
  <w:style w:type="paragraph" w:customStyle="1" w:styleId="PKTpunkt">
    <w:name w:val="PKT – punkt"/>
    <w:uiPriority w:val="13"/>
    <w:qFormat/>
    <w:rsid w:val="00C3698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C3698B"/>
    <w:pPr>
      <w:ind w:left="986" w:hanging="476"/>
    </w:pPr>
  </w:style>
  <w:style w:type="paragraph" w:customStyle="1" w:styleId="ZUSTzmustartykuempunktem">
    <w:name w:val="Z/UST(§) – zm. ust. (§) artykułem (punktem)"/>
    <w:basedOn w:val="Normalny"/>
    <w:uiPriority w:val="30"/>
    <w:qFormat/>
    <w:rsid w:val="002B25AD"/>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766998"/>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USTustnpkodeksu">
    <w:name w:val="UST(§) – ust. (§ np. kodeksu)"/>
    <w:basedOn w:val="Normalny"/>
    <w:uiPriority w:val="12"/>
    <w:qFormat/>
    <w:rsid w:val="007048EA"/>
    <w:pPr>
      <w:suppressAutoHyphens/>
      <w:autoSpaceDE w:val="0"/>
      <w:autoSpaceDN w:val="0"/>
      <w:adjustRightInd w:val="0"/>
      <w:spacing w:line="360" w:lineRule="auto"/>
      <w:ind w:firstLine="510"/>
      <w:jc w:val="both"/>
    </w:pPr>
    <w:rPr>
      <w:rFonts w:ascii="Times" w:eastAsiaTheme="minorEastAsia" w:hAnsi="Times" w:cs="Arial"/>
      <w:bCs/>
      <w:sz w:val="24"/>
      <w:szCs w:val="20"/>
      <w:lang w:eastAsia="pl-PL"/>
    </w:rPr>
  </w:style>
  <w:style w:type="paragraph" w:customStyle="1" w:styleId="ZLITzmlitartykuempunktem">
    <w:name w:val="Z/LIT – zm. lit. artykułem (punktem)"/>
    <w:basedOn w:val="LITlitera"/>
    <w:uiPriority w:val="32"/>
    <w:qFormat/>
    <w:rsid w:val="003D38A3"/>
  </w:style>
  <w:style w:type="paragraph" w:styleId="Poprawka">
    <w:name w:val="Revision"/>
    <w:hidden/>
    <w:uiPriority w:val="99"/>
    <w:semiHidden/>
    <w:rsid w:val="00F24745"/>
    <w:pPr>
      <w:spacing w:after="0" w:line="240" w:lineRule="auto"/>
    </w:pPr>
    <w:rPr>
      <w:rFonts w:ascii="Calibri" w:eastAsia="Calibri" w:hAnsi="Calibri" w:cs="Times New Roman"/>
    </w:rPr>
  </w:style>
  <w:style w:type="character" w:customStyle="1" w:styleId="Kkursywa">
    <w:name w:val="_K_ – kursywa"/>
    <w:basedOn w:val="Domylnaczcionkaakapitu"/>
    <w:uiPriority w:val="1"/>
    <w:qFormat/>
    <w:rsid w:val="00612D75"/>
    <w:rPr>
      <w:i/>
    </w:rPr>
  </w:style>
  <w:style w:type="paragraph" w:customStyle="1" w:styleId="ZPKTzmpktartykuempunktem">
    <w:name w:val="Z/PKT – zm. pkt artykułem (punktem)"/>
    <w:basedOn w:val="PKTpunkt"/>
    <w:uiPriority w:val="31"/>
    <w:qFormat/>
    <w:rsid w:val="00C142A9"/>
    <w:pPr>
      <w:ind w:left="1020"/>
    </w:pPr>
  </w:style>
  <w:style w:type="character" w:customStyle="1" w:styleId="Ppogrubienie">
    <w:name w:val="_P_ – pogrubienie"/>
    <w:basedOn w:val="Domylnaczcionkaakapitu"/>
    <w:uiPriority w:val="1"/>
    <w:qFormat/>
    <w:rsid w:val="000F66BC"/>
    <w:rPr>
      <w:b/>
    </w:rPr>
  </w:style>
  <w:style w:type="paragraph" w:customStyle="1" w:styleId="ZLITwPKTzmlitwpktartykuempunktem">
    <w:name w:val="Z/LIT_w_PKT – zm. lit. w pkt artykułem (punktem)"/>
    <w:basedOn w:val="LITlitera"/>
    <w:uiPriority w:val="32"/>
    <w:qFormat/>
    <w:rsid w:val="006B195C"/>
    <w:pPr>
      <w:ind w:left="1497"/>
    </w:pPr>
  </w:style>
  <w:style w:type="paragraph" w:customStyle="1" w:styleId="ZCZWSPLITwPKTzmczciwsplitwpktartykuempunktem">
    <w:name w:val="Z/CZ_WSP_LIT_w_PKT – zm. części wsp. lit. w pkt artykułem (punktem)"/>
    <w:basedOn w:val="Normalny"/>
    <w:next w:val="ZARTzmartartykuempunktem"/>
    <w:uiPriority w:val="35"/>
    <w:qFormat/>
    <w:rsid w:val="006B195C"/>
    <w:pPr>
      <w:spacing w:line="360" w:lineRule="auto"/>
      <w:ind w:left="1021"/>
      <w:jc w:val="both"/>
    </w:pPr>
    <w:rPr>
      <w:rFonts w:ascii="Times" w:eastAsiaTheme="minorEastAsia" w:hAnsi="Times" w:cs="Arial"/>
      <w:bCs/>
      <w:sz w:val="24"/>
      <w:szCs w:val="24"/>
      <w:lang w:eastAsia="pl-PL"/>
    </w:rPr>
  </w:style>
  <w:style w:type="paragraph" w:customStyle="1" w:styleId="ZCZWSPPKTzmczciwsppktartykuempunktem">
    <w:name w:val="Z/CZ_WSP_PKT – zm. części wsp. pkt artykułem (punktem)"/>
    <w:basedOn w:val="Normalny"/>
    <w:next w:val="ZARTzmartartykuempunktem"/>
    <w:uiPriority w:val="34"/>
    <w:qFormat/>
    <w:rsid w:val="006B195C"/>
    <w:pPr>
      <w:spacing w:line="360" w:lineRule="auto"/>
      <w:ind w:left="510"/>
      <w:jc w:val="both"/>
    </w:pPr>
    <w:rPr>
      <w:rFonts w:ascii="Times" w:eastAsiaTheme="minorEastAsia" w:hAnsi="Times" w:cs="Arial"/>
      <w:bCs/>
      <w:sz w:val="24"/>
      <w:szCs w:val="20"/>
      <w:lang w:eastAsia="pl-PL"/>
    </w:rPr>
  </w:style>
  <w:style w:type="paragraph" w:customStyle="1" w:styleId="ZLITUSTzmustliter">
    <w:name w:val="Z_LIT/UST(§) – zm. ust. (§) literą"/>
    <w:basedOn w:val="USTustnpkodeksu"/>
    <w:uiPriority w:val="46"/>
    <w:qFormat/>
    <w:rsid w:val="006B195C"/>
    <w:pPr>
      <w:ind w:left="987"/>
    </w:pPr>
  </w:style>
  <w:style w:type="paragraph" w:styleId="Bezodstpw">
    <w:name w:val="No Spacing"/>
    <w:uiPriority w:val="1"/>
    <w:qFormat/>
    <w:rsid w:val="0027677B"/>
    <w:pPr>
      <w:spacing w:after="0" w:line="240" w:lineRule="auto"/>
    </w:pPr>
  </w:style>
  <w:style w:type="paragraph" w:customStyle="1" w:styleId="Normalny1">
    <w:name w:val="Normalny1"/>
    <w:basedOn w:val="Normalny"/>
    <w:rsid w:val="00400E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basedOn w:val="Domylnaczcionkaakapitu"/>
    <w:rsid w:val="00AE5DCE"/>
  </w:style>
  <w:style w:type="character" w:customStyle="1" w:styleId="Bodytext">
    <w:name w:val="Body text_"/>
    <w:basedOn w:val="Domylnaczcionkaakapitu"/>
    <w:link w:val="Tekstpodstawowy80"/>
    <w:rsid w:val="00681CE5"/>
    <w:rPr>
      <w:rFonts w:ascii="Tahoma" w:eastAsia="Tahoma" w:hAnsi="Tahoma" w:cs="Tahoma"/>
      <w:sz w:val="21"/>
      <w:szCs w:val="21"/>
      <w:shd w:val="clear" w:color="auto" w:fill="FFFFFF"/>
    </w:rPr>
  </w:style>
  <w:style w:type="character" w:customStyle="1" w:styleId="Tekstpodstawowy1">
    <w:name w:val="Tekst podstawowy1"/>
    <w:basedOn w:val="Bodytext"/>
    <w:rsid w:val="00681CE5"/>
    <w:rPr>
      <w:rFonts w:ascii="Tahoma" w:eastAsia="Tahoma" w:hAnsi="Tahoma" w:cs="Tahoma"/>
      <w:sz w:val="21"/>
      <w:szCs w:val="21"/>
      <w:u w:val="single"/>
      <w:shd w:val="clear" w:color="auto" w:fill="FFFFFF"/>
    </w:rPr>
  </w:style>
  <w:style w:type="character" w:customStyle="1" w:styleId="Tekstpodstawowy2">
    <w:name w:val="Tekst podstawowy2"/>
    <w:basedOn w:val="Bodytext"/>
    <w:rsid w:val="00681CE5"/>
    <w:rPr>
      <w:rFonts w:ascii="Tahoma" w:eastAsia="Tahoma" w:hAnsi="Tahoma" w:cs="Tahoma"/>
      <w:sz w:val="21"/>
      <w:szCs w:val="21"/>
      <w:u w:val="single"/>
      <w:shd w:val="clear" w:color="auto" w:fill="FFFFFF"/>
    </w:rPr>
  </w:style>
  <w:style w:type="character" w:customStyle="1" w:styleId="Tekstpodstawowy9">
    <w:name w:val="Tekst podstawowy9"/>
    <w:basedOn w:val="Bodytext"/>
    <w:rsid w:val="00681CE5"/>
    <w:rPr>
      <w:rFonts w:ascii="Tahoma" w:eastAsia="Tahoma" w:hAnsi="Tahoma" w:cs="Tahoma"/>
      <w:sz w:val="21"/>
      <w:szCs w:val="21"/>
      <w:shd w:val="clear" w:color="auto" w:fill="FFFFFF"/>
    </w:rPr>
  </w:style>
  <w:style w:type="paragraph" w:customStyle="1" w:styleId="Tekstpodstawowy80">
    <w:name w:val="Tekst podstawowy80"/>
    <w:basedOn w:val="Normalny"/>
    <w:link w:val="Bodytext"/>
    <w:rsid w:val="00681CE5"/>
    <w:pPr>
      <w:shd w:val="clear" w:color="auto" w:fill="FFFFFF"/>
      <w:spacing w:line="518" w:lineRule="exact"/>
      <w:ind w:hanging="560"/>
    </w:pPr>
    <w:rPr>
      <w:rFonts w:ascii="Tahoma" w:eastAsia="Tahoma" w:hAnsi="Tahoma" w:cs="Tahoma"/>
      <w:sz w:val="21"/>
      <w:szCs w:val="21"/>
    </w:rPr>
  </w:style>
  <w:style w:type="character" w:customStyle="1" w:styleId="Nagwek2Znak">
    <w:name w:val="Nagłówek 2 Znak"/>
    <w:basedOn w:val="Domylnaczcionkaakapitu"/>
    <w:link w:val="Nagwek2"/>
    <w:uiPriority w:val="9"/>
    <w:semiHidden/>
    <w:rsid w:val="003A589D"/>
    <w:rPr>
      <w:rFonts w:asciiTheme="majorHAnsi" w:eastAsiaTheme="majorEastAsia" w:hAnsiTheme="majorHAnsi" w:cstheme="majorBidi"/>
      <w:color w:val="2E74B5" w:themeColor="accent1" w:themeShade="BF"/>
      <w:sz w:val="26"/>
      <w:szCs w:val="26"/>
    </w:rPr>
  </w:style>
  <w:style w:type="paragraph" w:customStyle="1" w:styleId="ODNONIKtreodnonika">
    <w:name w:val="ODNOŚNIK – treść odnośnika"/>
    <w:uiPriority w:val="19"/>
    <w:qFormat/>
    <w:rsid w:val="00067E9F"/>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067E9F"/>
    <w:rPr>
      <w:b w:val="0"/>
      <w:i w:val="0"/>
      <w:vanish w:val="0"/>
      <w:spacing w:val="0"/>
      <w:vertAlign w:val="superscript"/>
    </w:rPr>
  </w:style>
  <w:style w:type="paragraph" w:customStyle="1" w:styleId="ARTartustawynprozporzdzenia">
    <w:name w:val="ART(§) – art. ustawy (§ np. rozporządzenia)"/>
    <w:uiPriority w:val="11"/>
    <w:qFormat/>
    <w:rsid w:val="0092445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694">
      <w:bodyDiv w:val="1"/>
      <w:marLeft w:val="0"/>
      <w:marRight w:val="0"/>
      <w:marTop w:val="0"/>
      <w:marBottom w:val="0"/>
      <w:divBdr>
        <w:top w:val="none" w:sz="0" w:space="0" w:color="auto"/>
        <w:left w:val="none" w:sz="0" w:space="0" w:color="auto"/>
        <w:bottom w:val="none" w:sz="0" w:space="0" w:color="auto"/>
        <w:right w:val="none" w:sz="0" w:space="0" w:color="auto"/>
      </w:divBdr>
    </w:div>
    <w:div w:id="265315400">
      <w:bodyDiv w:val="1"/>
      <w:marLeft w:val="0"/>
      <w:marRight w:val="0"/>
      <w:marTop w:val="0"/>
      <w:marBottom w:val="0"/>
      <w:divBdr>
        <w:top w:val="none" w:sz="0" w:space="0" w:color="auto"/>
        <w:left w:val="none" w:sz="0" w:space="0" w:color="auto"/>
        <w:bottom w:val="none" w:sz="0" w:space="0" w:color="auto"/>
        <w:right w:val="none" w:sz="0" w:space="0" w:color="auto"/>
      </w:divBdr>
    </w:div>
    <w:div w:id="287786311">
      <w:bodyDiv w:val="1"/>
      <w:marLeft w:val="0"/>
      <w:marRight w:val="0"/>
      <w:marTop w:val="0"/>
      <w:marBottom w:val="0"/>
      <w:divBdr>
        <w:top w:val="none" w:sz="0" w:space="0" w:color="auto"/>
        <w:left w:val="none" w:sz="0" w:space="0" w:color="auto"/>
        <w:bottom w:val="none" w:sz="0" w:space="0" w:color="auto"/>
        <w:right w:val="none" w:sz="0" w:space="0" w:color="auto"/>
      </w:divBdr>
    </w:div>
    <w:div w:id="343896801">
      <w:bodyDiv w:val="1"/>
      <w:marLeft w:val="0"/>
      <w:marRight w:val="0"/>
      <w:marTop w:val="0"/>
      <w:marBottom w:val="0"/>
      <w:divBdr>
        <w:top w:val="none" w:sz="0" w:space="0" w:color="auto"/>
        <w:left w:val="none" w:sz="0" w:space="0" w:color="auto"/>
        <w:bottom w:val="none" w:sz="0" w:space="0" w:color="auto"/>
        <w:right w:val="none" w:sz="0" w:space="0" w:color="auto"/>
      </w:divBdr>
    </w:div>
    <w:div w:id="372118187">
      <w:bodyDiv w:val="1"/>
      <w:marLeft w:val="0"/>
      <w:marRight w:val="0"/>
      <w:marTop w:val="0"/>
      <w:marBottom w:val="0"/>
      <w:divBdr>
        <w:top w:val="none" w:sz="0" w:space="0" w:color="auto"/>
        <w:left w:val="none" w:sz="0" w:space="0" w:color="auto"/>
        <w:bottom w:val="none" w:sz="0" w:space="0" w:color="auto"/>
        <w:right w:val="none" w:sz="0" w:space="0" w:color="auto"/>
      </w:divBdr>
    </w:div>
    <w:div w:id="413626573">
      <w:bodyDiv w:val="1"/>
      <w:marLeft w:val="0"/>
      <w:marRight w:val="0"/>
      <w:marTop w:val="0"/>
      <w:marBottom w:val="0"/>
      <w:divBdr>
        <w:top w:val="none" w:sz="0" w:space="0" w:color="auto"/>
        <w:left w:val="none" w:sz="0" w:space="0" w:color="auto"/>
        <w:bottom w:val="none" w:sz="0" w:space="0" w:color="auto"/>
        <w:right w:val="none" w:sz="0" w:space="0" w:color="auto"/>
      </w:divBdr>
    </w:div>
    <w:div w:id="426997711">
      <w:bodyDiv w:val="1"/>
      <w:marLeft w:val="0"/>
      <w:marRight w:val="0"/>
      <w:marTop w:val="0"/>
      <w:marBottom w:val="0"/>
      <w:divBdr>
        <w:top w:val="none" w:sz="0" w:space="0" w:color="auto"/>
        <w:left w:val="none" w:sz="0" w:space="0" w:color="auto"/>
        <w:bottom w:val="none" w:sz="0" w:space="0" w:color="auto"/>
        <w:right w:val="none" w:sz="0" w:space="0" w:color="auto"/>
      </w:divBdr>
    </w:div>
    <w:div w:id="515996761">
      <w:bodyDiv w:val="1"/>
      <w:marLeft w:val="0"/>
      <w:marRight w:val="0"/>
      <w:marTop w:val="0"/>
      <w:marBottom w:val="0"/>
      <w:divBdr>
        <w:top w:val="none" w:sz="0" w:space="0" w:color="auto"/>
        <w:left w:val="none" w:sz="0" w:space="0" w:color="auto"/>
        <w:bottom w:val="none" w:sz="0" w:space="0" w:color="auto"/>
        <w:right w:val="none" w:sz="0" w:space="0" w:color="auto"/>
      </w:divBdr>
    </w:div>
    <w:div w:id="555430267">
      <w:bodyDiv w:val="1"/>
      <w:marLeft w:val="0"/>
      <w:marRight w:val="0"/>
      <w:marTop w:val="0"/>
      <w:marBottom w:val="0"/>
      <w:divBdr>
        <w:top w:val="none" w:sz="0" w:space="0" w:color="auto"/>
        <w:left w:val="none" w:sz="0" w:space="0" w:color="auto"/>
        <w:bottom w:val="none" w:sz="0" w:space="0" w:color="auto"/>
        <w:right w:val="none" w:sz="0" w:space="0" w:color="auto"/>
      </w:divBdr>
    </w:div>
    <w:div w:id="643580406">
      <w:bodyDiv w:val="1"/>
      <w:marLeft w:val="0"/>
      <w:marRight w:val="0"/>
      <w:marTop w:val="0"/>
      <w:marBottom w:val="0"/>
      <w:divBdr>
        <w:top w:val="none" w:sz="0" w:space="0" w:color="auto"/>
        <w:left w:val="none" w:sz="0" w:space="0" w:color="auto"/>
        <w:bottom w:val="none" w:sz="0" w:space="0" w:color="auto"/>
        <w:right w:val="none" w:sz="0" w:space="0" w:color="auto"/>
      </w:divBdr>
      <w:divsChild>
        <w:div w:id="488715699">
          <w:marLeft w:val="0"/>
          <w:marRight w:val="0"/>
          <w:marTop w:val="0"/>
          <w:marBottom w:val="0"/>
          <w:divBdr>
            <w:top w:val="none" w:sz="0" w:space="0" w:color="auto"/>
            <w:left w:val="none" w:sz="0" w:space="0" w:color="auto"/>
            <w:bottom w:val="none" w:sz="0" w:space="0" w:color="auto"/>
            <w:right w:val="none" w:sz="0" w:space="0" w:color="auto"/>
          </w:divBdr>
        </w:div>
        <w:div w:id="762647626">
          <w:marLeft w:val="0"/>
          <w:marRight w:val="0"/>
          <w:marTop w:val="0"/>
          <w:marBottom w:val="0"/>
          <w:divBdr>
            <w:top w:val="none" w:sz="0" w:space="0" w:color="auto"/>
            <w:left w:val="none" w:sz="0" w:space="0" w:color="auto"/>
            <w:bottom w:val="none" w:sz="0" w:space="0" w:color="auto"/>
            <w:right w:val="none" w:sz="0" w:space="0" w:color="auto"/>
          </w:divBdr>
        </w:div>
        <w:div w:id="2032024798">
          <w:marLeft w:val="0"/>
          <w:marRight w:val="0"/>
          <w:marTop w:val="0"/>
          <w:marBottom w:val="0"/>
          <w:divBdr>
            <w:top w:val="none" w:sz="0" w:space="0" w:color="auto"/>
            <w:left w:val="none" w:sz="0" w:space="0" w:color="auto"/>
            <w:bottom w:val="none" w:sz="0" w:space="0" w:color="auto"/>
            <w:right w:val="none" w:sz="0" w:space="0" w:color="auto"/>
          </w:divBdr>
        </w:div>
      </w:divsChild>
    </w:div>
    <w:div w:id="653993287">
      <w:bodyDiv w:val="1"/>
      <w:marLeft w:val="0"/>
      <w:marRight w:val="0"/>
      <w:marTop w:val="0"/>
      <w:marBottom w:val="0"/>
      <w:divBdr>
        <w:top w:val="none" w:sz="0" w:space="0" w:color="auto"/>
        <w:left w:val="none" w:sz="0" w:space="0" w:color="auto"/>
        <w:bottom w:val="none" w:sz="0" w:space="0" w:color="auto"/>
        <w:right w:val="none" w:sz="0" w:space="0" w:color="auto"/>
      </w:divBdr>
    </w:div>
    <w:div w:id="723871553">
      <w:bodyDiv w:val="1"/>
      <w:marLeft w:val="0"/>
      <w:marRight w:val="0"/>
      <w:marTop w:val="0"/>
      <w:marBottom w:val="0"/>
      <w:divBdr>
        <w:top w:val="none" w:sz="0" w:space="0" w:color="auto"/>
        <w:left w:val="none" w:sz="0" w:space="0" w:color="auto"/>
        <w:bottom w:val="none" w:sz="0" w:space="0" w:color="auto"/>
        <w:right w:val="none" w:sz="0" w:space="0" w:color="auto"/>
      </w:divBdr>
      <w:divsChild>
        <w:div w:id="987249889">
          <w:marLeft w:val="0"/>
          <w:marRight w:val="0"/>
          <w:marTop w:val="0"/>
          <w:marBottom w:val="75"/>
          <w:divBdr>
            <w:top w:val="none" w:sz="0" w:space="0" w:color="auto"/>
            <w:left w:val="none" w:sz="0" w:space="0" w:color="auto"/>
            <w:bottom w:val="none" w:sz="0" w:space="0" w:color="auto"/>
            <w:right w:val="none" w:sz="0" w:space="0" w:color="auto"/>
          </w:divBdr>
          <w:divsChild>
            <w:div w:id="362362555">
              <w:marLeft w:val="0"/>
              <w:marRight w:val="0"/>
              <w:marTop w:val="45"/>
              <w:marBottom w:val="0"/>
              <w:divBdr>
                <w:top w:val="none" w:sz="0" w:space="0" w:color="auto"/>
                <w:left w:val="none" w:sz="0" w:space="0" w:color="auto"/>
                <w:bottom w:val="none" w:sz="0" w:space="0" w:color="auto"/>
                <w:right w:val="none" w:sz="0" w:space="0" w:color="auto"/>
              </w:divBdr>
              <w:divsChild>
                <w:div w:id="108747673">
                  <w:marLeft w:val="0"/>
                  <w:marRight w:val="0"/>
                  <w:marTop w:val="0"/>
                  <w:marBottom w:val="0"/>
                  <w:divBdr>
                    <w:top w:val="single" w:sz="6" w:space="0" w:color="BBBBBB"/>
                    <w:left w:val="single" w:sz="6" w:space="0" w:color="BBBBBB"/>
                    <w:bottom w:val="single" w:sz="6" w:space="0" w:color="BBBBBB"/>
                    <w:right w:val="single" w:sz="6" w:space="0" w:color="BBBBBB"/>
                  </w:divBdr>
                  <w:divsChild>
                    <w:div w:id="36467246">
                      <w:marLeft w:val="0"/>
                      <w:marRight w:val="0"/>
                      <w:marTop w:val="0"/>
                      <w:marBottom w:val="0"/>
                      <w:divBdr>
                        <w:top w:val="none" w:sz="0" w:space="0" w:color="auto"/>
                        <w:left w:val="none" w:sz="0" w:space="0" w:color="auto"/>
                        <w:bottom w:val="none" w:sz="0" w:space="0" w:color="auto"/>
                        <w:right w:val="none" w:sz="0" w:space="0" w:color="auto"/>
                      </w:divBdr>
                      <w:divsChild>
                        <w:div w:id="21283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99513">
      <w:bodyDiv w:val="1"/>
      <w:marLeft w:val="0"/>
      <w:marRight w:val="0"/>
      <w:marTop w:val="0"/>
      <w:marBottom w:val="0"/>
      <w:divBdr>
        <w:top w:val="none" w:sz="0" w:space="0" w:color="auto"/>
        <w:left w:val="none" w:sz="0" w:space="0" w:color="auto"/>
        <w:bottom w:val="none" w:sz="0" w:space="0" w:color="auto"/>
        <w:right w:val="none" w:sz="0" w:space="0" w:color="auto"/>
      </w:divBdr>
    </w:div>
    <w:div w:id="968435792">
      <w:bodyDiv w:val="1"/>
      <w:marLeft w:val="0"/>
      <w:marRight w:val="0"/>
      <w:marTop w:val="0"/>
      <w:marBottom w:val="0"/>
      <w:divBdr>
        <w:top w:val="none" w:sz="0" w:space="0" w:color="auto"/>
        <w:left w:val="none" w:sz="0" w:space="0" w:color="auto"/>
        <w:bottom w:val="none" w:sz="0" w:space="0" w:color="auto"/>
        <w:right w:val="none" w:sz="0" w:space="0" w:color="auto"/>
      </w:divBdr>
    </w:div>
    <w:div w:id="1045721227">
      <w:bodyDiv w:val="1"/>
      <w:marLeft w:val="0"/>
      <w:marRight w:val="0"/>
      <w:marTop w:val="0"/>
      <w:marBottom w:val="0"/>
      <w:divBdr>
        <w:top w:val="none" w:sz="0" w:space="0" w:color="auto"/>
        <w:left w:val="none" w:sz="0" w:space="0" w:color="auto"/>
        <w:bottom w:val="none" w:sz="0" w:space="0" w:color="auto"/>
        <w:right w:val="none" w:sz="0" w:space="0" w:color="auto"/>
      </w:divBdr>
    </w:div>
    <w:div w:id="1210923004">
      <w:bodyDiv w:val="1"/>
      <w:marLeft w:val="0"/>
      <w:marRight w:val="0"/>
      <w:marTop w:val="0"/>
      <w:marBottom w:val="0"/>
      <w:divBdr>
        <w:top w:val="none" w:sz="0" w:space="0" w:color="auto"/>
        <w:left w:val="none" w:sz="0" w:space="0" w:color="auto"/>
        <w:bottom w:val="none" w:sz="0" w:space="0" w:color="auto"/>
        <w:right w:val="none" w:sz="0" w:space="0" w:color="auto"/>
      </w:divBdr>
    </w:div>
    <w:div w:id="1315796010">
      <w:bodyDiv w:val="1"/>
      <w:marLeft w:val="0"/>
      <w:marRight w:val="0"/>
      <w:marTop w:val="0"/>
      <w:marBottom w:val="0"/>
      <w:divBdr>
        <w:top w:val="none" w:sz="0" w:space="0" w:color="auto"/>
        <w:left w:val="none" w:sz="0" w:space="0" w:color="auto"/>
        <w:bottom w:val="none" w:sz="0" w:space="0" w:color="auto"/>
        <w:right w:val="none" w:sz="0" w:space="0" w:color="auto"/>
      </w:divBdr>
      <w:divsChild>
        <w:div w:id="1968732825">
          <w:marLeft w:val="0"/>
          <w:marRight w:val="0"/>
          <w:marTop w:val="0"/>
          <w:marBottom w:val="0"/>
          <w:divBdr>
            <w:top w:val="none" w:sz="0" w:space="0" w:color="auto"/>
            <w:left w:val="none" w:sz="0" w:space="0" w:color="auto"/>
            <w:bottom w:val="none" w:sz="0" w:space="0" w:color="auto"/>
            <w:right w:val="none" w:sz="0" w:space="0" w:color="auto"/>
          </w:divBdr>
        </w:div>
        <w:div w:id="1496190891">
          <w:marLeft w:val="0"/>
          <w:marRight w:val="0"/>
          <w:marTop w:val="0"/>
          <w:marBottom w:val="0"/>
          <w:divBdr>
            <w:top w:val="none" w:sz="0" w:space="0" w:color="auto"/>
            <w:left w:val="none" w:sz="0" w:space="0" w:color="auto"/>
            <w:bottom w:val="none" w:sz="0" w:space="0" w:color="auto"/>
            <w:right w:val="none" w:sz="0" w:space="0" w:color="auto"/>
          </w:divBdr>
        </w:div>
        <w:div w:id="474220403">
          <w:marLeft w:val="0"/>
          <w:marRight w:val="0"/>
          <w:marTop w:val="0"/>
          <w:marBottom w:val="0"/>
          <w:divBdr>
            <w:top w:val="none" w:sz="0" w:space="0" w:color="auto"/>
            <w:left w:val="none" w:sz="0" w:space="0" w:color="auto"/>
            <w:bottom w:val="none" w:sz="0" w:space="0" w:color="auto"/>
            <w:right w:val="none" w:sz="0" w:space="0" w:color="auto"/>
          </w:divBdr>
        </w:div>
      </w:divsChild>
    </w:div>
    <w:div w:id="1351762814">
      <w:bodyDiv w:val="1"/>
      <w:marLeft w:val="0"/>
      <w:marRight w:val="0"/>
      <w:marTop w:val="0"/>
      <w:marBottom w:val="0"/>
      <w:divBdr>
        <w:top w:val="none" w:sz="0" w:space="0" w:color="auto"/>
        <w:left w:val="none" w:sz="0" w:space="0" w:color="auto"/>
        <w:bottom w:val="none" w:sz="0" w:space="0" w:color="auto"/>
        <w:right w:val="none" w:sz="0" w:space="0" w:color="auto"/>
      </w:divBdr>
    </w:div>
    <w:div w:id="1357391439">
      <w:bodyDiv w:val="1"/>
      <w:marLeft w:val="0"/>
      <w:marRight w:val="0"/>
      <w:marTop w:val="0"/>
      <w:marBottom w:val="0"/>
      <w:divBdr>
        <w:top w:val="none" w:sz="0" w:space="0" w:color="auto"/>
        <w:left w:val="none" w:sz="0" w:space="0" w:color="auto"/>
        <w:bottom w:val="none" w:sz="0" w:space="0" w:color="auto"/>
        <w:right w:val="none" w:sz="0" w:space="0" w:color="auto"/>
      </w:divBdr>
    </w:div>
    <w:div w:id="1368677505">
      <w:bodyDiv w:val="1"/>
      <w:marLeft w:val="0"/>
      <w:marRight w:val="0"/>
      <w:marTop w:val="0"/>
      <w:marBottom w:val="0"/>
      <w:divBdr>
        <w:top w:val="none" w:sz="0" w:space="0" w:color="auto"/>
        <w:left w:val="none" w:sz="0" w:space="0" w:color="auto"/>
        <w:bottom w:val="none" w:sz="0" w:space="0" w:color="auto"/>
        <w:right w:val="none" w:sz="0" w:space="0" w:color="auto"/>
      </w:divBdr>
    </w:div>
    <w:div w:id="1396902095">
      <w:bodyDiv w:val="1"/>
      <w:marLeft w:val="0"/>
      <w:marRight w:val="0"/>
      <w:marTop w:val="0"/>
      <w:marBottom w:val="0"/>
      <w:divBdr>
        <w:top w:val="none" w:sz="0" w:space="0" w:color="auto"/>
        <w:left w:val="none" w:sz="0" w:space="0" w:color="auto"/>
        <w:bottom w:val="none" w:sz="0" w:space="0" w:color="auto"/>
        <w:right w:val="none" w:sz="0" w:space="0" w:color="auto"/>
      </w:divBdr>
    </w:div>
    <w:div w:id="1470439823">
      <w:bodyDiv w:val="1"/>
      <w:marLeft w:val="0"/>
      <w:marRight w:val="0"/>
      <w:marTop w:val="0"/>
      <w:marBottom w:val="0"/>
      <w:divBdr>
        <w:top w:val="none" w:sz="0" w:space="0" w:color="auto"/>
        <w:left w:val="none" w:sz="0" w:space="0" w:color="auto"/>
        <w:bottom w:val="none" w:sz="0" w:space="0" w:color="auto"/>
        <w:right w:val="none" w:sz="0" w:space="0" w:color="auto"/>
      </w:divBdr>
    </w:div>
    <w:div w:id="1511489152">
      <w:bodyDiv w:val="1"/>
      <w:marLeft w:val="0"/>
      <w:marRight w:val="0"/>
      <w:marTop w:val="0"/>
      <w:marBottom w:val="0"/>
      <w:divBdr>
        <w:top w:val="none" w:sz="0" w:space="0" w:color="auto"/>
        <w:left w:val="none" w:sz="0" w:space="0" w:color="auto"/>
        <w:bottom w:val="none" w:sz="0" w:space="0" w:color="auto"/>
        <w:right w:val="none" w:sz="0" w:space="0" w:color="auto"/>
      </w:divBdr>
    </w:div>
    <w:div w:id="1552692887">
      <w:bodyDiv w:val="1"/>
      <w:marLeft w:val="0"/>
      <w:marRight w:val="0"/>
      <w:marTop w:val="0"/>
      <w:marBottom w:val="0"/>
      <w:divBdr>
        <w:top w:val="none" w:sz="0" w:space="0" w:color="auto"/>
        <w:left w:val="none" w:sz="0" w:space="0" w:color="auto"/>
        <w:bottom w:val="none" w:sz="0" w:space="0" w:color="auto"/>
        <w:right w:val="none" w:sz="0" w:space="0" w:color="auto"/>
      </w:divBdr>
    </w:div>
    <w:div w:id="1660887041">
      <w:bodyDiv w:val="1"/>
      <w:marLeft w:val="0"/>
      <w:marRight w:val="0"/>
      <w:marTop w:val="0"/>
      <w:marBottom w:val="0"/>
      <w:divBdr>
        <w:top w:val="none" w:sz="0" w:space="0" w:color="auto"/>
        <w:left w:val="none" w:sz="0" w:space="0" w:color="auto"/>
        <w:bottom w:val="none" w:sz="0" w:space="0" w:color="auto"/>
        <w:right w:val="none" w:sz="0" w:space="0" w:color="auto"/>
      </w:divBdr>
    </w:div>
    <w:div w:id="1729378189">
      <w:bodyDiv w:val="1"/>
      <w:marLeft w:val="0"/>
      <w:marRight w:val="0"/>
      <w:marTop w:val="0"/>
      <w:marBottom w:val="0"/>
      <w:divBdr>
        <w:top w:val="none" w:sz="0" w:space="0" w:color="auto"/>
        <w:left w:val="none" w:sz="0" w:space="0" w:color="auto"/>
        <w:bottom w:val="none" w:sz="0" w:space="0" w:color="auto"/>
        <w:right w:val="none" w:sz="0" w:space="0" w:color="auto"/>
      </w:divBdr>
    </w:div>
    <w:div w:id="1738701284">
      <w:bodyDiv w:val="1"/>
      <w:marLeft w:val="0"/>
      <w:marRight w:val="0"/>
      <w:marTop w:val="0"/>
      <w:marBottom w:val="0"/>
      <w:divBdr>
        <w:top w:val="none" w:sz="0" w:space="0" w:color="auto"/>
        <w:left w:val="none" w:sz="0" w:space="0" w:color="auto"/>
        <w:bottom w:val="none" w:sz="0" w:space="0" w:color="auto"/>
        <w:right w:val="none" w:sz="0" w:space="0" w:color="auto"/>
      </w:divBdr>
      <w:divsChild>
        <w:div w:id="166330602">
          <w:marLeft w:val="0"/>
          <w:marRight w:val="0"/>
          <w:marTop w:val="0"/>
          <w:marBottom w:val="0"/>
          <w:divBdr>
            <w:top w:val="none" w:sz="0" w:space="0" w:color="auto"/>
            <w:left w:val="none" w:sz="0" w:space="0" w:color="auto"/>
            <w:bottom w:val="none" w:sz="0" w:space="0" w:color="auto"/>
            <w:right w:val="none" w:sz="0" w:space="0" w:color="auto"/>
          </w:divBdr>
        </w:div>
        <w:div w:id="185291905">
          <w:marLeft w:val="0"/>
          <w:marRight w:val="0"/>
          <w:marTop w:val="0"/>
          <w:marBottom w:val="0"/>
          <w:divBdr>
            <w:top w:val="none" w:sz="0" w:space="0" w:color="auto"/>
            <w:left w:val="none" w:sz="0" w:space="0" w:color="auto"/>
            <w:bottom w:val="none" w:sz="0" w:space="0" w:color="auto"/>
            <w:right w:val="none" w:sz="0" w:space="0" w:color="auto"/>
          </w:divBdr>
        </w:div>
      </w:divsChild>
    </w:div>
    <w:div w:id="17999548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75660041">
          <w:marLeft w:val="0"/>
          <w:marRight w:val="0"/>
          <w:marTop w:val="0"/>
          <w:marBottom w:val="0"/>
          <w:divBdr>
            <w:top w:val="none" w:sz="0" w:space="0" w:color="auto"/>
            <w:left w:val="none" w:sz="0" w:space="0" w:color="auto"/>
            <w:bottom w:val="none" w:sz="0" w:space="0" w:color="auto"/>
            <w:right w:val="none" w:sz="0" w:space="0" w:color="auto"/>
          </w:divBdr>
          <w:divsChild>
            <w:div w:id="1419446226">
              <w:blockQuote w:val="1"/>
              <w:marLeft w:val="0"/>
              <w:marRight w:val="0"/>
              <w:marTop w:val="150"/>
              <w:marBottom w:val="150"/>
              <w:divBdr>
                <w:top w:val="none" w:sz="0" w:space="0" w:color="auto"/>
                <w:left w:val="none" w:sz="0" w:space="0" w:color="auto"/>
                <w:bottom w:val="none" w:sz="0" w:space="0" w:color="auto"/>
                <w:right w:val="none" w:sz="0" w:space="0" w:color="auto"/>
              </w:divBdr>
              <w:divsChild>
                <w:div w:id="977801743">
                  <w:marLeft w:val="0"/>
                  <w:marRight w:val="0"/>
                  <w:marTop w:val="105"/>
                  <w:marBottom w:val="0"/>
                  <w:divBdr>
                    <w:top w:val="none" w:sz="0" w:space="0" w:color="auto"/>
                    <w:left w:val="none" w:sz="0" w:space="0" w:color="auto"/>
                    <w:bottom w:val="none" w:sz="0" w:space="0" w:color="auto"/>
                    <w:right w:val="none" w:sz="0" w:space="0" w:color="auto"/>
                  </w:divBdr>
                  <w:divsChild>
                    <w:div w:id="1501038897">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11753070">
      <w:bodyDiv w:val="1"/>
      <w:marLeft w:val="0"/>
      <w:marRight w:val="0"/>
      <w:marTop w:val="0"/>
      <w:marBottom w:val="0"/>
      <w:divBdr>
        <w:top w:val="none" w:sz="0" w:space="0" w:color="auto"/>
        <w:left w:val="none" w:sz="0" w:space="0" w:color="auto"/>
        <w:bottom w:val="none" w:sz="0" w:space="0" w:color="auto"/>
        <w:right w:val="none" w:sz="0" w:space="0" w:color="auto"/>
      </w:divBdr>
    </w:div>
    <w:div w:id="1986157203">
      <w:bodyDiv w:val="1"/>
      <w:marLeft w:val="0"/>
      <w:marRight w:val="0"/>
      <w:marTop w:val="0"/>
      <w:marBottom w:val="0"/>
      <w:divBdr>
        <w:top w:val="none" w:sz="0" w:space="0" w:color="auto"/>
        <w:left w:val="none" w:sz="0" w:space="0" w:color="auto"/>
        <w:bottom w:val="none" w:sz="0" w:space="0" w:color="auto"/>
        <w:right w:val="none" w:sz="0" w:space="0" w:color="auto"/>
      </w:divBdr>
    </w:div>
    <w:div w:id="2105832559">
      <w:bodyDiv w:val="1"/>
      <w:marLeft w:val="0"/>
      <w:marRight w:val="0"/>
      <w:marTop w:val="0"/>
      <w:marBottom w:val="0"/>
      <w:divBdr>
        <w:top w:val="none" w:sz="0" w:space="0" w:color="auto"/>
        <w:left w:val="none" w:sz="0" w:space="0" w:color="auto"/>
        <w:bottom w:val="none" w:sz="0" w:space="0" w:color="auto"/>
        <w:right w:val="none" w:sz="0" w:space="0" w:color="auto"/>
      </w:divBdr>
    </w:div>
    <w:div w:id="21470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412C5FA2EB4B46BAC5DC4BA2051060" ma:contentTypeVersion="" ma:contentTypeDescription="Utwórz nowy dokument." ma:contentTypeScope="" ma:versionID="c83c7060005c84ab4cc4ef9bf5d8cda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67F9-2F0A-42D4-B383-DEB1A1561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9845B-A50E-4CFF-A1A6-07FF26AC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4E1876-EDB4-431F-AEF4-FEBE945D7B39}">
  <ds:schemaRefs>
    <ds:schemaRef ds:uri="http://schemas.microsoft.com/sharepoint/v3/contenttype/forms"/>
  </ds:schemaRefs>
</ds:datastoreItem>
</file>

<file path=customXml/itemProps4.xml><?xml version="1.0" encoding="utf-8"?>
<ds:datastoreItem xmlns:ds="http://schemas.openxmlformats.org/officeDocument/2006/customXml" ds:itemID="{C2AA3DF7-FAAA-46F9-8199-3CA344E2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11006</Words>
  <Characters>66041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76894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Dobrzyńska Grażyna</dc:creator>
  <cp:keywords/>
  <dc:description/>
  <cp:lastModifiedBy>Stawecki Michał</cp:lastModifiedBy>
  <cp:revision>4</cp:revision>
  <cp:lastPrinted>2020-04-15T12:32:00Z</cp:lastPrinted>
  <dcterms:created xsi:type="dcterms:W3CDTF">2022-07-29T09:29:00Z</dcterms:created>
  <dcterms:modified xsi:type="dcterms:W3CDTF">2022-08-02T07:06:00Z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0x0101002B412C5FA2EB4B46BAC5DC4BA2051060</vt:lpwstr>
  </property>
  <property fmtid="{D5CDD505-2E9C-101B-9397-08002B2CF9AE}" pid="3" name="MFCATEGORY">
    <vt:lpwstr>InformacjePrzeznaczoneWylacznieDoUzytkuWewnetrznego</vt:lpwstr>
  </property>
  <property fmtid="{D5CDD505-2E9C-101B-9397-08002B2CF9AE}" pid="4" name="MFClassifiedBy">
    <vt:lpwstr>MF\GUFF;Szymańska Justyna 7</vt:lpwstr>
  </property>
  <property fmtid="{D5CDD505-2E9C-101B-9397-08002B2CF9AE}" pid="5" name="MFClassificationDate">
    <vt:lpwstr>2021-12-27T08:23:22.9472618+01:00</vt:lpwstr>
  </property>
  <property fmtid="{D5CDD505-2E9C-101B-9397-08002B2CF9AE}" pid="6" name="MFClassifiedBySID">
    <vt:lpwstr>MF\S-1-5-21-1525952054-1005573771-2909822258-184578</vt:lpwstr>
  </property>
  <property fmtid="{D5CDD505-2E9C-101B-9397-08002B2CF9AE}" pid="7" name="MFGRNItemId">
    <vt:lpwstr>GRN-47f5de2c-67ba-4958-b0f2-fbcdb0b49d65</vt:lpwstr>
  </property>
  <property fmtid="{D5CDD505-2E9C-101B-9397-08002B2CF9AE}" pid="8" name="MFHash">
    <vt:lpwstr>ESN36QvmfTQTbBElcGFOx+lBO7jwneLYrp6vJuiXJwk=</vt:lpwstr>
  </property>
  <property fmtid="{D5CDD505-2E9C-101B-9397-08002B2CF9AE}" pid="9" name="DLPManualFileClassification">
    <vt:lpwstr>{5fdfc941-3fcf-4a5b-87be-4848800d39d0}</vt:lpwstr>
  </property>
  <property fmtid="{D5CDD505-2E9C-101B-9397-08002B2CF9AE}" pid="10" name="MFRefresh">
    <vt:lpwstr>False</vt:lpwstr>
  </property>
</Properties>
</file>