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BC30" w14:textId="6EBD2ED5" w:rsidR="00C86819" w:rsidRPr="00C86819" w:rsidRDefault="00530BB4" w:rsidP="00C86819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eastAsiaTheme="minorEastAsia" w:hAnsi="Times New Roman" w:cs="Times New Roma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</w:rPr>
        <w:t>1</w:t>
      </w:r>
      <w:r w:rsidR="00FB6031">
        <w:rPr>
          <w:rFonts w:ascii="Times New Roman" w:eastAsiaTheme="minorEastAsia" w:hAnsi="Times New Roman" w:cs="Times New Roman"/>
        </w:rPr>
        <w:t>9</w:t>
      </w:r>
      <w:r w:rsidR="00167EE5">
        <w:rPr>
          <w:rFonts w:ascii="Times New Roman" w:eastAsiaTheme="minorEastAsia" w:hAnsi="Times New Roman" w:cs="Times New Roman"/>
        </w:rPr>
        <w:t>.08</w:t>
      </w:r>
      <w:r w:rsidR="00C86819" w:rsidRPr="00C86819">
        <w:rPr>
          <w:rFonts w:ascii="Times New Roman" w:eastAsiaTheme="minorEastAsia" w:hAnsi="Times New Roman" w:cs="Times New Roman"/>
        </w:rPr>
        <w:t>.2022</w:t>
      </w:r>
    </w:p>
    <w:p w14:paraId="62859EA9" w14:textId="296C935A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EastAsia" w:hAnsi="Times New Roman" w:cs="Times New Roman"/>
          <w:b/>
          <w:bCs/>
        </w:rPr>
      </w:pPr>
      <w:r w:rsidRPr="00C86819">
        <w:rPr>
          <w:rFonts w:ascii="Times New Roman" w:eastAsiaTheme="minorEastAsia" w:hAnsi="Times New Roman" w:cs="Times New Roman"/>
          <w:b/>
          <w:bCs/>
        </w:rPr>
        <w:t>UZASADNIENIE</w:t>
      </w:r>
    </w:p>
    <w:p w14:paraId="07255FF8" w14:textId="06688B39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 xml:space="preserve">Projekt rozporządzenia jest realizacją delegacji ustawowej zawartej w art. 77 ust. 3 ustawy </w:t>
      </w:r>
      <w:r w:rsidR="000E1DAD" w:rsidRPr="00C86819">
        <w:rPr>
          <w:rFonts w:ascii="Times New Roman" w:eastAsiaTheme="minorEastAsia" w:hAnsi="Times New Roman" w:cs="Times New Roman"/>
        </w:rPr>
        <w:br/>
      </w:r>
      <w:r w:rsidRPr="00C86819">
        <w:rPr>
          <w:rFonts w:ascii="Times New Roman" w:eastAsiaTheme="minorEastAsia" w:hAnsi="Times New Roman" w:cs="Times New Roman"/>
        </w:rPr>
        <w:t>z dnia 20 lutego 2015 r. o odnawialnych źródłach energii (Dz. U. z 202</w:t>
      </w:r>
      <w:r w:rsidR="00242694" w:rsidRPr="00C86819">
        <w:rPr>
          <w:rFonts w:ascii="Times New Roman" w:eastAsiaTheme="minorEastAsia" w:hAnsi="Times New Roman" w:cs="Times New Roman"/>
        </w:rPr>
        <w:t>2</w:t>
      </w:r>
      <w:r w:rsidRPr="00C86819">
        <w:rPr>
          <w:rFonts w:ascii="Times New Roman" w:eastAsiaTheme="minorEastAsia" w:hAnsi="Times New Roman" w:cs="Times New Roman"/>
        </w:rPr>
        <w:t xml:space="preserve"> r. poz. </w:t>
      </w:r>
      <w:r w:rsidR="00242694" w:rsidRPr="00C86819">
        <w:rPr>
          <w:rFonts w:ascii="Times New Roman" w:eastAsiaTheme="minorEastAsia" w:hAnsi="Times New Roman" w:cs="Times New Roman"/>
        </w:rPr>
        <w:t>1378 i 1383</w:t>
      </w:r>
      <w:r w:rsidRPr="00C86819">
        <w:rPr>
          <w:rFonts w:ascii="Times New Roman" w:eastAsiaTheme="minorEastAsia" w:hAnsi="Times New Roman" w:cs="Times New Roman"/>
        </w:rPr>
        <w:t>), zwanej dalej „ustawą”, która nakłada na ministra właściwego do spraw klimatu obowiązek okr</w:t>
      </w:r>
      <w:r w:rsidR="001E7AFC">
        <w:rPr>
          <w:rFonts w:ascii="Times New Roman" w:eastAsiaTheme="minorEastAsia" w:hAnsi="Times New Roman" w:cs="Times New Roman"/>
        </w:rPr>
        <w:t>eślenia, w drodze rozporządzenia</w:t>
      </w:r>
      <w:r w:rsidRPr="00C86819">
        <w:rPr>
          <w:rFonts w:ascii="Times New Roman" w:eastAsiaTheme="minorEastAsia" w:hAnsi="Times New Roman" w:cs="Times New Roman"/>
        </w:rPr>
        <w:t>:</w:t>
      </w:r>
    </w:p>
    <w:p w14:paraId="3FDF6BF5" w14:textId="2B74B4CE" w:rsidR="004B28FD" w:rsidRPr="00167EE5" w:rsidRDefault="004B28FD" w:rsidP="00C8681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Theme="minorEastAsia"/>
          <w:sz w:val="22"/>
          <w:szCs w:val="22"/>
        </w:rPr>
      </w:pPr>
      <w:r w:rsidRPr="00167EE5">
        <w:rPr>
          <w:rFonts w:eastAsiaTheme="minorEastAsia"/>
          <w:sz w:val="22"/>
          <w:szCs w:val="22"/>
        </w:rPr>
        <w:t xml:space="preserve">maksymalnej ceny w złotych za 1 MWh, za jaką może zostać w danym roku kalendarzowym sprzedana przez wytwórców w drodze aukcji energia elektryczna z odnawialnych źródeł energii, zwanej dalej „ceną referencyjną”, oraz </w:t>
      </w:r>
    </w:p>
    <w:p w14:paraId="793D7F0D" w14:textId="757B6561" w:rsidR="004B28FD" w:rsidRPr="00167EE5" w:rsidRDefault="004B28FD" w:rsidP="00C8681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Theme="minorEastAsia"/>
          <w:sz w:val="22"/>
          <w:szCs w:val="22"/>
        </w:rPr>
      </w:pPr>
      <w:r w:rsidRPr="00167EE5">
        <w:rPr>
          <w:rFonts w:eastAsiaTheme="minorEastAsia"/>
          <w:sz w:val="22"/>
          <w:szCs w:val="22"/>
        </w:rPr>
        <w:t>okresu, w którym przysługuje obowiązek zakupu energii elektrycznej, o której mowa w art. 92 ust. 1 ustawy, oraz okresu prawa do pokrycia ujemnego salda, o którym mowa w art. 92 ust. 5 ustawy, wytworzonej w instalacjach odnawialnego źródła energii, o których mowa w art. 72 ust. 1 ustawy, obowiązującego wytwórców, którzy w danym roku wygrają aukcję, przy czym okres ten nie może być dłuższy niż 15 lat od dnia wytworzenia po raz pierwszy energii elektrycznej w tych instalacjach.</w:t>
      </w:r>
    </w:p>
    <w:p w14:paraId="474008E3" w14:textId="77777777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 xml:space="preserve">Przy ustalaniu ceny referencyjnej energii elektrycznej z odnawialnych źródeł energii, </w:t>
      </w:r>
      <w:r w:rsidRPr="00C86819">
        <w:rPr>
          <w:rFonts w:ascii="Times New Roman" w:eastAsiaTheme="minorEastAsia" w:hAnsi="Times New Roman" w:cs="Times New Roman"/>
        </w:rPr>
        <w:br/>
        <w:t>o której mowa w art. 77 ustawy, minister właściwy do spraw klimatu wziął pod uwagę:</w:t>
      </w:r>
    </w:p>
    <w:p w14:paraId="7EA1CD58" w14:textId="0A7686CE" w:rsidR="004B28FD" w:rsidRPr="00C86819" w:rsidRDefault="007F444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 xml:space="preserve">istotne </w:t>
      </w:r>
      <w:r w:rsidR="004B28FD" w:rsidRPr="00C86819">
        <w:rPr>
          <w:rFonts w:eastAsiaTheme="minorEastAsia"/>
          <w:sz w:val="22"/>
          <w:szCs w:val="22"/>
        </w:rPr>
        <w:t>parametry techniczne i ekonomiczne funkcjonowania instalacji odnawialnego źródła energii;</w:t>
      </w:r>
    </w:p>
    <w:p w14:paraId="204FA3DA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 xml:space="preserve">nakłady inwestycyjne ponoszone w okresie przygotowania projektu i jego budowy wraz </w:t>
      </w:r>
      <w:r w:rsidRPr="00C86819">
        <w:rPr>
          <w:rFonts w:eastAsiaTheme="minorEastAsia"/>
          <w:sz w:val="22"/>
          <w:szCs w:val="22"/>
        </w:rPr>
        <w:br/>
        <w:t>z niezbędną infrastrukturą techniczną;</w:t>
      </w:r>
    </w:p>
    <w:p w14:paraId="2A4DB7D7" w14:textId="53B415AB" w:rsidR="004B28FD" w:rsidRPr="00C86819" w:rsidRDefault="007F444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 xml:space="preserve">założenia dotyczące technicznych warunków </w:t>
      </w:r>
      <w:r w:rsidR="004B28FD" w:rsidRPr="00C86819">
        <w:rPr>
          <w:rFonts w:eastAsiaTheme="minorEastAsia"/>
          <w:sz w:val="22"/>
          <w:szCs w:val="22"/>
        </w:rPr>
        <w:t>pracy instalacji odnawialnego źródła energii, w tym sprawności wytwarzania energii elektrycznej lub biogazu rolniczego, współczynniki wykorzystania dostępnej mocy elektrycznej, współczynniki zużycia wytworzonej energii elektrycznej i biogazu rolniczego na pokrycie potrzeb własnych oraz na pokrycie strat powstających przed wprowadzeniem energii elektrycznej lub biogazu rolniczego do sieci;</w:t>
      </w:r>
    </w:p>
    <w:p w14:paraId="02927E30" w14:textId="5946A87E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 xml:space="preserve">koszty operacyjne oraz dodatkowe nakłady inwestycyjne ponoszone w okresie eksploatacji, </w:t>
      </w:r>
      <w:r w:rsidR="001C1FC5" w:rsidRPr="00C86819">
        <w:rPr>
          <w:rFonts w:eastAsiaTheme="minorEastAsia"/>
          <w:sz w:val="22"/>
          <w:szCs w:val="22"/>
        </w:rPr>
        <w:br/>
      </w:r>
      <w:r w:rsidRPr="00C86819">
        <w:rPr>
          <w:rFonts w:eastAsiaTheme="minorEastAsia"/>
          <w:sz w:val="22"/>
          <w:szCs w:val="22"/>
        </w:rPr>
        <w:t>w którym instalacja odnawialnego źródła energii podlega mechanizmom i instrumentom wsparcia;</w:t>
      </w:r>
    </w:p>
    <w:p w14:paraId="48FFAB10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>przewidywane kształtowanie się cen biomasy i innych paliw oraz jednostkowe ceny uprawnień do emisji CO</w:t>
      </w:r>
      <w:r w:rsidRPr="00C86819">
        <w:rPr>
          <w:rFonts w:eastAsiaTheme="minorEastAsia"/>
          <w:sz w:val="22"/>
          <w:szCs w:val="22"/>
          <w:vertAlign w:val="subscript"/>
        </w:rPr>
        <w:t>2</w:t>
      </w:r>
      <w:r w:rsidRPr="00C86819">
        <w:rPr>
          <w:rFonts w:eastAsiaTheme="minorEastAsia"/>
          <w:sz w:val="22"/>
          <w:szCs w:val="22"/>
        </w:rPr>
        <w:t>;</w:t>
      </w:r>
    </w:p>
    <w:p w14:paraId="1352646D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>koszty kapitału własnego wytwórcy energii elektrycznej lub biogazu rolniczego;</w:t>
      </w:r>
    </w:p>
    <w:p w14:paraId="5AE36B62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>wpływ instalacji odnawialnego źródła energii na środowisko naturalne, w tym na redukcję emisji zanieczyszczeń atmosferycznych, w szczególności metanu;</w:t>
      </w:r>
    </w:p>
    <w:p w14:paraId="619B7ADF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>zrównoważone zagospodarowanie zasobów wodnych;</w:t>
      </w:r>
    </w:p>
    <w:p w14:paraId="24C5A8E9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>cele gospodarcze i społeczne, w tym udział wykorzystywanych technologii do wytwarzania energii lub paliw z odnawialnych źródeł energii w tworzeniu nowych miejsc pracy;</w:t>
      </w:r>
    </w:p>
    <w:p w14:paraId="4DEDBBB3" w14:textId="77777777" w:rsidR="004B28FD" w:rsidRPr="00C86819" w:rsidRDefault="004B28FD" w:rsidP="00C8681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C86819">
        <w:rPr>
          <w:rFonts w:eastAsiaTheme="minorEastAsia"/>
          <w:sz w:val="22"/>
          <w:szCs w:val="22"/>
        </w:rPr>
        <w:t>oszczędności energii pierwotnej uzyskanej w wyniku jednoczesnego wytwarzania energii elektrycznej, ciepła, chłodu, lub paliw pochodzących ze źródeł odnawialnych.</w:t>
      </w:r>
    </w:p>
    <w:p w14:paraId="34469FB0" w14:textId="3CB082CC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Wskazane w § 2 projektu wartości cen referencyjnych, w opinii projektodawcy</w:t>
      </w:r>
      <w:r w:rsidR="00C86819">
        <w:rPr>
          <w:rFonts w:ascii="Times New Roman" w:eastAsiaTheme="minorEastAsia" w:hAnsi="Times New Roman" w:cs="Times New Roman"/>
        </w:rPr>
        <w:t>,</w:t>
      </w:r>
      <w:r w:rsidRPr="00C86819">
        <w:rPr>
          <w:rFonts w:ascii="Times New Roman" w:eastAsiaTheme="minorEastAsia" w:hAnsi="Times New Roman" w:cs="Times New Roman"/>
        </w:rPr>
        <w:t xml:space="preserve"> zapewniają możliwość przeprowadzenia aukcji na sprzedaż energii elektrycznej</w:t>
      </w:r>
      <w:r w:rsidR="000E1DAD" w:rsidRPr="00C86819">
        <w:rPr>
          <w:rFonts w:ascii="Times New Roman" w:eastAsiaTheme="minorEastAsia" w:hAnsi="Times New Roman" w:cs="Times New Roman"/>
        </w:rPr>
        <w:t xml:space="preserve"> </w:t>
      </w:r>
      <w:r w:rsidRPr="00C86819">
        <w:rPr>
          <w:rFonts w:ascii="Times New Roman" w:eastAsiaTheme="minorEastAsia" w:hAnsi="Times New Roman" w:cs="Times New Roman"/>
        </w:rPr>
        <w:t>z odnawialnych źródeł energii.</w:t>
      </w:r>
    </w:p>
    <w:p w14:paraId="00F489F6" w14:textId="06606FDF" w:rsidR="00675D87" w:rsidRPr="00C86819" w:rsidRDefault="00675D87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  <w:iCs/>
        </w:rPr>
      </w:pPr>
      <w:r w:rsidRPr="00C86819">
        <w:rPr>
          <w:rFonts w:ascii="Times New Roman" w:eastAsiaTheme="minorEastAsia" w:hAnsi="Times New Roman" w:cs="Times New Roman"/>
          <w:iCs/>
        </w:rPr>
        <w:t>Ponadto</w:t>
      </w:r>
      <w:r w:rsidR="00C86819">
        <w:rPr>
          <w:rFonts w:ascii="Times New Roman" w:eastAsiaTheme="minorEastAsia" w:hAnsi="Times New Roman" w:cs="Times New Roman"/>
          <w:iCs/>
        </w:rPr>
        <w:t>,</w:t>
      </w:r>
      <w:r w:rsidRPr="00C86819">
        <w:rPr>
          <w:rFonts w:ascii="Times New Roman" w:eastAsiaTheme="minorEastAsia" w:hAnsi="Times New Roman" w:cs="Times New Roman"/>
          <w:iCs/>
        </w:rPr>
        <w:t xml:space="preserve"> ceny referencyjne będą stanowiły podstawę do wyliczenia stałych cen zakupu dla źródeł o mocy do 500 kW (FIT) oraz poziomu pokrycia ujemnego salda dla źródeł o mocy od 500 kW do </w:t>
      </w:r>
      <w:r w:rsidR="009754FC" w:rsidRPr="00C86819">
        <w:rPr>
          <w:rFonts w:ascii="Times New Roman" w:eastAsiaTheme="minorEastAsia" w:hAnsi="Times New Roman" w:cs="Times New Roman"/>
          <w:iCs/>
        </w:rPr>
        <w:t>1</w:t>
      </w:r>
      <w:r w:rsidRPr="00C86819">
        <w:rPr>
          <w:rFonts w:ascii="Times New Roman" w:eastAsiaTheme="minorEastAsia" w:hAnsi="Times New Roman" w:cs="Times New Roman"/>
          <w:iCs/>
        </w:rPr>
        <w:t xml:space="preserve"> MW (FIP). Zgodnie z przepisami ustawy o odnawialnych źródłach energii (art. 70e) są one odpowiednio korygowane </w:t>
      </w:r>
      <w:r w:rsidR="001E348A" w:rsidRPr="00C86819">
        <w:rPr>
          <w:rFonts w:ascii="Times New Roman" w:eastAsiaTheme="minorEastAsia" w:hAnsi="Times New Roman" w:cs="Times New Roman"/>
          <w:iCs/>
        </w:rPr>
        <w:t>do</w:t>
      </w:r>
      <w:r w:rsidRPr="00C86819">
        <w:rPr>
          <w:rFonts w:ascii="Times New Roman" w:eastAsiaTheme="minorEastAsia" w:hAnsi="Times New Roman" w:cs="Times New Roman"/>
          <w:iCs/>
        </w:rPr>
        <w:t xml:space="preserve"> 95% i 90% wielkości ceny referencyjnej, dla poszczególnych instalacji wskazanych w art. 70a ust. 1 i 2 </w:t>
      </w:r>
      <w:r w:rsidR="0046142A" w:rsidRPr="00C86819">
        <w:rPr>
          <w:rFonts w:ascii="Times New Roman" w:eastAsiaTheme="minorEastAsia" w:hAnsi="Times New Roman" w:cs="Times New Roman"/>
          <w:iCs/>
        </w:rPr>
        <w:t xml:space="preserve">tej </w:t>
      </w:r>
      <w:r w:rsidRPr="00C86819">
        <w:rPr>
          <w:rFonts w:ascii="Times New Roman" w:eastAsiaTheme="minorEastAsia" w:hAnsi="Times New Roman" w:cs="Times New Roman"/>
          <w:iCs/>
        </w:rPr>
        <w:t>ustawy.</w:t>
      </w:r>
    </w:p>
    <w:p w14:paraId="1468FEBA" w14:textId="5A969C35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lastRenderedPageBreak/>
        <w:t>Powyższe ma niezwykle istotne znaczenie m.in. w odniesieniu do wpływu na środowisko naturalne, w tym na redukcję emisji zanieczyszczeń atmosferycznych,</w:t>
      </w:r>
      <w:r w:rsidR="00545A65" w:rsidRPr="00C86819">
        <w:rPr>
          <w:rFonts w:ascii="Times New Roman" w:eastAsiaTheme="minorEastAsia" w:hAnsi="Times New Roman" w:cs="Times New Roman"/>
        </w:rPr>
        <w:t xml:space="preserve"> </w:t>
      </w:r>
      <w:r w:rsidRPr="00C86819">
        <w:rPr>
          <w:rFonts w:ascii="Times New Roman" w:eastAsiaTheme="minorEastAsia" w:hAnsi="Times New Roman" w:cs="Times New Roman"/>
        </w:rPr>
        <w:t>w szczególności metanu oraz oszczędność energii pierwotnej uzyskanej w wyniku jednoczesnego wytwarzania energii elektrycznej, ciepła, chłodu lub paliw pochodzących ze źródeł odnawialnych (tworzenie biogazowni rolniczych oraz biogazowni innych niż rolnicze wytwarzających energię elektryczną i ciepło z wysokosprawnej kogeneracji, a także instalacji biomasowych wytwarzających energię elektryczną i ciepło w wysokosprawnej kogeneracji), a także zrównoważone zagospodarowanie zasobów wodnych (tworzenie elektrowni wodnych). Dodatkowo, w opinii projektodawcy, zaproponowane wartości cen referencyjnych w połączeniu z przewidzianymi do sprzedaży w drodze aukcji wolumenami energii elektrycznej z odnawialnych źródeł energii przyczynią się do realizacji zakładanych celów gospodarczych i społecznych, w tym poprzez tworzenie nowych miejsc pracy.</w:t>
      </w:r>
    </w:p>
    <w:p w14:paraId="2E943FDC" w14:textId="0862B42A" w:rsidR="00C057CD" w:rsidRPr="00C057CD" w:rsidRDefault="004B28FD" w:rsidP="00C057C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057CD">
        <w:rPr>
          <w:rFonts w:ascii="Times New Roman" w:eastAsiaTheme="minorEastAsia" w:hAnsi="Times New Roman" w:cs="Times New Roman"/>
        </w:rPr>
        <w:t>Należy w tym miejscu jednocześnie wskazać, że</w:t>
      </w:r>
      <w:r w:rsidRPr="00C057CD">
        <w:rPr>
          <w:rFonts w:ascii="Times New Roman" w:hAnsi="Times New Roman" w:cs="Times New Roman"/>
        </w:rPr>
        <w:t xml:space="preserve"> </w:t>
      </w:r>
      <w:r w:rsidRPr="00C057CD">
        <w:rPr>
          <w:rFonts w:ascii="Times New Roman" w:eastAsiaTheme="minorEastAsia" w:hAnsi="Times New Roman" w:cs="Times New Roman"/>
        </w:rPr>
        <w:t xml:space="preserve">w </w:t>
      </w:r>
      <w:r w:rsidR="00403D94" w:rsidRPr="00C057CD">
        <w:rPr>
          <w:rFonts w:ascii="Times New Roman" w:eastAsiaTheme="minorEastAsia" w:hAnsi="Times New Roman" w:cs="Times New Roman"/>
        </w:rPr>
        <w:t xml:space="preserve">trzech </w:t>
      </w:r>
      <w:r w:rsidRPr="00C057CD">
        <w:rPr>
          <w:rFonts w:ascii="Times New Roman" w:eastAsiaTheme="minorEastAsia" w:hAnsi="Times New Roman" w:cs="Times New Roman"/>
        </w:rPr>
        <w:t>przypadkach zaproponowane wartości cen referencyjnych są tożsame z wartościami cen referencyjnych przyjętych na rok 202</w:t>
      </w:r>
      <w:r w:rsidR="000E1DAD" w:rsidRPr="00C057CD">
        <w:rPr>
          <w:rFonts w:ascii="Times New Roman" w:eastAsiaTheme="minorEastAsia" w:hAnsi="Times New Roman" w:cs="Times New Roman"/>
        </w:rPr>
        <w:t>1</w:t>
      </w:r>
      <w:r w:rsidR="00C057CD" w:rsidRPr="00C057CD">
        <w:rPr>
          <w:rFonts w:ascii="Times New Roman" w:eastAsiaTheme="minorEastAsia" w:hAnsi="Times New Roman" w:cs="Times New Roman"/>
        </w:rPr>
        <w:t>.</w:t>
      </w:r>
      <w:r w:rsidR="000E1DAD" w:rsidRPr="00C057CD">
        <w:rPr>
          <w:rFonts w:ascii="Times New Roman" w:eastAsiaTheme="minorEastAsia" w:hAnsi="Times New Roman" w:cs="Times New Roman"/>
        </w:rPr>
        <w:t xml:space="preserve"> </w:t>
      </w:r>
    </w:p>
    <w:p w14:paraId="0D81B148" w14:textId="1285627A" w:rsidR="004B28FD" w:rsidRPr="00C86819" w:rsidRDefault="004B28FD" w:rsidP="00C057C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057CD">
        <w:rPr>
          <w:rFonts w:ascii="Times New Roman" w:eastAsiaTheme="minorEastAsia" w:hAnsi="Times New Roman" w:cs="Times New Roman"/>
        </w:rPr>
        <w:t>W</w:t>
      </w:r>
      <w:r w:rsidR="001555AB" w:rsidRPr="00C057CD">
        <w:rPr>
          <w:rFonts w:ascii="Times New Roman" w:eastAsiaTheme="minorEastAsia" w:hAnsi="Times New Roman" w:cs="Times New Roman"/>
        </w:rPr>
        <w:t xml:space="preserve"> </w:t>
      </w:r>
      <w:r w:rsidR="00403D94" w:rsidRPr="00C057CD">
        <w:rPr>
          <w:rFonts w:ascii="Times New Roman" w:eastAsiaTheme="minorEastAsia" w:hAnsi="Times New Roman" w:cs="Times New Roman"/>
        </w:rPr>
        <w:t>28</w:t>
      </w:r>
      <w:r w:rsidRPr="00C057CD">
        <w:rPr>
          <w:rFonts w:ascii="Times New Roman" w:eastAsiaTheme="minorEastAsia" w:hAnsi="Times New Roman" w:cs="Times New Roman"/>
        </w:rPr>
        <w:t xml:space="preserve"> przypadkach</w:t>
      </w:r>
      <w:r w:rsidR="001555AB" w:rsidRPr="00C057CD">
        <w:rPr>
          <w:rFonts w:ascii="Times New Roman" w:eastAsiaTheme="minorEastAsia" w:hAnsi="Times New Roman" w:cs="Times New Roman"/>
        </w:rPr>
        <w:t xml:space="preserve">, </w:t>
      </w:r>
      <w:r w:rsidR="00403D94" w:rsidRPr="00C057CD">
        <w:rPr>
          <w:rFonts w:ascii="Times New Roman" w:eastAsiaTheme="minorEastAsia" w:hAnsi="Times New Roman" w:cs="Times New Roman"/>
        </w:rPr>
        <w:t xml:space="preserve">w tym głównie </w:t>
      </w:r>
      <w:r w:rsidR="001555AB" w:rsidRPr="00C057CD">
        <w:rPr>
          <w:rFonts w:ascii="Times New Roman" w:eastAsiaTheme="minorEastAsia" w:hAnsi="Times New Roman" w:cs="Times New Roman"/>
        </w:rPr>
        <w:t>dotyczących instalacji wytwarzania biogazu</w:t>
      </w:r>
      <w:r w:rsidR="00403D94" w:rsidRPr="00C86819">
        <w:rPr>
          <w:rFonts w:ascii="Times New Roman" w:eastAsiaTheme="minorEastAsia" w:hAnsi="Times New Roman" w:cs="Times New Roman"/>
        </w:rPr>
        <w:t xml:space="preserve"> i biomasy</w:t>
      </w:r>
      <w:r w:rsidR="001555AB" w:rsidRPr="00C86819">
        <w:rPr>
          <w:rFonts w:ascii="Times New Roman" w:eastAsiaTheme="minorEastAsia" w:hAnsi="Times New Roman" w:cs="Times New Roman"/>
        </w:rPr>
        <w:t>,</w:t>
      </w:r>
      <w:r w:rsidRPr="00C86819">
        <w:rPr>
          <w:rFonts w:ascii="Times New Roman" w:eastAsiaTheme="minorEastAsia" w:hAnsi="Times New Roman" w:cs="Times New Roman"/>
        </w:rPr>
        <w:t xml:space="preserve"> zdecydowano się podwyższyć ceny referencyjne względem cen wyznaczonych na rok </w:t>
      </w:r>
      <w:r w:rsidR="00481AC5" w:rsidRPr="00C86819">
        <w:rPr>
          <w:rFonts w:ascii="Times New Roman" w:eastAsiaTheme="minorEastAsia" w:hAnsi="Times New Roman" w:cs="Times New Roman"/>
        </w:rPr>
        <w:t>2021</w:t>
      </w:r>
      <w:r w:rsidRPr="00C86819">
        <w:rPr>
          <w:rFonts w:ascii="Times New Roman" w:eastAsiaTheme="minorEastAsia" w:hAnsi="Times New Roman" w:cs="Times New Roman"/>
        </w:rPr>
        <w:t>.</w:t>
      </w:r>
      <w:r w:rsidR="001555AB" w:rsidRPr="00C86819">
        <w:rPr>
          <w:rFonts w:ascii="Times New Roman" w:eastAsiaTheme="minorEastAsia" w:hAnsi="Times New Roman" w:cs="Times New Roman"/>
        </w:rPr>
        <w:t xml:space="preserve"> Jest to związane</w:t>
      </w:r>
      <w:r w:rsidR="006579DB" w:rsidRPr="00C86819">
        <w:rPr>
          <w:rFonts w:ascii="Times New Roman" w:eastAsiaTheme="minorEastAsia" w:hAnsi="Times New Roman" w:cs="Times New Roman"/>
        </w:rPr>
        <w:t xml:space="preserve"> nie tylko z wyższymi kosztami wytwarzania w tych źródłach</w:t>
      </w:r>
      <w:r w:rsidR="00403D94" w:rsidRPr="00C86819">
        <w:rPr>
          <w:rFonts w:ascii="Times New Roman" w:eastAsiaTheme="minorEastAsia" w:hAnsi="Times New Roman" w:cs="Times New Roman"/>
        </w:rPr>
        <w:t xml:space="preserve"> (przede </w:t>
      </w:r>
      <w:r w:rsidR="00481AC5" w:rsidRPr="00C86819">
        <w:rPr>
          <w:rFonts w:ascii="Times New Roman" w:eastAsiaTheme="minorEastAsia" w:hAnsi="Times New Roman" w:cs="Times New Roman"/>
        </w:rPr>
        <w:t>wszystkim</w:t>
      </w:r>
      <w:r w:rsidR="00403D94" w:rsidRPr="00C86819">
        <w:rPr>
          <w:rFonts w:ascii="Times New Roman" w:eastAsiaTheme="minorEastAsia" w:hAnsi="Times New Roman" w:cs="Times New Roman"/>
        </w:rPr>
        <w:t xml:space="preserve"> </w:t>
      </w:r>
      <w:r w:rsidR="00481AC5" w:rsidRPr="00C86819">
        <w:rPr>
          <w:rFonts w:ascii="Times New Roman" w:eastAsiaTheme="minorEastAsia" w:hAnsi="Times New Roman" w:cs="Times New Roman"/>
        </w:rPr>
        <w:t xml:space="preserve">rosnącymi kosztami pracy i usług, a także </w:t>
      </w:r>
      <w:r w:rsidR="00403D94" w:rsidRPr="00C86819">
        <w:rPr>
          <w:rFonts w:ascii="Times New Roman" w:eastAsiaTheme="minorEastAsia" w:hAnsi="Times New Roman" w:cs="Times New Roman"/>
        </w:rPr>
        <w:t>wysokimi kosztami surowca, betonu i stali)</w:t>
      </w:r>
      <w:r w:rsidR="006579DB" w:rsidRPr="00C86819">
        <w:rPr>
          <w:rFonts w:ascii="Times New Roman" w:eastAsiaTheme="minorEastAsia" w:hAnsi="Times New Roman" w:cs="Times New Roman"/>
        </w:rPr>
        <w:t>,</w:t>
      </w:r>
      <w:r w:rsidR="00E07AAD" w:rsidRPr="00C86819">
        <w:rPr>
          <w:rFonts w:ascii="Times New Roman" w:eastAsiaTheme="minorEastAsia" w:hAnsi="Times New Roman" w:cs="Times New Roman"/>
        </w:rPr>
        <w:t xml:space="preserve"> rekordowym na przestrzeni ostatnich lat poziomem inflacji,</w:t>
      </w:r>
      <w:r w:rsidR="006579DB" w:rsidRPr="00C86819">
        <w:rPr>
          <w:rFonts w:ascii="Times New Roman" w:eastAsiaTheme="minorEastAsia" w:hAnsi="Times New Roman" w:cs="Times New Roman"/>
        </w:rPr>
        <w:t xml:space="preserve"> lecz także</w:t>
      </w:r>
      <w:r w:rsidR="001555AB" w:rsidRPr="00C86819">
        <w:rPr>
          <w:rFonts w:ascii="Times New Roman" w:eastAsiaTheme="minorEastAsia" w:hAnsi="Times New Roman" w:cs="Times New Roman"/>
        </w:rPr>
        <w:t xml:space="preserve"> z sytuacją geopolityczną oraz potrzebą pilnego uniezależniania się od dostaw paliw pochodzących z kierunku Europy Wschodniej. W tym celu zdecydowano o skierowaniu do rynku </w:t>
      </w:r>
      <w:r w:rsidR="00481AC5" w:rsidRPr="00C86819">
        <w:rPr>
          <w:rFonts w:ascii="Times New Roman" w:eastAsiaTheme="minorEastAsia" w:hAnsi="Times New Roman" w:cs="Times New Roman"/>
        </w:rPr>
        <w:t xml:space="preserve">silnego </w:t>
      </w:r>
      <w:r w:rsidR="001555AB" w:rsidRPr="00C86819">
        <w:rPr>
          <w:rFonts w:ascii="Times New Roman" w:eastAsiaTheme="minorEastAsia" w:hAnsi="Times New Roman" w:cs="Times New Roman"/>
        </w:rPr>
        <w:t>bodźca inwestycyjnego w postaci zwiększonej ceny referencyjnej</w:t>
      </w:r>
      <w:r w:rsidR="00E07AAD" w:rsidRPr="00C86819">
        <w:rPr>
          <w:rFonts w:ascii="Times New Roman" w:eastAsiaTheme="minorEastAsia" w:hAnsi="Times New Roman" w:cs="Times New Roman"/>
        </w:rPr>
        <w:t>, głównie</w:t>
      </w:r>
      <w:r w:rsidR="006579DB" w:rsidRPr="00C86819">
        <w:rPr>
          <w:rFonts w:ascii="Times New Roman" w:eastAsiaTheme="minorEastAsia" w:hAnsi="Times New Roman" w:cs="Times New Roman"/>
        </w:rPr>
        <w:t xml:space="preserve"> dla wytwórców biogazu</w:t>
      </w:r>
      <w:r w:rsidR="00E07AAD" w:rsidRPr="00C86819">
        <w:rPr>
          <w:rFonts w:ascii="Times New Roman" w:eastAsiaTheme="minorEastAsia" w:hAnsi="Times New Roman" w:cs="Times New Roman"/>
        </w:rPr>
        <w:t xml:space="preserve"> oraz innych źródeł opartych na biomasie</w:t>
      </w:r>
      <w:r w:rsidR="001555AB" w:rsidRPr="00C86819">
        <w:rPr>
          <w:rFonts w:ascii="Times New Roman" w:eastAsiaTheme="minorEastAsia" w:hAnsi="Times New Roman" w:cs="Times New Roman"/>
        </w:rPr>
        <w:t>, która w ocenie projektodawcy zdynamizuje rozwój tego segmentu rynku oze</w:t>
      </w:r>
      <w:r w:rsidR="006579DB" w:rsidRPr="00C86819">
        <w:rPr>
          <w:rFonts w:ascii="Times New Roman" w:eastAsiaTheme="minorEastAsia" w:hAnsi="Times New Roman" w:cs="Times New Roman"/>
        </w:rPr>
        <w:t xml:space="preserve"> i wpłynie na większe zainteresowanie potencjalnych wytwórców finalizacją projektowanych instalacji.</w:t>
      </w:r>
      <w:r w:rsidR="00E07AAD" w:rsidRPr="00C86819">
        <w:rPr>
          <w:rFonts w:ascii="Times New Roman" w:eastAsiaTheme="minorEastAsia" w:hAnsi="Times New Roman" w:cs="Times New Roman"/>
        </w:rPr>
        <w:t xml:space="preserve"> Jest to szczególnie istotne dla potrzeb budowanego w Polsce rynku biometanu, którego rozwój jest kluczowym elementem uniezależniania się od zewnętrznych dostaw gazu.</w:t>
      </w:r>
    </w:p>
    <w:p w14:paraId="20F22011" w14:textId="3F0F7C5E" w:rsidR="001555AB" w:rsidRPr="00C86819" w:rsidRDefault="001555AB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Nie bez znaczenia dla zwiększenia cen refe</w:t>
      </w:r>
      <w:r w:rsidR="00A64E76" w:rsidRPr="00C86819">
        <w:rPr>
          <w:rFonts w:ascii="Times New Roman" w:eastAsiaTheme="minorEastAsia" w:hAnsi="Times New Roman" w:cs="Times New Roman"/>
        </w:rPr>
        <w:t>re</w:t>
      </w:r>
      <w:r w:rsidRPr="00C86819">
        <w:rPr>
          <w:rFonts w:ascii="Times New Roman" w:eastAsiaTheme="minorEastAsia" w:hAnsi="Times New Roman" w:cs="Times New Roman"/>
        </w:rPr>
        <w:t xml:space="preserve">ncyjnych dla biogazu są wnioski Komisji </w:t>
      </w:r>
      <w:r w:rsidR="00A64E76" w:rsidRPr="00C86819">
        <w:rPr>
          <w:rFonts w:ascii="Times New Roman" w:eastAsiaTheme="minorEastAsia" w:hAnsi="Times New Roman" w:cs="Times New Roman"/>
        </w:rPr>
        <w:t>Europejskiej</w:t>
      </w:r>
      <w:r w:rsidRPr="00C86819">
        <w:rPr>
          <w:rFonts w:ascii="Times New Roman" w:eastAsiaTheme="minorEastAsia" w:hAnsi="Times New Roman" w:cs="Times New Roman"/>
        </w:rPr>
        <w:t xml:space="preserve"> zmierzające do </w:t>
      </w:r>
      <w:r w:rsidR="006579DB" w:rsidRPr="00C86819">
        <w:rPr>
          <w:rFonts w:ascii="Times New Roman" w:eastAsiaTheme="minorEastAsia" w:hAnsi="Times New Roman" w:cs="Times New Roman"/>
        </w:rPr>
        <w:t xml:space="preserve">niemal </w:t>
      </w:r>
      <w:r w:rsidRPr="00C86819">
        <w:rPr>
          <w:rFonts w:ascii="Times New Roman" w:eastAsiaTheme="minorEastAsia" w:hAnsi="Times New Roman" w:cs="Times New Roman"/>
        </w:rPr>
        <w:t xml:space="preserve">natychmiastowego zwiększenia produkcji biometanu </w:t>
      </w:r>
      <w:r w:rsidR="00481AC5" w:rsidRPr="00C86819">
        <w:rPr>
          <w:rFonts w:ascii="Times New Roman" w:eastAsiaTheme="minorEastAsia" w:hAnsi="Times New Roman" w:cs="Times New Roman"/>
        </w:rPr>
        <w:t xml:space="preserve">w celu </w:t>
      </w:r>
      <w:r w:rsidR="00675D87" w:rsidRPr="00C86819">
        <w:rPr>
          <w:rFonts w:ascii="Times New Roman" w:eastAsiaTheme="minorEastAsia" w:hAnsi="Times New Roman" w:cs="Times New Roman"/>
        </w:rPr>
        <w:t>osiągnięcia</w:t>
      </w:r>
      <w:r w:rsidR="00481AC5" w:rsidRPr="00C86819">
        <w:rPr>
          <w:rFonts w:ascii="Times New Roman" w:eastAsiaTheme="minorEastAsia" w:hAnsi="Times New Roman" w:cs="Times New Roman"/>
        </w:rPr>
        <w:t xml:space="preserve"> poziomu </w:t>
      </w:r>
      <w:r w:rsidR="00A64E76" w:rsidRPr="00C86819">
        <w:rPr>
          <w:rFonts w:ascii="Times New Roman" w:eastAsiaTheme="minorEastAsia" w:hAnsi="Times New Roman" w:cs="Times New Roman"/>
        </w:rPr>
        <w:t>35 mld m</w:t>
      </w:r>
      <w:r w:rsidR="00A64E76" w:rsidRPr="00C86819">
        <w:rPr>
          <w:rFonts w:ascii="Times New Roman" w:eastAsiaTheme="minorEastAsia" w:hAnsi="Times New Roman" w:cs="Times New Roman"/>
          <w:vertAlign w:val="superscript"/>
        </w:rPr>
        <w:t>3</w:t>
      </w:r>
      <w:r w:rsidR="00A64E76" w:rsidRPr="00C86819">
        <w:rPr>
          <w:rFonts w:ascii="Times New Roman" w:eastAsiaTheme="minorEastAsia" w:hAnsi="Times New Roman" w:cs="Times New Roman"/>
        </w:rPr>
        <w:t xml:space="preserve"> do roku 2030. W tym kontekście rynek biogazu, z którego powstaje biometan, potrzebuje pilnego i silnego impulsu do rozwoju.</w:t>
      </w:r>
      <w:r w:rsidR="006579DB" w:rsidRPr="00C86819">
        <w:rPr>
          <w:rFonts w:ascii="Times New Roman" w:eastAsiaTheme="minorEastAsia" w:hAnsi="Times New Roman" w:cs="Times New Roman"/>
        </w:rPr>
        <w:t xml:space="preserve"> W ocenie projektodawcy kluczowym</w:t>
      </w:r>
      <w:r w:rsidR="0089551A" w:rsidRPr="00C86819">
        <w:rPr>
          <w:rFonts w:ascii="Times New Roman" w:eastAsiaTheme="minorEastAsia" w:hAnsi="Times New Roman" w:cs="Times New Roman"/>
        </w:rPr>
        <w:t xml:space="preserve"> rodzajem sygnału będzie zwiększenie cen referencyjnych dla tego nośnika energii.</w:t>
      </w:r>
    </w:p>
    <w:p w14:paraId="52F17139" w14:textId="4AE27617" w:rsidR="00A64E76" w:rsidRPr="00C86819" w:rsidRDefault="0089551A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Najważniejszym</w:t>
      </w:r>
      <w:r w:rsidR="004B28FD" w:rsidRPr="00C86819">
        <w:rPr>
          <w:rFonts w:ascii="Times New Roman" w:eastAsiaTheme="minorEastAsia" w:hAnsi="Times New Roman" w:cs="Times New Roman"/>
        </w:rPr>
        <w:t xml:space="preserve"> argumentem za </w:t>
      </w:r>
      <w:r w:rsidR="00A64E76" w:rsidRPr="00C86819">
        <w:rPr>
          <w:rFonts w:ascii="Times New Roman" w:eastAsiaTheme="minorEastAsia" w:hAnsi="Times New Roman" w:cs="Times New Roman"/>
        </w:rPr>
        <w:t>utrzymaniem cen referencyjnych dla instalacji PV na poziomie dotychczas obowiązujący</w:t>
      </w:r>
      <w:r w:rsidRPr="00C86819">
        <w:rPr>
          <w:rFonts w:ascii="Times New Roman" w:eastAsiaTheme="minorEastAsia" w:hAnsi="Times New Roman" w:cs="Times New Roman"/>
        </w:rPr>
        <w:t>m</w:t>
      </w:r>
      <w:r w:rsidR="00A64E76" w:rsidRPr="00C86819">
        <w:rPr>
          <w:rFonts w:ascii="Times New Roman" w:eastAsiaTheme="minorEastAsia" w:hAnsi="Times New Roman" w:cs="Times New Roman"/>
        </w:rPr>
        <w:t xml:space="preserve"> są wnioski branży składane w tym zakresie do projektodawcy</w:t>
      </w:r>
      <w:r w:rsidRPr="00C86819">
        <w:rPr>
          <w:rFonts w:ascii="Times New Roman" w:eastAsiaTheme="minorEastAsia" w:hAnsi="Times New Roman" w:cs="Times New Roman"/>
        </w:rPr>
        <w:t xml:space="preserve"> umotywowane znaczącym rozwojem tych technologii, co wpłynęło, mimo zwiększenia poziomu inflacji na zmniejszenie kosztów jej dostępności i wytwarzania</w:t>
      </w:r>
      <w:r w:rsidR="00A64E76" w:rsidRPr="00C86819">
        <w:rPr>
          <w:rFonts w:ascii="Times New Roman" w:eastAsiaTheme="minorEastAsia" w:hAnsi="Times New Roman" w:cs="Times New Roman"/>
        </w:rPr>
        <w:t xml:space="preserve">. </w:t>
      </w:r>
      <w:r w:rsidR="00675D87" w:rsidRPr="00C86819">
        <w:rPr>
          <w:rFonts w:ascii="Times New Roman" w:eastAsiaTheme="minorEastAsia" w:hAnsi="Times New Roman" w:cs="Times New Roman"/>
        </w:rPr>
        <w:t>Argumentem za utrzymaniem poziomów cen dla tej technologii są także wyniki aukcji rozstrzyganych przez Prezesa URE w 2021 r.</w:t>
      </w:r>
    </w:p>
    <w:p w14:paraId="2C2BBD59" w14:textId="4B6D1C05" w:rsidR="001555AB" w:rsidRPr="00C86819" w:rsidRDefault="001555AB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W przypadku instalacji hybrydowych zdecydowano o wyznaczeniu ceny referencyjnej na poziomie 0 zł/MWh. Przesłankami dla takiego postępowania jest brak notyfikacji systemu aukcyjnego dla instalacji hybrydowych</w:t>
      </w:r>
      <w:r w:rsidR="0089551A" w:rsidRPr="00C86819">
        <w:rPr>
          <w:rFonts w:ascii="Times New Roman" w:eastAsiaTheme="minorEastAsia" w:hAnsi="Times New Roman" w:cs="Times New Roman"/>
        </w:rPr>
        <w:t>,</w:t>
      </w:r>
      <w:r w:rsidRPr="00C86819">
        <w:rPr>
          <w:rFonts w:ascii="Times New Roman" w:eastAsiaTheme="minorEastAsia" w:hAnsi="Times New Roman" w:cs="Times New Roman"/>
        </w:rPr>
        <w:t xml:space="preserve"> jak również </w:t>
      </w:r>
      <w:r w:rsidR="0089551A" w:rsidRPr="00C86819">
        <w:rPr>
          <w:rFonts w:ascii="Times New Roman" w:eastAsiaTheme="minorEastAsia" w:hAnsi="Times New Roman" w:cs="Times New Roman"/>
        </w:rPr>
        <w:t xml:space="preserve">głębokie </w:t>
      </w:r>
      <w:r w:rsidRPr="00C86819">
        <w:rPr>
          <w:rFonts w:ascii="Times New Roman" w:eastAsiaTheme="minorEastAsia" w:hAnsi="Times New Roman" w:cs="Times New Roman"/>
        </w:rPr>
        <w:t xml:space="preserve">zmiany w tym obszarze </w:t>
      </w:r>
      <w:r w:rsidR="0089551A" w:rsidRPr="00C86819">
        <w:rPr>
          <w:rFonts w:ascii="Times New Roman" w:eastAsiaTheme="minorEastAsia" w:hAnsi="Times New Roman" w:cs="Times New Roman"/>
        </w:rPr>
        <w:t xml:space="preserve">zaprojektowane i </w:t>
      </w:r>
      <w:r w:rsidRPr="00C86819">
        <w:rPr>
          <w:rFonts w:ascii="Times New Roman" w:eastAsiaTheme="minorEastAsia" w:hAnsi="Times New Roman" w:cs="Times New Roman"/>
        </w:rPr>
        <w:t xml:space="preserve">procedowane </w:t>
      </w:r>
      <w:r w:rsidR="0089551A" w:rsidRPr="00C86819">
        <w:rPr>
          <w:rFonts w:ascii="Times New Roman" w:eastAsiaTheme="minorEastAsia" w:hAnsi="Times New Roman" w:cs="Times New Roman"/>
        </w:rPr>
        <w:t xml:space="preserve">w </w:t>
      </w:r>
      <w:r w:rsidRPr="00C86819">
        <w:rPr>
          <w:rFonts w:ascii="Times New Roman" w:eastAsiaTheme="minorEastAsia" w:hAnsi="Times New Roman" w:cs="Times New Roman"/>
        </w:rPr>
        <w:t>ramach nowelizacji ustawy o odnawialnych źródłach energii (UC99)</w:t>
      </w:r>
      <w:r w:rsidR="0089551A" w:rsidRPr="00C86819">
        <w:rPr>
          <w:rFonts w:ascii="Times New Roman" w:eastAsiaTheme="minorEastAsia" w:hAnsi="Times New Roman" w:cs="Times New Roman"/>
        </w:rPr>
        <w:t>, które planowane są do wejścia w kolejnym roku kalendarzowym.</w:t>
      </w:r>
    </w:p>
    <w:p w14:paraId="4CF7FC52" w14:textId="5359AF83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 xml:space="preserve">W § 3 określono okres obowiązku zakupu energii elektrycznej, o którym mowa w art. 92 ust. 1 ustawy, oraz okres, w którym przysługuje prawo do pokrycia ujemnego salda, zgodnie z art. 92 ust. 5 ustawy, w odniesieniu do energii wytworzonej w instalacjach odnawialnego źródła energii, przysługujące wytwórcom, którzy wygrali aukcję. Okres ten wynosi 15 lat od dnia wytworzenia po raz pierwszy energii elektrycznej w tych instalacjach i jest liczony zgodnie z art. 92 ust. 6 ustawy. </w:t>
      </w:r>
      <w:r w:rsidRPr="00C86819">
        <w:rPr>
          <w:rFonts w:ascii="Times New Roman" w:eastAsiaTheme="minorEastAsia" w:hAnsi="Times New Roman" w:cs="Times New Roman"/>
        </w:rPr>
        <w:lastRenderedPageBreak/>
        <w:t>Przedmiotowy okres został również uwzględniony przy wyliczaniu wysokości ceny referencyjnej</w:t>
      </w:r>
      <w:r w:rsidR="00E07AAD" w:rsidRPr="00C86819">
        <w:rPr>
          <w:rFonts w:ascii="Times New Roman" w:eastAsiaTheme="minorEastAsia" w:hAnsi="Times New Roman" w:cs="Times New Roman"/>
        </w:rPr>
        <w:t>.</w:t>
      </w:r>
    </w:p>
    <w:p w14:paraId="6097AE34" w14:textId="33D8D012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 xml:space="preserve">W § 4 niniejszego projektu, zgodnie z art. 4 ust. </w:t>
      </w:r>
      <w:r w:rsidR="001C0A15" w:rsidRPr="00C86819">
        <w:rPr>
          <w:rFonts w:ascii="Times New Roman" w:eastAsiaTheme="minorEastAsia" w:hAnsi="Times New Roman" w:cs="Times New Roman"/>
        </w:rPr>
        <w:t xml:space="preserve">1 </w:t>
      </w:r>
      <w:r w:rsidRPr="00C86819">
        <w:rPr>
          <w:rFonts w:ascii="Times New Roman" w:eastAsiaTheme="minorEastAsia" w:hAnsi="Times New Roman" w:cs="Times New Roman"/>
        </w:rPr>
        <w:t>ustawy z dnia 20 lipca 2000 r.</w:t>
      </w:r>
      <w:r w:rsidRPr="00C86819">
        <w:rPr>
          <w:rFonts w:ascii="Times New Roman" w:eastAsiaTheme="minorEastAsia" w:hAnsi="Times New Roman" w:cs="Times New Roman"/>
        </w:rPr>
        <w:br/>
        <w:t xml:space="preserve">o ogłaszaniu aktów normatywnych oraz niektórych innych aktów prawnych (Dz. U. z 2019 r. poz. 1461) określono, że rozporządzenie wchodzi w życie </w:t>
      </w:r>
      <w:r w:rsidR="001C0A15" w:rsidRPr="00C86819">
        <w:rPr>
          <w:rFonts w:ascii="Times New Roman" w:eastAsiaTheme="minorEastAsia" w:hAnsi="Times New Roman" w:cs="Times New Roman"/>
        </w:rPr>
        <w:t xml:space="preserve">po upływie 14 </w:t>
      </w:r>
      <w:r w:rsidRPr="00C86819">
        <w:rPr>
          <w:rFonts w:ascii="Times New Roman" w:eastAsiaTheme="minorEastAsia" w:hAnsi="Times New Roman" w:cs="Times New Roman"/>
        </w:rPr>
        <w:t xml:space="preserve">dni </w:t>
      </w:r>
      <w:r w:rsidR="001C0A15" w:rsidRPr="00C86819">
        <w:rPr>
          <w:rFonts w:ascii="Times New Roman" w:eastAsiaTheme="minorEastAsia" w:hAnsi="Times New Roman" w:cs="Times New Roman"/>
        </w:rPr>
        <w:t>od</w:t>
      </w:r>
      <w:r w:rsidRPr="00C86819">
        <w:rPr>
          <w:rFonts w:ascii="Times New Roman" w:eastAsiaTheme="minorEastAsia" w:hAnsi="Times New Roman" w:cs="Times New Roman"/>
        </w:rPr>
        <w:t xml:space="preserve"> </w:t>
      </w:r>
      <w:r w:rsidR="001C0A15" w:rsidRPr="00C86819">
        <w:rPr>
          <w:rFonts w:ascii="Times New Roman" w:eastAsiaTheme="minorEastAsia" w:hAnsi="Times New Roman" w:cs="Times New Roman"/>
        </w:rPr>
        <w:t xml:space="preserve">dnia </w:t>
      </w:r>
      <w:r w:rsidRPr="00C86819">
        <w:rPr>
          <w:rFonts w:ascii="Times New Roman" w:eastAsiaTheme="minorEastAsia" w:hAnsi="Times New Roman" w:cs="Times New Roman"/>
        </w:rPr>
        <w:t>ogłoszenia.</w:t>
      </w:r>
      <w:r w:rsidRPr="00C86819">
        <w:rPr>
          <w:rFonts w:ascii="Times New Roman" w:hAnsi="Times New Roman" w:cs="Times New Roman"/>
        </w:rPr>
        <w:t xml:space="preserve"> Powyższ</w:t>
      </w:r>
      <w:r w:rsidR="001C0A15" w:rsidRPr="00C86819">
        <w:rPr>
          <w:rFonts w:ascii="Times New Roman" w:hAnsi="Times New Roman" w:cs="Times New Roman"/>
        </w:rPr>
        <w:t xml:space="preserve">y termin umożliwi </w:t>
      </w:r>
      <w:r w:rsidR="007355D2" w:rsidRPr="00C86819">
        <w:rPr>
          <w:rFonts w:ascii="Times New Roman" w:hAnsi="Times New Roman" w:cs="Times New Roman"/>
        </w:rPr>
        <w:t>wytwórcom</w:t>
      </w:r>
      <w:r w:rsidR="00C86819">
        <w:rPr>
          <w:rFonts w:ascii="Times New Roman" w:hAnsi="Times New Roman" w:cs="Times New Roman"/>
        </w:rPr>
        <w:t>,</w:t>
      </w:r>
      <w:r w:rsidR="007355D2" w:rsidRPr="00C86819">
        <w:rPr>
          <w:rFonts w:ascii="Times New Roman" w:hAnsi="Times New Roman" w:cs="Times New Roman"/>
        </w:rPr>
        <w:t xml:space="preserve"> jak i Prezesowi URE odpowiednie przygotowanie do </w:t>
      </w:r>
      <w:r w:rsidR="00A61FFE" w:rsidRPr="00C86819">
        <w:rPr>
          <w:rFonts w:ascii="Times New Roman" w:eastAsiaTheme="minorEastAsia" w:hAnsi="Times New Roman" w:cs="Times New Roman"/>
        </w:rPr>
        <w:t xml:space="preserve">przeprowadzenia </w:t>
      </w:r>
      <w:r w:rsidRPr="00C86819">
        <w:rPr>
          <w:rFonts w:ascii="Times New Roman" w:eastAsiaTheme="minorEastAsia" w:hAnsi="Times New Roman" w:cs="Times New Roman"/>
        </w:rPr>
        <w:t>aukcji,</w:t>
      </w:r>
      <w:r w:rsidR="007355D2" w:rsidRPr="00C86819">
        <w:rPr>
          <w:rFonts w:ascii="Times New Roman" w:eastAsiaTheme="minorEastAsia" w:hAnsi="Times New Roman" w:cs="Times New Roman"/>
        </w:rPr>
        <w:t xml:space="preserve"> oraz stosowania nowych stawek taryf FIT/FIP</w:t>
      </w:r>
      <w:r w:rsidRPr="00C86819">
        <w:rPr>
          <w:rFonts w:ascii="Times New Roman" w:eastAsiaTheme="minorEastAsia" w:hAnsi="Times New Roman" w:cs="Times New Roman"/>
        </w:rPr>
        <w:t>.</w:t>
      </w:r>
    </w:p>
    <w:p w14:paraId="49627DE4" w14:textId="1D489837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Projekt przedmiotowej regulacji z chwilą przekazania do uzgodnień międzyresortowych został udostępniony w Biuletynie Informacji Publicznej na stronie podmiotowej Rządowego Centrum Legislacji, w serwisie Rządowy Proces Legislacyjny, zgodnie z ustawą z dnia 7 lipca 2005 o działalności lobbingowej w procesie stosowania prawa (Dz. U. z 2017 r. poz. 248) oraz § 52 ust. 1 uchwały nr 190 Rady Ministrów z dnia 29 października 2013 r. – Regulamin pracy Rady Ministrów (M. P. z 20</w:t>
      </w:r>
      <w:r w:rsidR="00E24EDF" w:rsidRPr="00C86819">
        <w:rPr>
          <w:rFonts w:ascii="Times New Roman" w:eastAsiaTheme="minorEastAsia" w:hAnsi="Times New Roman" w:cs="Times New Roman"/>
        </w:rPr>
        <w:t>22</w:t>
      </w:r>
      <w:r w:rsidRPr="00C86819">
        <w:rPr>
          <w:rFonts w:ascii="Times New Roman" w:eastAsiaTheme="minorEastAsia" w:hAnsi="Times New Roman" w:cs="Times New Roman"/>
        </w:rPr>
        <w:t xml:space="preserve"> r. poz. </w:t>
      </w:r>
      <w:r w:rsidR="00E24EDF" w:rsidRPr="00C86819">
        <w:rPr>
          <w:rFonts w:ascii="Times New Roman" w:eastAsiaTheme="minorEastAsia" w:hAnsi="Times New Roman" w:cs="Times New Roman"/>
        </w:rPr>
        <w:t>348</w:t>
      </w:r>
      <w:r w:rsidRPr="00C86819">
        <w:rPr>
          <w:rFonts w:ascii="Times New Roman" w:eastAsiaTheme="minorEastAsia" w:hAnsi="Times New Roman" w:cs="Times New Roman"/>
        </w:rPr>
        <w:t>).</w:t>
      </w:r>
    </w:p>
    <w:p w14:paraId="62847C20" w14:textId="77777777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Projekt nie wywiera wpływu na mikro i małych przedsiębiorców.</w:t>
      </w:r>
    </w:p>
    <w:p w14:paraId="0F9AD1D6" w14:textId="77777777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Projekt rozporządzenia nie jest sprzeczny z przepisami Unii Europejskiej.</w:t>
      </w:r>
    </w:p>
    <w:p w14:paraId="4170BC09" w14:textId="0199B191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 xml:space="preserve">Projekt rozporządzenia nie podlega procedurze notyfikacji w rozumieniu przepisów rozporządzenia Rady Ministrów z dnia 23 grudnia 2002 r. w sprawie sposobu funkcjonowania krajowego systemu notyfikacji norm i aktów prawnych (Dz. U. z 2002 r. poz. 2039 oraz z 2004 r. </w:t>
      </w:r>
      <w:r w:rsidR="00B32ECE" w:rsidRPr="00C86819">
        <w:rPr>
          <w:rFonts w:ascii="Times New Roman" w:eastAsiaTheme="minorEastAsia" w:hAnsi="Times New Roman" w:cs="Times New Roman"/>
        </w:rPr>
        <w:t xml:space="preserve">nr 65 </w:t>
      </w:r>
      <w:r w:rsidRPr="00C86819">
        <w:rPr>
          <w:rFonts w:ascii="Times New Roman" w:eastAsiaTheme="minorEastAsia" w:hAnsi="Times New Roman" w:cs="Times New Roman"/>
        </w:rPr>
        <w:t>poz. 597).</w:t>
      </w:r>
    </w:p>
    <w:p w14:paraId="1CEA6F14" w14:textId="3B8F8F03" w:rsidR="004B28FD" w:rsidRPr="00C86819" w:rsidRDefault="004B28FD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  <w:r w:rsidRPr="00C86819">
        <w:rPr>
          <w:rFonts w:ascii="Times New Roman" w:eastAsiaTheme="minorEastAsia" w:hAnsi="Times New Roman" w:cs="Times New Roman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0D6E3764" w14:textId="3888E6F0" w:rsidR="00E20D39" w:rsidRPr="00C86819" w:rsidRDefault="00E20D39" w:rsidP="00C868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</w:rPr>
      </w:pPr>
    </w:p>
    <w:p w14:paraId="15824137" w14:textId="77777777" w:rsidR="0022772C" w:rsidRPr="00C86819" w:rsidRDefault="004D5ED5" w:rsidP="00C86819">
      <w:pPr>
        <w:spacing w:after="120"/>
        <w:rPr>
          <w:rFonts w:ascii="Times New Roman" w:hAnsi="Times New Roman" w:cs="Times New Roman"/>
        </w:rPr>
      </w:pPr>
    </w:p>
    <w:sectPr w:rsidR="0022772C" w:rsidRPr="00C86819" w:rsidSect="00970614">
      <w:footerReference w:type="default" r:id="rId9"/>
      <w:headerReference w:type="first" r:id="rId10"/>
      <w:pgSz w:w="11906" w:h="16838"/>
      <w:pgMar w:top="1417" w:right="1417" w:bottom="1417" w:left="1418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5E789" w14:textId="77777777" w:rsidR="004D5ED5" w:rsidRDefault="004D5ED5">
      <w:pPr>
        <w:spacing w:after="0" w:line="240" w:lineRule="auto"/>
      </w:pPr>
      <w:r>
        <w:separator/>
      </w:r>
    </w:p>
  </w:endnote>
  <w:endnote w:type="continuationSeparator" w:id="0">
    <w:p w14:paraId="044CCB3E" w14:textId="77777777" w:rsidR="004D5ED5" w:rsidRDefault="004D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1019" w14:textId="77777777" w:rsidR="00093A11" w:rsidRDefault="003579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833">
      <w:rPr>
        <w:noProof/>
      </w:rPr>
      <w:t>2</w:t>
    </w:r>
    <w:r>
      <w:fldChar w:fldCharType="end"/>
    </w:r>
  </w:p>
  <w:p w14:paraId="46AE7F1A" w14:textId="77777777" w:rsidR="00093A11" w:rsidRDefault="004D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D19A" w14:textId="77777777" w:rsidR="004D5ED5" w:rsidRDefault="004D5ED5">
      <w:pPr>
        <w:spacing w:after="0" w:line="240" w:lineRule="auto"/>
      </w:pPr>
      <w:r>
        <w:separator/>
      </w:r>
    </w:p>
  </w:footnote>
  <w:footnote w:type="continuationSeparator" w:id="0">
    <w:p w14:paraId="2BDD8F8D" w14:textId="77777777" w:rsidR="004D5ED5" w:rsidRDefault="004D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999CE" w14:textId="77777777" w:rsidR="00FE7408" w:rsidRPr="00FE7408" w:rsidRDefault="004D5ED5" w:rsidP="00970614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</w:rPr>
    </w:pPr>
  </w:p>
  <w:p w14:paraId="544E643A" w14:textId="09C84290" w:rsidR="00ED7571" w:rsidRPr="00FE7408" w:rsidRDefault="003579C0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color w:val="0D0D0D" w:themeColor="text1" w:themeTint="F2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41F6F0E4">
      <w:start w:val="1"/>
      <w:numFmt w:val="decimal"/>
      <w:lvlText w:val="%1."/>
      <w:lvlJc w:val="left"/>
      <w:pPr>
        <w:ind w:left="1440" w:hanging="360"/>
      </w:pPr>
    </w:lvl>
    <w:lvl w:ilvl="1" w:tplc="ED72D59C" w:tentative="1">
      <w:start w:val="1"/>
      <w:numFmt w:val="lowerLetter"/>
      <w:lvlText w:val="%2."/>
      <w:lvlJc w:val="left"/>
      <w:pPr>
        <w:ind w:left="2160" w:hanging="360"/>
      </w:pPr>
    </w:lvl>
    <w:lvl w:ilvl="2" w:tplc="41408D06" w:tentative="1">
      <w:start w:val="1"/>
      <w:numFmt w:val="lowerRoman"/>
      <w:lvlText w:val="%3."/>
      <w:lvlJc w:val="right"/>
      <w:pPr>
        <w:ind w:left="2880" w:hanging="180"/>
      </w:pPr>
    </w:lvl>
    <w:lvl w:ilvl="3" w:tplc="BCA0E18C" w:tentative="1">
      <w:start w:val="1"/>
      <w:numFmt w:val="decimal"/>
      <w:lvlText w:val="%4."/>
      <w:lvlJc w:val="left"/>
      <w:pPr>
        <w:ind w:left="3600" w:hanging="360"/>
      </w:pPr>
    </w:lvl>
    <w:lvl w:ilvl="4" w:tplc="6074E01C" w:tentative="1">
      <w:start w:val="1"/>
      <w:numFmt w:val="lowerLetter"/>
      <w:lvlText w:val="%5."/>
      <w:lvlJc w:val="left"/>
      <w:pPr>
        <w:ind w:left="4320" w:hanging="360"/>
      </w:pPr>
    </w:lvl>
    <w:lvl w:ilvl="5" w:tplc="238E7DB2" w:tentative="1">
      <w:start w:val="1"/>
      <w:numFmt w:val="lowerRoman"/>
      <w:lvlText w:val="%6."/>
      <w:lvlJc w:val="right"/>
      <w:pPr>
        <w:ind w:left="5040" w:hanging="180"/>
      </w:pPr>
    </w:lvl>
    <w:lvl w:ilvl="6" w:tplc="773E1856" w:tentative="1">
      <w:start w:val="1"/>
      <w:numFmt w:val="decimal"/>
      <w:lvlText w:val="%7."/>
      <w:lvlJc w:val="left"/>
      <w:pPr>
        <w:ind w:left="5760" w:hanging="360"/>
      </w:pPr>
    </w:lvl>
    <w:lvl w:ilvl="7" w:tplc="1D2A1F22" w:tentative="1">
      <w:start w:val="1"/>
      <w:numFmt w:val="lowerLetter"/>
      <w:lvlText w:val="%8."/>
      <w:lvlJc w:val="left"/>
      <w:pPr>
        <w:ind w:left="6480" w:hanging="360"/>
      </w:pPr>
    </w:lvl>
    <w:lvl w:ilvl="8" w:tplc="C9E86C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F49CB"/>
    <w:multiLevelType w:val="hybridMultilevel"/>
    <w:tmpl w:val="733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812"/>
    <w:multiLevelType w:val="hybridMultilevel"/>
    <w:tmpl w:val="963C0A2A"/>
    <w:lvl w:ilvl="0" w:tplc="A914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4C45E" w:tentative="1">
      <w:start w:val="1"/>
      <w:numFmt w:val="lowerLetter"/>
      <w:lvlText w:val="%2."/>
      <w:lvlJc w:val="left"/>
      <w:pPr>
        <w:ind w:left="1440" w:hanging="360"/>
      </w:pPr>
    </w:lvl>
    <w:lvl w:ilvl="2" w:tplc="02AA9B14" w:tentative="1">
      <w:start w:val="1"/>
      <w:numFmt w:val="lowerRoman"/>
      <w:lvlText w:val="%3."/>
      <w:lvlJc w:val="right"/>
      <w:pPr>
        <w:ind w:left="2160" w:hanging="180"/>
      </w:pPr>
    </w:lvl>
    <w:lvl w:ilvl="3" w:tplc="D80AB0EA" w:tentative="1">
      <w:start w:val="1"/>
      <w:numFmt w:val="decimal"/>
      <w:lvlText w:val="%4."/>
      <w:lvlJc w:val="left"/>
      <w:pPr>
        <w:ind w:left="2880" w:hanging="360"/>
      </w:pPr>
    </w:lvl>
    <w:lvl w:ilvl="4" w:tplc="B75CC0BE" w:tentative="1">
      <w:start w:val="1"/>
      <w:numFmt w:val="lowerLetter"/>
      <w:lvlText w:val="%5."/>
      <w:lvlJc w:val="left"/>
      <w:pPr>
        <w:ind w:left="3600" w:hanging="360"/>
      </w:pPr>
    </w:lvl>
    <w:lvl w:ilvl="5" w:tplc="E968F672" w:tentative="1">
      <w:start w:val="1"/>
      <w:numFmt w:val="lowerRoman"/>
      <w:lvlText w:val="%6."/>
      <w:lvlJc w:val="right"/>
      <w:pPr>
        <w:ind w:left="4320" w:hanging="180"/>
      </w:pPr>
    </w:lvl>
    <w:lvl w:ilvl="6" w:tplc="22B247F6" w:tentative="1">
      <w:start w:val="1"/>
      <w:numFmt w:val="decimal"/>
      <w:lvlText w:val="%7."/>
      <w:lvlJc w:val="left"/>
      <w:pPr>
        <w:ind w:left="5040" w:hanging="360"/>
      </w:pPr>
    </w:lvl>
    <w:lvl w:ilvl="7" w:tplc="00D446F4" w:tentative="1">
      <w:start w:val="1"/>
      <w:numFmt w:val="lowerLetter"/>
      <w:lvlText w:val="%8."/>
      <w:lvlJc w:val="left"/>
      <w:pPr>
        <w:ind w:left="5760" w:hanging="360"/>
      </w:pPr>
    </w:lvl>
    <w:lvl w:ilvl="8" w:tplc="89782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010"/>
    <w:multiLevelType w:val="hybridMultilevel"/>
    <w:tmpl w:val="905A65B0"/>
    <w:lvl w:ilvl="0" w:tplc="74A68300">
      <w:start w:val="1"/>
      <w:numFmt w:val="decimal"/>
      <w:lvlText w:val="%1."/>
      <w:lvlJc w:val="left"/>
      <w:pPr>
        <w:ind w:left="2421" w:hanging="360"/>
      </w:pPr>
    </w:lvl>
    <w:lvl w:ilvl="1" w:tplc="FD1CB7A2" w:tentative="1">
      <w:start w:val="1"/>
      <w:numFmt w:val="lowerLetter"/>
      <w:lvlText w:val="%2."/>
      <w:lvlJc w:val="left"/>
      <w:pPr>
        <w:ind w:left="3141" w:hanging="360"/>
      </w:pPr>
    </w:lvl>
    <w:lvl w:ilvl="2" w:tplc="66BA540C" w:tentative="1">
      <w:start w:val="1"/>
      <w:numFmt w:val="lowerRoman"/>
      <w:lvlText w:val="%3."/>
      <w:lvlJc w:val="right"/>
      <w:pPr>
        <w:ind w:left="3861" w:hanging="180"/>
      </w:pPr>
    </w:lvl>
    <w:lvl w:ilvl="3" w:tplc="B754831C" w:tentative="1">
      <w:start w:val="1"/>
      <w:numFmt w:val="decimal"/>
      <w:lvlText w:val="%4."/>
      <w:lvlJc w:val="left"/>
      <w:pPr>
        <w:ind w:left="4581" w:hanging="360"/>
      </w:pPr>
    </w:lvl>
    <w:lvl w:ilvl="4" w:tplc="4624513C" w:tentative="1">
      <w:start w:val="1"/>
      <w:numFmt w:val="lowerLetter"/>
      <w:lvlText w:val="%5."/>
      <w:lvlJc w:val="left"/>
      <w:pPr>
        <w:ind w:left="5301" w:hanging="360"/>
      </w:pPr>
    </w:lvl>
    <w:lvl w:ilvl="5" w:tplc="ECB8DF44" w:tentative="1">
      <w:start w:val="1"/>
      <w:numFmt w:val="lowerRoman"/>
      <w:lvlText w:val="%6."/>
      <w:lvlJc w:val="right"/>
      <w:pPr>
        <w:ind w:left="6021" w:hanging="180"/>
      </w:pPr>
    </w:lvl>
    <w:lvl w:ilvl="6" w:tplc="BA14369E" w:tentative="1">
      <w:start w:val="1"/>
      <w:numFmt w:val="decimal"/>
      <w:lvlText w:val="%7."/>
      <w:lvlJc w:val="left"/>
      <w:pPr>
        <w:ind w:left="6741" w:hanging="360"/>
      </w:pPr>
    </w:lvl>
    <w:lvl w:ilvl="7" w:tplc="A8845782" w:tentative="1">
      <w:start w:val="1"/>
      <w:numFmt w:val="lowerLetter"/>
      <w:lvlText w:val="%8."/>
      <w:lvlJc w:val="left"/>
      <w:pPr>
        <w:ind w:left="7461" w:hanging="360"/>
      </w:pPr>
    </w:lvl>
    <w:lvl w:ilvl="8" w:tplc="AEE403B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F1B053C"/>
    <w:multiLevelType w:val="hybridMultilevel"/>
    <w:tmpl w:val="0E06476A"/>
    <w:lvl w:ilvl="0" w:tplc="E4C27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7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CB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7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6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88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C7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A5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2F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808C7"/>
    <w:multiLevelType w:val="hybridMultilevel"/>
    <w:tmpl w:val="01A21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2B54"/>
    <w:multiLevelType w:val="hybridMultilevel"/>
    <w:tmpl w:val="FA68349E"/>
    <w:lvl w:ilvl="0" w:tplc="823E0E94">
      <w:start w:val="1"/>
      <w:numFmt w:val="decimal"/>
      <w:lvlText w:val="%1."/>
      <w:lvlJc w:val="left"/>
      <w:pPr>
        <w:ind w:left="720" w:hanging="360"/>
      </w:pPr>
    </w:lvl>
    <w:lvl w:ilvl="1" w:tplc="AF3E8FA0" w:tentative="1">
      <w:start w:val="1"/>
      <w:numFmt w:val="lowerLetter"/>
      <w:lvlText w:val="%2."/>
      <w:lvlJc w:val="left"/>
      <w:pPr>
        <w:ind w:left="1440" w:hanging="360"/>
      </w:pPr>
    </w:lvl>
    <w:lvl w:ilvl="2" w:tplc="7F28A7F6" w:tentative="1">
      <w:start w:val="1"/>
      <w:numFmt w:val="lowerRoman"/>
      <w:lvlText w:val="%3."/>
      <w:lvlJc w:val="right"/>
      <w:pPr>
        <w:ind w:left="2160" w:hanging="180"/>
      </w:pPr>
    </w:lvl>
    <w:lvl w:ilvl="3" w:tplc="163AF4E2" w:tentative="1">
      <w:start w:val="1"/>
      <w:numFmt w:val="decimal"/>
      <w:lvlText w:val="%4."/>
      <w:lvlJc w:val="left"/>
      <w:pPr>
        <w:ind w:left="2880" w:hanging="360"/>
      </w:pPr>
    </w:lvl>
    <w:lvl w:ilvl="4" w:tplc="07246830" w:tentative="1">
      <w:start w:val="1"/>
      <w:numFmt w:val="lowerLetter"/>
      <w:lvlText w:val="%5."/>
      <w:lvlJc w:val="left"/>
      <w:pPr>
        <w:ind w:left="3600" w:hanging="360"/>
      </w:pPr>
    </w:lvl>
    <w:lvl w:ilvl="5" w:tplc="9306CB6C" w:tentative="1">
      <w:start w:val="1"/>
      <w:numFmt w:val="lowerRoman"/>
      <w:lvlText w:val="%6."/>
      <w:lvlJc w:val="right"/>
      <w:pPr>
        <w:ind w:left="4320" w:hanging="180"/>
      </w:pPr>
    </w:lvl>
    <w:lvl w:ilvl="6" w:tplc="8758AE0A" w:tentative="1">
      <w:start w:val="1"/>
      <w:numFmt w:val="decimal"/>
      <w:lvlText w:val="%7."/>
      <w:lvlJc w:val="left"/>
      <w:pPr>
        <w:ind w:left="5040" w:hanging="360"/>
      </w:pPr>
    </w:lvl>
    <w:lvl w:ilvl="7" w:tplc="64C2FA62" w:tentative="1">
      <w:start w:val="1"/>
      <w:numFmt w:val="lowerLetter"/>
      <w:lvlText w:val="%8."/>
      <w:lvlJc w:val="left"/>
      <w:pPr>
        <w:ind w:left="5760" w:hanging="360"/>
      </w:pPr>
    </w:lvl>
    <w:lvl w:ilvl="8" w:tplc="3CBE9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35B3D"/>
    <w:multiLevelType w:val="hybridMultilevel"/>
    <w:tmpl w:val="1D743876"/>
    <w:lvl w:ilvl="0" w:tplc="C1381D10">
      <w:start w:val="1"/>
      <w:numFmt w:val="decimal"/>
      <w:lvlText w:val="%1."/>
      <w:lvlJc w:val="left"/>
      <w:pPr>
        <w:ind w:left="1440" w:hanging="360"/>
      </w:pPr>
    </w:lvl>
    <w:lvl w:ilvl="1" w:tplc="5EE4C358" w:tentative="1">
      <w:start w:val="1"/>
      <w:numFmt w:val="lowerLetter"/>
      <w:lvlText w:val="%2."/>
      <w:lvlJc w:val="left"/>
      <w:pPr>
        <w:ind w:left="2160" w:hanging="360"/>
      </w:pPr>
    </w:lvl>
    <w:lvl w:ilvl="2" w:tplc="77F221B0" w:tentative="1">
      <w:start w:val="1"/>
      <w:numFmt w:val="lowerRoman"/>
      <w:lvlText w:val="%3."/>
      <w:lvlJc w:val="right"/>
      <w:pPr>
        <w:ind w:left="2880" w:hanging="180"/>
      </w:pPr>
    </w:lvl>
    <w:lvl w:ilvl="3" w:tplc="DB56131A" w:tentative="1">
      <w:start w:val="1"/>
      <w:numFmt w:val="decimal"/>
      <w:lvlText w:val="%4."/>
      <w:lvlJc w:val="left"/>
      <w:pPr>
        <w:ind w:left="3600" w:hanging="360"/>
      </w:pPr>
    </w:lvl>
    <w:lvl w:ilvl="4" w:tplc="2708D2A2" w:tentative="1">
      <w:start w:val="1"/>
      <w:numFmt w:val="lowerLetter"/>
      <w:lvlText w:val="%5."/>
      <w:lvlJc w:val="left"/>
      <w:pPr>
        <w:ind w:left="4320" w:hanging="360"/>
      </w:pPr>
    </w:lvl>
    <w:lvl w:ilvl="5" w:tplc="17F47526" w:tentative="1">
      <w:start w:val="1"/>
      <w:numFmt w:val="lowerRoman"/>
      <w:lvlText w:val="%6."/>
      <w:lvlJc w:val="right"/>
      <w:pPr>
        <w:ind w:left="5040" w:hanging="180"/>
      </w:pPr>
    </w:lvl>
    <w:lvl w:ilvl="6" w:tplc="983E27A0" w:tentative="1">
      <w:start w:val="1"/>
      <w:numFmt w:val="decimal"/>
      <w:lvlText w:val="%7."/>
      <w:lvlJc w:val="left"/>
      <w:pPr>
        <w:ind w:left="5760" w:hanging="360"/>
      </w:pPr>
    </w:lvl>
    <w:lvl w:ilvl="7" w:tplc="AC8E570A" w:tentative="1">
      <w:start w:val="1"/>
      <w:numFmt w:val="lowerLetter"/>
      <w:lvlText w:val="%8."/>
      <w:lvlJc w:val="left"/>
      <w:pPr>
        <w:ind w:left="6480" w:hanging="360"/>
      </w:pPr>
    </w:lvl>
    <w:lvl w:ilvl="8" w:tplc="6F8A8D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150F"/>
    <w:multiLevelType w:val="hybridMultilevel"/>
    <w:tmpl w:val="503ED2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C87C67"/>
    <w:multiLevelType w:val="hybridMultilevel"/>
    <w:tmpl w:val="98429E0E"/>
    <w:lvl w:ilvl="0" w:tplc="BD1688A6">
      <w:start w:val="1"/>
      <w:numFmt w:val="decimal"/>
      <w:lvlText w:val="%1."/>
      <w:lvlJc w:val="left"/>
      <w:pPr>
        <w:ind w:left="1440" w:hanging="360"/>
      </w:pPr>
    </w:lvl>
    <w:lvl w:ilvl="1" w:tplc="D1DC73BC" w:tentative="1">
      <w:start w:val="1"/>
      <w:numFmt w:val="lowerLetter"/>
      <w:lvlText w:val="%2."/>
      <w:lvlJc w:val="left"/>
      <w:pPr>
        <w:ind w:left="2160" w:hanging="360"/>
      </w:pPr>
    </w:lvl>
    <w:lvl w:ilvl="2" w:tplc="9594F81E" w:tentative="1">
      <w:start w:val="1"/>
      <w:numFmt w:val="lowerRoman"/>
      <w:lvlText w:val="%3."/>
      <w:lvlJc w:val="right"/>
      <w:pPr>
        <w:ind w:left="2880" w:hanging="180"/>
      </w:pPr>
    </w:lvl>
    <w:lvl w:ilvl="3" w:tplc="562C2A54" w:tentative="1">
      <w:start w:val="1"/>
      <w:numFmt w:val="decimal"/>
      <w:lvlText w:val="%4."/>
      <w:lvlJc w:val="left"/>
      <w:pPr>
        <w:ind w:left="3600" w:hanging="360"/>
      </w:pPr>
    </w:lvl>
    <w:lvl w:ilvl="4" w:tplc="243C5ED0" w:tentative="1">
      <w:start w:val="1"/>
      <w:numFmt w:val="lowerLetter"/>
      <w:lvlText w:val="%5."/>
      <w:lvlJc w:val="left"/>
      <w:pPr>
        <w:ind w:left="4320" w:hanging="360"/>
      </w:pPr>
    </w:lvl>
    <w:lvl w:ilvl="5" w:tplc="A5D67944" w:tentative="1">
      <w:start w:val="1"/>
      <w:numFmt w:val="lowerRoman"/>
      <w:lvlText w:val="%6."/>
      <w:lvlJc w:val="right"/>
      <w:pPr>
        <w:ind w:left="5040" w:hanging="180"/>
      </w:pPr>
    </w:lvl>
    <w:lvl w:ilvl="6" w:tplc="BB4A819A" w:tentative="1">
      <w:start w:val="1"/>
      <w:numFmt w:val="decimal"/>
      <w:lvlText w:val="%7."/>
      <w:lvlJc w:val="left"/>
      <w:pPr>
        <w:ind w:left="5760" w:hanging="360"/>
      </w:pPr>
    </w:lvl>
    <w:lvl w:ilvl="7" w:tplc="51C6A026" w:tentative="1">
      <w:start w:val="1"/>
      <w:numFmt w:val="lowerLetter"/>
      <w:lvlText w:val="%8."/>
      <w:lvlJc w:val="left"/>
      <w:pPr>
        <w:ind w:left="6480" w:hanging="360"/>
      </w:pPr>
    </w:lvl>
    <w:lvl w:ilvl="8" w:tplc="3D3222A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D"/>
    <w:rsid w:val="00020D9A"/>
    <w:rsid w:val="000E1DAD"/>
    <w:rsid w:val="000E28BA"/>
    <w:rsid w:val="00146746"/>
    <w:rsid w:val="001555AB"/>
    <w:rsid w:val="00167EE5"/>
    <w:rsid w:val="001B58AD"/>
    <w:rsid w:val="001C0A15"/>
    <w:rsid w:val="001C1FC5"/>
    <w:rsid w:val="001D0B84"/>
    <w:rsid w:val="001D3BA3"/>
    <w:rsid w:val="001E348A"/>
    <w:rsid w:val="001E7AFC"/>
    <w:rsid w:val="001F31C8"/>
    <w:rsid w:val="00216B42"/>
    <w:rsid w:val="00216BC9"/>
    <w:rsid w:val="00242694"/>
    <w:rsid w:val="002A4D53"/>
    <w:rsid w:val="002E76A7"/>
    <w:rsid w:val="00346407"/>
    <w:rsid w:val="003579C0"/>
    <w:rsid w:val="00363072"/>
    <w:rsid w:val="003C0FD0"/>
    <w:rsid w:val="003E61EA"/>
    <w:rsid w:val="00403D94"/>
    <w:rsid w:val="0046142A"/>
    <w:rsid w:val="004774C6"/>
    <w:rsid w:val="00481AC5"/>
    <w:rsid w:val="004B28FD"/>
    <w:rsid w:val="004B66DD"/>
    <w:rsid w:val="004D5ED5"/>
    <w:rsid w:val="00506A42"/>
    <w:rsid w:val="00530BB4"/>
    <w:rsid w:val="00537B5E"/>
    <w:rsid w:val="00545A65"/>
    <w:rsid w:val="005976AA"/>
    <w:rsid w:val="005A406C"/>
    <w:rsid w:val="005B2D42"/>
    <w:rsid w:val="005F54CE"/>
    <w:rsid w:val="00607E33"/>
    <w:rsid w:val="00657877"/>
    <w:rsid w:val="006579DB"/>
    <w:rsid w:val="00675D87"/>
    <w:rsid w:val="007002A7"/>
    <w:rsid w:val="0071426C"/>
    <w:rsid w:val="007353EC"/>
    <w:rsid w:val="007355D2"/>
    <w:rsid w:val="007A7C61"/>
    <w:rsid w:val="007B00DC"/>
    <w:rsid w:val="007F444D"/>
    <w:rsid w:val="00826B50"/>
    <w:rsid w:val="00873668"/>
    <w:rsid w:val="0089551A"/>
    <w:rsid w:val="008C3942"/>
    <w:rsid w:val="009173E0"/>
    <w:rsid w:val="00922581"/>
    <w:rsid w:val="00937197"/>
    <w:rsid w:val="00967833"/>
    <w:rsid w:val="009754FC"/>
    <w:rsid w:val="009B1EE1"/>
    <w:rsid w:val="00A30DAE"/>
    <w:rsid w:val="00A564DF"/>
    <w:rsid w:val="00A61FFE"/>
    <w:rsid w:val="00A64E76"/>
    <w:rsid w:val="00AA7B3D"/>
    <w:rsid w:val="00AB0DAD"/>
    <w:rsid w:val="00B016DC"/>
    <w:rsid w:val="00B32ECE"/>
    <w:rsid w:val="00BA1152"/>
    <w:rsid w:val="00BC1219"/>
    <w:rsid w:val="00BD6DCC"/>
    <w:rsid w:val="00C057CD"/>
    <w:rsid w:val="00C86819"/>
    <w:rsid w:val="00C87055"/>
    <w:rsid w:val="00E07AAD"/>
    <w:rsid w:val="00E204B1"/>
    <w:rsid w:val="00E20D39"/>
    <w:rsid w:val="00E24EDF"/>
    <w:rsid w:val="00E55FB7"/>
    <w:rsid w:val="00E7339D"/>
    <w:rsid w:val="00E870B4"/>
    <w:rsid w:val="00EB3265"/>
    <w:rsid w:val="00F636AE"/>
    <w:rsid w:val="00FB6031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6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99"/>
    <w:qFormat/>
    <w:rsid w:val="004B28F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F5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4CE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5F54CE"/>
    <w:rPr>
      <w:vertAlign w:val="superscript"/>
    </w:rPr>
  </w:style>
  <w:style w:type="paragraph" w:styleId="Poprawka">
    <w:name w:val="Revision"/>
    <w:hidden/>
    <w:uiPriority w:val="99"/>
    <w:semiHidden/>
    <w:rsid w:val="007F444D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C39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C3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3942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C3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3942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99"/>
    <w:qFormat/>
    <w:rsid w:val="004B28F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F5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4CE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5F54CE"/>
    <w:rPr>
      <w:vertAlign w:val="superscript"/>
    </w:rPr>
  </w:style>
  <w:style w:type="paragraph" w:styleId="Poprawka">
    <w:name w:val="Revision"/>
    <w:hidden/>
    <w:uiPriority w:val="99"/>
    <w:semiHidden/>
    <w:rsid w:val="007F444D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C39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C3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3942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C3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3942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29D8-2836-4F50-85B6-4A93AD2B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>Ministerstwo Klimatu i Środowiska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creator>ZDZIESZYŃSKI Łukasz</dc:creator>
  <cp:keywords>PL</cp:keywords>
  <dc:description>Wersja 4, dostępny od 23.07.2021</dc:description>
  <cp:lastModifiedBy>ZPPM</cp:lastModifiedBy>
  <cp:revision>2</cp:revision>
  <cp:lastPrinted>2009-06-17T10:52:00Z</cp:lastPrinted>
  <dcterms:created xsi:type="dcterms:W3CDTF">2022-08-24T17:35:00Z</dcterms:created>
  <dcterms:modified xsi:type="dcterms:W3CDTF">2022-08-24T17:35:00Z</dcterms:modified>
  <cp:category>OGÓLNE</cp:category>
</cp:coreProperties>
</file>