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D0" w:rsidRDefault="005B52FE" w:rsidP="00AB4A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084D5B" w:rsidRPr="00084D5B" w:rsidRDefault="00084D5B" w:rsidP="00685130">
      <w:pPr>
        <w:jc w:val="both"/>
        <w:rPr>
          <w:rFonts w:ascii="Times New Roman" w:hAnsi="Times New Roman" w:cs="Times New Roman"/>
          <w:sz w:val="24"/>
          <w:szCs w:val="24"/>
        </w:rPr>
      </w:pPr>
      <w:r w:rsidRPr="00084D5B">
        <w:rPr>
          <w:rFonts w:ascii="Times New Roman" w:hAnsi="Times New Roman" w:cs="Times New Roman"/>
          <w:sz w:val="24"/>
          <w:szCs w:val="24"/>
        </w:rPr>
        <w:t xml:space="preserve">Projektowane rozporządzenie stanowi wykonanie </w:t>
      </w:r>
      <w:r>
        <w:rPr>
          <w:rFonts w:ascii="Times New Roman" w:hAnsi="Times New Roman" w:cs="Times New Roman"/>
          <w:sz w:val="24"/>
          <w:szCs w:val="24"/>
        </w:rPr>
        <w:t xml:space="preserve">upoważnienia ustawowego zawartego w art. </w:t>
      </w:r>
      <w:r w:rsidR="00E13B08">
        <w:rPr>
          <w:rFonts w:ascii="Times New Roman" w:hAnsi="Times New Roman" w:cs="Times New Roman"/>
          <w:sz w:val="24"/>
          <w:szCs w:val="24"/>
        </w:rPr>
        <w:t>17 ust. 14</w:t>
      </w:r>
      <w:r w:rsidRPr="00084D5B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E13B08">
        <w:rPr>
          <w:rFonts w:ascii="Times New Roman" w:hAnsi="Times New Roman" w:cs="Times New Roman"/>
          <w:sz w:val="24"/>
          <w:szCs w:val="24"/>
        </w:rPr>
        <w:t>29 lipca 2005</w:t>
      </w:r>
      <w:r w:rsidRPr="00084D5B">
        <w:rPr>
          <w:rFonts w:ascii="Times New Roman" w:hAnsi="Times New Roman" w:cs="Times New Roman"/>
          <w:sz w:val="24"/>
          <w:szCs w:val="24"/>
        </w:rPr>
        <w:t xml:space="preserve"> r. o </w:t>
      </w:r>
      <w:r w:rsidR="00E13B08">
        <w:rPr>
          <w:rFonts w:ascii="Times New Roman" w:hAnsi="Times New Roman" w:cs="Times New Roman"/>
          <w:sz w:val="24"/>
          <w:szCs w:val="24"/>
        </w:rPr>
        <w:t>nadzorze nad rynkiem kapitałowym</w:t>
      </w:r>
      <w:r w:rsidRPr="00084D5B">
        <w:rPr>
          <w:rFonts w:ascii="Times New Roman" w:hAnsi="Times New Roman" w:cs="Times New Roman"/>
          <w:sz w:val="24"/>
          <w:szCs w:val="24"/>
        </w:rPr>
        <w:t xml:space="preserve"> (Dz. U. z </w:t>
      </w:r>
      <w:r w:rsidR="002F4193">
        <w:rPr>
          <w:rFonts w:ascii="Times New Roman" w:hAnsi="Times New Roman" w:cs="Times New Roman"/>
          <w:sz w:val="24"/>
          <w:szCs w:val="24"/>
        </w:rPr>
        <w:t>2022</w:t>
      </w:r>
      <w:r w:rsidRPr="00084D5B">
        <w:rPr>
          <w:rFonts w:ascii="Times New Roman" w:hAnsi="Times New Roman" w:cs="Times New Roman"/>
          <w:sz w:val="24"/>
          <w:szCs w:val="24"/>
        </w:rPr>
        <w:t xml:space="preserve"> r. poz. </w:t>
      </w:r>
      <w:r w:rsidR="002F4193">
        <w:rPr>
          <w:rFonts w:ascii="Times New Roman" w:hAnsi="Times New Roman" w:cs="Times New Roman"/>
          <w:sz w:val="24"/>
          <w:szCs w:val="24"/>
        </w:rPr>
        <w:t>837</w:t>
      </w:r>
      <w:r w:rsidR="00670AB2">
        <w:rPr>
          <w:rFonts w:ascii="Times New Roman" w:hAnsi="Times New Roman" w:cs="Times New Roman"/>
          <w:sz w:val="24"/>
          <w:szCs w:val="24"/>
        </w:rPr>
        <w:t>)</w:t>
      </w:r>
      <w:r w:rsidRPr="00084D5B">
        <w:rPr>
          <w:rFonts w:ascii="Times New Roman" w:hAnsi="Times New Roman" w:cs="Times New Roman"/>
          <w:sz w:val="24"/>
          <w:szCs w:val="24"/>
        </w:rPr>
        <w:t xml:space="preserve"> </w:t>
      </w:r>
      <w:r w:rsidR="00F243C5">
        <w:rPr>
          <w:rFonts w:ascii="Times New Roman" w:hAnsi="Times New Roman" w:cs="Times New Roman"/>
          <w:sz w:val="24"/>
          <w:szCs w:val="24"/>
        </w:rPr>
        <w:t>z uwzględnieniem zmian w nadzorze nad rynkiem kapitałowym, wprowadzonych ustawą z</w:t>
      </w:r>
      <w:r w:rsidRPr="00084D5B">
        <w:rPr>
          <w:rFonts w:ascii="Times New Roman" w:hAnsi="Times New Roman" w:cs="Times New Roman"/>
          <w:sz w:val="24"/>
          <w:szCs w:val="24"/>
        </w:rPr>
        <w:t xml:space="preserve"> </w:t>
      </w:r>
      <w:r w:rsidR="00F243C5">
        <w:rPr>
          <w:rFonts w:ascii="Times New Roman" w:hAnsi="Times New Roman" w:cs="Times New Roman"/>
          <w:sz w:val="24"/>
          <w:szCs w:val="24"/>
        </w:rPr>
        <w:t xml:space="preserve">7 lipca </w:t>
      </w:r>
      <w:r w:rsidR="00526479">
        <w:rPr>
          <w:rFonts w:ascii="Times New Roman" w:hAnsi="Times New Roman" w:cs="Times New Roman"/>
          <w:sz w:val="24"/>
          <w:szCs w:val="24"/>
        </w:rPr>
        <w:t>2022 r.</w:t>
      </w:r>
      <w:r w:rsidR="00526479" w:rsidRPr="00084D5B">
        <w:rPr>
          <w:rFonts w:ascii="Times New Roman" w:hAnsi="Times New Roman" w:cs="Times New Roman"/>
          <w:sz w:val="24"/>
          <w:szCs w:val="24"/>
        </w:rPr>
        <w:t xml:space="preserve"> </w:t>
      </w:r>
      <w:r w:rsidRPr="00084D5B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finansowaniu społecznościowym dla przedsięwzięć gospodarczych</w:t>
      </w:r>
      <w:r w:rsidR="00972111">
        <w:rPr>
          <w:rFonts w:ascii="Times New Roman" w:hAnsi="Times New Roman" w:cs="Times New Roman"/>
          <w:sz w:val="24"/>
          <w:szCs w:val="24"/>
        </w:rPr>
        <w:t xml:space="preserve"> </w:t>
      </w:r>
      <w:r w:rsidR="00972111" w:rsidRPr="00972111">
        <w:rPr>
          <w:rFonts w:ascii="Times New Roman" w:hAnsi="Times New Roman" w:cs="Times New Roman"/>
          <w:sz w:val="24"/>
          <w:szCs w:val="24"/>
        </w:rPr>
        <w:t xml:space="preserve">i pomocy </w:t>
      </w:r>
      <w:r w:rsidR="00972111" w:rsidRPr="00A154C3">
        <w:rPr>
          <w:rFonts w:ascii="Times New Roman" w:hAnsi="Times New Roman" w:cs="Times New Roman"/>
          <w:sz w:val="24"/>
          <w:szCs w:val="24"/>
        </w:rPr>
        <w:t>kredytobiorcom</w:t>
      </w:r>
      <w:r w:rsidRPr="00A154C3">
        <w:rPr>
          <w:rFonts w:ascii="Times New Roman" w:hAnsi="Times New Roman" w:cs="Times New Roman"/>
          <w:sz w:val="24"/>
          <w:szCs w:val="24"/>
        </w:rPr>
        <w:t xml:space="preserve"> (</w:t>
      </w:r>
      <w:r w:rsidR="00F243C5" w:rsidRPr="006A3C2D">
        <w:rPr>
          <w:rFonts w:ascii="Times New Roman" w:hAnsi="Times New Roman" w:cs="Times New Roman"/>
          <w:color w:val="000000"/>
          <w:sz w:val="24"/>
          <w:szCs w:val="24"/>
        </w:rPr>
        <w:t>Dz. U. 2022 poz. 1488</w:t>
      </w:r>
      <w:r w:rsidRPr="00A154C3">
        <w:rPr>
          <w:rFonts w:ascii="Times New Roman" w:hAnsi="Times New Roman" w:cs="Times New Roman"/>
          <w:sz w:val="24"/>
          <w:szCs w:val="24"/>
        </w:rPr>
        <w:t>), zw</w:t>
      </w:r>
      <w:r>
        <w:rPr>
          <w:rFonts w:ascii="Times New Roman" w:hAnsi="Times New Roman" w:cs="Times New Roman"/>
          <w:sz w:val="24"/>
          <w:szCs w:val="24"/>
        </w:rPr>
        <w:t>aną dalej „ustawą o finansowaniu społecznościowym”</w:t>
      </w:r>
      <w:r w:rsidRPr="00084D5B">
        <w:rPr>
          <w:rFonts w:ascii="Times New Roman" w:hAnsi="Times New Roman" w:cs="Times New Roman"/>
          <w:sz w:val="24"/>
          <w:szCs w:val="24"/>
        </w:rPr>
        <w:t>.</w:t>
      </w:r>
    </w:p>
    <w:p w:rsidR="005B52FE" w:rsidRDefault="00084D5B" w:rsidP="00685130">
      <w:pPr>
        <w:jc w:val="both"/>
        <w:rPr>
          <w:rFonts w:ascii="Times New Roman" w:hAnsi="Times New Roman" w:cs="Times New Roman"/>
          <w:sz w:val="24"/>
          <w:szCs w:val="24"/>
        </w:rPr>
      </w:pPr>
      <w:r w:rsidRPr="00084D5B">
        <w:rPr>
          <w:rFonts w:ascii="Times New Roman" w:hAnsi="Times New Roman" w:cs="Times New Roman"/>
          <w:sz w:val="24"/>
          <w:szCs w:val="24"/>
        </w:rPr>
        <w:t xml:space="preserve">Projektowane rozporządzenie zastąpi rozporządzenie Ministra </w:t>
      </w:r>
      <w:r>
        <w:rPr>
          <w:rFonts w:ascii="Times New Roman" w:hAnsi="Times New Roman" w:cs="Times New Roman"/>
          <w:sz w:val="24"/>
          <w:szCs w:val="24"/>
        </w:rPr>
        <w:t xml:space="preserve">Finansów z dnia </w:t>
      </w:r>
      <w:r w:rsidR="00E13B08" w:rsidRPr="00E13B08">
        <w:rPr>
          <w:rFonts w:ascii="Times New Roman" w:hAnsi="Times New Roman" w:cs="Times New Roman"/>
          <w:sz w:val="24"/>
          <w:szCs w:val="24"/>
        </w:rPr>
        <w:t xml:space="preserve">17 grudnia 2019 r. w sprawie opłat na pokrycie kosztów nadzoru nad rynkiem kapitałowym (Dz. U. </w:t>
      </w:r>
      <w:r w:rsidR="002D7C7A">
        <w:rPr>
          <w:rFonts w:ascii="Times New Roman" w:hAnsi="Times New Roman" w:cs="Times New Roman"/>
          <w:sz w:val="24"/>
          <w:szCs w:val="24"/>
        </w:rPr>
        <w:t xml:space="preserve">z 2019 r. </w:t>
      </w:r>
      <w:r w:rsidR="00E13B08" w:rsidRPr="00E13B08">
        <w:rPr>
          <w:rFonts w:ascii="Times New Roman" w:hAnsi="Times New Roman" w:cs="Times New Roman"/>
          <w:sz w:val="24"/>
          <w:szCs w:val="24"/>
        </w:rPr>
        <w:t>poz. 2486</w:t>
      </w:r>
      <w:r w:rsidR="002D7C7A">
        <w:rPr>
          <w:rFonts w:ascii="Times New Roman" w:hAnsi="Times New Roman" w:cs="Times New Roman"/>
          <w:sz w:val="24"/>
          <w:szCs w:val="24"/>
        </w:rPr>
        <w:t xml:space="preserve"> </w:t>
      </w:r>
      <w:r w:rsidR="002D7C7A" w:rsidRPr="002D7C7A">
        <w:rPr>
          <w:rFonts w:ascii="Times New Roman" w:hAnsi="Times New Roman" w:cs="Times New Roman"/>
          <w:sz w:val="24"/>
          <w:szCs w:val="24"/>
        </w:rPr>
        <w:t>oraz z 2021 r. poz. 2466</w:t>
      </w:r>
      <w:r>
        <w:rPr>
          <w:rFonts w:ascii="Times New Roman" w:hAnsi="Times New Roman" w:cs="Times New Roman"/>
          <w:sz w:val="24"/>
          <w:szCs w:val="24"/>
        </w:rPr>
        <w:t>)</w:t>
      </w:r>
      <w:r w:rsidR="00855CD6">
        <w:rPr>
          <w:rFonts w:ascii="Times New Roman" w:hAnsi="Times New Roman" w:cs="Times New Roman"/>
          <w:sz w:val="24"/>
          <w:szCs w:val="24"/>
        </w:rPr>
        <w:t>, zwane dalej „obowiązującym rozporządzeniem”</w:t>
      </w:r>
      <w:r>
        <w:rPr>
          <w:rFonts w:ascii="Times New Roman" w:hAnsi="Times New Roman" w:cs="Times New Roman"/>
          <w:sz w:val="24"/>
          <w:szCs w:val="24"/>
        </w:rPr>
        <w:t xml:space="preserve">, które utraci moc z dniem wejścia w życie projektowanego rozporządzenia. Art. </w:t>
      </w:r>
      <w:r w:rsidR="00526479">
        <w:rPr>
          <w:rFonts w:ascii="Times New Roman" w:hAnsi="Times New Roman" w:cs="Times New Roman"/>
          <w:sz w:val="24"/>
          <w:szCs w:val="24"/>
        </w:rPr>
        <w:t xml:space="preserve">92 </w:t>
      </w:r>
      <w:r w:rsidR="00D2177A">
        <w:rPr>
          <w:rFonts w:ascii="Times New Roman" w:hAnsi="Times New Roman" w:cs="Times New Roman"/>
          <w:sz w:val="24"/>
          <w:szCs w:val="24"/>
        </w:rPr>
        <w:t>pkt 1</w:t>
      </w:r>
      <w:r>
        <w:rPr>
          <w:rFonts w:ascii="Times New Roman" w:hAnsi="Times New Roman" w:cs="Times New Roman"/>
          <w:sz w:val="24"/>
          <w:szCs w:val="24"/>
        </w:rPr>
        <w:t xml:space="preserve"> ustawy o finansowaniu społecznościowym </w:t>
      </w:r>
      <w:r w:rsidR="00C10DC4">
        <w:rPr>
          <w:rFonts w:ascii="Times New Roman" w:hAnsi="Times New Roman" w:cs="Times New Roman"/>
          <w:sz w:val="24"/>
          <w:szCs w:val="24"/>
        </w:rPr>
        <w:t xml:space="preserve">utrzymuje w </w:t>
      </w:r>
      <w:r>
        <w:rPr>
          <w:rFonts w:ascii="Times New Roman" w:hAnsi="Times New Roman" w:cs="Times New Roman"/>
          <w:sz w:val="24"/>
          <w:szCs w:val="24"/>
        </w:rPr>
        <w:t>moc</w:t>
      </w:r>
      <w:r w:rsidR="00C10DC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CD6">
        <w:rPr>
          <w:rFonts w:ascii="Times New Roman" w:hAnsi="Times New Roman" w:cs="Times New Roman"/>
          <w:sz w:val="24"/>
          <w:szCs w:val="24"/>
        </w:rPr>
        <w:t>obowiązujące</w:t>
      </w:r>
      <w:r>
        <w:rPr>
          <w:rFonts w:ascii="Times New Roman" w:hAnsi="Times New Roman" w:cs="Times New Roman"/>
          <w:sz w:val="24"/>
          <w:szCs w:val="24"/>
        </w:rPr>
        <w:t xml:space="preserve"> rozporządzeni</w:t>
      </w:r>
      <w:r w:rsidR="00C10DC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815">
        <w:rPr>
          <w:rFonts w:ascii="Times New Roman" w:hAnsi="Times New Roman" w:cs="Times New Roman"/>
          <w:sz w:val="24"/>
          <w:szCs w:val="24"/>
        </w:rPr>
        <w:t xml:space="preserve">do dnia wejścia w życie projektowanego rozporządzenia, </w:t>
      </w:r>
      <w:r w:rsidR="00AB1815" w:rsidRPr="00AB1815">
        <w:rPr>
          <w:rFonts w:ascii="Times New Roman" w:hAnsi="Times New Roman" w:cs="Times New Roman"/>
          <w:sz w:val="24"/>
          <w:szCs w:val="24"/>
        </w:rPr>
        <w:t xml:space="preserve">nie dłużej jednak niż przez </w:t>
      </w:r>
      <w:r w:rsidR="00D2177A">
        <w:rPr>
          <w:rFonts w:ascii="Times New Roman" w:hAnsi="Times New Roman" w:cs="Times New Roman"/>
          <w:sz w:val="24"/>
          <w:szCs w:val="24"/>
        </w:rPr>
        <w:t>6</w:t>
      </w:r>
      <w:r w:rsidR="00AB1815" w:rsidRPr="00AB1815">
        <w:rPr>
          <w:rFonts w:ascii="Times New Roman" w:hAnsi="Times New Roman" w:cs="Times New Roman"/>
          <w:sz w:val="24"/>
          <w:szCs w:val="24"/>
        </w:rPr>
        <w:t xml:space="preserve"> miesięcy od dnia wejścia w życie ustawy</w:t>
      </w:r>
      <w:r w:rsidR="00AB1815">
        <w:rPr>
          <w:rFonts w:ascii="Times New Roman" w:hAnsi="Times New Roman" w:cs="Times New Roman"/>
          <w:sz w:val="24"/>
          <w:szCs w:val="24"/>
        </w:rPr>
        <w:t xml:space="preserve"> o finansowaniu społecznościowym</w:t>
      </w:r>
      <w:r w:rsidR="00C10DC4">
        <w:rPr>
          <w:rFonts w:ascii="Times New Roman" w:hAnsi="Times New Roman" w:cs="Times New Roman"/>
          <w:sz w:val="24"/>
          <w:szCs w:val="24"/>
        </w:rPr>
        <w:t>.</w:t>
      </w:r>
    </w:p>
    <w:p w:rsidR="00855CD6" w:rsidRDefault="00E13B08" w:rsidP="00685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o finansowaniu społecznościowym </w:t>
      </w:r>
      <w:r w:rsidR="00245E21">
        <w:rPr>
          <w:rFonts w:ascii="Times New Roman" w:hAnsi="Times New Roman" w:cs="Times New Roman"/>
          <w:sz w:val="24"/>
          <w:szCs w:val="24"/>
        </w:rPr>
        <w:t xml:space="preserve">objęła dostawców usług finansowania społecznościowego nadzorem Komisji Nadzoru Finansowego, zwanej dalej „KNF”, a co za tym idzie – zobowiązała te podmioty do wnoszenia opłat za udzielenie zezwolenia na prowadzenie działalności oraz rozszerzenie zakresu tego zezwolenia (w wysokości </w:t>
      </w:r>
      <w:r w:rsidR="00245E21" w:rsidRPr="00245E21">
        <w:rPr>
          <w:rFonts w:ascii="Times New Roman" w:hAnsi="Times New Roman" w:cs="Times New Roman"/>
          <w:sz w:val="24"/>
          <w:szCs w:val="24"/>
        </w:rPr>
        <w:t>nie wyższej niż równowartość w złotych 4500 euro</w:t>
      </w:r>
      <w:r w:rsidR="00245E21">
        <w:rPr>
          <w:rFonts w:ascii="Times New Roman" w:hAnsi="Times New Roman" w:cs="Times New Roman"/>
          <w:sz w:val="24"/>
          <w:szCs w:val="24"/>
        </w:rPr>
        <w:t xml:space="preserve">) oraz opłat rocznych, ustalanych, co do zasady, </w:t>
      </w:r>
      <w:r w:rsidR="00245E21" w:rsidRPr="00245E21">
        <w:rPr>
          <w:rFonts w:ascii="Times New Roman" w:hAnsi="Times New Roman" w:cs="Times New Roman"/>
          <w:sz w:val="24"/>
          <w:szCs w:val="24"/>
        </w:rPr>
        <w:t>na podstawie średniej wartości przychodów w okresie ostatnich trzech lat obrotowych poprzedzających rok, za który opłata jest należna</w:t>
      </w:r>
      <w:r w:rsidR="00245E21">
        <w:rPr>
          <w:rFonts w:ascii="Times New Roman" w:hAnsi="Times New Roman" w:cs="Times New Roman"/>
          <w:sz w:val="24"/>
          <w:szCs w:val="24"/>
        </w:rPr>
        <w:t xml:space="preserve">, ale </w:t>
      </w:r>
      <w:r w:rsidR="00245E21" w:rsidRPr="00245E21">
        <w:rPr>
          <w:rFonts w:ascii="Times New Roman" w:hAnsi="Times New Roman" w:cs="Times New Roman"/>
          <w:sz w:val="24"/>
          <w:szCs w:val="24"/>
        </w:rPr>
        <w:t xml:space="preserve">w wysokości nie większej niż 0,5% tej średniej, </w:t>
      </w:r>
      <w:r w:rsidR="00245E21">
        <w:rPr>
          <w:rFonts w:ascii="Times New Roman" w:hAnsi="Times New Roman" w:cs="Times New Roman"/>
          <w:sz w:val="24"/>
          <w:szCs w:val="24"/>
        </w:rPr>
        <w:t>i</w:t>
      </w:r>
      <w:r w:rsidR="00245E21" w:rsidRPr="00245E21">
        <w:rPr>
          <w:rFonts w:ascii="Times New Roman" w:hAnsi="Times New Roman" w:cs="Times New Roman"/>
          <w:sz w:val="24"/>
          <w:szCs w:val="24"/>
        </w:rPr>
        <w:t xml:space="preserve"> nie mniej</w:t>
      </w:r>
      <w:r w:rsidR="00245E21">
        <w:rPr>
          <w:rFonts w:ascii="Times New Roman" w:hAnsi="Times New Roman" w:cs="Times New Roman"/>
          <w:sz w:val="24"/>
          <w:szCs w:val="24"/>
        </w:rPr>
        <w:t>szej</w:t>
      </w:r>
      <w:r w:rsidR="00245E21" w:rsidRPr="00245E21">
        <w:rPr>
          <w:rFonts w:ascii="Times New Roman" w:hAnsi="Times New Roman" w:cs="Times New Roman"/>
          <w:sz w:val="24"/>
          <w:szCs w:val="24"/>
        </w:rPr>
        <w:t xml:space="preserve"> niż równowartość w złotych 750 euro</w:t>
      </w:r>
      <w:r w:rsidR="00814B56">
        <w:rPr>
          <w:rFonts w:ascii="Times New Roman" w:hAnsi="Times New Roman" w:cs="Times New Roman"/>
          <w:bCs/>
          <w:sz w:val="24"/>
          <w:szCs w:val="24"/>
        </w:rPr>
        <w:t>.</w:t>
      </w:r>
    </w:p>
    <w:p w:rsidR="00855CD6" w:rsidRDefault="00814B56" w:rsidP="00685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porównaniu do obowiązującego rozporządzenia, w projektowanym rozporządzeniu dodano przepisy określające </w:t>
      </w:r>
      <w:r w:rsidR="00670AB2" w:rsidRPr="00670AB2">
        <w:rPr>
          <w:rFonts w:ascii="Times New Roman" w:hAnsi="Times New Roman" w:cs="Times New Roman"/>
          <w:sz w:val="24"/>
          <w:szCs w:val="24"/>
        </w:rPr>
        <w:t xml:space="preserve">wysokość oraz sposób i terminy uiszczania </w:t>
      </w:r>
      <w:r w:rsidR="00670AB2">
        <w:rPr>
          <w:rFonts w:ascii="Times New Roman" w:hAnsi="Times New Roman" w:cs="Times New Roman"/>
          <w:sz w:val="24"/>
          <w:szCs w:val="24"/>
        </w:rPr>
        <w:t xml:space="preserve">wyżej opisanych </w:t>
      </w:r>
      <w:r w:rsidR="00670AB2" w:rsidRPr="00670AB2">
        <w:rPr>
          <w:rFonts w:ascii="Times New Roman" w:hAnsi="Times New Roman" w:cs="Times New Roman"/>
          <w:sz w:val="24"/>
          <w:szCs w:val="24"/>
        </w:rPr>
        <w:t xml:space="preserve">opłat </w:t>
      </w:r>
      <w:r>
        <w:rPr>
          <w:rFonts w:ascii="Times New Roman" w:hAnsi="Times New Roman" w:cs="Times New Roman"/>
          <w:sz w:val="24"/>
          <w:szCs w:val="24"/>
        </w:rPr>
        <w:t>od dostawców usług finansowania społecznościowego</w:t>
      </w:r>
      <w:r w:rsidR="004C245F">
        <w:rPr>
          <w:rFonts w:ascii="Times New Roman" w:hAnsi="Times New Roman" w:cs="Times New Roman"/>
          <w:sz w:val="24"/>
          <w:szCs w:val="24"/>
        </w:rPr>
        <w:t>, wprowadzono zmiany redakcyjne zgodnie z zasadami techniki prawodawczej</w:t>
      </w:r>
      <w:r w:rsidR="00F93741">
        <w:rPr>
          <w:rFonts w:ascii="Times New Roman" w:hAnsi="Times New Roman" w:cs="Times New Roman"/>
          <w:sz w:val="24"/>
          <w:szCs w:val="24"/>
        </w:rPr>
        <w:t>,</w:t>
      </w:r>
      <w:r w:rsidR="002C13E0">
        <w:rPr>
          <w:rFonts w:ascii="Times New Roman" w:hAnsi="Times New Roman" w:cs="Times New Roman"/>
          <w:sz w:val="24"/>
          <w:szCs w:val="24"/>
        </w:rPr>
        <w:t xml:space="preserve"> a</w:t>
      </w:r>
      <w:r w:rsidR="00F93741">
        <w:rPr>
          <w:rFonts w:ascii="Times New Roman" w:hAnsi="Times New Roman" w:cs="Times New Roman"/>
          <w:sz w:val="24"/>
          <w:szCs w:val="24"/>
        </w:rPr>
        <w:t xml:space="preserve"> </w:t>
      </w:r>
      <w:r w:rsidR="003E1A52">
        <w:rPr>
          <w:rFonts w:ascii="Times New Roman" w:hAnsi="Times New Roman" w:cs="Times New Roman"/>
          <w:sz w:val="24"/>
          <w:szCs w:val="24"/>
        </w:rPr>
        <w:t xml:space="preserve">także </w:t>
      </w:r>
      <w:r w:rsidR="00F93741">
        <w:rPr>
          <w:rFonts w:ascii="Times New Roman" w:hAnsi="Times New Roman" w:cs="Times New Roman"/>
          <w:sz w:val="24"/>
          <w:szCs w:val="24"/>
        </w:rPr>
        <w:t>w deklaracji o opłacie rocznej</w:t>
      </w:r>
      <w:r w:rsidR="004C245F">
        <w:rPr>
          <w:rFonts w:ascii="Times New Roman" w:hAnsi="Times New Roman" w:cs="Times New Roman"/>
          <w:sz w:val="24"/>
          <w:szCs w:val="24"/>
        </w:rPr>
        <w:t xml:space="preserve"> </w:t>
      </w:r>
      <w:r w:rsidR="009E564F">
        <w:rPr>
          <w:rFonts w:ascii="Times New Roman" w:hAnsi="Times New Roman" w:cs="Times New Roman"/>
          <w:sz w:val="24"/>
          <w:szCs w:val="24"/>
        </w:rPr>
        <w:t xml:space="preserve">stanowiącej załącznik do rozporządzenia </w:t>
      </w:r>
      <w:r w:rsidR="004C245F">
        <w:rPr>
          <w:rFonts w:ascii="Times New Roman" w:hAnsi="Times New Roman" w:cs="Times New Roman"/>
          <w:sz w:val="24"/>
          <w:szCs w:val="24"/>
        </w:rPr>
        <w:t xml:space="preserve">oraz </w:t>
      </w:r>
      <w:r w:rsidR="007226B2">
        <w:rPr>
          <w:rFonts w:ascii="Times New Roman" w:hAnsi="Times New Roman" w:cs="Times New Roman"/>
          <w:sz w:val="24"/>
          <w:szCs w:val="24"/>
        </w:rPr>
        <w:t>wprowadzono zm</w:t>
      </w:r>
      <w:r w:rsidR="00C35852">
        <w:rPr>
          <w:rFonts w:ascii="Times New Roman" w:hAnsi="Times New Roman" w:cs="Times New Roman"/>
          <w:sz w:val="24"/>
          <w:szCs w:val="24"/>
        </w:rPr>
        <w:t xml:space="preserve">iany w grupach wymienionych w </w:t>
      </w:r>
      <w:r w:rsidR="00C35852" w:rsidRPr="00C35852">
        <w:rPr>
          <w:rFonts w:ascii="Times New Roman" w:hAnsi="Times New Roman" w:cs="Times New Roman"/>
          <w:sz w:val="24"/>
          <w:szCs w:val="24"/>
        </w:rPr>
        <w:t>§ 20</w:t>
      </w:r>
      <w:r w:rsidR="00855CD6">
        <w:rPr>
          <w:rFonts w:ascii="Times New Roman" w:hAnsi="Times New Roman" w:cs="Times New Roman"/>
          <w:sz w:val="24"/>
          <w:szCs w:val="24"/>
        </w:rPr>
        <w:t xml:space="preserve">. </w:t>
      </w:r>
      <w:r w:rsidR="00571441">
        <w:rPr>
          <w:rFonts w:ascii="Times New Roman" w:hAnsi="Times New Roman" w:cs="Times New Roman"/>
          <w:sz w:val="24"/>
          <w:szCs w:val="24"/>
        </w:rPr>
        <w:t>Merytorycznie p</w:t>
      </w:r>
      <w:r>
        <w:rPr>
          <w:rFonts w:ascii="Times New Roman" w:hAnsi="Times New Roman" w:cs="Times New Roman"/>
          <w:sz w:val="24"/>
          <w:szCs w:val="24"/>
        </w:rPr>
        <w:t xml:space="preserve">ozostałe przepisy nie uległy zmianie, </w:t>
      </w:r>
      <w:r w:rsidR="004C245F">
        <w:rPr>
          <w:rFonts w:ascii="Times New Roman" w:hAnsi="Times New Roman" w:cs="Times New Roman"/>
          <w:sz w:val="24"/>
          <w:szCs w:val="24"/>
        </w:rPr>
        <w:t xml:space="preserve">bowiem obecny system ponoszenia kosztów nadzoru nad rynkiem kapitałowym, przez podmioty nadzorowane funkcjonuje prawidłowo,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55CD6">
        <w:rPr>
          <w:rFonts w:ascii="Times New Roman" w:hAnsi="Times New Roman" w:cs="Times New Roman"/>
          <w:sz w:val="24"/>
          <w:szCs w:val="24"/>
        </w:rPr>
        <w:t xml:space="preserve"> związku z tym projektowane rozporządzenie </w:t>
      </w:r>
      <w:r>
        <w:rPr>
          <w:rFonts w:ascii="Times New Roman" w:hAnsi="Times New Roman" w:cs="Times New Roman"/>
          <w:sz w:val="24"/>
          <w:szCs w:val="24"/>
        </w:rPr>
        <w:t xml:space="preserve">w pozostałym zakresie </w:t>
      </w:r>
      <w:r w:rsidR="00855CD6">
        <w:rPr>
          <w:rFonts w:ascii="Times New Roman" w:hAnsi="Times New Roman" w:cs="Times New Roman"/>
          <w:sz w:val="24"/>
          <w:szCs w:val="24"/>
        </w:rPr>
        <w:t>powtarza przepisy obowiązującego rozporządzenia.</w:t>
      </w:r>
    </w:p>
    <w:p w:rsidR="000D05D5" w:rsidRDefault="00814B56" w:rsidP="00685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814B56">
        <w:rPr>
          <w:rFonts w:ascii="Times New Roman" w:hAnsi="Times New Roman" w:cs="Times New Roman"/>
          <w:b/>
          <w:sz w:val="24"/>
          <w:szCs w:val="24"/>
        </w:rPr>
        <w:t>§ 1</w:t>
      </w:r>
      <w:r w:rsidR="00FE5301">
        <w:rPr>
          <w:rFonts w:ascii="Times New Roman" w:hAnsi="Times New Roman" w:cs="Times New Roman"/>
          <w:sz w:val="24"/>
          <w:szCs w:val="24"/>
        </w:rPr>
        <w:t xml:space="preserve"> projektu </w:t>
      </w:r>
      <w:r w:rsidR="00D62616">
        <w:rPr>
          <w:rFonts w:ascii="Times New Roman" w:hAnsi="Times New Roman" w:cs="Times New Roman"/>
          <w:sz w:val="24"/>
          <w:szCs w:val="24"/>
        </w:rPr>
        <w:t>zawarto</w:t>
      </w:r>
      <w:r w:rsidR="00FE5301">
        <w:rPr>
          <w:rFonts w:ascii="Times New Roman" w:hAnsi="Times New Roman" w:cs="Times New Roman"/>
          <w:sz w:val="24"/>
          <w:szCs w:val="24"/>
        </w:rPr>
        <w:t xml:space="preserve"> zakres przedmiotowy rozporządzenia, wskazując, że </w:t>
      </w:r>
      <w:r w:rsidR="00D62616">
        <w:rPr>
          <w:rFonts w:ascii="Times New Roman" w:hAnsi="Times New Roman" w:cs="Times New Roman"/>
          <w:sz w:val="24"/>
          <w:szCs w:val="24"/>
        </w:rPr>
        <w:t>określa ono</w:t>
      </w:r>
      <w:r w:rsidR="002A76B4">
        <w:rPr>
          <w:rFonts w:ascii="Times New Roman" w:hAnsi="Times New Roman" w:cs="Times New Roman"/>
          <w:sz w:val="24"/>
          <w:szCs w:val="24"/>
        </w:rPr>
        <w:t>:</w:t>
      </w:r>
    </w:p>
    <w:p w:rsidR="000D05D5" w:rsidRDefault="002A76B4" w:rsidP="006851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6B4">
        <w:rPr>
          <w:rFonts w:ascii="Times New Roman" w:hAnsi="Times New Roman" w:cs="Times New Roman"/>
          <w:sz w:val="24"/>
          <w:szCs w:val="24"/>
        </w:rPr>
        <w:t xml:space="preserve">wysokość oraz sposób i terminy uiszczania </w:t>
      </w:r>
      <w:r w:rsidR="00C246E0" w:rsidRPr="002A76B4">
        <w:rPr>
          <w:rFonts w:ascii="Times New Roman" w:hAnsi="Times New Roman" w:cs="Times New Roman"/>
          <w:sz w:val="24"/>
          <w:szCs w:val="24"/>
        </w:rPr>
        <w:t xml:space="preserve">opłat </w:t>
      </w:r>
      <w:r w:rsidR="007226B2">
        <w:rPr>
          <w:rFonts w:ascii="Times New Roman" w:hAnsi="Times New Roman" w:cs="Times New Roman"/>
          <w:sz w:val="24"/>
          <w:szCs w:val="24"/>
        </w:rPr>
        <w:t xml:space="preserve">za dokonywanie wpisu do rejestrów, zezwolenia, pozwolenia i zgody udzielane przez KNF, złożenie zawiadomienia oraz przekazanie informacji do KNF, uzyskanie statusu agenci informacyjnej w drodze decyzji </w:t>
      </w:r>
    </w:p>
    <w:p w:rsidR="002A76B4" w:rsidRDefault="0010691D" w:rsidP="006851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ponoszenia kosztów nadzoru nad rynkiem kapitałowym z wpływów, o których mowa w art. 17 ust. 1 </w:t>
      </w:r>
      <w:r w:rsidRPr="0010691D">
        <w:rPr>
          <w:rFonts w:ascii="Times New Roman" w:hAnsi="Times New Roman" w:cs="Times New Roman"/>
          <w:sz w:val="24"/>
          <w:szCs w:val="24"/>
        </w:rPr>
        <w:t>ustawy z dnia 29 lipca 2005 r. o n</w:t>
      </w:r>
      <w:r>
        <w:rPr>
          <w:rFonts w:ascii="Times New Roman" w:hAnsi="Times New Roman" w:cs="Times New Roman"/>
          <w:sz w:val="24"/>
          <w:szCs w:val="24"/>
        </w:rPr>
        <w:t>adzorze nad rynkiem kapitałowym, a także wielkość udziału w tych kosztach dla poszczególnych grup podmiotów prowadzących działalność na rynku kapitałowym,</w:t>
      </w:r>
    </w:p>
    <w:p w:rsidR="0010691D" w:rsidRPr="002A76B4" w:rsidRDefault="005268EC" w:rsidP="006851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dokumentowania wielkości uzyskanych przychodów przez </w:t>
      </w:r>
      <w:r w:rsidR="00092A6C">
        <w:rPr>
          <w:rFonts w:ascii="Times New Roman" w:hAnsi="Times New Roman" w:cs="Times New Roman"/>
          <w:sz w:val="24"/>
          <w:szCs w:val="24"/>
        </w:rPr>
        <w:t xml:space="preserve">prowadzące działalność na terytorium Rzeczpospolitej Polskiej w formie oddziału - </w:t>
      </w:r>
      <w:r>
        <w:rPr>
          <w:rFonts w:ascii="Times New Roman" w:hAnsi="Times New Roman" w:cs="Times New Roman"/>
          <w:sz w:val="24"/>
          <w:szCs w:val="24"/>
        </w:rPr>
        <w:t xml:space="preserve">zagraniczne osoby prawne, o których mowa w art. 50 </w:t>
      </w:r>
      <w:r w:rsidR="00092A6C">
        <w:rPr>
          <w:rFonts w:ascii="Times New Roman" w:hAnsi="Times New Roman" w:cs="Times New Roman"/>
          <w:sz w:val="24"/>
          <w:szCs w:val="24"/>
        </w:rPr>
        <w:t xml:space="preserve">ust. 1 </w:t>
      </w:r>
      <w:r w:rsidR="00367C83" w:rsidRPr="00367C83">
        <w:rPr>
          <w:rFonts w:ascii="Times New Roman" w:hAnsi="Times New Roman" w:cs="Times New Roman"/>
          <w:sz w:val="24"/>
          <w:szCs w:val="24"/>
        </w:rPr>
        <w:t xml:space="preserve">ustawy z dnia 26 października 2000 r. o </w:t>
      </w:r>
      <w:r w:rsidR="00367C83" w:rsidRPr="00367C83">
        <w:rPr>
          <w:rFonts w:ascii="Times New Roman" w:hAnsi="Times New Roman" w:cs="Times New Roman"/>
          <w:sz w:val="24"/>
          <w:szCs w:val="24"/>
        </w:rPr>
        <w:lastRenderedPageBreak/>
        <w:t>giełdach towarowych (Dz. U. z 2022 r. poz. 170</w:t>
      </w:r>
      <w:r w:rsidR="007A51CA">
        <w:rPr>
          <w:rFonts w:ascii="Times New Roman" w:hAnsi="Times New Roman" w:cs="Times New Roman"/>
          <w:sz w:val="24"/>
          <w:szCs w:val="24"/>
        </w:rPr>
        <w:t xml:space="preserve"> i 1488</w:t>
      </w:r>
      <w:r w:rsidR="00367C83" w:rsidRPr="00367C83">
        <w:rPr>
          <w:rFonts w:ascii="Times New Roman" w:hAnsi="Times New Roman" w:cs="Times New Roman"/>
          <w:sz w:val="24"/>
          <w:szCs w:val="24"/>
        </w:rPr>
        <w:t>)</w:t>
      </w:r>
      <w:r w:rsidR="00FB62B0">
        <w:rPr>
          <w:rFonts w:ascii="Times New Roman" w:hAnsi="Times New Roman" w:cs="Times New Roman"/>
          <w:sz w:val="24"/>
          <w:szCs w:val="24"/>
        </w:rPr>
        <w:t xml:space="preserve"> zwan</w:t>
      </w:r>
      <w:r w:rsidR="00BF14B1">
        <w:rPr>
          <w:rFonts w:ascii="Times New Roman" w:hAnsi="Times New Roman" w:cs="Times New Roman"/>
          <w:sz w:val="24"/>
          <w:szCs w:val="24"/>
        </w:rPr>
        <w:t>ej</w:t>
      </w:r>
      <w:r w:rsidR="00FB62B0">
        <w:rPr>
          <w:rFonts w:ascii="Times New Roman" w:hAnsi="Times New Roman" w:cs="Times New Roman"/>
          <w:sz w:val="24"/>
          <w:szCs w:val="24"/>
        </w:rPr>
        <w:t xml:space="preserve"> dalej „ustawa o giełdach towarowych”</w:t>
      </w:r>
      <w:r w:rsidR="00092A6C">
        <w:rPr>
          <w:rFonts w:ascii="Times New Roman" w:hAnsi="Times New Roman" w:cs="Times New Roman"/>
          <w:sz w:val="24"/>
          <w:szCs w:val="24"/>
        </w:rPr>
        <w:t>, zagraniczne firmy inwestycyjne zajmujące się działalnością maklerska i osoby zagr</w:t>
      </w:r>
      <w:r w:rsidR="007D7B28">
        <w:rPr>
          <w:rFonts w:ascii="Times New Roman" w:hAnsi="Times New Roman" w:cs="Times New Roman"/>
          <w:sz w:val="24"/>
          <w:szCs w:val="24"/>
        </w:rPr>
        <w:t>aniczne osoby prawne prowadzące taką działalność.</w:t>
      </w:r>
    </w:p>
    <w:p w:rsidR="00814B56" w:rsidRDefault="00B67281" w:rsidP="00685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porównaniu do obowiązującego rozporządzenia, projektowane rozporządzenie </w:t>
      </w:r>
      <w:r w:rsidR="00827C7A">
        <w:rPr>
          <w:rFonts w:ascii="Times New Roman" w:hAnsi="Times New Roman" w:cs="Times New Roman"/>
          <w:sz w:val="24"/>
          <w:szCs w:val="24"/>
        </w:rPr>
        <w:t>rozszerza</w:t>
      </w:r>
      <w:r w:rsidR="00670AB2">
        <w:rPr>
          <w:rFonts w:ascii="Times New Roman" w:hAnsi="Times New Roman" w:cs="Times New Roman"/>
          <w:sz w:val="24"/>
          <w:szCs w:val="24"/>
        </w:rPr>
        <w:t xml:space="preserve"> ten zakres o określenie wysokości oraz sposobu i terminów uiszczania opłat za zezwolenia udzielane na podstawie ustawy o finansowaniu społecznościowym </w:t>
      </w:r>
      <w:r w:rsidR="00670AB2" w:rsidRPr="004C245F">
        <w:rPr>
          <w:rFonts w:ascii="Times New Roman" w:hAnsi="Times New Roman" w:cs="Times New Roman"/>
          <w:b/>
          <w:sz w:val="24"/>
          <w:szCs w:val="24"/>
        </w:rPr>
        <w:t>(</w:t>
      </w:r>
      <w:r w:rsidR="004100E3" w:rsidRPr="004C245F">
        <w:rPr>
          <w:rFonts w:ascii="Times New Roman" w:hAnsi="Times New Roman" w:cs="Times New Roman"/>
          <w:b/>
          <w:sz w:val="24"/>
          <w:szCs w:val="24"/>
        </w:rPr>
        <w:t>§ 1</w:t>
      </w:r>
      <w:r w:rsidR="004100E3">
        <w:rPr>
          <w:rFonts w:ascii="Times New Roman" w:hAnsi="Times New Roman" w:cs="Times New Roman"/>
          <w:sz w:val="24"/>
          <w:szCs w:val="24"/>
        </w:rPr>
        <w:t xml:space="preserve"> </w:t>
      </w:r>
      <w:r w:rsidR="00670AB2" w:rsidRPr="00670AB2">
        <w:rPr>
          <w:rFonts w:ascii="Times New Roman" w:hAnsi="Times New Roman" w:cs="Times New Roman"/>
          <w:b/>
          <w:sz w:val="24"/>
          <w:szCs w:val="24"/>
        </w:rPr>
        <w:t>pkt 1 lit. h</w:t>
      </w:r>
      <w:r w:rsidR="00670AB2">
        <w:rPr>
          <w:rFonts w:ascii="Times New Roman" w:hAnsi="Times New Roman" w:cs="Times New Roman"/>
          <w:sz w:val="24"/>
          <w:szCs w:val="24"/>
        </w:rPr>
        <w:t xml:space="preserve">) oraz opłat rocznych, o których mowa w art. 32 tej ustawy </w:t>
      </w:r>
      <w:r w:rsidR="00670AB2" w:rsidRPr="004C245F">
        <w:rPr>
          <w:rFonts w:ascii="Times New Roman" w:hAnsi="Times New Roman" w:cs="Times New Roman"/>
          <w:b/>
          <w:sz w:val="24"/>
          <w:szCs w:val="24"/>
        </w:rPr>
        <w:t>(</w:t>
      </w:r>
      <w:r w:rsidR="004100E3" w:rsidRPr="004C245F">
        <w:rPr>
          <w:rFonts w:ascii="Times New Roman" w:hAnsi="Times New Roman" w:cs="Times New Roman"/>
          <w:b/>
          <w:sz w:val="24"/>
          <w:szCs w:val="24"/>
        </w:rPr>
        <w:t>§ 1</w:t>
      </w:r>
      <w:r w:rsidR="004100E3">
        <w:rPr>
          <w:rFonts w:ascii="Times New Roman" w:hAnsi="Times New Roman" w:cs="Times New Roman"/>
          <w:sz w:val="24"/>
          <w:szCs w:val="24"/>
        </w:rPr>
        <w:t xml:space="preserve"> </w:t>
      </w:r>
      <w:r w:rsidR="00670AB2" w:rsidRPr="00670AB2">
        <w:rPr>
          <w:rFonts w:ascii="Times New Roman" w:hAnsi="Times New Roman" w:cs="Times New Roman"/>
          <w:b/>
          <w:sz w:val="24"/>
          <w:szCs w:val="24"/>
        </w:rPr>
        <w:t>pkt 5 lit. e</w:t>
      </w:r>
      <w:r w:rsidR="00670AB2">
        <w:rPr>
          <w:rFonts w:ascii="Times New Roman" w:hAnsi="Times New Roman" w:cs="Times New Roman"/>
          <w:sz w:val="24"/>
          <w:szCs w:val="24"/>
        </w:rPr>
        <w:t>)</w:t>
      </w:r>
      <w:r w:rsidR="00814B56">
        <w:rPr>
          <w:rFonts w:ascii="Times New Roman" w:hAnsi="Times New Roman" w:cs="Times New Roman"/>
          <w:sz w:val="24"/>
          <w:szCs w:val="24"/>
        </w:rPr>
        <w:t>.</w:t>
      </w:r>
      <w:r w:rsidR="00BF6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E1B" w:rsidRDefault="001D1612" w:rsidP="00685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Otrzymanie zezwolenia na prowadzenie</w:t>
      </w:r>
      <w:r w:rsidR="001C70D0">
        <w:rPr>
          <w:rFonts w:ascii="Times New Roman" w:hAnsi="Times New Roman" w:cs="Times New Roman"/>
          <w:sz w:val="24"/>
          <w:szCs w:val="24"/>
        </w:rPr>
        <w:t xml:space="preserve"> m.in.</w:t>
      </w:r>
      <w:r>
        <w:rPr>
          <w:rFonts w:ascii="Times New Roman" w:hAnsi="Times New Roman" w:cs="Times New Roman"/>
          <w:sz w:val="24"/>
          <w:szCs w:val="24"/>
        </w:rPr>
        <w:t xml:space="preserve"> rynku regulowanego, platformy aukcyjnej, izby rozliczeniowej, izby rozrachunkowej</w:t>
      </w:r>
      <w:r w:rsidR="008932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działalności maklerskiej</w:t>
      </w:r>
      <w:r w:rsidR="0089324A">
        <w:rPr>
          <w:rFonts w:ascii="Times New Roman" w:hAnsi="Times New Roman" w:cs="Times New Roman"/>
          <w:sz w:val="24"/>
          <w:szCs w:val="24"/>
        </w:rPr>
        <w:t xml:space="preserve"> w zakresie wskazanym § 2 pkt 5 lit. a-r, a także rachunków papierów wartościowych, rachunków derywatów i rachunków zbiorczych przez bank powierniczy – podlega opłatom</w:t>
      </w:r>
      <w:r w:rsidR="00AA5B1A">
        <w:rPr>
          <w:rFonts w:ascii="Times New Roman" w:hAnsi="Times New Roman" w:cs="Times New Roman"/>
          <w:sz w:val="24"/>
          <w:szCs w:val="24"/>
        </w:rPr>
        <w:t xml:space="preserve">, których wysokość wskazano w </w:t>
      </w:r>
      <w:r w:rsidR="00AA5B1A" w:rsidRPr="00AA5B1A">
        <w:rPr>
          <w:rFonts w:ascii="Times New Roman" w:hAnsi="Times New Roman" w:cs="Times New Roman"/>
          <w:b/>
          <w:sz w:val="24"/>
          <w:szCs w:val="24"/>
        </w:rPr>
        <w:t>§ 2</w:t>
      </w:r>
      <w:r w:rsidR="00AA5B1A">
        <w:rPr>
          <w:rFonts w:ascii="Times New Roman" w:hAnsi="Times New Roman" w:cs="Times New Roman"/>
          <w:sz w:val="24"/>
          <w:szCs w:val="24"/>
        </w:rPr>
        <w:t xml:space="preserve"> projektowanego rozporządzenia.</w:t>
      </w:r>
    </w:p>
    <w:p w:rsidR="00357E1B" w:rsidRDefault="006F0C0A" w:rsidP="00685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</w:t>
      </w:r>
      <w:r w:rsidR="00BE0D0E">
        <w:rPr>
          <w:rFonts w:ascii="Times New Roman" w:hAnsi="Times New Roman" w:cs="Times New Roman"/>
          <w:sz w:val="24"/>
          <w:szCs w:val="24"/>
        </w:rPr>
        <w:t xml:space="preserve">przewiduje też </w:t>
      </w:r>
      <w:r w:rsidR="00E076CE">
        <w:rPr>
          <w:rFonts w:ascii="Times New Roman" w:hAnsi="Times New Roman" w:cs="Times New Roman"/>
          <w:sz w:val="24"/>
          <w:szCs w:val="24"/>
        </w:rPr>
        <w:t>(</w:t>
      </w:r>
      <w:r w:rsidR="00E076CE" w:rsidRPr="00E076CE">
        <w:rPr>
          <w:rFonts w:ascii="Times New Roman" w:hAnsi="Times New Roman" w:cs="Times New Roman"/>
          <w:b/>
          <w:sz w:val="24"/>
          <w:szCs w:val="24"/>
        </w:rPr>
        <w:t>§ 3</w:t>
      </w:r>
      <w:r w:rsidR="00E076CE">
        <w:rPr>
          <w:rFonts w:ascii="Times New Roman" w:hAnsi="Times New Roman" w:cs="Times New Roman"/>
          <w:sz w:val="24"/>
          <w:szCs w:val="24"/>
        </w:rPr>
        <w:t xml:space="preserve">) </w:t>
      </w:r>
      <w:r w:rsidR="00BE0D0E">
        <w:rPr>
          <w:rFonts w:ascii="Times New Roman" w:hAnsi="Times New Roman" w:cs="Times New Roman"/>
          <w:sz w:val="24"/>
          <w:szCs w:val="24"/>
        </w:rPr>
        <w:t>konieczność wniesienia opłaty w przypadku poinformowania KNF o zamiarze prowadzenia przez zagraniczna firmę inwestycyjną działalności maklerskiej na terytorium Rzeczypospolitej</w:t>
      </w:r>
      <w:r w:rsidR="00073894">
        <w:rPr>
          <w:rFonts w:ascii="Times New Roman" w:hAnsi="Times New Roman" w:cs="Times New Roman"/>
          <w:sz w:val="24"/>
          <w:szCs w:val="24"/>
        </w:rPr>
        <w:t xml:space="preserve"> Polskiej w formie oddziału przez właściwy organ nadzoru, który udzielił tej firmie zezwolenia na prowadzenie działalności maklerskiej.</w:t>
      </w:r>
      <w:r w:rsidR="00197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894" w:rsidRDefault="005D26EF" w:rsidP="00685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DC0FFE">
        <w:rPr>
          <w:rFonts w:ascii="Times New Roman" w:hAnsi="Times New Roman" w:cs="Times New Roman"/>
          <w:b/>
          <w:sz w:val="24"/>
          <w:szCs w:val="24"/>
        </w:rPr>
        <w:t>§ 4</w:t>
      </w:r>
      <w:r>
        <w:rPr>
          <w:rFonts w:ascii="Times New Roman" w:hAnsi="Times New Roman" w:cs="Times New Roman"/>
          <w:sz w:val="24"/>
          <w:szCs w:val="24"/>
        </w:rPr>
        <w:t xml:space="preserve"> wskazano </w:t>
      </w:r>
      <w:r w:rsidR="00E076CE">
        <w:rPr>
          <w:rFonts w:ascii="Times New Roman" w:hAnsi="Times New Roman" w:cs="Times New Roman"/>
          <w:sz w:val="24"/>
          <w:szCs w:val="24"/>
        </w:rPr>
        <w:t>wysokość opłat za udzielenie</w:t>
      </w:r>
      <w:r w:rsidR="00DC0FFE">
        <w:rPr>
          <w:rFonts w:ascii="Times New Roman" w:hAnsi="Times New Roman" w:cs="Times New Roman"/>
          <w:sz w:val="24"/>
          <w:szCs w:val="24"/>
        </w:rPr>
        <w:t xml:space="preserve"> na podstawie przepisów rozporządzenia Parlamentu Europejskiego i Rady (UE) nr 648/2012 z dnia 4 lipca 2021 r. w sprawie instrumentów pochodnych będących przedmiotem obrotu poza rynkiem regulowanym, kontrahentów centralnych i repozytoriów transakcji</w:t>
      </w:r>
      <w:r w:rsidR="00E076CE">
        <w:rPr>
          <w:rFonts w:ascii="Times New Roman" w:hAnsi="Times New Roman" w:cs="Times New Roman"/>
          <w:sz w:val="24"/>
          <w:szCs w:val="24"/>
        </w:rPr>
        <w:t xml:space="preserve"> </w:t>
      </w:r>
      <w:r w:rsidR="000F4A00">
        <w:rPr>
          <w:rFonts w:ascii="Times New Roman" w:hAnsi="Times New Roman" w:cs="Times New Roman"/>
          <w:sz w:val="24"/>
          <w:szCs w:val="24"/>
        </w:rPr>
        <w:t xml:space="preserve">- </w:t>
      </w:r>
      <w:r w:rsidR="00E076CE">
        <w:rPr>
          <w:rFonts w:ascii="Times New Roman" w:hAnsi="Times New Roman" w:cs="Times New Roman"/>
          <w:sz w:val="24"/>
          <w:szCs w:val="24"/>
        </w:rPr>
        <w:t>zezwoleń i zgó</w:t>
      </w:r>
      <w:r w:rsidR="00DC0FFE">
        <w:rPr>
          <w:rFonts w:ascii="Times New Roman" w:hAnsi="Times New Roman" w:cs="Times New Roman"/>
          <w:sz w:val="24"/>
          <w:szCs w:val="24"/>
        </w:rPr>
        <w:t>d</w:t>
      </w:r>
      <w:r w:rsidR="000F4A00">
        <w:rPr>
          <w:rFonts w:ascii="Times New Roman" w:hAnsi="Times New Roman" w:cs="Times New Roman"/>
          <w:sz w:val="24"/>
          <w:szCs w:val="24"/>
        </w:rPr>
        <w:t xml:space="preserve"> przewidzianych w przepisach tego rozporządzenia.</w:t>
      </w:r>
    </w:p>
    <w:p w:rsidR="0054116E" w:rsidRDefault="00C1626B" w:rsidP="00685130">
      <w:pPr>
        <w:jc w:val="both"/>
        <w:rPr>
          <w:rFonts w:ascii="Times New Roman" w:hAnsi="Times New Roman" w:cs="Times New Roman"/>
          <w:sz w:val="24"/>
        </w:rPr>
      </w:pPr>
      <w:r w:rsidRPr="006F519B">
        <w:rPr>
          <w:rFonts w:ascii="Times New Roman" w:hAnsi="Times New Roman" w:cs="Times New Roman"/>
          <w:sz w:val="24"/>
        </w:rPr>
        <w:t xml:space="preserve">Wysokość opłat za udzielenie domowi maklerskiemu zezwolenia, pozwolenia lub zgody na podstawie rozporządzenia Parlamentu Europejskiego i Rady (UE) nr 575/2013 z dnia 26 czerwca 2013 r. w sprawie wymogów ostrożnościowych dla instytucji kredytowych </w:t>
      </w:r>
      <w:r w:rsidR="00E35AFD">
        <w:rPr>
          <w:rFonts w:ascii="Times New Roman" w:hAnsi="Times New Roman" w:cs="Times New Roman"/>
          <w:sz w:val="24"/>
        </w:rPr>
        <w:t>oraz</w:t>
      </w:r>
      <w:r w:rsidRPr="006F519B">
        <w:rPr>
          <w:rFonts w:ascii="Times New Roman" w:hAnsi="Times New Roman" w:cs="Times New Roman"/>
          <w:sz w:val="24"/>
        </w:rPr>
        <w:t xml:space="preserve"> zmieniającego rozporządzenie (UE) nr 648/2012 </w:t>
      </w:r>
      <w:r w:rsidR="00D16B0A" w:rsidRPr="006F519B">
        <w:rPr>
          <w:rFonts w:ascii="Times New Roman" w:hAnsi="Times New Roman" w:cs="Times New Roman"/>
          <w:sz w:val="24"/>
        </w:rPr>
        <w:t xml:space="preserve">wskazano w </w:t>
      </w:r>
      <w:r w:rsidR="00D16B0A" w:rsidRPr="006F519B">
        <w:rPr>
          <w:rFonts w:ascii="Times New Roman" w:hAnsi="Times New Roman" w:cs="Times New Roman"/>
          <w:b/>
          <w:sz w:val="24"/>
        </w:rPr>
        <w:t>§ 5</w:t>
      </w:r>
      <w:r w:rsidR="00D16B0A" w:rsidRPr="006F519B">
        <w:rPr>
          <w:rFonts w:ascii="Times New Roman" w:hAnsi="Times New Roman" w:cs="Times New Roman"/>
          <w:sz w:val="24"/>
        </w:rPr>
        <w:t xml:space="preserve"> projektowanego rozporządzenia</w:t>
      </w:r>
      <w:r w:rsidR="00E35AFD">
        <w:rPr>
          <w:rFonts w:ascii="Times New Roman" w:hAnsi="Times New Roman" w:cs="Times New Roman"/>
          <w:sz w:val="24"/>
        </w:rPr>
        <w:t>.</w:t>
      </w:r>
    </w:p>
    <w:p w:rsidR="00A14BC1" w:rsidRDefault="00706D39" w:rsidP="0068513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Bez zmian w stosunku do obowiązującego rozporządzenia pozostają </w:t>
      </w:r>
      <w:r w:rsidR="00685130">
        <w:rPr>
          <w:rFonts w:ascii="Times New Roman" w:hAnsi="Times New Roman" w:cs="Times New Roman"/>
          <w:sz w:val="24"/>
        </w:rPr>
        <w:t xml:space="preserve">także inne </w:t>
      </w:r>
      <w:r>
        <w:rPr>
          <w:rFonts w:ascii="Times New Roman" w:hAnsi="Times New Roman" w:cs="Times New Roman"/>
          <w:sz w:val="24"/>
        </w:rPr>
        <w:t xml:space="preserve">opłaty </w:t>
      </w:r>
      <w:r w:rsidR="00A14BC1">
        <w:rPr>
          <w:rFonts w:ascii="Times New Roman" w:hAnsi="Times New Roman" w:cs="Times New Roman"/>
          <w:sz w:val="24"/>
        </w:rPr>
        <w:t>jednorazowe</w:t>
      </w:r>
      <w:r w:rsidR="00A14BC1" w:rsidRPr="00A14BC1">
        <w:rPr>
          <w:rFonts w:ascii="Times New Roman" w:hAnsi="Times New Roman" w:cs="Times New Roman"/>
          <w:sz w:val="24"/>
        </w:rPr>
        <w:t xml:space="preserve"> za udzielenie przez KNF zgody, zezwolenia lub podjęcie innej c</w:t>
      </w:r>
      <w:r w:rsidR="00A14BC1">
        <w:rPr>
          <w:rFonts w:ascii="Times New Roman" w:hAnsi="Times New Roman" w:cs="Times New Roman"/>
          <w:sz w:val="24"/>
        </w:rPr>
        <w:t>zynności o podobnym charakterze</w:t>
      </w:r>
      <w:r w:rsidR="00685130">
        <w:rPr>
          <w:rFonts w:ascii="Times New Roman" w:hAnsi="Times New Roman" w:cs="Times New Roman"/>
          <w:sz w:val="24"/>
        </w:rPr>
        <w:t>, a zatem</w:t>
      </w:r>
      <w:r w:rsidR="00A14BC1">
        <w:rPr>
          <w:rFonts w:ascii="Times New Roman" w:hAnsi="Times New Roman" w:cs="Times New Roman"/>
          <w:sz w:val="24"/>
        </w:rPr>
        <w:t>:</w:t>
      </w:r>
    </w:p>
    <w:p w:rsidR="00D16B0A" w:rsidRDefault="008348A2" w:rsidP="00197AF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udzielenie </w:t>
      </w:r>
      <w:r w:rsidR="00685130">
        <w:rPr>
          <w:rFonts w:ascii="Times New Roman" w:hAnsi="Times New Roman" w:cs="Times New Roman"/>
          <w:sz w:val="24"/>
          <w:szCs w:val="24"/>
        </w:rPr>
        <w:t xml:space="preserve">zgody </w:t>
      </w:r>
      <w:r w:rsidR="00E51B4B" w:rsidRPr="00A14BC1">
        <w:rPr>
          <w:rFonts w:ascii="Times New Roman" w:hAnsi="Times New Roman" w:cs="Times New Roman"/>
          <w:sz w:val="24"/>
          <w:szCs w:val="24"/>
        </w:rPr>
        <w:t xml:space="preserve">na podstawie przepisów ustawy </w:t>
      </w:r>
      <w:r w:rsidR="00FB62B0" w:rsidRPr="00FB62B0">
        <w:rPr>
          <w:rFonts w:ascii="Times New Roman" w:hAnsi="Times New Roman" w:cs="Times New Roman"/>
          <w:sz w:val="24"/>
          <w:szCs w:val="24"/>
        </w:rPr>
        <w:t xml:space="preserve">z dnia 29 lipca 2005 r. o obrocie instrumentami finansowymi (Dz. U. z 2022 r. poz. </w:t>
      </w:r>
      <w:r w:rsidR="007A51CA">
        <w:rPr>
          <w:rFonts w:ascii="Times New Roman" w:hAnsi="Times New Roman" w:cs="Times New Roman"/>
          <w:sz w:val="24"/>
          <w:szCs w:val="24"/>
        </w:rPr>
        <w:t>1500 i 1488</w:t>
      </w:r>
      <w:r w:rsidR="00FB62B0" w:rsidRPr="00FB62B0">
        <w:rPr>
          <w:rFonts w:ascii="Times New Roman" w:hAnsi="Times New Roman" w:cs="Times New Roman"/>
          <w:sz w:val="24"/>
          <w:szCs w:val="24"/>
        </w:rPr>
        <w:t>)</w:t>
      </w:r>
      <w:r w:rsidR="004737B7">
        <w:rPr>
          <w:rFonts w:ascii="Times New Roman" w:hAnsi="Times New Roman" w:cs="Times New Roman"/>
          <w:sz w:val="24"/>
          <w:szCs w:val="24"/>
        </w:rPr>
        <w:t>, zwan</w:t>
      </w:r>
      <w:r w:rsidR="00BF14B1">
        <w:rPr>
          <w:rFonts w:ascii="Times New Roman" w:hAnsi="Times New Roman" w:cs="Times New Roman"/>
          <w:sz w:val="24"/>
          <w:szCs w:val="24"/>
        </w:rPr>
        <w:t>ej</w:t>
      </w:r>
      <w:r w:rsidR="004737B7">
        <w:rPr>
          <w:rFonts w:ascii="Times New Roman" w:hAnsi="Times New Roman" w:cs="Times New Roman"/>
          <w:sz w:val="24"/>
          <w:szCs w:val="24"/>
        </w:rPr>
        <w:t xml:space="preserve"> dalej „ustawą o obrocie instrumentami finansowymi”</w:t>
      </w:r>
      <w:r w:rsidR="00A14BC1">
        <w:rPr>
          <w:rFonts w:ascii="Times New Roman" w:hAnsi="Times New Roman" w:cs="Times New Roman"/>
          <w:sz w:val="24"/>
          <w:szCs w:val="24"/>
        </w:rPr>
        <w:t>, które wymieniono</w:t>
      </w:r>
      <w:r w:rsidR="00E51B4B" w:rsidRPr="00A14BC1">
        <w:rPr>
          <w:rFonts w:ascii="Times New Roman" w:hAnsi="Times New Roman" w:cs="Times New Roman"/>
          <w:sz w:val="24"/>
          <w:szCs w:val="24"/>
        </w:rPr>
        <w:t xml:space="preserve"> </w:t>
      </w:r>
      <w:r w:rsidR="00E51B4B" w:rsidRPr="00B11CEF">
        <w:rPr>
          <w:rFonts w:ascii="Times New Roman" w:hAnsi="Times New Roman" w:cs="Times New Roman"/>
          <w:sz w:val="24"/>
          <w:szCs w:val="24"/>
        </w:rPr>
        <w:t>w</w:t>
      </w:r>
      <w:r w:rsidR="00497F35" w:rsidRPr="00A14BC1">
        <w:rPr>
          <w:rFonts w:ascii="Times New Roman" w:hAnsi="Times New Roman" w:cs="Times New Roman"/>
          <w:b/>
          <w:sz w:val="24"/>
          <w:szCs w:val="24"/>
        </w:rPr>
        <w:t xml:space="preserve"> § 6</w:t>
      </w:r>
      <w:r w:rsidR="00197AFB">
        <w:rPr>
          <w:rFonts w:ascii="Times New Roman" w:hAnsi="Times New Roman" w:cs="Times New Roman"/>
          <w:sz w:val="24"/>
          <w:szCs w:val="24"/>
        </w:rPr>
        <w:t xml:space="preserve"> (jednakże w </w:t>
      </w:r>
      <w:r w:rsidR="00197AFB" w:rsidRPr="00197AFB">
        <w:rPr>
          <w:rFonts w:ascii="Times New Roman" w:hAnsi="Times New Roman" w:cs="Times New Roman"/>
          <w:sz w:val="24"/>
          <w:szCs w:val="24"/>
        </w:rPr>
        <w:t>niniejszym paragrafie dokonano zmian redakcyjnych zgodnie z zasadami techniki prawodawczej</w:t>
      </w:r>
      <w:r w:rsidR="00197AFB">
        <w:rPr>
          <w:rFonts w:ascii="Times New Roman" w:hAnsi="Times New Roman" w:cs="Times New Roman"/>
          <w:sz w:val="24"/>
          <w:szCs w:val="24"/>
        </w:rPr>
        <w:t>)</w:t>
      </w:r>
      <w:r w:rsidR="00B11CEF">
        <w:rPr>
          <w:rFonts w:ascii="Times New Roman" w:hAnsi="Times New Roman" w:cs="Times New Roman"/>
          <w:sz w:val="24"/>
          <w:szCs w:val="24"/>
        </w:rPr>
        <w:t>,</w:t>
      </w:r>
    </w:p>
    <w:p w:rsidR="00A14BC1" w:rsidRPr="00B11CEF" w:rsidRDefault="00B11CEF" w:rsidP="00B11CE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zatwierdzenia zmian, złożenia zawiadomienia i przekazanie informacji na podstawie przepisów ustawy o obrocie instrumentami finansowymi, które wymieniono w </w:t>
      </w:r>
      <w:r w:rsidRPr="00B11CEF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207">
        <w:rPr>
          <w:rFonts w:ascii="Times New Roman" w:hAnsi="Times New Roman" w:cs="Times New Roman"/>
          <w:b/>
          <w:sz w:val="24"/>
          <w:szCs w:val="24"/>
        </w:rPr>
        <w:t>7</w:t>
      </w:r>
      <w:r w:rsidRPr="00B11CEF">
        <w:rPr>
          <w:rFonts w:ascii="Times New Roman" w:hAnsi="Times New Roman" w:cs="Times New Roman"/>
          <w:sz w:val="24"/>
          <w:szCs w:val="24"/>
        </w:rPr>
        <w:t>,</w:t>
      </w:r>
    </w:p>
    <w:p w:rsidR="00B11CEF" w:rsidRDefault="008348A2" w:rsidP="008348A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udzielenie </w:t>
      </w:r>
      <w:r w:rsidR="00AE2E7D">
        <w:rPr>
          <w:rFonts w:ascii="Times New Roman" w:hAnsi="Times New Roman" w:cs="Times New Roman"/>
          <w:sz w:val="24"/>
          <w:szCs w:val="24"/>
        </w:rPr>
        <w:t xml:space="preserve">zgody </w:t>
      </w:r>
      <w:r w:rsidR="00DF6C3F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zezwolenia na podstawie przepisów </w:t>
      </w:r>
      <w:r w:rsidR="004836C8" w:rsidRPr="004836C8">
        <w:rPr>
          <w:rFonts w:ascii="Times New Roman" w:hAnsi="Times New Roman" w:cs="Times New Roman"/>
          <w:sz w:val="24"/>
          <w:szCs w:val="24"/>
        </w:rPr>
        <w:t>ustawy z dnia 29 lipca 2005 r. o ofercie publicznej i warunkach wprowadzania instrumentów finansowych do zorganizowanego systemu obrotu oraz o spółkach publicznych (Dz. U. z 2021 r. poz. 1983 i 2140 oraz z 2022 r. poz. 872</w:t>
      </w:r>
      <w:r w:rsidR="007A51CA">
        <w:rPr>
          <w:rFonts w:ascii="Times New Roman" w:hAnsi="Times New Roman" w:cs="Times New Roman"/>
          <w:sz w:val="24"/>
          <w:szCs w:val="24"/>
        </w:rPr>
        <w:t xml:space="preserve"> i 1488</w:t>
      </w:r>
      <w:r w:rsidR="004836C8" w:rsidRPr="004836C8">
        <w:rPr>
          <w:rFonts w:ascii="Times New Roman" w:hAnsi="Times New Roman" w:cs="Times New Roman"/>
          <w:sz w:val="24"/>
          <w:szCs w:val="24"/>
        </w:rPr>
        <w:t>), zwanej dalej „ustawą o ofercie publicznej”,</w:t>
      </w:r>
      <w:r>
        <w:rPr>
          <w:rFonts w:ascii="Times New Roman" w:hAnsi="Times New Roman" w:cs="Times New Roman"/>
          <w:sz w:val="24"/>
          <w:szCs w:val="24"/>
        </w:rPr>
        <w:t xml:space="preserve">, które wymieniono w </w:t>
      </w:r>
      <w:r w:rsidRPr="00383207">
        <w:rPr>
          <w:rFonts w:ascii="Times New Roman" w:hAnsi="Times New Roman" w:cs="Times New Roman"/>
          <w:b/>
          <w:sz w:val="24"/>
          <w:szCs w:val="24"/>
        </w:rPr>
        <w:t>§</w:t>
      </w:r>
      <w:r w:rsidR="00AE2E7D" w:rsidRPr="00383207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AE2E7D">
        <w:rPr>
          <w:rFonts w:ascii="Times New Roman" w:hAnsi="Times New Roman" w:cs="Times New Roman"/>
          <w:sz w:val="24"/>
          <w:szCs w:val="24"/>
        </w:rPr>
        <w:t>,</w:t>
      </w:r>
    </w:p>
    <w:p w:rsidR="00AE2E7D" w:rsidRDefault="00AE2E7D" w:rsidP="0038320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uzyskanie przez dany podmiot statusu agencji informacyjnej w związku z wydaniem decyzji, o której mowa w art. 58 ust. 1 ustawy o ofercie publicznej</w:t>
      </w:r>
      <w:r w:rsidR="00383207">
        <w:rPr>
          <w:rFonts w:ascii="Times New Roman" w:hAnsi="Times New Roman" w:cs="Times New Roman"/>
          <w:sz w:val="24"/>
          <w:szCs w:val="24"/>
        </w:rPr>
        <w:t xml:space="preserve">, co określa </w:t>
      </w:r>
      <w:r w:rsidR="00383207" w:rsidRPr="00383207">
        <w:rPr>
          <w:rFonts w:ascii="Times New Roman" w:hAnsi="Times New Roman" w:cs="Times New Roman"/>
          <w:b/>
          <w:sz w:val="24"/>
          <w:szCs w:val="24"/>
        </w:rPr>
        <w:t>§ 9</w:t>
      </w:r>
      <w:r w:rsidR="00383207">
        <w:rPr>
          <w:rFonts w:ascii="Times New Roman" w:hAnsi="Times New Roman" w:cs="Times New Roman"/>
          <w:sz w:val="24"/>
          <w:szCs w:val="24"/>
        </w:rPr>
        <w:t>,</w:t>
      </w:r>
    </w:p>
    <w:p w:rsidR="00AE2E7D" w:rsidRDefault="00AC3244" w:rsidP="00CC74E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udzielenie zgody na utworzenie funduszu inwestycyjnego</w:t>
      </w:r>
      <w:r w:rsidR="006C1802">
        <w:rPr>
          <w:rFonts w:ascii="Times New Roman" w:hAnsi="Times New Roman" w:cs="Times New Roman"/>
          <w:sz w:val="24"/>
          <w:szCs w:val="24"/>
        </w:rPr>
        <w:t xml:space="preserve">, zmianę statutu funduszu inwestycyjnego </w:t>
      </w:r>
      <w:r w:rsidR="00CC74E7">
        <w:rPr>
          <w:rFonts w:ascii="Times New Roman" w:hAnsi="Times New Roman" w:cs="Times New Roman"/>
          <w:sz w:val="24"/>
          <w:szCs w:val="24"/>
        </w:rPr>
        <w:t xml:space="preserve">oraz na inne czynności związane z działalnością funduszu inwestycyjnego, które wymieniono w </w:t>
      </w:r>
      <w:r w:rsidR="00CC74E7" w:rsidRPr="00394F95">
        <w:rPr>
          <w:rFonts w:ascii="Times New Roman" w:hAnsi="Times New Roman" w:cs="Times New Roman"/>
          <w:b/>
          <w:sz w:val="24"/>
          <w:szCs w:val="24"/>
        </w:rPr>
        <w:t xml:space="preserve">§ 10 </w:t>
      </w:r>
      <w:r w:rsidR="00394F95" w:rsidRPr="00394F95">
        <w:rPr>
          <w:rFonts w:ascii="Times New Roman" w:hAnsi="Times New Roman" w:cs="Times New Roman"/>
          <w:b/>
          <w:sz w:val="24"/>
          <w:szCs w:val="24"/>
        </w:rPr>
        <w:t>ust. 1</w:t>
      </w:r>
      <w:r w:rsidR="00394F95">
        <w:rPr>
          <w:rFonts w:ascii="Times New Roman" w:hAnsi="Times New Roman" w:cs="Times New Roman"/>
          <w:sz w:val="24"/>
          <w:szCs w:val="24"/>
        </w:rPr>
        <w:t xml:space="preserve"> (z możliwością obniżenia wysokości opłaty w sytuacji, którą wskazano w </w:t>
      </w:r>
      <w:r w:rsidR="00394F95" w:rsidRPr="00394F95">
        <w:rPr>
          <w:rFonts w:ascii="Times New Roman" w:hAnsi="Times New Roman" w:cs="Times New Roman"/>
          <w:b/>
          <w:sz w:val="24"/>
          <w:szCs w:val="24"/>
        </w:rPr>
        <w:t>ust. 2</w:t>
      </w:r>
      <w:r w:rsidR="00E471C2">
        <w:rPr>
          <w:rFonts w:ascii="Times New Roman" w:hAnsi="Times New Roman" w:cs="Times New Roman"/>
          <w:sz w:val="24"/>
          <w:szCs w:val="24"/>
        </w:rPr>
        <w:t>),</w:t>
      </w:r>
    </w:p>
    <w:p w:rsidR="00E471C2" w:rsidRDefault="00E471C2" w:rsidP="00E471C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udzielenie zgody na podstawie przepisów ustawy o funduszach inwestycyjnych, o których mowa w </w:t>
      </w:r>
      <w:r w:rsidRPr="00E471C2">
        <w:rPr>
          <w:rFonts w:ascii="Times New Roman" w:hAnsi="Times New Roman" w:cs="Times New Roman"/>
          <w:b/>
          <w:sz w:val="24"/>
          <w:szCs w:val="24"/>
        </w:rPr>
        <w:t>§ 11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471C2" w:rsidRDefault="008A0096" w:rsidP="008A009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dokonanie wpisu do rejestru na podstawie przepisów </w:t>
      </w:r>
      <w:r w:rsidR="002D32CD" w:rsidRPr="002D32CD">
        <w:rPr>
          <w:rFonts w:ascii="Times New Roman" w:hAnsi="Times New Roman" w:cs="Times New Roman"/>
          <w:sz w:val="24"/>
          <w:szCs w:val="24"/>
        </w:rPr>
        <w:t xml:space="preserve">ustawy z dnia 27 maja 2004 r. o funduszach inwestycyjnych i zarządzaniu alternatywnymi funduszami inwestycyjnymi (Dz. U. z </w:t>
      </w:r>
      <w:r w:rsidR="007A51CA">
        <w:rPr>
          <w:rFonts w:ascii="Times New Roman" w:hAnsi="Times New Roman" w:cs="Times New Roman"/>
          <w:sz w:val="24"/>
          <w:szCs w:val="24"/>
        </w:rPr>
        <w:t>2022 r. poz. 1546 i 1488</w:t>
      </w:r>
      <w:r w:rsidR="002D32CD" w:rsidRPr="002D32CD">
        <w:rPr>
          <w:rFonts w:ascii="Times New Roman" w:hAnsi="Times New Roman" w:cs="Times New Roman"/>
          <w:sz w:val="24"/>
          <w:szCs w:val="24"/>
        </w:rPr>
        <w:t>), zwanej dalej „ustawą o funduszach inwestycyjnych</w:t>
      </w:r>
      <w:r w:rsidR="004100E3" w:rsidRPr="002D32CD">
        <w:rPr>
          <w:rFonts w:ascii="Times New Roman" w:hAnsi="Times New Roman" w:cs="Times New Roman"/>
          <w:sz w:val="24"/>
          <w:szCs w:val="24"/>
        </w:rPr>
        <w:t>”</w:t>
      </w:r>
      <w:r w:rsidR="004100E3">
        <w:rPr>
          <w:rFonts w:ascii="Times New Roman" w:hAnsi="Times New Roman" w:cs="Times New Roman"/>
          <w:sz w:val="24"/>
          <w:szCs w:val="24"/>
        </w:rPr>
        <w:t>,</w:t>
      </w:r>
      <w:r w:rsidR="00C35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których mowa w </w:t>
      </w:r>
      <w:r w:rsidRPr="008A0096">
        <w:rPr>
          <w:rFonts w:ascii="Times New Roman" w:hAnsi="Times New Roman" w:cs="Times New Roman"/>
          <w:b/>
          <w:sz w:val="24"/>
          <w:szCs w:val="24"/>
        </w:rPr>
        <w:t>§ 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0096" w:rsidRDefault="00DF6C3F" w:rsidP="00DF6C3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udzielenie zgody lub zezwolenia na podstawie przepisów ustawy o giełdach towarowych, o których mowa w </w:t>
      </w:r>
      <w:r w:rsidRPr="00DF6C3F">
        <w:rPr>
          <w:rFonts w:ascii="Times New Roman" w:hAnsi="Times New Roman" w:cs="Times New Roman"/>
          <w:b/>
          <w:sz w:val="24"/>
          <w:szCs w:val="24"/>
        </w:rPr>
        <w:t>§ 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4B56" w:rsidRDefault="00814B56" w:rsidP="00685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Dodany </w:t>
      </w:r>
      <w:r w:rsidRPr="00814B56">
        <w:rPr>
          <w:rFonts w:ascii="Times New Roman" w:hAnsi="Times New Roman" w:cs="Times New Roman"/>
          <w:b/>
          <w:sz w:val="24"/>
          <w:szCs w:val="24"/>
        </w:rPr>
        <w:t>§ </w:t>
      </w:r>
      <w:r w:rsidR="00670AB2">
        <w:rPr>
          <w:rFonts w:ascii="Times New Roman" w:hAnsi="Times New Roman" w:cs="Times New Roman"/>
          <w:b/>
          <w:sz w:val="24"/>
          <w:szCs w:val="24"/>
        </w:rPr>
        <w:t>1</w:t>
      </w:r>
      <w:r w:rsidRPr="00814B5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określa wysokość </w:t>
      </w:r>
      <w:r w:rsidR="00670AB2">
        <w:rPr>
          <w:rFonts w:ascii="Times New Roman" w:hAnsi="Times New Roman" w:cs="Times New Roman"/>
          <w:sz w:val="24"/>
          <w:szCs w:val="24"/>
        </w:rPr>
        <w:t>opłat za udzielenie zezwolenia na prowadzenie działalności jako dostawca usług finansowania społecznościowego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0AB2">
        <w:rPr>
          <w:rFonts w:ascii="Times New Roman" w:hAnsi="Times New Roman" w:cs="Times New Roman"/>
          <w:sz w:val="24"/>
          <w:szCs w:val="24"/>
        </w:rPr>
        <w:t xml:space="preserve"> Należy zauważyć, że </w:t>
      </w:r>
      <w:r w:rsidR="00AE6FEB">
        <w:rPr>
          <w:rFonts w:ascii="Times New Roman" w:hAnsi="Times New Roman" w:cs="Times New Roman"/>
          <w:sz w:val="24"/>
          <w:szCs w:val="24"/>
        </w:rPr>
        <w:t>art. 31 ustawy</w:t>
      </w:r>
      <w:r w:rsidR="00670AB2">
        <w:rPr>
          <w:rFonts w:ascii="Times New Roman" w:hAnsi="Times New Roman" w:cs="Times New Roman"/>
          <w:sz w:val="24"/>
          <w:szCs w:val="24"/>
        </w:rPr>
        <w:t xml:space="preserve"> o finansowaniu społecznościowym określa </w:t>
      </w:r>
      <w:r w:rsidR="00AE6FEB">
        <w:rPr>
          <w:rFonts w:ascii="Times New Roman" w:hAnsi="Times New Roman" w:cs="Times New Roman"/>
          <w:sz w:val="24"/>
          <w:szCs w:val="24"/>
        </w:rPr>
        <w:t>opłaty za dwa rodzaje czynności – udzielenie zezwolenia oraz rozszerzenie zakresu już udzielonego zezwolenia. Wiąże się to z faktem, że działalność dostawcy usług finansowania społecznościowego może polegać na:</w:t>
      </w:r>
    </w:p>
    <w:p w:rsidR="00AE6FEB" w:rsidRDefault="00AE6FEB" w:rsidP="006851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wyłącznie ułatwianiu udzielania pożyczek, tj. działalności, o której mowa w art. 2 </w:t>
      </w:r>
      <w:r w:rsidRPr="00AE6FEB">
        <w:rPr>
          <w:rFonts w:ascii="Times New Roman" w:hAnsi="Times New Roman" w:cs="Times New Roman"/>
          <w:sz w:val="24"/>
          <w:szCs w:val="24"/>
        </w:rPr>
        <w:t>ust. 1 lit. a pkt i rozporządzenia Parlamentu Europejskiego i Rady (UE) 2020/1503 z dnia 7 października 2020 r. w sprawie europejskich dostawców usług finansowania społecznościowego dla przedsięwzięć gospodarczych oraz zmieniającego rozporządzenie (UE) 2017/1129 i dyrektywę (UE) 2019/1937 (Dz. Urz. UE L 347 z 20.10.2020, str. 1), zwanego dalej „rozporządzeniem 2020/1503”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6FEB" w:rsidRDefault="00AE6FEB" w:rsidP="0068513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wyłącznie prowadzeniu działalności określanej jako „crowdfunding udziałowy”, tj. działalności, o której mowa w </w:t>
      </w:r>
      <w:r w:rsidRPr="00AE6FEB">
        <w:rPr>
          <w:rFonts w:ascii="Times New Roman" w:hAnsi="Times New Roman" w:cs="Times New Roman"/>
          <w:sz w:val="24"/>
          <w:szCs w:val="24"/>
        </w:rPr>
        <w:t>art. 2 ust. 1 lit. a pkt ii rozporządzenia 2020/1503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6FEB" w:rsidRDefault="00AE6FEB" w:rsidP="00685130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prowadzeniu działalności w obu wskazanych wyżej zakresach.</w:t>
      </w:r>
    </w:p>
    <w:p w:rsidR="00AE6FEB" w:rsidRDefault="00AE6FEB" w:rsidP="006851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 </w:t>
      </w:r>
      <w:r w:rsidRPr="00AE6FEB">
        <w:rPr>
          <w:rFonts w:ascii="Times New Roman" w:hAnsi="Times New Roman" w:cs="Times New Roman"/>
          <w:b/>
          <w:sz w:val="24"/>
          <w:szCs w:val="24"/>
        </w:rPr>
        <w:t>§ 14 ust. 1</w:t>
      </w:r>
      <w:r>
        <w:rPr>
          <w:rFonts w:ascii="Times New Roman" w:hAnsi="Times New Roman" w:cs="Times New Roman"/>
          <w:sz w:val="24"/>
          <w:szCs w:val="24"/>
        </w:rPr>
        <w:t xml:space="preserve"> rozróżnia trzy wskazane wyżej sytuacje i określa odrębne stawki opłaty za udzielenie zezwolenia, w zależności od zakresu planowanej działalności podmiotu ubiegającego się o zezwolenie. Mając na uwadze, że na poziomie ustawy maksymalna stawka za udzielenie zezwolenia została określona na równowartość w złotych kwoty 4500 euro, projektowane rozporządzenie przewiduje taką właśnie wysokość opłaty w przypadku ubiegania się o zezwolenie w pełnym zakresie, tj. obejmującym działalność, o której mowa w </w:t>
      </w:r>
      <w:r w:rsidRPr="00AE6FEB">
        <w:rPr>
          <w:rFonts w:ascii="Times New Roman" w:hAnsi="Times New Roman" w:cs="Times New Roman"/>
          <w:sz w:val="24"/>
          <w:szCs w:val="24"/>
        </w:rPr>
        <w:t>art. 2 ust. 1 lit. a pkt i oraz ii rozporządzenia 2020/1503</w:t>
      </w:r>
      <w:r>
        <w:rPr>
          <w:rFonts w:ascii="Times New Roman" w:hAnsi="Times New Roman" w:cs="Times New Roman"/>
          <w:sz w:val="24"/>
          <w:szCs w:val="24"/>
        </w:rPr>
        <w:t xml:space="preserve">. Natomiast w przypadku gdy dostawca usług finansowania społecznościowego planuje świadczyć wyłącznie jeden z </w:t>
      </w:r>
      <w:r w:rsidR="00854E48">
        <w:rPr>
          <w:rFonts w:ascii="Times New Roman" w:hAnsi="Times New Roman" w:cs="Times New Roman"/>
          <w:sz w:val="24"/>
          <w:szCs w:val="24"/>
        </w:rPr>
        <w:t xml:space="preserve">dwóch </w:t>
      </w:r>
      <w:r>
        <w:rPr>
          <w:rFonts w:ascii="Times New Roman" w:hAnsi="Times New Roman" w:cs="Times New Roman"/>
          <w:sz w:val="24"/>
          <w:szCs w:val="24"/>
        </w:rPr>
        <w:t>dopuszczalnych rodzajów usług finansowania społecznościowego, wysokość opłaty będzie wynosić połowę tej stawki, tj. równowartość w złotych kwoty 2250 euro.</w:t>
      </w:r>
    </w:p>
    <w:p w:rsidR="00AE6FEB" w:rsidRDefault="006C42C3" w:rsidP="00685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Możliwa jest również sytuacja, w której dostawca usług finansowania społecznościowego, który uzyskał już zezwolenie obejmujące jeden z dopuszczalnych rodzajów usług, zechce rozszerzyć swoją działalność o drugi z możliwych rodzajów usług. W tej sytuacji </w:t>
      </w:r>
      <w:r w:rsidRPr="006C42C3">
        <w:rPr>
          <w:rFonts w:ascii="Times New Roman" w:hAnsi="Times New Roman" w:cs="Times New Roman"/>
          <w:b/>
          <w:sz w:val="24"/>
          <w:szCs w:val="24"/>
        </w:rPr>
        <w:t>§ 14 ust. 2</w:t>
      </w:r>
      <w:r>
        <w:rPr>
          <w:rFonts w:ascii="Times New Roman" w:hAnsi="Times New Roman" w:cs="Times New Roman"/>
          <w:sz w:val="24"/>
          <w:szCs w:val="24"/>
        </w:rPr>
        <w:t xml:space="preserve"> projektu przewiduje, że podmiot taki będzie obowiązany uiścić opłatę </w:t>
      </w:r>
      <w:r w:rsidR="00854E48">
        <w:rPr>
          <w:rFonts w:ascii="Times New Roman" w:hAnsi="Times New Roman" w:cs="Times New Roman"/>
          <w:sz w:val="24"/>
          <w:szCs w:val="24"/>
        </w:rPr>
        <w:t xml:space="preserve">za rozszerzenie zezwolenia </w:t>
      </w:r>
      <w:r>
        <w:rPr>
          <w:rFonts w:ascii="Times New Roman" w:hAnsi="Times New Roman" w:cs="Times New Roman"/>
          <w:sz w:val="24"/>
          <w:szCs w:val="24"/>
        </w:rPr>
        <w:t>w wysokości równowartości w złotych kwoty 2250 euro.</w:t>
      </w:r>
    </w:p>
    <w:p w:rsidR="002460A0" w:rsidRDefault="002460A0" w:rsidP="00685130">
      <w:pPr>
        <w:jc w:val="both"/>
        <w:rPr>
          <w:rFonts w:ascii="Times New Roman" w:hAnsi="Times New Roman" w:cs="Times New Roman"/>
          <w:sz w:val="24"/>
          <w:szCs w:val="24"/>
        </w:rPr>
      </w:pPr>
      <w:r w:rsidRPr="002460A0">
        <w:rPr>
          <w:rFonts w:ascii="Times New Roman" w:hAnsi="Times New Roman" w:cs="Times New Roman"/>
          <w:sz w:val="24"/>
          <w:szCs w:val="24"/>
        </w:rPr>
        <w:t xml:space="preserve">Terminy na uiszczenie opłat, o których mowa w § 2-14, określono w </w:t>
      </w:r>
      <w:r w:rsidRPr="003D571B">
        <w:rPr>
          <w:rFonts w:ascii="Times New Roman" w:hAnsi="Times New Roman" w:cs="Times New Roman"/>
          <w:b/>
          <w:sz w:val="24"/>
          <w:szCs w:val="24"/>
        </w:rPr>
        <w:t>§ 15</w:t>
      </w:r>
      <w:r w:rsidRPr="002460A0">
        <w:rPr>
          <w:rFonts w:ascii="Times New Roman" w:hAnsi="Times New Roman" w:cs="Times New Roman"/>
          <w:sz w:val="24"/>
          <w:szCs w:val="24"/>
        </w:rPr>
        <w:t xml:space="preserve">. </w:t>
      </w:r>
      <w:r w:rsidR="00197AFB">
        <w:rPr>
          <w:rFonts w:ascii="Times New Roman" w:hAnsi="Times New Roman" w:cs="Times New Roman"/>
          <w:sz w:val="24"/>
          <w:szCs w:val="24"/>
        </w:rPr>
        <w:t xml:space="preserve">W </w:t>
      </w:r>
      <w:r w:rsidR="00197AFB" w:rsidRPr="00197AFB">
        <w:rPr>
          <w:rFonts w:ascii="Times New Roman" w:hAnsi="Times New Roman" w:cs="Times New Roman"/>
          <w:sz w:val="24"/>
          <w:szCs w:val="24"/>
        </w:rPr>
        <w:t>niniejszym paragrafie dokonano zmian redakcyjnych zgodnie z zasadami techniki prawodawczej</w:t>
      </w:r>
    </w:p>
    <w:p w:rsidR="00517EC1" w:rsidRDefault="00517EC1" w:rsidP="00685130">
      <w:pPr>
        <w:jc w:val="both"/>
        <w:rPr>
          <w:rFonts w:ascii="Times New Roman" w:hAnsi="Times New Roman" w:cs="Times New Roman"/>
          <w:sz w:val="24"/>
          <w:szCs w:val="24"/>
        </w:rPr>
      </w:pPr>
      <w:r w:rsidRPr="00517EC1">
        <w:rPr>
          <w:rFonts w:ascii="Times New Roman" w:hAnsi="Times New Roman" w:cs="Times New Roman"/>
          <w:sz w:val="24"/>
          <w:szCs w:val="24"/>
        </w:rPr>
        <w:lastRenderedPageBreak/>
        <w:t xml:space="preserve">Bez zmian w stosunku do obowiązującego rozporządzenia pozostają także </w:t>
      </w:r>
      <w:r w:rsidR="006E7EA8">
        <w:rPr>
          <w:rFonts w:ascii="Times New Roman" w:hAnsi="Times New Roman" w:cs="Times New Roman"/>
          <w:sz w:val="24"/>
          <w:szCs w:val="24"/>
        </w:rPr>
        <w:t>opłaty stałe</w:t>
      </w:r>
      <w:r w:rsidR="00501529">
        <w:rPr>
          <w:rFonts w:ascii="Times New Roman" w:hAnsi="Times New Roman" w:cs="Times New Roman"/>
          <w:sz w:val="24"/>
          <w:szCs w:val="24"/>
        </w:rPr>
        <w:t>, a zatem:</w:t>
      </w:r>
    </w:p>
    <w:p w:rsidR="00501529" w:rsidRDefault="00501529" w:rsidP="0050152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roczna opłata od agencji informacyjnej w rozumieniu art. 58 ust. 1 ustawy o ofercie publicznej, o której mowa w </w:t>
      </w:r>
      <w:r w:rsidRPr="009B18D5">
        <w:rPr>
          <w:rFonts w:ascii="Times New Roman" w:hAnsi="Times New Roman" w:cs="Times New Roman"/>
          <w:b/>
          <w:sz w:val="24"/>
          <w:szCs w:val="24"/>
        </w:rPr>
        <w:t>§ 16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01529" w:rsidRDefault="00C35852" w:rsidP="009B18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roczna opłata</w:t>
      </w:r>
      <w:r w:rsidR="001E36D8">
        <w:rPr>
          <w:rFonts w:ascii="Times New Roman" w:hAnsi="Times New Roman" w:cs="Times New Roman"/>
          <w:sz w:val="24"/>
          <w:szCs w:val="24"/>
        </w:rPr>
        <w:t xml:space="preserve">, o której mowa w art. 236 ust. 2i i 2j ustawy o funduszach inwestycyjnych, </w:t>
      </w:r>
      <w:r w:rsidR="009B18D5">
        <w:rPr>
          <w:rFonts w:ascii="Times New Roman" w:hAnsi="Times New Roman" w:cs="Times New Roman"/>
          <w:sz w:val="24"/>
          <w:szCs w:val="24"/>
        </w:rPr>
        <w:t xml:space="preserve">którą przewidziano w </w:t>
      </w:r>
      <w:r w:rsidR="009B18D5" w:rsidRPr="00807141">
        <w:rPr>
          <w:rFonts w:ascii="Times New Roman" w:hAnsi="Times New Roman" w:cs="Times New Roman"/>
          <w:b/>
          <w:sz w:val="24"/>
          <w:szCs w:val="24"/>
        </w:rPr>
        <w:t>§ 17</w:t>
      </w:r>
      <w:r w:rsidR="00197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AFB">
        <w:rPr>
          <w:rFonts w:ascii="Times New Roman" w:hAnsi="Times New Roman" w:cs="Times New Roman"/>
          <w:sz w:val="24"/>
          <w:szCs w:val="24"/>
        </w:rPr>
        <w:t xml:space="preserve">(jednakże w </w:t>
      </w:r>
      <w:r w:rsidR="00197AFB" w:rsidRPr="00197AFB">
        <w:rPr>
          <w:rFonts w:ascii="Times New Roman" w:hAnsi="Times New Roman" w:cs="Times New Roman"/>
          <w:sz w:val="24"/>
          <w:szCs w:val="24"/>
        </w:rPr>
        <w:t>niniejszym paragrafie dokonano zmian redakcyjnych zgodnie z zasadami techniki prawodawczej</w:t>
      </w:r>
      <w:r w:rsidR="00197AFB">
        <w:rPr>
          <w:rFonts w:ascii="Times New Roman" w:hAnsi="Times New Roman" w:cs="Times New Roman"/>
          <w:sz w:val="24"/>
          <w:szCs w:val="24"/>
        </w:rPr>
        <w:t>)</w:t>
      </w:r>
      <w:r w:rsidR="00D02B58">
        <w:rPr>
          <w:rFonts w:ascii="Times New Roman" w:hAnsi="Times New Roman" w:cs="Times New Roman"/>
          <w:sz w:val="24"/>
          <w:szCs w:val="24"/>
        </w:rPr>
        <w:t>.</w:t>
      </w:r>
    </w:p>
    <w:p w:rsidR="004B4445" w:rsidRDefault="0027499D" w:rsidP="00685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B4445" w:rsidRPr="007377A4">
        <w:rPr>
          <w:rFonts w:ascii="Times New Roman" w:hAnsi="Times New Roman" w:cs="Times New Roman"/>
          <w:b/>
          <w:sz w:val="24"/>
          <w:szCs w:val="24"/>
        </w:rPr>
        <w:t>§ 18</w:t>
      </w:r>
      <w:r>
        <w:rPr>
          <w:rFonts w:ascii="Times New Roman" w:hAnsi="Times New Roman" w:cs="Times New Roman"/>
          <w:sz w:val="24"/>
          <w:szCs w:val="24"/>
        </w:rPr>
        <w:t xml:space="preserve"> wskazano katalog opłat, które </w:t>
      </w:r>
      <w:r w:rsidRPr="0027499D">
        <w:rPr>
          <w:rFonts w:ascii="Times New Roman" w:hAnsi="Times New Roman" w:cs="Times New Roman"/>
          <w:sz w:val="24"/>
          <w:szCs w:val="24"/>
        </w:rPr>
        <w:t xml:space="preserve">wnosi się jednorazowo, w terminie do ostatniego dnia trzeciego kwartału danego roku kalendarzowego, a w przypadku gdy podmiot zobowiązany do wniesienia opłaty rozpoczął działalność po tym dniu </w:t>
      </w:r>
      <w:r w:rsidR="00D62127">
        <w:rPr>
          <w:rFonts w:ascii="Times New Roman" w:hAnsi="Times New Roman" w:cs="Times New Roman"/>
          <w:sz w:val="24"/>
          <w:szCs w:val="24"/>
        </w:rPr>
        <w:t>-</w:t>
      </w:r>
      <w:r w:rsidRPr="0027499D">
        <w:rPr>
          <w:rFonts w:ascii="Times New Roman" w:hAnsi="Times New Roman" w:cs="Times New Roman"/>
          <w:sz w:val="24"/>
          <w:szCs w:val="24"/>
        </w:rPr>
        <w:t xml:space="preserve"> do ostatniego dnia czwartego kwartału danego roku kalendarzowego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959" w:rsidRDefault="005509AF" w:rsidP="00685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obliczania kosztów nadzoru netto zawarto w </w:t>
      </w:r>
      <w:r w:rsidR="003D6959" w:rsidRPr="005509AF">
        <w:rPr>
          <w:rFonts w:ascii="Times New Roman" w:hAnsi="Times New Roman" w:cs="Times New Roman"/>
          <w:b/>
          <w:sz w:val="24"/>
          <w:szCs w:val="24"/>
        </w:rPr>
        <w:t>§ 19</w:t>
      </w:r>
      <w:r w:rsidR="003D6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zachowaniem pomniejszeń, które przewidziano w obowiązującym obecnie rozporządzeniu. </w:t>
      </w:r>
    </w:p>
    <w:p w:rsidR="009A54CC" w:rsidRDefault="004F3F08" w:rsidP="00685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nadzoru netto podlegają podziałowi pomiędzy grupy wskazane w </w:t>
      </w:r>
      <w:r w:rsidRPr="003D10ED">
        <w:rPr>
          <w:rFonts w:ascii="Times New Roman" w:hAnsi="Times New Roman" w:cs="Times New Roman"/>
          <w:b/>
          <w:sz w:val="24"/>
          <w:szCs w:val="24"/>
        </w:rPr>
        <w:t>§ 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31B1">
        <w:rPr>
          <w:rFonts w:ascii="Times New Roman" w:hAnsi="Times New Roman" w:cs="Times New Roman"/>
          <w:sz w:val="24"/>
          <w:szCs w:val="24"/>
        </w:rPr>
        <w:t>D</w:t>
      </w:r>
      <w:r w:rsidR="009A54CC">
        <w:rPr>
          <w:rFonts w:ascii="Times New Roman" w:hAnsi="Times New Roman" w:cs="Times New Roman"/>
          <w:sz w:val="24"/>
          <w:szCs w:val="24"/>
        </w:rPr>
        <w:t xml:space="preserve">ostawcy usług finansowania społecznościowego zostali zakwalifikowani do grupy III </w:t>
      </w:r>
      <w:r w:rsidR="00C81923">
        <w:rPr>
          <w:rFonts w:ascii="Times New Roman" w:hAnsi="Times New Roman" w:cs="Times New Roman"/>
          <w:sz w:val="24"/>
          <w:szCs w:val="24"/>
        </w:rPr>
        <w:t>do celów obliczania rocznych opłat należnych od tych podmiotów. Dostawcy usług finansowania społecznościowego zostali zakwalifikowani do tej samej grupy, w której znajdują się m.in. domy maklerskie, biorąc pod uwagę, że na poziomie ustawowym zasady obliczania rocznej opłaty od obu tych rodzajów podmiotów zostały ustalone w tożsamy sposób.</w:t>
      </w:r>
      <w:r w:rsidR="003D1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AFB" w:rsidRDefault="00197AFB" w:rsidP="00197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z uwagi na fakt, że podmioty wchodzące w skład grupy III, wskazane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§ 20 ust. 1 pkt 3 lit. b i d </w:t>
      </w:r>
      <w:r>
        <w:rPr>
          <w:rFonts w:ascii="Times New Roman" w:hAnsi="Times New Roman" w:cs="Times New Roman"/>
          <w:sz w:val="24"/>
          <w:szCs w:val="24"/>
        </w:rPr>
        <w:t>obowiązującego rozporządzenia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mają przewidziane inne wartości stawki maksymalnej na poziomie ustawowym, niż pozostałe podmioty w tejże grupie, konieczne było utworzenie dla nich osobnej grupy, w skład której wchodzą wyłącznie zagraniczne firmy inwestycyjne prowadzące działalność maklerską na terytorium Rzeczypospolitej Polskiej w formie oddziału oraz zagraniczne osoby prawne prowadzące taką działalność na terytorium Rzeczypospolitej Polskiej oraz zagraniczne osoby prawne, o których mowa w art. 50 ust. 1 ustawy o giełdach towarowych, prowadzące działalność na terytorium Rzeczypospolitej Polskiej w formie oddziału. Skład pozostałych grup nie uległ zmianie</w:t>
      </w:r>
    </w:p>
    <w:p w:rsidR="00DA502A" w:rsidRPr="00C86C7C" w:rsidRDefault="00DA502A" w:rsidP="00685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obliczania opłaty rocznej należy stosować wzór z </w:t>
      </w:r>
      <w:r w:rsidRPr="00F35FFB">
        <w:rPr>
          <w:rFonts w:ascii="Times New Roman" w:hAnsi="Times New Roman" w:cs="Times New Roman"/>
          <w:b/>
          <w:sz w:val="24"/>
          <w:szCs w:val="24"/>
        </w:rPr>
        <w:t>§ 21</w:t>
      </w:r>
      <w:r>
        <w:rPr>
          <w:rFonts w:ascii="Times New Roman" w:hAnsi="Times New Roman" w:cs="Times New Roman"/>
          <w:sz w:val="24"/>
          <w:szCs w:val="24"/>
        </w:rPr>
        <w:t>, w którym zawarto także wyjaśnienia poszczególnych symboli. Metoda obliczania pozostaje bez zmian w stosunku do tej, którą przewidziano w rozporządzeniu obowiązującym.</w:t>
      </w:r>
      <w:r w:rsidR="001D3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A1D" w:rsidRPr="00CE3564" w:rsidRDefault="00CE3564" w:rsidP="00685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CE3564">
        <w:rPr>
          <w:rFonts w:ascii="Times New Roman" w:hAnsi="Times New Roman" w:cs="Times New Roman"/>
          <w:b/>
          <w:sz w:val="24"/>
          <w:szCs w:val="24"/>
        </w:rPr>
        <w:t>§ 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 obliczaniu równowartości w złotych kwot opłat wyrażonych w euro, a </w:t>
      </w:r>
      <w:r w:rsidR="00461B0F">
        <w:rPr>
          <w:rFonts w:ascii="Times New Roman" w:hAnsi="Times New Roman" w:cs="Times New Roman"/>
          <w:sz w:val="24"/>
          <w:szCs w:val="24"/>
        </w:rPr>
        <w:t>także wysokości kapitału własnego wyrażonego w innej walucie niż waluta polska na potrzeby sprawozdań finansowych, o których mowa w art. 94a ustawy o ofercie publicznej – stosuje się średni kurs tej waluty ogłaszany przez Narodo</w:t>
      </w:r>
      <w:r w:rsidR="00EE4387">
        <w:rPr>
          <w:rFonts w:ascii="Times New Roman" w:hAnsi="Times New Roman" w:cs="Times New Roman"/>
          <w:sz w:val="24"/>
          <w:szCs w:val="24"/>
        </w:rPr>
        <w:t>wy Bank Polski na dzień wskazany odpowiednio w ust. 1 i 2.</w:t>
      </w:r>
    </w:p>
    <w:p w:rsidR="007E4846" w:rsidRPr="00A92E66" w:rsidRDefault="00EB55E2" w:rsidP="00685130">
      <w:pPr>
        <w:jc w:val="both"/>
        <w:rPr>
          <w:rFonts w:ascii="Times New Roman" w:hAnsi="Times New Roman" w:cs="Times New Roman"/>
          <w:sz w:val="24"/>
          <w:szCs w:val="24"/>
        </w:rPr>
      </w:pPr>
      <w:r w:rsidRPr="00EB55E2">
        <w:rPr>
          <w:rFonts w:ascii="Times New Roman" w:hAnsi="Times New Roman" w:cs="Times New Roman"/>
          <w:sz w:val="24"/>
          <w:szCs w:val="24"/>
        </w:rPr>
        <w:t>Przewodniczący Komisji Nadzoru Finansowego do dnia 31 sierpnia roku kalendarzowego będzie podawał informacje niezbędne do obliczenia wysokości opłat, jakie podmioty nadzorowane będą zobowiązane uiścić</w:t>
      </w:r>
      <w:r>
        <w:rPr>
          <w:rFonts w:ascii="Times New Roman" w:hAnsi="Times New Roman" w:cs="Times New Roman"/>
          <w:sz w:val="24"/>
          <w:szCs w:val="24"/>
        </w:rPr>
        <w:t xml:space="preserve">, co przewidziano w </w:t>
      </w:r>
      <w:r w:rsidRPr="000F1C6E">
        <w:rPr>
          <w:rFonts w:ascii="Times New Roman" w:hAnsi="Times New Roman" w:cs="Times New Roman"/>
          <w:b/>
          <w:sz w:val="24"/>
          <w:szCs w:val="24"/>
        </w:rPr>
        <w:t>§ 23</w:t>
      </w:r>
      <w:r w:rsidRPr="00EB55E2">
        <w:rPr>
          <w:rFonts w:ascii="Times New Roman" w:hAnsi="Times New Roman" w:cs="Times New Roman"/>
          <w:sz w:val="24"/>
          <w:szCs w:val="24"/>
        </w:rPr>
        <w:t xml:space="preserve">. Celem </w:t>
      </w:r>
      <w:r>
        <w:rPr>
          <w:rFonts w:ascii="Times New Roman" w:hAnsi="Times New Roman" w:cs="Times New Roman"/>
          <w:sz w:val="24"/>
          <w:szCs w:val="24"/>
        </w:rPr>
        <w:t>tego</w:t>
      </w:r>
      <w:r w:rsidRPr="00EB55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przepisu</w:t>
      </w:r>
      <w:r w:rsidRPr="00EB55E2">
        <w:rPr>
          <w:rFonts w:ascii="Times New Roman" w:hAnsi="Times New Roman" w:cs="Times New Roman"/>
          <w:sz w:val="24"/>
          <w:szCs w:val="24"/>
        </w:rPr>
        <w:t xml:space="preserve"> jest zapewnienie efektywności informacyjnej publikowanych przez Przewodniczącego Komisji Nadzoru Finansowego informacji dotyczących opłat i kosztów nadzoru netto za poprzedni rok kalendarzowy. Publikowane dane, wzorem innych rozporządzeń, będą zawierały informacje, zarówno ogółem, jak i w podziale na grupy, niezbędne do dokonania rozliczenia. </w:t>
      </w:r>
      <w:r w:rsidR="00C42661">
        <w:rPr>
          <w:rFonts w:ascii="Times New Roman" w:hAnsi="Times New Roman" w:cs="Times New Roman"/>
          <w:sz w:val="24"/>
          <w:szCs w:val="24"/>
        </w:rPr>
        <w:t xml:space="preserve">Terminy </w:t>
      </w:r>
      <w:r w:rsidR="00C42661">
        <w:rPr>
          <w:rFonts w:ascii="Times New Roman" w:hAnsi="Times New Roman" w:cs="Times New Roman"/>
          <w:sz w:val="24"/>
          <w:szCs w:val="24"/>
        </w:rPr>
        <w:lastRenderedPageBreak/>
        <w:t xml:space="preserve">związane z opłatą roczną i wymaganym złożeniem przez podmioty, o których mowa w </w:t>
      </w:r>
      <w:r w:rsidR="00E3728B" w:rsidRPr="00E3728B">
        <w:rPr>
          <w:rFonts w:ascii="Times New Roman" w:hAnsi="Times New Roman" w:cs="Times New Roman"/>
          <w:sz w:val="24"/>
          <w:szCs w:val="24"/>
        </w:rPr>
        <w:t>§ 20</w:t>
      </w:r>
      <w:r w:rsidR="00E3728B">
        <w:rPr>
          <w:rFonts w:ascii="Times New Roman" w:hAnsi="Times New Roman" w:cs="Times New Roman"/>
          <w:sz w:val="24"/>
          <w:szCs w:val="24"/>
        </w:rPr>
        <w:t>,</w:t>
      </w:r>
      <w:r w:rsidR="00C42661">
        <w:rPr>
          <w:rFonts w:ascii="Times New Roman" w:hAnsi="Times New Roman" w:cs="Times New Roman"/>
          <w:sz w:val="24"/>
          <w:szCs w:val="24"/>
        </w:rPr>
        <w:t xml:space="preserve"> deklaracji o opłacie rocznej wniesionej na pokrycie kosztów</w:t>
      </w:r>
      <w:r w:rsidR="00E3728B">
        <w:rPr>
          <w:rFonts w:ascii="Times New Roman" w:hAnsi="Times New Roman" w:cs="Times New Roman"/>
          <w:sz w:val="24"/>
          <w:szCs w:val="24"/>
        </w:rPr>
        <w:t xml:space="preserve"> określono w </w:t>
      </w:r>
      <w:r w:rsidR="00E3728B" w:rsidRPr="00E3728B">
        <w:rPr>
          <w:rFonts w:ascii="Times New Roman" w:hAnsi="Times New Roman" w:cs="Times New Roman"/>
          <w:b/>
          <w:sz w:val="24"/>
          <w:szCs w:val="24"/>
        </w:rPr>
        <w:t>§ 24</w:t>
      </w:r>
      <w:r w:rsidR="0085336B">
        <w:rPr>
          <w:rFonts w:ascii="Times New Roman" w:hAnsi="Times New Roman" w:cs="Times New Roman"/>
          <w:sz w:val="24"/>
          <w:szCs w:val="24"/>
        </w:rPr>
        <w:t xml:space="preserve"> wraz z</w:t>
      </w:r>
      <w:r w:rsidR="00E3728B">
        <w:rPr>
          <w:rFonts w:ascii="Times New Roman" w:hAnsi="Times New Roman" w:cs="Times New Roman"/>
          <w:sz w:val="24"/>
          <w:szCs w:val="24"/>
        </w:rPr>
        <w:t xml:space="preserve"> </w:t>
      </w:r>
      <w:r w:rsidR="0085336B">
        <w:rPr>
          <w:rFonts w:ascii="Times New Roman" w:hAnsi="Times New Roman" w:cs="Times New Roman"/>
          <w:sz w:val="24"/>
          <w:szCs w:val="24"/>
        </w:rPr>
        <w:t>informacjami</w:t>
      </w:r>
      <w:r w:rsidR="00AB3E52">
        <w:rPr>
          <w:rFonts w:ascii="Times New Roman" w:hAnsi="Times New Roman" w:cs="Times New Roman"/>
          <w:sz w:val="24"/>
          <w:szCs w:val="24"/>
        </w:rPr>
        <w:t>,</w:t>
      </w:r>
      <w:r w:rsidR="0085336B">
        <w:rPr>
          <w:rFonts w:ascii="Times New Roman" w:hAnsi="Times New Roman" w:cs="Times New Roman"/>
          <w:sz w:val="24"/>
          <w:szCs w:val="24"/>
        </w:rPr>
        <w:t xml:space="preserve"> jakie </w:t>
      </w:r>
      <w:r w:rsidR="00E3728B">
        <w:rPr>
          <w:rFonts w:ascii="Times New Roman" w:hAnsi="Times New Roman" w:cs="Times New Roman"/>
          <w:sz w:val="24"/>
          <w:szCs w:val="24"/>
        </w:rPr>
        <w:t xml:space="preserve">musi zawierać </w:t>
      </w:r>
      <w:r w:rsidR="00341D21">
        <w:rPr>
          <w:rFonts w:ascii="Times New Roman" w:hAnsi="Times New Roman" w:cs="Times New Roman"/>
          <w:sz w:val="24"/>
          <w:szCs w:val="24"/>
        </w:rPr>
        <w:t>ww.</w:t>
      </w:r>
      <w:r w:rsidR="00E3728B">
        <w:rPr>
          <w:rFonts w:ascii="Times New Roman" w:hAnsi="Times New Roman" w:cs="Times New Roman"/>
          <w:sz w:val="24"/>
          <w:szCs w:val="24"/>
        </w:rPr>
        <w:t xml:space="preserve"> deklaracja (stanowiąca załącznik do rozporządzenia).</w:t>
      </w:r>
      <w:r w:rsidR="00A92E66">
        <w:rPr>
          <w:rFonts w:ascii="Times New Roman" w:hAnsi="Times New Roman" w:cs="Times New Roman"/>
          <w:sz w:val="24"/>
          <w:szCs w:val="24"/>
        </w:rPr>
        <w:t xml:space="preserve"> </w:t>
      </w:r>
      <w:r w:rsidR="00571441">
        <w:rPr>
          <w:rFonts w:ascii="Times New Roman" w:hAnsi="Times New Roman" w:cs="Times New Roman"/>
          <w:sz w:val="24"/>
          <w:szCs w:val="24"/>
        </w:rPr>
        <w:t xml:space="preserve">W projektowanym rozporządzeniu w </w:t>
      </w:r>
      <w:r w:rsidR="00A92E66" w:rsidRPr="00E3728B">
        <w:rPr>
          <w:rFonts w:ascii="Times New Roman" w:hAnsi="Times New Roman" w:cs="Times New Roman"/>
          <w:b/>
          <w:sz w:val="24"/>
          <w:szCs w:val="24"/>
        </w:rPr>
        <w:t>§ 24</w:t>
      </w:r>
      <w:r w:rsidR="00A92E66">
        <w:rPr>
          <w:rFonts w:ascii="Times New Roman" w:hAnsi="Times New Roman" w:cs="Times New Roman"/>
          <w:b/>
          <w:sz w:val="24"/>
          <w:szCs w:val="24"/>
        </w:rPr>
        <w:t xml:space="preserve"> ust. 2 </w:t>
      </w:r>
      <w:r w:rsidR="00A92E66">
        <w:rPr>
          <w:rFonts w:ascii="Times New Roman" w:hAnsi="Times New Roman" w:cs="Times New Roman"/>
          <w:sz w:val="24"/>
          <w:szCs w:val="24"/>
        </w:rPr>
        <w:t xml:space="preserve">dodano </w:t>
      </w:r>
      <w:r w:rsidR="00A92E66" w:rsidRPr="00A92E66">
        <w:rPr>
          <w:rFonts w:ascii="Times New Roman" w:hAnsi="Times New Roman" w:cs="Times New Roman"/>
          <w:b/>
          <w:sz w:val="24"/>
          <w:szCs w:val="24"/>
        </w:rPr>
        <w:t>pkt 7</w:t>
      </w:r>
      <w:r w:rsidR="00A92E66">
        <w:rPr>
          <w:rFonts w:ascii="Times New Roman" w:hAnsi="Times New Roman" w:cs="Times New Roman"/>
          <w:sz w:val="24"/>
          <w:szCs w:val="24"/>
        </w:rPr>
        <w:t xml:space="preserve">, </w:t>
      </w:r>
      <w:r w:rsidR="00571441">
        <w:rPr>
          <w:rFonts w:ascii="Times New Roman" w:hAnsi="Times New Roman" w:cs="Times New Roman"/>
          <w:sz w:val="24"/>
          <w:szCs w:val="24"/>
        </w:rPr>
        <w:t>wskazując, że deklaracja o wniesionej opłacie rocznej musi zawierać podpis osoby upoważnionej do złożenia deklaracji. Jest to zmiana redakcyjna, bowiem sama deklaracja wymaga obecnie podpisu w obowiązującym rozporządzeniu.</w:t>
      </w:r>
    </w:p>
    <w:p w:rsidR="002239CD" w:rsidRPr="00AE6FEB" w:rsidRDefault="005B59C5" w:rsidP="00685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5B59C5">
        <w:rPr>
          <w:rFonts w:ascii="Times New Roman" w:hAnsi="Times New Roman" w:cs="Times New Roman"/>
          <w:b/>
          <w:sz w:val="24"/>
          <w:szCs w:val="24"/>
        </w:rPr>
        <w:t>§ 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pozostawiono bez zmian obecny obowiązek uiszczania opłat na rachunek bankowy UKNF.</w:t>
      </w:r>
    </w:p>
    <w:p w:rsidR="00855CD6" w:rsidRDefault="00855CD6" w:rsidP="00685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C81923">
        <w:rPr>
          <w:rFonts w:ascii="Times New Roman" w:hAnsi="Times New Roman" w:cs="Times New Roman"/>
          <w:b/>
          <w:sz w:val="24"/>
          <w:szCs w:val="24"/>
        </w:rPr>
        <w:t>§ 26</w:t>
      </w:r>
      <w:r>
        <w:rPr>
          <w:rFonts w:ascii="Times New Roman" w:hAnsi="Times New Roman" w:cs="Times New Roman"/>
          <w:sz w:val="24"/>
          <w:szCs w:val="24"/>
        </w:rPr>
        <w:t xml:space="preserve"> projektowane rozporządzenie wejdzie w życie po upływie 14 dni od dnia ogłoszenia.</w:t>
      </w:r>
    </w:p>
    <w:p w:rsidR="00855CD6" w:rsidRPr="00AB41A8" w:rsidRDefault="00855CD6" w:rsidP="00685130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AB41A8">
        <w:rPr>
          <w:rFonts w:ascii="Times New Roman" w:hAnsi="Times New Roman"/>
          <w:sz w:val="24"/>
          <w:szCs w:val="24"/>
        </w:rPr>
        <w:t xml:space="preserve">Stosownie do art. 4 ustawy z dnia 7 lipca 2005 r. o działalności lobbingowej w procesie stanowienia prawa (Dz. U. z 2017 r. poz. 248) projekt </w:t>
      </w:r>
      <w:r w:rsidRPr="00AB41A8">
        <w:rPr>
          <w:rFonts w:ascii="Times New Roman" w:eastAsia="Times New Roman" w:hAnsi="Times New Roman"/>
          <w:sz w:val="24"/>
          <w:szCs w:val="24"/>
        </w:rPr>
        <w:t>rozporządzenia</w:t>
      </w:r>
      <w:r w:rsidR="001E4696">
        <w:rPr>
          <w:rFonts w:ascii="Times New Roman" w:hAnsi="Times New Roman"/>
          <w:sz w:val="24"/>
          <w:szCs w:val="24"/>
        </w:rPr>
        <w:t xml:space="preserve"> został </w:t>
      </w:r>
      <w:r w:rsidRPr="00AB41A8">
        <w:rPr>
          <w:rFonts w:ascii="Times New Roman" w:hAnsi="Times New Roman"/>
          <w:sz w:val="24"/>
          <w:szCs w:val="24"/>
        </w:rPr>
        <w:t xml:space="preserve">zamieszczony </w:t>
      </w:r>
      <w:r w:rsidR="001E4696">
        <w:rPr>
          <w:rFonts w:ascii="Times New Roman" w:hAnsi="Times New Roman"/>
          <w:sz w:val="24"/>
          <w:szCs w:val="24"/>
        </w:rPr>
        <w:br/>
      </w:r>
      <w:r w:rsidRPr="00AB41A8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1A8">
        <w:rPr>
          <w:rFonts w:ascii="Times New Roman" w:hAnsi="Times New Roman"/>
          <w:sz w:val="24"/>
          <w:szCs w:val="24"/>
        </w:rPr>
        <w:t>wykazie prac legislacyjnych Ministra Finansów. Z</w:t>
      </w:r>
      <w:r>
        <w:rPr>
          <w:rFonts w:ascii="Times New Roman" w:eastAsia="Times New Roman" w:hAnsi="Times New Roman"/>
          <w:sz w:val="24"/>
          <w:szCs w:val="24"/>
        </w:rPr>
        <w:t>godnie z art. </w:t>
      </w:r>
      <w:r w:rsidRPr="00AB41A8">
        <w:rPr>
          <w:rFonts w:ascii="Times New Roman" w:eastAsia="Times New Roman" w:hAnsi="Times New Roman"/>
          <w:sz w:val="24"/>
          <w:szCs w:val="24"/>
        </w:rPr>
        <w:t>5 tej ustawy oraz §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AB41A8">
        <w:rPr>
          <w:rFonts w:ascii="Times New Roman" w:eastAsia="Times New Roman" w:hAnsi="Times New Roman"/>
          <w:sz w:val="24"/>
          <w:szCs w:val="24"/>
        </w:rPr>
        <w:t xml:space="preserve">52 uchwały nr 190 Rady Ministrów z dnia 29 października 2013 r. – Regulamin pracy Rady Ministrów (M.P. z </w:t>
      </w:r>
      <w:r w:rsidR="0085336B">
        <w:rPr>
          <w:rFonts w:ascii="Times New Roman" w:eastAsia="Times New Roman" w:hAnsi="Times New Roman"/>
          <w:sz w:val="24"/>
          <w:szCs w:val="24"/>
        </w:rPr>
        <w:t>2022</w:t>
      </w:r>
      <w:r w:rsidR="0085336B" w:rsidRPr="00AB41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B41A8">
        <w:rPr>
          <w:rFonts w:ascii="Times New Roman" w:eastAsia="Times New Roman" w:hAnsi="Times New Roman"/>
          <w:sz w:val="24"/>
          <w:szCs w:val="24"/>
        </w:rPr>
        <w:t xml:space="preserve">r. poz. </w:t>
      </w:r>
      <w:r w:rsidR="00080F36">
        <w:rPr>
          <w:rFonts w:ascii="Times New Roman" w:eastAsia="Times New Roman" w:hAnsi="Times New Roman"/>
          <w:sz w:val="24"/>
          <w:szCs w:val="24"/>
        </w:rPr>
        <w:t>348</w:t>
      </w:r>
      <w:r w:rsidR="00335E53">
        <w:rPr>
          <w:rFonts w:ascii="Times New Roman" w:eastAsia="Times New Roman" w:hAnsi="Times New Roman"/>
          <w:sz w:val="24"/>
          <w:szCs w:val="24"/>
        </w:rPr>
        <w:t>)</w:t>
      </w:r>
      <w:r w:rsidRPr="00AB41A8">
        <w:rPr>
          <w:rFonts w:ascii="Times New Roman" w:eastAsia="Times New Roman" w:hAnsi="Times New Roman"/>
          <w:sz w:val="24"/>
          <w:szCs w:val="24"/>
        </w:rPr>
        <w:t xml:space="preserve"> projekt zosta</w:t>
      </w:r>
      <w:r>
        <w:rPr>
          <w:rFonts w:ascii="Times New Roman" w:eastAsia="Times New Roman" w:hAnsi="Times New Roman"/>
          <w:sz w:val="24"/>
          <w:szCs w:val="24"/>
        </w:rPr>
        <w:t>nie</w:t>
      </w:r>
      <w:r w:rsidRPr="00AB41A8">
        <w:rPr>
          <w:rFonts w:ascii="Times New Roman" w:eastAsia="Times New Roman" w:hAnsi="Times New Roman"/>
          <w:sz w:val="24"/>
          <w:szCs w:val="24"/>
        </w:rPr>
        <w:t xml:space="preserve"> udostępniony w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B41A8">
        <w:rPr>
          <w:rFonts w:ascii="Times New Roman" w:eastAsia="Times New Roman" w:hAnsi="Times New Roman"/>
          <w:sz w:val="24"/>
          <w:szCs w:val="24"/>
        </w:rPr>
        <w:t>Biuletynie Informacji Publicznej na stronie podmiotowej Rządowego Centrum Legislacji.</w:t>
      </w:r>
    </w:p>
    <w:p w:rsidR="00855CD6" w:rsidRPr="00AB41A8" w:rsidRDefault="00855CD6" w:rsidP="00685130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AB41A8">
        <w:rPr>
          <w:rFonts w:ascii="Times New Roman" w:eastAsia="Times New Roman" w:hAnsi="Times New Roman"/>
          <w:sz w:val="24"/>
          <w:szCs w:val="24"/>
        </w:rPr>
        <w:t xml:space="preserve">Projekt rozporządzenia nie wymaga przedstawienia organom i instytucjom Unii Europejskiej w celu uzyskania opinii, dokonania powiadomienia, </w:t>
      </w:r>
      <w:r>
        <w:rPr>
          <w:rFonts w:ascii="Times New Roman" w:eastAsia="Times New Roman" w:hAnsi="Times New Roman"/>
          <w:sz w:val="24"/>
          <w:szCs w:val="24"/>
        </w:rPr>
        <w:t xml:space="preserve">konsultacji albo uzgodnienia. W </w:t>
      </w:r>
      <w:r w:rsidRPr="00AB41A8">
        <w:rPr>
          <w:rFonts w:ascii="Times New Roman" w:eastAsia="Times New Roman" w:hAnsi="Times New Roman"/>
          <w:sz w:val="24"/>
          <w:szCs w:val="24"/>
        </w:rPr>
        <w:t>szczególności, zgodnie z art. 2 ust. 1 decyzji Rady 98/415/WE z dnia 29 czerwca 1998 r. w sprawie konsultacji Europejskiego Banku Centralnego udzielanych władzom krajowym w sprawie projektów przepisów prawnych</w:t>
      </w:r>
      <w:r>
        <w:rPr>
          <w:rFonts w:ascii="Times New Roman" w:eastAsia="Times New Roman" w:hAnsi="Times New Roman"/>
          <w:sz w:val="24"/>
          <w:szCs w:val="24"/>
        </w:rPr>
        <w:t xml:space="preserve"> (Dz. </w:t>
      </w:r>
      <w:r w:rsidRPr="00AB41A8">
        <w:rPr>
          <w:rFonts w:ascii="Times New Roman" w:eastAsia="Times New Roman" w:hAnsi="Times New Roman"/>
          <w:sz w:val="24"/>
          <w:szCs w:val="24"/>
        </w:rPr>
        <w:t xml:space="preserve">Urz. WE L 189 z 03.07.1998, str. 42), projekt rozporządzenia nie podlega konsultacji z </w:t>
      </w:r>
      <w:r w:rsidR="00AB54CA">
        <w:rPr>
          <w:rFonts w:ascii="Times New Roman" w:eastAsia="Times New Roman" w:hAnsi="Times New Roman"/>
          <w:sz w:val="24"/>
          <w:szCs w:val="24"/>
        </w:rPr>
        <w:t>Europejskim Bankiem Centralnym.</w:t>
      </w:r>
    </w:p>
    <w:p w:rsidR="00855CD6" w:rsidRPr="00AB41A8" w:rsidRDefault="00855CD6" w:rsidP="00685130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AB41A8">
        <w:rPr>
          <w:rFonts w:ascii="Times New Roman" w:eastAsia="Times New Roman" w:hAnsi="Times New Roman"/>
          <w:sz w:val="24"/>
          <w:szCs w:val="24"/>
        </w:rPr>
        <w:t>Projekt rozporządzenia nie zawiera norm technicznych w rozumieniu przepisów rozporządzenia Rady Ministrów z dnia 23 grudnia 2002 r. w sprawie sposobu funkcjonowania krajowego systemu notyfikacji norm i aktów prawnych (Dz. U. poz. 2039, z późn. zm.), w związku z czym nie podlega notyfikacji zgodnie z trybem przewidzianym w tych przepisach.</w:t>
      </w:r>
    </w:p>
    <w:p w:rsidR="00AB54CA" w:rsidRDefault="00AB54CA" w:rsidP="00685130">
      <w:pPr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 w:rsidRPr="00AB54CA">
        <w:rPr>
          <w:rFonts w:ascii="Times New Roman" w:eastAsia="Times New Roman" w:hAnsi="Times New Roman"/>
          <w:sz w:val="24"/>
          <w:szCs w:val="24"/>
        </w:rPr>
        <w:t xml:space="preserve">Projektowane rozporządzenie będzie miało niewielki wpływ na działalność mikroprzedsiębiorców, małych i średnich przedsiębiorców. </w:t>
      </w:r>
      <w:r>
        <w:rPr>
          <w:rFonts w:ascii="Times New Roman" w:eastAsia="Times New Roman" w:hAnsi="Times New Roman"/>
          <w:sz w:val="24"/>
          <w:szCs w:val="24"/>
        </w:rPr>
        <w:t>Objęcie dostawców usług finansowania społecznościowego dla przedsięwzięć gospodarczych</w:t>
      </w:r>
      <w:r w:rsidR="009B4094">
        <w:rPr>
          <w:rFonts w:ascii="Times New Roman" w:eastAsia="Times New Roman" w:hAnsi="Times New Roman"/>
          <w:sz w:val="24"/>
          <w:szCs w:val="24"/>
        </w:rPr>
        <w:t xml:space="preserve"> obowiązkiem uiszczania opłat na pokrycie kosztów </w:t>
      </w:r>
      <w:r w:rsidR="000C593A">
        <w:rPr>
          <w:rFonts w:ascii="Times New Roman" w:eastAsia="Times New Roman" w:hAnsi="Times New Roman"/>
          <w:sz w:val="24"/>
          <w:szCs w:val="24"/>
        </w:rPr>
        <w:t>nadzoru nad rynkiem kapitałowym</w:t>
      </w:r>
      <w:r w:rsidR="009B4094">
        <w:rPr>
          <w:rFonts w:ascii="Times New Roman" w:eastAsia="Times New Roman" w:hAnsi="Times New Roman"/>
          <w:sz w:val="24"/>
          <w:szCs w:val="24"/>
        </w:rPr>
        <w:t xml:space="preserve"> zostało przewidziane na poziomie ustawowym, natomiast projektowane rozporządzenie stanowi jedynie uszczegółowienie tego obowiązku</w:t>
      </w:r>
      <w:r w:rsidRPr="00AB54CA">
        <w:rPr>
          <w:rFonts w:ascii="Times New Roman" w:eastAsia="Times New Roman" w:hAnsi="Times New Roman"/>
          <w:sz w:val="24"/>
          <w:szCs w:val="24"/>
        </w:rPr>
        <w:t xml:space="preserve">. </w:t>
      </w:r>
      <w:r w:rsidR="000C593A">
        <w:rPr>
          <w:rFonts w:ascii="Times New Roman" w:eastAsia="Times New Roman" w:hAnsi="Times New Roman"/>
          <w:sz w:val="24"/>
          <w:szCs w:val="24"/>
        </w:rPr>
        <w:t>Wysokość opłat przewidzianych w projektowanym rozporządzeniu została przy tym określona w sposób proporcjonalny do rodzajów wykonywanej działalności i sprawiedliwy w stosunku do pozostałych podmiotów działających na rynku kapitałowym</w:t>
      </w:r>
      <w:r w:rsidR="009B4094">
        <w:rPr>
          <w:rFonts w:ascii="Times New Roman" w:eastAsia="Times New Roman" w:hAnsi="Times New Roman"/>
          <w:sz w:val="24"/>
          <w:szCs w:val="24"/>
        </w:rPr>
        <w:t>.</w:t>
      </w:r>
    </w:p>
    <w:p w:rsidR="00855CD6" w:rsidRPr="005B52FE" w:rsidRDefault="00AB54CA" w:rsidP="00685130">
      <w:pPr>
        <w:jc w:val="both"/>
        <w:rPr>
          <w:rFonts w:ascii="Times New Roman" w:hAnsi="Times New Roman" w:cs="Times New Roman"/>
          <w:sz w:val="24"/>
          <w:szCs w:val="24"/>
        </w:rPr>
      </w:pPr>
      <w:r w:rsidRPr="00AB54CA">
        <w:rPr>
          <w:rFonts w:ascii="Times New Roman" w:hAnsi="Times New Roman"/>
          <w:sz w:val="24"/>
          <w:szCs w:val="24"/>
        </w:rPr>
        <w:t xml:space="preserve">Projekt rozporządzenia </w:t>
      </w:r>
      <w:r w:rsidR="0085336B">
        <w:rPr>
          <w:rFonts w:ascii="Times New Roman" w:hAnsi="Times New Roman"/>
          <w:sz w:val="24"/>
          <w:szCs w:val="24"/>
        </w:rPr>
        <w:t>jest zgodny</w:t>
      </w:r>
      <w:r>
        <w:rPr>
          <w:rFonts w:ascii="Times New Roman" w:hAnsi="Times New Roman"/>
          <w:sz w:val="24"/>
          <w:szCs w:val="24"/>
        </w:rPr>
        <w:t xml:space="preserve"> z prawem Unii Europejskiej</w:t>
      </w:r>
      <w:r w:rsidR="00855CD6" w:rsidRPr="00AB41A8">
        <w:rPr>
          <w:rFonts w:ascii="Times New Roman" w:hAnsi="Times New Roman"/>
          <w:sz w:val="24"/>
          <w:szCs w:val="24"/>
        </w:rPr>
        <w:t>.</w:t>
      </w:r>
    </w:p>
    <w:sectPr w:rsidR="00855CD6" w:rsidRPr="005B5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362" w:rsidRDefault="00E90362" w:rsidP="005B52FE">
      <w:pPr>
        <w:spacing w:after="0" w:line="240" w:lineRule="auto"/>
      </w:pPr>
      <w:r>
        <w:separator/>
      </w:r>
    </w:p>
  </w:endnote>
  <w:endnote w:type="continuationSeparator" w:id="0">
    <w:p w:rsidR="00E90362" w:rsidRDefault="00E90362" w:rsidP="005B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362" w:rsidRDefault="00E90362" w:rsidP="005B52FE">
      <w:pPr>
        <w:spacing w:after="0" w:line="240" w:lineRule="auto"/>
      </w:pPr>
      <w:r>
        <w:separator/>
      </w:r>
    </w:p>
  </w:footnote>
  <w:footnote w:type="continuationSeparator" w:id="0">
    <w:p w:rsidR="00E90362" w:rsidRDefault="00E90362" w:rsidP="005B5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5B89"/>
    <w:multiLevelType w:val="hybridMultilevel"/>
    <w:tmpl w:val="C5747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A363F"/>
    <w:multiLevelType w:val="hybridMultilevel"/>
    <w:tmpl w:val="BFF21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089D"/>
    <w:multiLevelType w:val="hybridMultilevel"/>
    <w:tmpl w:val="57165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97C99"/>
    <w:multiLevelType w:val="hybridMultilevel"/>
    <w:tmpl w:val="762AA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00426"/>
    <w:multiLevelType w:val="hybridMultilevel"/>
    <w:tmpl w:val="AB7AD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D206B"/>
    <w:multiLevelType w:val="hybridMultilevel"/>
    <w:tmpl w:val="9D36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FE"/>
    <w:rsid w:val="00027E2C"/>
    <w:rsid w:val="00037D83"/>
    <w:rsid w:val="00053A7A"/>
    <w:rsid w:val="00062EF2"/>
    <w:rsid w:val="00073894"/>
    <w:rsid w:val="00080F36"/>
    <w:rsid w:val="00084D5B"/>
    <w:rsid w:val="00092A6C"/>
    <w:rsid w:val="000A37A8"/>
    <w:rsid w:val="000C1FAF"/>
    <w:rsid w:val="000C593A"/>
    <w:rsid w:val="000D05D5"/>
    <w:rsid w:val="000E5B3F"/>
    <w:rsid w:val="000F1C6E"/>
    <w:rsid w:val="000F4A00"/>
    <w:rsid w:val="0010691D"/>
    <w:rsid w:val="00124676"/>
    <w:rsid w:val="0012657E"/>
    <w:rsid w:val="00153A72"/>
    <w:rsid w:val="00187DA8"/>
    <w:rsid w:val="00194033"/>
    <w:rsid w:val="00197AFB"/>
    <w:rsid w:val="001A39D0"/>
    <w:rsid w:val="001C53B1"/>
    <w:rsid w:val="001C70D0"/>
    <w:rsid w:val="001D1612"/>
    <w:rsid w:val="001D3D12"/>
    <w:rsid w:val="001E36D8"/>
    <w:rsid w:val="001E4696"/>
    <w:rsid w:val="00211576"/>
    <w:rsid w:val="002239CD"/>
    <w:rsid w:val="00245E21"/>
    <w:rsid w:val="002460A0"/>
    <w:rsid w:val="00273B27"/>
    <w:rsid w:val="0027499D"/>
    <w:rsid w:val="00276927"/>
    <w:rsid w:val="002846AD"/>
    <w:rsid w:val="002A76B4"/>
    <w:rsid w:val="002B47D6"/>
    <w:rsid w:val="002C13E0"/>
    <w:rsid w:val="002D0C27"/>
    <w:rsid w:val="002D32CD"/>
    <w:rsid w:val="002D7C7A"/>
    <w:rsid w:val="002F4193"/>
    <w:rsid w:val="00335E53"/>
    <w:rsid w:val="00341D21"/>
    <w:rsid w:val="00357E1B"/>
    <w:rsid w:val="00367C83"/>
    <w:rsid w:val="00383207"/>
    <w:rsid w:val="00394F95"/>
    <w:rsid w:val="003D10ED"/>
    <w:rsid w:val="003D571B"/>
    <w:rsid w:val="003D6959"/>
    <w:rsid w:val="003E1A52"/>
    <w:rsid w:val="003E46BE"/>
    <w:rsid w:val="0040256B"/>
    <w:rsid w:val="004050F0"/>
    <w:rsid w:val="004100E3"/>
    <w:rsid w:val="004131B1"/>
    <w:rsid w:val="00414575"/>
    <w:rsid w:val="00453951"/>
    <w:rsid w:val="00461B0F"/>
    <w:rsid w:val="0046611B"/>
    <w:rsid w:val="00467958"/>
    <w:rsid w:val="004737B7"/>
    <w:rsid w:val="00482D76"/>
    <w:rsid w:val="004836C8"/>
    <w:rsid w:val="00486A6C"/>
    <w:rsid w:val="00497F35"/>
    <w:rsid w:val="004B4445"/>
    <w:rsid w:val="004C245F"/>
    <w:rsid w:val="004C587D"/>
    <w:rsid w:val="004F3F08"/>
    <w:rsid w:val="00501529"/>
    <w:rsid w:val="00507C5E"/>
    <w:rsid w:val="005154F0"/>
    <w:rsid w:val="00517EC1"/>
    <w:rsid w:val="00526479"/>
    <w:rsid w:val="005264CA"/>
    <w:rsid w:val="005268EC"/>
    <w:rsid w:val="0054116E"/>
    <w:rsid w:val="005509AF"/>
    <w:rsid w:val="00551A01"/>
    <w:rsid w:val="00555B58"/>
    <w:rsid w:val="00571441"/>
    <w:rsid w:val="005B52FE"/>
    <w:rsid w:val="005B59C5"/>
    <w:rsid w:val="005D26EF"/>
    <w:rsid w:val="005E2A1D"/>
    <w:rsid w:val="005F3F07"/>
    <w:rsid w:val="00627B10"/>
    <w:rsid w:val="006327F2"/>
    <w:rsid w:val="0066339A"/>
    <w:rsid w:val="00670AB2"/>
    <w:rsid w:val="00685130"/>
    <w:rsid w:val="006A0A37"/>
    <w:rsid w:val="006A3C2D"/>
    <w:rsid w:val="006C1802"/>
    <w:rsid w:val="006C42C3"/>
    <w:rsid w:val="006D5F43"/>
    <w:rsid w:val="006E7EA8"/>
    <w:rsid w:val="006F0C0A"/>
    <w:rsid w:val="006F519B"/>
    <w:rsid w:val="00706D39"/>
    <w:rsid w:val="007226B2"/>
    <w:rsid w:val="007377A4"/>
    <w:rsid w:val="00772C29"/>
    <w:rsid w:val="00775E23"/>
    <w:rsid w:val="007A51CA"/>
    <w:rsid w:val="007A6F1A"/>
    <w:rsid w:val="007C17A6"/>
    <w:rsid w:val="007D7B28"/>
    <w:rsid w:val="007E4846"/>
    <w:rsid w:val="00807141"/>
    <w:rsid w:val="00814B56"/>
    <w:rsid w:val="00827C7A"/>
    <w:rsid w:val="008348A2"/>
    <w:rsid w:val="0085336B"/>
    <w:rsid w:val="00854E48"/>
    <w:rsid w:val="00855CD6"/>
    <w:rsid w:val="0089324A"/>
    <w:rsid w:val="008A0096"/>
    <w:rsid w:val="008A74BC"/>
    <w:rsid w:val="008B0076"/>
    <w:rsid w:val="008B65C1"/>
    <w:rsid w:val="0096271A"/>
    <w:rsid w:val="00966377"/>
    <w:rsid w:val="00971146"/>
    <w:rsid w:val="00972111"/>
    <w:rsid w:val="009A54CC"/>
    <w:rsid w:val="009B18D5"/>
    <w:rsid w:val="009B4094"/>
    <w:rsid w:val="009E564F"/>
    <w:rsid w:val="009F4A34"/>
    <w:rsid w:val="00A14BC1"/>
    <w:rsid w:val="00A154C3"/>
    <w:rsid w:val="00A7213E"/>
    <w:rsid w:val="00A81D05"/>
    <w:rsid w:val="00A92E66"/>
    <w:rsid w:val="00AA5B1A"/>
    <w:rsid w:val="00AA64DF"/>
    <w:rsid w:val="00AB1815"/>
    <w:rsid w:val="00AB3E52"/>
    <w:rsid w:val="00AB4AC5"/>
    <w:rsid w:val="00AB54CA"/>
    <w:rsid w:val="00AC3244"/>
    <w:rsid w:val="00AC3A02"/>
    <w:rsid w:val="00AE2E7D"/>
    <w:rsid w:val="00AE6FEB"/>
    <w:rsid w:val="00B11CEF"/>
    <w:rsid w:val="00B1283B"/>
    <w:rsid w:val="00B23EEB"/>
    <w:rsid w:val="00B63C6C"/>
    <w:rsid w:val="00B67281"/>
    <w:rsid w:val="00B96467"/>
    <w:rsid w:val="00BE0D0E"/>
    <w:rsid w:val="00BF14B1"/>
    <w:rsid w:val="00BF65B1"/>
    <w:rsid w:val="00C10DC4"/>
    <w:rsid w:val="00C1626B"/>
    <w:rsid w:val="00C246E0"/>
    <w:rsid w:val="00C3158E"/>
    <w:rsid w:val="00C35852"/>
    <w:rsid w:val="00C42661"/>
    <w:rsid w:val="00C711B7"/>
    <w:rsid w:val="00C81923"/>
    <w:rsid w:val="00C81BB2"/>
    <w:rsid w:val="00C86C7C"/>
    <w:rsid w:val="00C96AA3"/>
    <w:rsid w:val="00CC0E86"/>
    <w:rsid w:val="00CC74E7"/>
    <w:rsid w:val="00CE3564"/>
    <w:rsid w:val="00D02B58"/>
    <w:rsid w:val="00D167E2"/>
    <w:rsid w:val="00D16B0A"/>
    <w:rsid w:val="00D2177A"/>
    <w:rsid w:val="00D24D80"/>
    <w:rsid w:val="00D43487"/>
    <w:rsid w:val="00D53468"/>
    <w:rsid w:val="00D62127"/>
    <w:rsid w:val="00D62616"/>
    <w:rsid w:val="00D71E02"/>
    <w:rsid w:val="00D84D4B"/>
    <w:rsid w:val="00DA502A"/>
    <w:rsid w:val="00DC0FFE"/>
    <w:rsid w:val="00DF4CA3"/>
    <w:rsid w:val="00DF6C3F"/>
    <w:rsid w:val="00E076CE"/>
    <w:rsid w:val="00E13B08"/>
    <w:rsid w:val="00E30298"/>
    <w:rsid w:val="00E35AFD"/>
    <w:rsid w:val="00E3728B"/>
    <w:rsid w:val="00E471C2"/>
    <w:rsid w:val="00E51B4B"/>
    <w:rsid w:val="00E90362"/>
    <w:rsid w:val="00E950AD"/>
    <w:rsid w:val="00EB55E2"/>
    <w:rsid w:val="00EC4D2C"/>
    <w:rsid w:val="00EE4387"/>
    <w:rsid w:val="00EF666A"/>
    <w:rsid w:val="00F243C5"/>
    <w:rsid w:val="00F26DE0"/>
    <w:rsid w:val="00F35FFB"/>
    <w:rsid w:val="00F51984"/>
    <w:rsid w:val="00F668ED"/>
    <w:rsid w:val="00F92A03"/>
    <w:rsid w:val="00F93741"/>
    <w:rsid w:val="00FB014D"/>
    <w:rsid w:val="00FB62B0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A6F827-915C-4847-92DE-84A036A3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F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5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1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31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31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1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1B1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6A3C2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2F77E-0736-4625-977C-EA082BC3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2280</Words>
  <Characters>13684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Ulanicki Cezary</dc:creator>
  <cp:keywords/>
  <dc:description/>
  <cp:lastModifiedBy>KGHM</cp:lastModifiedBy>
  <cp:revision>2</cp:revision>
  <dcterms:created xsi:type="dcterms:W3CDTF">2022-08-09T16:48:00Z</dcterms:created>
  <dcterms:modified xsi:type="dcterms:W3CDTF">2022-08-09T16:48:00Z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MF\GJFM;Kącki Jakub</vt:lpwstr>
  </property>
  <property fmtid="{D5CDD505-2E9C-101B-9397-08002B2CF9AE}" pid="4" name="MFClassificationDate">
    <vt:lpwstr>2022-01-12T11:31:58.5344402+01:00</vt:lpwstr>
  </property>
  <property fmtid="{D5CDD505-2E9C-101B-9397-08002B2CF9AE}" pid="5" name="MFClassifiedBySID">
    <vt:lpwstr>MF\S-1-5-21-1525952054-1005573771-2909822258-243705</vt:lpwstr>
  </property>
  <property fmtid="{D5CDD505-2E9C-101B-9397-08002B2CF9AE}" pid="6" name="MFGRNItemId">
    <vt:lpwstr>GRN-10c4a04d-5240-4db4-a310-6e634ef98b6c</vt:lpwstr>
  </property>
  <property fmtid="{D5CDD505-2E9C-101B-9397-08002B2CF9AE}" pid="7" name="MFHash">
    <vt:lpwstr>QItgzBylF+U//H1sP2wCjNFAAATdIpusIDbRelBewD8=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