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"/>
        <w:gridCol w:w="858"/>
        <w:gridCol w:w="669"/>
        <w:gridCol w:w="147"/>
        <w:gridCol w:w="89"/>
        <w:gridCol w:w="519"/>
        <w:gridCol w:w="256"/>
        <w:gridCol w:w="678"/>
        <w:gridCol w:w="18"/>
        <w:gridCol w:w="266"/>
        <w:gridCol w:w="301"/>
        <w:gridCol w:w="357"/>
        <w:gridCol w:w="211"/>
        <w:gridCol w:w="342"/>
        <w:gridCol w:w="226"/>
        <w:gridCol w:w="156"/>
        <w:gridCol w:w="413"/>
        <w:gridCol w:w="111"/>
        <w:gridCol w:w="411"/>
        <w:gridCol w:w="46"/>
        <w:gridCol w:w="568"/>
        <w:gridCol w:w="321"/>
        <w:gridCol w:w="247"/>
        <w:gridCol w:w="568"/>
        <w:gridCol w:w="119"/>
        <w:gridCol w:w="1415"/>
        <w:gridCol w:w="10"/>
        <w:gridCol w:w="38"/>
      </w:tblGrid>
      <w:tr w:rsidR="00067D98" w:rsidRPr="00067D98" w14:paraId="59AE6567" w14:textId="120A71EB" w:rsidTr="0091188B">
        <w:trPr>
          <w:gridAfter w:val="1"/>
          <w:wAfter w:w="38" w:type="dxa"/>
          <w:trHeight w:val="4101"/>
        </w:trPr>
        <w:tc>
          <w:tcPr>
            <w:tcW w:w="6298" w:type="dxa"/>
            <w:gridSpan w:val="14"/>
          </w:tcPr>
          <w:p w14:paraId="1CEF04A3" w14:textId="77777777" w:rsidR="00194975" w:rsidRDefault="00194975" w:rsidP="00194975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t1"/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18919B49" w14:textId="3F39D74D" w:rsidR="00194975" w:rsidRDefault="00F62853" w:rsidP="00E37D0F">
            <w:pPr>
              <w:spacing w:after="0" w:line="240" w:lineRule="auto"/>
              <w:ind w:hanging="4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="00194975" w:rsidRPr="00D02634">
              <w:rPr>
                <w:rFonts w:ascii="Times New Roman" w:eastAsia="Calibri" w:hAnsi="Times New Roman" w:cs="Times New Roman"/>
                <w:color w:val="000000"/>
              </w:rPr>
              <w:t>ozporządzeni</w:t>
            </w:r>
            <w:r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="00194975" w:rsidRPr="00D02634">
              <w:rPr>
                <w:rFonts w:ascii="Times New Roman" w:eastAsia="Calibri" w:hAnsi="Times New Roman" w:cs="Times New Roman"/>
                <w:color w:val="000000"/>
              </w:rPr>
              <w:t xml:space="preserve"> Ministra Klimatu i Środowiska zmieniające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194975" w:rsidRPr="00D02634">
              <w:rPr>
                <w:rFonts w:ascii="Times New Roman" w:eastAsia="Calibri" w:hAnsi="Times New Roman" w:cs="Times New Roman"/>
                <w:color w:val="000000"/>
              </w:rPr>
              <w:t>rozporządzenie w sprawie szczegółowych zasad kształtowania i</w:t>
            </w:r>
            <w:r w:rsidR="0019119A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="00194975" w:rsidRPr="00D02634">
              <w:rPr>
                <w:rFonts w:ascii="Times New Roman" w:eastAsia="Calibri" w:hAnsi="Times New Roman" w:cs="Times New Roman"/>
                <w:color w:val="000000"/>
              </w:rPr>
              <w:t>kalkulacji taryf oraz rozliczeń z tytułu zaopatrzenia w ciepło</w:t>
            </w:r>
          </w:p>
          <w:p w14:paraId="24FF1098" w14:textId="77777777" w:rsidR="00194975" w:rsidRPr="00390D6C" w:rsidRDefault="00194975" w:rsidP="00194975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82C5F39" w14:textId="77777777" w:rsidR="00194975" w:rsidRPr="00390D6C" w:rsidRDefault="00194975" w:rsidP="00194975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94DFCE7" w14:textId="77777777" w:rsidR="00194975" w:rsidRDefault="00194975" w:rsidP="0019497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Ministerstwo Klimatu i Środowiska</w:t>
            </w:r>
          </w:p>
          <w:p w14:paraId="0FEBF2AD" w14:textId="77777777" w:rsidR="00194975" w:rsidRPr="00390D6C" w:rsidRDefault="00194975" w:rsidP="0019497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9C998A2" w14:textId="77777777" w:rsidR="00194975" w:rsidRPr="00390D6C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90D6C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390D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75F16B1F" w14:textId="6887C8E7" w:rsidR="00194975" w:rsidRDefault="00194975" w:rsidP="00E3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Pan</w:t>
            </w:r>
            <w:r w:rsidR="00C923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</w:t>
            </w:r>
            <w:r w:rsidR="009F4CBE">
              <w:rPr>
                <w:rFonts w:ascii="Times New Roman" w:eastAsia="Calibri" w:hAnsi="Times New Roman" w:cs="Times New Roman"/>
                <w:sz w:val="21"/>
                <w:szCs w:val="21"/>
              </w:rPr>
              <w:t>Anna Łukaszewska Trzeciakowska</w:t>
            </w:r>
            <w:r w:rsidR="00C923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–</w:t>
            </w:r>
            <w:r w:rsidR="00C923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9F4C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Podsekretarz Stanu w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Minister</w:t>
            </w:r>
            <w:r w:rsidR="009F4CBE">
              <w:rPr>
                <w:rFonts w:ascii="Times New Roman" w:eastAsia="Calibri" w:hAnsi="Times New Roman" w:cs="Times New Roman"/>
                <w:sz w:val="21"/>
                <w:szCs w:val="21"/>
              </w:rPr>
              <w:t>stwie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Klimatu i</w:t>
            </w:r>
            <w:r w:rsidR="0019119A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Środowiska</w:t>
            </w:r>
          </w:p>
          <w:p w14:paraId="49A77028" w14:textId="77777777" w:rsidR="00194975" w:rsidRPr="00390D6C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7869DF3" w14:textId="77777777" w:rsidR="00194975" w:rsidRPr="00390D6C" w:rsidRDefault="00194975" w:rsidP="00194975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426650F0" w14:textId="5875BDDA" w:rsidR="00194975" w:rsidRDefault="00194975" w:rsidP="00194975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Paweł Bogusławski</w:t>
            </w:r>
            <w:r w:rsidR="00EA516E">
              <w:rPr>
                <w:rFonts w:ascii="Times New Roman" w:hAnsi="Times New Roman"/>
                <w:color w:val="000000"/>
              </w:rPr>
              <w:t xml:space="preserve"> – Główny Specjalista</w:t>
            </w:r>
          </w:p>
          <w:p w14:paraId="6A3BE2F9" w14:textId="77777777" w:rsidR="00194975" w:rsidRPr="00DD691D" w:rsidRDefault="00194975" w:rsidP="00194975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D691D">
              <w:rPr>
                <w:rFonts w:ascii="Times New Roman" w:hAnsi="Times New Roman" w:cs="Times New Roman"/>
                <w:color w:val="000000"/>
                <w:lang w:val="en-GB"/>
              </w:rPr>
              <w:t>tel. 691 985 561</w:t>
            </w:r>
          </w:p>
          <w:p w14:paraId="085255B3" w14:textId="1CC04EF1" w:rsidR="00194975" w:rsidRPr="0091188B" w:rsidRDefault="00194975" w:rsidP="0091188B">
            <w:pPr>
              <w:spacing w:after="0" w:line="276" w:lineRule="auto"/>
              <w:ind w:hanging="34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D691D">
              <w:rPr>
                <w:rFonts w:ascii="Times New Roman" w:hAnsi="Times New Roman" w:cs="Times New Roman"/>
                <w:color w:val="000000"/>
                <w:lang w:val="en-GB"/>
              </w:rPr>
              <w:t xml:space="preserve">mail: </w:t>
            </w:r>
            <w:r w:rsidR="00F62853" w:rsidRPr="00DD691D">
              <w:rPr>
                <w:rFonts w:ascii="Times New Roman" w:hAnsi="Times New Roman" w:cs="Times New Roman"/>
                <w:lang w:val="en-GB"/>
              </w:rPr>
              <w:t>pawel.boguslawski@klimat.gov.pl</w:t>
            </w:r>
          </w:p>
        </w:tc>
        <w:tc>
          <w:tcPr>
            <w:tcW w:w="4611" w:type="dxa"/>
            <w:gridSpan w:val="13"/>
          </w:tcPr>
          <w:p w14:paraId="0091B18A" w14:textId="77777777" w:rsidR="00194975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90D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</w:p>
          <w:p w14:paraId="7054AB03" w14:textId="7DC1A006" w:rsidR="00194975" w:rsidRPr="00390D6C" w:rsidRDefault="00EE6F17" w:rsidP="0019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  <w:r w:rsidR="00194975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="00454834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="00194975">
              <w:rPr>
                <w:rFonts w:ascii="Times New Roman" w:eastAsia="Calibri" w:hAnsi="Times New Roman" w:cs="Times New Roman"/>
                <w:sz w:val="21"/>
                <w:szCs w:val="21"/>
              </w:rPr>
              <w:t>.202</w:t>
            </w:r>
            <w:r w:rsidR="00454834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19497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r.</w:t>
            </w:r>
          </w:p>
          <w:p w14:paraId="7B317A0C" w14:textId="77777777" w:rsidR="00194975" w:rsidRPr="00390D6C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4241BDE" w14:textId="3E8560FA" w:rsidR="00194975" w:rsidRPr="00390D6C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90D6C">
              <w:rPr>
                <w:rFonts w:ascii="Times New Roman" w:eastAsia="Calibri" w:hAnsi="Times New Roman" w:cs="Times New Roman"/>
                <w:b/>
              </w:rPr>
              <w:t xml:space="preserve">Źródło </w:t>
            </w:r>
            <w:bookmarkStart w:id="1" w:name="Lista1"/>
          </w:p>
          <w:bookmarkEnd w:id="1"/>
          <w:p w14:paraId="684DD0B6" w14:textId="77777777" w:rsidR="00194975" w:rsidRPr="00D02634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634">
              <w:rPr>
                <w:rFonts w:ascii="Times New Roman" w:eastAsia="Calibri" w:hAnsi="Times New Roman" w:cs="Times New Roman"/>
              </w:rPr>
              <w:t>Upoważnienie ustawowe</w:t>
            </w:r>
          </w:p>
          <w:p w14:paraId="0C4CD7BF" w14:textId="39925FC2" w:rsidR="00194975" w:rsidRDefault="00194975" w:rsidP="00A76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2634">
              <w:rPr>
                <w:rFonts w:ascii="Times New Roman" w:eastAsia="Calibri" w:hAnsi="Times New Roman" w:cs="Times New Roman"/>
              </w:rPr>
              <w:t xml:space="preserve">art. 46 ust. 5 i 6 ustawy z dnia 10 kwietnia </w:t>
            </w:r>
            <w:r w:rsidR="00D91101">
              <w:rPr>
                <w:rFonts w:ascii="Times New Roman" w:eastAsia="Calibri" w:hAnsi="Times New Roman" w:cs="Times New Roman"/>
              </w:rPr>
              <w:br/>
            </w:r>
            <w:r w:rsidRPr="00D02634">
              <w:rPr>
                <w:rFonts w:ascii="Times New Roman" w:eastAsia="Calibri" w:hAnsi="Times New Roman" w:cs="Times New Roman"/>
              </w:rPr>
              <w:t>1997 r. – Prawo energetyczne (Dz. U. z</w:t>
            </w:r>
            <w:r w:rsidR="00542314">
              <w:rPr>
                <w:rFonts w:ascii="Times New Roman" w:eastAsia="Calibri" w:hAnsi="Times New Roman" w:cs="Times New Roman"/>
              </w:rPr>
              <w:t xml:space="preserve"> 2022 poz. 1385</w:t>
            </w:r>
            <w:r w:rsidRPr="00D02634">
              <w:rPr>
                <w:rFonts w:ascii="Times New Roman" w:eastAsia="Calibri" w:hAnsi="Times New Roman" w:cs="Times New Roman"/>
              </w:rPr>
              <w:t>)</w:t>
            </w:r>
            <w:r w:rsidR="00916010">
              <w:rPr>
                <w:rFonts w:ascii="Times New Roman" w:eastAsia="Calibri" w:hAnsi="Times New Roman" w:cs="Times New Roman"/>
              </w:rPr>
              <w:t>, zwane</w:t>
            </w:r>
            <w:r w:rsidR="00841253">
              <w:rPr>
                <w:rFonts w:ascii="Times New Roman" w:eastAsia="Calibri" w:hAnsi="Times New Roman" w:cs="Times New Roman"/>
              </w:rPr>
              <w:t>j</w:t>
            </w:r>
            <w:r w:rsidR="00916010">
              <w:rPr>
                <w:rFonts w:ascii="Times New Roman" w:eastAsia="Calibri" w:hAnsi="Times New Roman" w:cs="Times New Roman"/>
              </w:rPr>
              <w:t xml:space="preserve"> dalej „</w:t>
            </w:r>
            <w:r w:rsidR="003F5955">
              <w:rPr>
                <w:rFonts w:ascii="Times New Roman" w:eastAsia="Calibri" w:hAnsi="Times New Roman" w:cs="Times New Roman"/>
              </w:rPr>
              <w:t xml:space="preserve">ustawa – </w:t>
            </w:r>
            <w:r w:rsidR="00916010">
              <w:rPr>
                <w:rFonts w:ascii="Times New Roman" w:eastAsia="Calibri" w:hAnsi="Times New Roman" w:cs="Times New Roman"/>
              </w:rPr>
              <w:t>Praw</w:t>
            </w:r>
            <w:r w:rsidR="003F5955">
              <w:rPr>
                <w:rFonts w:ascii="Times New Roman" w:eastAsia="Calibri" w:hAnsi="Times New Roman" w:cs="Times New Roman"/>
              </w:rPr>
              <w:t xml:space="preserve">o </w:t>
            </w:r>
            <w:r w:rsidR="00916010">
              <w:rPr>
                <w:rFonts w:ascii="Times New Roman" w:eastAsia="Calibri" w:hAnsi="Times New Roman" w:cs="Times New Roman"/>
              </w:rPr>
              <w:t>energetycz</w:t>
            </w:r>
            <w:r w:rsidR="003F5955">
              <w:rPr>
                <w:rFonts w:ascii="Times New Roman" w:eastAsia="Calibri" w:hAnsi="Times New Roman" w:cs="Times New Roman"/>
              </w:rPr>
              <w:t>ne</w:t>
            </w:r>
            <w:r w:rsidR="00916010">
              <w:rPr>
                <w:rFonts w:ascii="Times New Roman" w:eastAsia="Calibri" w:hAnsi="Times New Roman" w:cs="Times New Roman"/>
              </w:rPr>
              <w:t>”</w:t>
            </w:r>
          </w:p>
          <w:p w14:paraId="7AFD7700" w14:textId="77777777" w:rsidR="00194975" w:rsidRPr="00390D6C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3544438" w14:textId="1DE62100" w:rsidR="000F7AE7" w:rsidRDefault="00194975" w:rsidP="000F7AE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w </w:t>
            </w:r>
            <w:r w:rsidR="000F7AE7">
              <w:rPr>
                <w:rFonts w:ascii="Times New Roman" w:eastAsia="Calibri" w:hAnsi="Times New Roman" w:cs="Times New Roman"/>
                <w:b/>
                <w:color w:val="000000"/>
              </w:rPr>
              <w:t>W</w:t>
            </w:r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>ykazie prac</w:t>
            </w:r>
            <w:r w:rsidR="000F7AE7">
              <w:rPr>
                <w:rFonts w:ascii="Times New Roman" w:eastAsia="Calibri" w:hAnsi="Times New Roman" w:cs="Times New Roman"/>
                <w:b/>
                <w:color w:val="000000"/>
              </w:rPr>
              <w:t xml:space="preserve"> legislacyjnych Ministra Klimatu i Środowiska</w:t>
            </w:r>
          </w:p>
          <w:p w14:paraId="0F4CB0EB" w14:textId="2042EC8A" w:rsidR="00E35653" w:rsidRPr="007F2C2D" w:rsidRDefault="00194975" w:rsidP="000F7AE7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DB76DA" w:rsidRPr="007F2C2D">
              <w:rPr>
                <w:rFonts w:ascii="Times New Roman" w:eastAsia="Calibri" w:hAnsi="Times New Roman" w:cs="Times New Roman"/>
                <w:bCs/>
                <w:color w:val="000000"/>
              </w:rPr>
              <w:t>916</w:t>
            </w:r>
          </w:p>
        </w:tc>
      </w:tr>
      <w:tr w:rsidR="00067D98" w:rsidRPr="00067D98" w14:paraId="3A959A0B" w14:textId="77777777" w:rsidTr="00066274">
        <w:trPr>
          <w:gridAfter w:val="1"/>
          <w:wAfter w:w="38" w:type="dxa"/>
          <w:trHeight w:val="142"/>
        </w:trPr>
        <w:tc>
          <w:tcPr>
            <w:tcW w:w="10909" w:type="dxa"/>
            <w:gridSpan w:val="27"/>
            <w:shd w:val="clear" w:color="auto" w:fill="99CCFF"/>
          </w:tcPr>
          <w:p w14:paraId="491EB86A" w14:textId="52C9B843" w:rsidR="00E35653" w:rsidRPr="00067D98" w:rsidRDefault="00E35653" w:rsidP="005E5B5D">
            <w:pPr>
              <w:spacing w:after="0" w:line="276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67D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OCENA SKUTKÓW REGULACJI</w:t>
            </w:r>
          </w:p>
        </w:tc>
      </w:tr>
      <w:tr w:rsidR="00067D98" w:rsidRPr="00067D98" w14:paraId="30B97939" w14:textId="77777777" w:rsidTr="00066274">
        <w:trPr>
          <w:gridAfter w:val="1"/>
          <w:wAfter w:w="38" w:type="dxa"/>
          <w:trHeight w:val="333"/>
        </w:trPr>
        <w:tc>
          <w:tcPr>
            <w:tcW w:w="10909" w:type="dxa"/>
            <w:gridSpan w:val="27"/>
            <w:shd w:val="clear" w:color="auto" w:fill="99CCFF"/>
            <w:vAlign w:val="center"/>
          </w:tcPr>
          <w:p w14:paraId="12751529" w14:textId="77777777" w:rsidR="00E35653" w:rsidRPr="00067D98" w:rsidRDefault="00E35653" w:rsidP="00974D0E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067D98" w:rsidRPr="00067D98" w14:paraId="26BA6AB3" w14:textId="77777777" w:rsidTr="00926FEF">
        <w:tblPrEx>
          <w:tblCellMar>
            <w:left w:w="70" w:type="dxa"/>
            <w:right w:w="70" w:type="dxa"/>
          </w:tblCellMar>
        </w:tblPrEx>
        <w:trPr>
          <w:trHeight w:val="142"/>
        </w:trPr>
        <w:tc>
          <w:tcPr>
            <w:tcW w:w="10947" w:type="dxa"/>
            <w:gridSpan w:val="28"/>
            <w:shd w:val="clear" w:color="auto" w:fill="FFFFFF"/>
          </w:tcPr>
          <w:p w14:paraId="15C8F0B7" w14:textId="2B265A6E" w:rsidR="00C9232B" w:rsidRDefault="00544224" w:rsidP="00C9232B">
            <w:pPr>
              <w:spacing w:before="120" w:after="120" w:line="312" w:lineRule="auto"/>
              <w:ind w:firstLine="425"/>
              <w:jc w:val="both"/>
              <w:rPr>
                <w:rFonts w:ascii="Times New Roman" w:eastAsiaTheme="minorEastAsia" w:hAnsi="Times New Roman" w:cs="Times New Roman"/>
              </w:rPr>
            </w:pPr>
            <w:r w:rsidRPr="00DC3B3D">
              <w:rPr>
                <w:rFonts w:ascii="Times New Roman" w:eastAsiaTheme="minorEastAsia" w:hAnsi="Times New Roman" w:cs="Times New Roman"/>
              </w:rPr>
              <w:t>Konieczność wydania projektowane</w:t>
            </w:r>
            <w:r w:rsidR="000F7AE7">
              <w:rPr>
                <w:rFonts w:ascii="Times New Roman" w:eastAsiaTheme="minorEastAsia" w:hAnsi="Times New Roman" w:cs="Times New Roman"/>
              </w:rPr>
              <w:t>go</w:t>
            </w:r>
            <w:r w:rsidRPr="00DC3B3D">
              <w:rPr>
                <w:rFonts w:ascii="Times New Roman" w:eastAsiaTheme="minorEastAsia" w:hAnsi="Times New Roman" w:cs="Times New Roman"/>
              </w:rPr>
              <w:t xml:space="preserve"> </w:t>
            </w:r>
            <w:r w:rsidR="000F7AE7">
              <w:rPr>
                <w:rFonts w:ascii="Times New Roman" w:eastAsiaTheme="minorEastAsia" w:hAnsi="Times New Roman" w:cs="Times New Roman"/>
              </w:rPr>
              <w:t xml:space="preserve">rozporządzenia </w:t>
            </w:r>
            <w:r w:rsidR="000F7AE7" w:rsidRPr="00DC3B3D">
              <w:rPr>
                <w:rFonts w:ascii="Times New Roman" w:eastAsiaTheme="minorEastAsia" w:hAnsi="Times New Roman" w:cs="Times New Roman"/>
              </w:rPr>
              <w:t>zmien</w:t>
            </w:r>
            <w:r w:rsidR="000F7AE7">
              <w:rPr>
                <w:rFonts w:ascii="Times New Roman" w:eastAsiaTheme="minorEastAsia" w:hAnsi="Times New Roman" w:cs="Times New Roman"/>
              </w:rPr>
              <w:t>iającego</w:t>
            </w:r>
            <w:r w:rsidRPr="00DC3B3D">
              <w:rPr>
                <w:rFonts w:ascii="Times New Roman" w:eastAsiaTheme="minorEastAsia" w:hAnsi="Times New Roman" w:cs="Times New Roman"/>
              </w:rPr>
              <w:t xml:space="preserve"> rozporządzeni</w:t>
            </w:r>
            <w:r w:rsidR="000F7AE7">
              <w:rPr>
                <w:rFonts w:ascii="Times New Roman" w:eastAsiaTheme="minorEastAsia" w:hAnsi="Times New Roman" w:cs="Times New Roman"/>
              </w:rPr>
              <w:t>e</w:t>
            </w:r>
            <w:r w:rsidRPr="00DC3B3D">
              <w:rPr>
                <w:rFonts w:ascii="Times New Roman" w:eastAsiaTheme="minorEastAsia" w:hAnsi="Times New Roman" w:cs="Times New Roman"/>
              </w:rPr>
              <w:t xml:space="preserve"> Ministra Klimatu z dnia </w:t>
            </w:r>
            <w:r w:rsidR="00D91101">
              <w:rPr>
                <w:rFonts w:ascii="Times New Roman" w:eastAsiaTheme="minorEastAsia" w:hAnsi="Times New Roman" w:cs="Times New Roman"/>
              </w:rPr>
              <w:br/>
            </w:r>
            <w:r w:rsidR="00060A91">
              <w:rPr>
                <w:rFonts w:ascii="Times New Roman" w:eastAsiaTheme="minorEastAsia" w:hAnsi="Times New Roman" w:cs="Times New Roman"/>
              </w:rPr>
              <w:t>7</w:t>
            </w:r>
            <w:r w:rsidRPr="00DC3B3D">
              <w:rPr>
                <w:rFonts w:ascii="Times New Roman" w:eastAsiaTheme="minorEastAsia" w:hAnsi="Times New Roman" w:cs="Times New Roman"/>
              </w:rPr>
              <w:t xml:space="preserve"> kwietnia 2020 r. w sprawie szczegółowych zasad kształtowania i kalkulacji taryf oraz rozliczeń z tytułu zaopatrzenia </w:t>
            </w:r>
            <w:r w:rsidR="00D91101">
              <w:rPr>
                <w:rFonts w:ascii="Times New Roman" w:eastAsiaTheme="minorEastAsia" w:hAnsi="Times New Roman" w:cs="Times New Roman"/>
              </w:rPr>
              <w:br/>
            </w:r>
            <w:r w:rsidRPr="00DC3B3D">
              <w:rPr>
                <w:rFonts w:ascii="Times New Roman" w:eastAsiaTheme="minorEastAsia" w:hAnsi="Times New Roman" w:cs="Times New Roman"/>
              </w:rPr>
              <w:t>w ciepło (Dz. U.</w:t>
            </w:r>
            <w:r w:rsidR="001B13E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DC3B3D">
              <w:rPr>
                <w:rFonts w:ascii="Times New Roman" w:eastAsiaTheme="minorEastAsia" w:hAnsi="Times New Roman" w:cs="Times New Roman"/>
              </w:rPr>
              <w:t>poz. 718</w:t>
            </w:r>
            <w:r w:rsidR="00F62853">
              <w:rPr>
                <w:rFonts w:ascii="Times New Roman" w:eastAsiaTheme="minorEastAsia" w:hAnsi="Times New Roman" w:cs="Times New Roman"/>
              </w:rPr>
              <w:t>, z późn</w:t>
            </w:r>
            <w:r w:rsidR="00F5617C">
              <w:rPr>
                <w:rFonts w:ascii="Times New Roman" w:eastAsiaTheme="minorEastAsia" w:hAnsi="Times New Roman" w:cs="Times New Roman"/>
              </w:rPr>
              <w:t>.</w:t>
            </w:r>
            <w:r w:rsidR="00F62853">
              <w:rPr>
                <w:rFonts w:ascii="Times New Roman" w:eastAsiaTheme="minorEastAsia" w:hAnsi="Times New Roman" w:cs="Times New Roman"/>
              </w:rPr>
              <w:t xml:space="preserve"> zm.</w:t>
            </w:r>
            <w:r w:rsidR="00BB2D77">
              <w:rPr>
                <w:rFonts w:ascii="Times New Roman" w:eastAsiaTheme="minorEastAsia" w:hAnsi="Times New Roman" w:cs="Times New Roman"/>
              </w:rPr>
              <w:t>, zwane</w:t>
            </w:r>
            <w:r w:rsidR="0084668A">
              <w:rPr>
                <w:rFonts w:ascii="Times New Roman" w:eastAsiaTheme="minorEastAsia" w:hAnsi="Times New Roman" w:cs="Times New Roman"/>
              </w:rPr>
              <w:t>go</w:t>
            </w:r>
            <w:r w:rsidR="00BB2D77">
              <w:rPr>
                <w:rFonts w:ascii="Times New Roman" w:eastAsiaTheme="minorEastAsia" w:hAnsi="Times New Roman" w:cs="Times New Roman"/>
              </w:rPr>
              <w:t xml:space="preserve"> dalej „zmienianym rozporządzeniem”</w:t>
            </w:r>
            <w:r w:rsidRPr="00DC3B3D">
              <w:rPr>
                <w:rFonts w:ascii="Times New Roman" w:eastAsiaTheme="minorEastAsia" w:hAnsi="Times New Roman" w:cs="Times New Roman"/>
              </w:rPr>
              <w:t>),</w:t>
            </w:r>
            <w:r w:rsidR="00BB2D77">
              <w:rPr>
                <w:rFonts w:ascii="Times New Roman" w:eastAsiaTheme="minorEastAsia" w:hAnsi="Times New Roman" w:cs="Times New Roman"/>
              </w:rPr>
              <w:t xml:space="preserve"> zwanego dalej „projekt</w:t>
            </w:r>
            <w:r w:rsidR="003C5EE4">
              <w:rPr>
                <w:rFonts w:ascii="Times New Roman" w:eastAsiaTheme="minorEastAsia" w:hAnsi="Times New Roman" w:cs="Times New Roman"/>
              </w:rPr>
              <w:t>em</w:t>
            </w:r>
            <w:r w:rsidR="00BB2D77">
              <w:rPr>
                <w:rFonts w:ascii="Times New Roman" w:eastAsiaTheme="minorEastAsia" w:hAnsi="Times New Roman" w:cs="Times New Roman"/>
              </w:rPr>
              <w:t xml:space="preserve"> rozporządzeni</w:t>
            </w:r>
            <w:r w:rsidR="003C5EE4">
              <w:rPr>
                <w:rFonts w:ascii="Times New Roman" w:eastAsiaTheme="minorEastAsia" w:hAnsi="Times New Roman" w:cs="Times New Roman"/>
              </w:rPr>
              <w:t>a</w:t>
            </w:r>
            <w:r w:rsidR="00BB2D77">
              <w:rPr>
                <w:rFonts w:ascii="Times New Roman" w:eastAsiaTheme="minorEastAsia" w:hAnsi="Times New Roman" w:cs="Times New Roman"/>
              </w:rPr>
              <w:t>”</w:t>
            </w:r>
            <w:r w:rsidRPr="00DC3B3D">
              <w:rPr>
                <w:rFonts w:ascii="Times New Roman" w:eastAsiaTheme="minorEastAsia" w:hAnsi="Times New Roman" w:cs="Times New Roman"/>
              </w:rPr>
              <w:t xml:space="preserve"> jest skutkiem </w:t>
            </w:r>
            <w:r w:rsidR="00C9232B">
              <w:rPr>
                <w:rFonts w:ascii="Times New Roman" w:eastAsiaTheme="minorEastAsia" w:hAnsi="Times New Roman" w:cs="Times New Roman"/>
              </w:rPr>
              <w:t>bardzo trudnej sytuacji, w jakiej znajduj</w:t>
            </w:r>
            <w:r w:rsidR="00D12508">
              <w:rPr>
                <w:rFonts w:ascii="Times New Roman" w:eastAsiaTheme="minorEastAsia" w:hAnsi="Times New Roman" w:cs="Times New Roman"/>
              </w:rPr>
              <w:t>ą się przedsiębiorstwa energetyczne prowadzące działalność gospodarczą wytwarzania ciepła w kogeneracji</w:t>
            </w:r>
            <w:r w:rsidR="00C9232B">
              <w:rPr>
                <w:rFonts w:ascii="Times New Roman" w:eastAsiaTheme="minorEastAsia" w:hAnsi="Times New Roman" w:cs="Times New Roman"/>
              </w:rPr>
              <w:t xml:space="preserve">. Wpłynęło na to przede wszystkim aktualne otoczenie makroekonomiczne, a w szczególności </w:t>
            </w:r>
            <w:r w:rsidR="00AC418D">
              <w:rPr>
                <w:rFonts w:ascii="Times New Roman" w:eastAsiaTheme="minorEastAsia" w:hAnsi="Times New Roman" w:cs="Times New Roman"/>
              </w:rPr>
              <w:t>duże wzrosty cen uprawnień do emisji gazów cieplarnianych oraz cen paliw w 2021 i 2022</w:t>
            </w:r>
            <w:r w:rsidR="009A16F0">
              <w:rPr>
                <w:rFonts w:ascii="Times New Roman" w:eastAsiaTheme="minorEastAsia" w:hAnsi="Times New Roman" w:cs="Times New Roman"/>
              </w:rPr>
              <w:t xml:space="preserve"> roku</w:t>
            </w:r>
            <w:r w:rsidR="00AC418D">
              <w:rPr>
                <w:rFonts w:ascii="Times New Roman" w:eastAsiaTheme="minorEastAsia" w:hAnsi="Times New Roman" w:cs="Times New Roman"/>
              </w:rPr>
              <w:t xml:space="preserve">, które powodują, że koszty prowadzenia działalności </w:t>
            </w:r>
            <w:r w:rsidR="00D12508">
              <w:rPr>
                <w:rFonts w:ascii="Times New Roman" w:eastAsiaTheme="minorEastAsia" w:hAnsi="Times New Roman" w:cs="Times New Roman"/>
              </w:rPr>
              <w:t xml:space="preserve">gospodarczej wytwarzania ciepła w źródłach kogeneracyjnych </w:t>
            </w:r>
            <w:r w:rsidR="00AC418D">
              <w:rPr>
                <w:rFonts w:ascii="Times New Roman" w:eastAsiaTheme="minorEastAsia" w:hAnsi="Times New Roman" w:cs="Times New Roman"/>
              </w:rPr>
              <w:t xml:space="preserve">w 2022 </w:t>
            </w:r>
            <w:r w:rsidR="009A16F0">
              <w:rPr>
                <w:rFonts w:ascii="Times New Roman" w:eastAsiaTheme="minorEastAsia" w:hAnsi="Times New Roman" w:cs="Times New Roman"/>
              </w:rPr>
              <w:t xml:space="preserve">roku </w:t>
            </w:r>
            <w:r w:rsidR="00AC418D">
              <w:rPr>
                <w:rFonts w:ascii="Times New Roman" w:eastAsiaTheme="minorEastAsia" w:hAnsi="Times New Roman" w:cs="Times New Roman"/>
              </w:rPr>
              <w:t>nie będą możliwe do pokrycia w pełni przez przychody ustalone w oparciu o uproszczoną metodę kształtowania taryf dla kogeneracji na podstawie §</w:t>
            </w:r>
            <w:r w:rsidR="00C76CD5">
              <w:rPr>
                <w:rFonts w:ascii="Times New Roman" w:eastAsiaTheme="minorEastAsia" w:hAnsi="Times New Roman" w:cs="Times New Roman"/>
              </w:rPr>
              <w:t xml:space="preserve"> </w:t>
            </w:r>
            <w:r w:rsidR="00AC418D">
              <w:rPr>
                <w:rFonts w:ascii="Times New Roman" w:eastAsiaTheme="minorEastAsia" w:hAnsi="Times New Roman" w:cs="Times New Roman"/>
              </w:rPr>
              <w:t>13 zmienianego rozporządzenia</w:t>
            </w:r>
            <w:r w:rsidR="00023210">
              <w:rPr>
                <w:rFonts w:ascii="Times New Roman" w:eastAsiaTheme="minorEastAsia" w:hAnsi="Times New Roman" w:cs="Times New Roman"/>
              </w:rPr>
              <w:t xml:space="preserve">. Przepis ten dotyczy </w:t>
            </w:r>
            <w:r w:rsidR="00AC418D">
              <w:rPr>
                <w:rFonts w:ascii="Times New Roman" w:eastAsiaTheme="minorEastAsia" w:hAnsi="Times New Roman" w:cs="Times New Roman"/>
              </w:rPr>
              <w:t>stosowani</w:t>
            </w:r>
            <w:r w:rsidR="00023210">
              <w:rPr>
                <w:rFonts w:ascii="Times New Roman" w:eastAsiaTheme="minorEastAsia" w:hAnsi="Times New Roman" w:cs="Times New Roman"/>
              </w:rPr>
              <w:t>a</w:t>
            </w:r>
            <w:r w:rsidR="00AC418D">
              <w:rPr>
                <w:rFonts w:ascii="Times New Roman" w:eastAsiaTheme="minorEastAsia" w:hAnsi="Times New Roman" w:cs="Times New Roman"/>
              </w:rPr>
              <w:t xml:space="preserve"> uproszczonego sposobu kalkulacji cen i stawek opłat w taryfach dla ciepła.</w:t>
            </w:r>
          </w:p>
          <w:p w14:paraId="77C5D08C" w14:textId="0A65DD1C" w:rsidR="00AC418D" w:rsidRDefault="00AC418D" w:rsidP="00C9232B">
            <w:pPr>
              <w:spacing w:before="120" w:after="120" w:line="312" w:lineRule="auto"/>
              <w:ind w:firstLine="425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Dodatkowo, aktualna sytuacja </w:t>
            </w:r>
            <w:r w:rsidR="00023210">
              <w:rPr>
                <w:rFonts w:ascii="Times New Roman" w:eastAsiaTheme="minorEastAsia" w:hAnsi="Times New Roman" w:cs="Times New Roman"/>
              </w:rPr>
              <w:t xml:space="preserve">geopolityczna </w:t>
            </w:r>
            <w:r>
              <w:rPr>
                <w:rFonts w:ascii="Times New Roman" w:eastAsiaTheme="minorEastAsia" w:hAnsi="Times New Roman" w:cs="Times New Roman"/>
              </w:rPr>
              <w:t>związana z wywołan</w:t>
            </w:r>
            <w:r w:rsidR="001E0D36">
              <w:rPr>
                <w:rFonts w:ascii="Times New Roman" w:eastAsiaTheme="minorEastAsia" w:hAnsi="Times New Roman" w:cs="Times New Roman"/>
              </w:rPr>
              <w:t>ą</w:t>
            </w:r>
            <w:r>
              <w:rPr>
                <w:rFonts w:ascii="Times New Roman" w:eastAsiaTheme="minorEastAsia" w:hAnsi="Times New Roman" w:cs="Times New Roman"/>
              </w:rPr>
              <w:t xml:space="preserve"> przez Federację Rosyjską wojną w Ukrainie w sposób istotny zwiększa niepewność w zakresie prowadzonej </w:t>
            </w:r>
            <w:r w:rsidR="000500DD">
              <w:rPr>
                <w:rFonts w:ascii="Times New Roman" w:eastAsiaTheme="minorEastAsia" w:hAnsi="Times New Roman" w:cs="Times New Roman"/>
              </w:rPr>
              <w:t xml:space="preserve">w Polsce </w:t>
            </w:r>
            <w:r>
              <w:rPr>
                <w:rFonts w:ascii="Times New Roman" w:eastAsiaTheme="minorEastAsia" w:hAnsi="Times New Roman" w:cs="Times New Roman"/>
              </w:rPr>
              <w:t>działalności gospodarcz</w:t>
            </w:r>
            <w:r w:rsidR="00F465E8">
              <w:rPr>
                <w:rFonts w:ascii="Times New Roman" w:eastAsiaTheme="minorEastAsia" w:hAnsi="Times New Roman" w:cs="Times New Roman"/>
              </w:rPr>
              <w:t>ej</w:t>
            </w:r>
            <w:r>
              <w:rPr>
                <w:rFonts w:ascii="Times New Roman" w:eastAsiaTheme="minorEastAsia" w:hAnsi="Times New Roman" w:cs="Times New Roman"/>
              </w:rPr>
              <w:t xml:space="preserve">, w szczególności ze względu na ograniczenia w dostępności stosowanych paliw oraz znaczny wzrost ich kosztów. </w:t>
            </w:r>
            <w:r w:rsidR="00D12508">
              <w:rPr>
                <w:rFonts w:ascii="Times New Roman" w:eastAsiaTheme="minorEastAsia" w:hAnsi="Times New Roman" w:cs="Times New Roman"/>
              </w:rPr>
              <w:t>Ograniczenia</w:t>
            </w:r>
            <w:r>
              <w:rPr>
                <w:rFonts w:ascii="Times New Roman" w:eastAsiaTheme="minorEastAsia" w:hAnsi="Times New Roman" w:cs="Times New Roman"/>
              </w:rPr>
              <w:t xml:space="preserve"> w zakresie importu rosyjskich surowców energetycznych mogą w perspektywie </w:t>
            </w:r>
            <w:r w:rsidR="00A6581E">
              <w:rPr>
                <w:rFonts w:ascii="Times New Roman" w:eastAsiaTheme="minorEastAsia" w:hAnsi="Times New Roman" w:cs="Times New Roman"/>
              </w:rPr>
              <w:t>krótkoterminowej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A6581E">
              <w:rPr>
                <w:rFonts w:ascii="Times New Roman" w:eastAsiaTheme="minorEastAsia" w:hAnsi="Times New Roman" w:cs="Times New Roman"/>
              </w:rPr>
              <w:t>doprowadzić</w:t>
            </w:r>
            <w:r>
              <w:rPr>
                <w:rFonts w:ascii="Times New Roman" w:eastAsiaTheme="minorEastAsia" w:hAnsi="Times New Roman" w:cs="Times New Roman"/>
              </w:rPr>
              <w:t xml:space="preserve"> do dalszego wzrostu cen paliw.</w:t>
            </w:r>
            <w:r w:rsidR="00A6581E">
              <w:rPr>
                <w:rFonts w:ascii="Times New Roman" w:eastAsiaTheme="minorEastAsia" w:hAnsi="Times New Roman" w:cs="Times New Roman"/>
              </w:rPr>
              <w:t xml:space="preserve"> Aby odpowiedzieć na te problemy, niezbędne jest umożliwienie odzwierciedlenia w obowiązujących taryfach zwiększonych już w roku poprzednim i odzwierciedlonych w opublikowanych wskaźnika</w:t>
            </w:r>
            <w:r w:rsidR="00F465E8">
              <w:rPr>
                <w:rFonts w:ascii="Times New Roman" w:eastAsiaTheme="minorEastAsia" w:hAnsi="Times New Roman" w:cs="Times New Roman"/>
              </w:rPr>
              <w:t>ch</w:t>
            </w:r>
            <w:r w:rsidR="00A6581E">
              <w:rPr>
                <w:rFonts w:ascii="Times New Roman" w:eastAsiaTheme="minorEastAsia" w:hAnsi="Times New Roman" w:cs="Times New Roman"/>
              </w:rPr>
              <w:t xml:space="preserve"> referencyjnych kosztów prowadzonej działalności</w:t>
            </w:r>
            <w:r w:rsidR="00D12508">
              <w:rPr>
                <w:rFonts w:ascii="Times New Roman" w:eastAsiaTheme="minorEastAsia" w:hAnsi="Times New Roman" w:cs="Times New Roman"/>
              </w:rPr>
              <w:t xml:space="preserve"> wytwarzania ciepła w kogeneracji</w:t>
            </w:r>
            <w:r w:rsidR="00A6581E">
              <w:rPr>
                <w:rFonts w:ascii="Times New Roman" w:eastAsiaTheme="minorEastAsia" w:hAnsi="Times New Roman" w:cs="Times New Roman"/>
              </w:rPr>
              <w:t>. Bez możliwości faktycznego wykorzystania wskaźników referencyjnych w taryfach dla ciepła w roku 2022, sytuacja sektora elektrociepłowni jeszcze bardziej się pogorszy</w:t>
            </w:r>
            <w:r w:rsidR="00D12508">
              <w:rPr>
                <w:rFonts w:ascii="Times New Roman" w:eastAsiaTheme="minorEastAsia" w:hAnsi="Times New Roman" w:cs="Times New Roman"/>
              </w:rPr>
              <w:t xml:space="preserve"> w stosunku do sytuacji aktualnej</w:t>
            </w:r>
            <w:r w:rsidR="00A6581E">
              <w:rPr>
                <w:rFonts w:ascii="Times New Roman" w:eastAsiaTheme="minorEastAsia" w:hAnsi="Times New Roman" w:cs="Times New Roman"/>
              </w:rPr>
              <w:t>. Niezależnie od powyższego</w:t>
            </w:r>
            <w:r w:rsidR="00C76CD5">
              <w:rPr>
                <w:rFonts w:ascii="Times New Roman" w:eastAsiaTheme="minorEastAsia" w:hAnsi="Times New Roman" w:cs="Times New Roman"/>
              </w:rPr>
              <w:t>,</w:t>
            </w:r>
            <w:r w:rsidR="00A6581E">
              <w:rPr>
                <w:rFonts w:ascii="Times New Roman" w:eastAsiaTheme="minorEastAsia" w:hAnsi="Times New Roman" w:cs="Times New Roman"/>
              </w:rPr>
              <w:t xml:space="preserve"> uwzględnienie</w:t>
            </w:r>
            <w:r w:rsidR="00D12508">
              <w:rPr>
                <w:rFonts w:ascii="Times New Roman" w:eastAsiaTheme="minorEastAsia" w:hAnsi="Times New Roman" w:cs="Times New Roman"/>
              </w:rPr>
              <w:t xml:space="preserve"> korekty wzrostowej zmian prowadzenia działalności gospodarczej</w:t>
            </w:r>
            <w:r w:rsidR="00A6581E">
              <w:rPr>
                <w:rFonts w:ascii="Times New Roman" w:eastAsiaTheme="minorEastAsia" w:hAnsi="Times New Roman" w:cs="Times New Roman"/>
              </w:rPr>
              <w:t xml:space="preserve"> przez Prezesa Urzędu Regulacji Energetyki (Prezesa URE) w zmianie wskaźników referencyjnych na rok 2023 może spowodować podwójną stratę przedsiębiorstw energetycznych wytwarzających ciepło w jednostkach kogeneracji</w:t>
            </w:r>
            <w:r w:rsidR="001D3D8B">
              <w:rPr>
                <w:rFonts w:ascii="Times New Roman" w:eastAsiaTheme="minorEastAsia" w:hAnsi="Times New Roman" w:cs="Times New Roman"/>
              </w:rPr>
              <w:t xml:space="preserve"> (zwanych dalej „przedsiębiorstwami energetycznymi”</w:t>
            </w:r>
            <w:r w:rsidR="00D15840">
              <w:rPr>
                <w:rFonts w:ascii="Times New Roman" w:eastAsiaTheme="minorEastAsia" w:hAnsi="Times New Roman" w:cs="Times New Roman"/>
              </w:rPr>
              <w:t xml:space="preserve"> lub „przedsiębiorstwami”</w:t>
            </w:r>
            <w:r w:rsidR="001D3D8B">
              <w:rPr>
                <w:rFonts w:ascii="Times New Roman" w:eastAsiaTheme="minorEastAsia" w:hAnsi="Times New Roman" w:cs="Times New Roman"/>
              </w:rPr>
              <w:t>)</w:t>
            </w:r>
            <w:r w:rsidR="00A6581E">
              <w:rPr>
                <w:rFonts w:ascii="Times New Roman" w:eastAsiaTheme="minorEastAsia" w:hAnsi="Times New Roman" w:cs="Times New Roman"/>
              </w:rPr>
              <w:t>.</w:t>
            </w:r>
          </w:p>
          <w:p w14:paraId="495F8C75" w14:textId="4C4DD35D" w:rsidR="00A6581E" w:rsidRDefault="005704E2" w:rsidP="00C9232B">
            <w:pPr>
              <w:spacing w:before="120" w:after="120" w:line="312" w:lineRule="auto"/>
              <w:ind w:firstLine="425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U</w:t>
            </w:r>
            <w:r w:rsidR="00A6581E">
              <w:rPr>
                <w:rFonts w:ascii="Times New Roman" w:eastAsiaTheme="minorEastAsia" w:hAnsi="Times New Roman" w:cs="Times New Roman"/>
              </w:rPr>
              <w:t xml:space="preserve">trzymywanie preferencji w taryfach dla ciepła wyłącznie dla jednostek kogeneracji oddanych do użytku po 3 listopada 2010 r., </w:t>
            </w:r>
            <w:r w:rsidR="004D5AD3">
              <w:rPr>
                <w:rFonts w:ascii="Times New Roman" w:eastAsiaTheme="minorEastAsia" w:hAnsi="Times New Roman" w:cs="Times New Roman"/>
              </w:rPr>
              <w:t>o czym stanowi § 13 ust. 8</w:t>
            </w:r>
            <w:r w:rsidR="00AD51E2">
              <w:rPr>
                <w:rFonts w:ascii="Times New Roman" w:eastAsiaTheme="minorEastAsia" w:hAnsi="Times New Roman" w:cs="Times New Roman"/>
              </w:rPr>
              <w:t xml:space="preserve"> zmienianego rozporządzenia</w:t>
            </w:r>
            <w:r w:rsidR="004D5AD3">
              <w:rPr>
                <w:rFonts w:ascii="Times New Roman" w:eastAsiaTheme="minorEastAsia" w:hAnsi="Times New Roman" w:cs="Times New Roman"/>
              </w:rPr>
              <w:t xml:space="preserve">, </w:t>
            </w:r>
            <w:r w:rsidR="00A6581E">
              <w:rPr>
                <w:rFonts w:ascii="Times New Roman" w:eastAsiaTheme="minorEastAsia" w:hAnsi="Times New Roman" w:cs="Times New Roman"/>
              </w:rPr>
              <w:t>dla których nie stosuje się ograniczeń we wzroście planowanych przychodów</w:t>
            </w:r>
            <w:r w:rsidR="00E71C2C">
              <w:rPr>
                <w:rFonts w:ascii="Times New Roman" w:eastAsiaTheme="minorEastAsia" w:hAnsi="Times New Roman" w:cs="Times New Roman"/>
              </w:rPr>
              <w:t>,</w:t>
            </w:r>
            <w:r w:rsidR="004D5AD3">
              <w:rPr>
                <w:rFonts w:ascii="Times New Roman" w:eastAsiaTheme="minorEastAsia" w:hAnsi="Times New Roman" w:cs="Times New Roman"/>
              </w:rPr>
              <w:t xml:space="preserve"> zgodnie z </w:t>
            </w:r>
            <w:r w:rsidR="00A6581E">
              <w:rPr>
                <w:rFonts w:ascii="Times New Roman" w:eastAsiaTheme="minorEastAsia" w:hAnsi="Times New Roman" w:cs="Times New Roman"/>
              </w:rPr>
              <w:t>§</w:t>
            </w:r>
            <w:r w:rsidR="00C76CD5">
              <w:rPr>
                <w:rFonts w:ascii="Times New Roman" w:eastAsiaTheme="minorEastAsia" w:hAnsi="Times New Roman" w:cs="Times New Roman"/>
              </w:rPr>
              <w:t xml:space="preserve"> </w:t>
            </w:r>
            <w:r w:rsidR="00A6581E">
              <w:rPr>
                <w:rFonts w:ascii="Times New Roman" w:eastAsiaTheme="minorEastAsia" w:hAnsi="Times New Roman" w:cs="Times New Roman"/>
              </w:rPr>
              <w:t>13 ust. 6 zmienianego rozporządzenia</w:t>
            </w:r>
            <w:r w:rsidR="00E71C2C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jest w obecnej sytuacji nieuzasadnione</w:t>
            </w:r>
            <w:r w:rsidR="000C0E9F">
              <w:rPr>
                <w:rFonts w:ascii="Times New Roman" w:eastAsiaTheme="minorEastAsia" w:hAnsi="Times New Roman" w:cs="Times New Roman"/>
              </w:rPr>
              <w:t>, poniewa</w:t>
            </w:r>
            <w:r w:rsidR="003C5B3C">
              <w:rPr>
                <w:rFonts w:ascii="Times New Roman" w:eastAsiaTheme="minorEastAsia" w:hAnsi="Times New Roman" w:cs="Times New Roman"/>
              </w:rPr>
              <w:t>ż g</w:t>
            </w:r>
            <w:r w:rsidR="004D5AD3">
              <w:rPr>
                <w:rFonts w:ascii="Times New Roman" w:eastAsiaTheme="minorEastAsia" w:hAnsi="Times New Roman" w:cs="Times New Roman"/>
              </w:rPr>
              <w:t xml:space="preserve">rupa przedsiębiorstw energetycznych eksploatujących źródła oddane do użytkowania przed wskazaną datą ponosi straty z powodu braku możliwości pokrycia kosztów prowadzenia działalności </w:t>
            </w:r>
            <w:r w:rsidR="003C5B3C">
              <w:rPr>
                <w:rFonts w:ascii="Times New Roman" w:eastAsiaTheme="minorEastAsia" w:hAnsi="Times New Roman" w:cs="Times New Roman"/>
              </w:rPr>
              <w:t xml:space="preserve">gospodarczej wytwarzania ciepła w kogeneracji, </w:t>
            </w:r>
            <w:r w:rsidR="004D5AD3">
              <w:rPr>
                <w:rFonts w:ascii="Times New Roman" w:eastAsiaTheme="minorEastAsia" w:hAnsi="Times New Roman" w:cs="Times New Roman"/>
              </w:rPr>
              <w:t>przychodami uzyskiwanymi z prowadzenia tej działalności.</w:t>
            </w:r>
            <w:r w:rsidR="00A6581E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479E80A7" w14:textId="3340CB44" w:rsidR="00DA2B1A" w:rsidRPr="005B0558" w:rsidRDefault="00A6581E" w:rsidP="005B0558">
            <w:pPr>
              <w:spacing w:before="120" w:after="120" w:line="312" w:lineRule="auto"/>
              <w:ind w:firstLine="42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Celem wyrównania możliwości uzyskania przychodu pokrywającego koszty prowadzenia działalności gospodarczej</w:t>
            </w:r>
            <w:r w:rsidR="00AD51E2">
              <w:t xml:space="preserve"> </w:t>
            </w:r>
            <w:r w:rsidR="00AD51E2" w:rsidRPr="00AD51E2">
              <w:rPr>
                <w:rFonts w:ascii="Times New Roman" w:eastAsiaTheme="minorEastAsia" w:hAnsi="Times New Roman" w:cs="Times New Roman"/>
              </w:rPr>
              <w:t>dla jednostek kogeneracji</w:t>
            </w:r>
            <w:r>
              <w:rPr>
                <w:rFonts w:ascii="Times New Roman" w:eastAsiaTheme="minorEastAsia" w:hAnsi="Times New Roman" w:cs="Times New Roman"/>
              </w:rPr>
              <w:t xml:space="preserve"> konieczna jest taka zmiana </w:t>
            </w:r>
            <w:r w:rsidRPr="00A6581E">
              <w:rPr>
                <w:rFonts w:ascii="Times New Roman" w:eastAsiaTheme="minorEastAsia" w:hAnsi="Times New Roman" w:cs="Times New Roman"/>
              </w:rPr>
              <w:t>§</w:t>
            </w:r>
            <w:r w:rsidR="00C76CD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6581E">
              <w:rPr>
                <w:rFonts w:ascii="Times New Roman" w:eastAsiaTheme="minorEastAsia" w:hAnsi="Times New Roman" w:cs="Times New Roman"/>
              </w:rPr>
              <w:t>13 ust. 6 zmienianego rozporządzenia</w:t>
            </w:r>
            <w:r>
              <w:rPr>
                <w:rFonts w:ascii="Times New Roman" w:eastAsiaTheme="minorEastAsia" w:hAnsi="Times New Roman" w:cs="Times New Roman"/>
              </w:rPr>
              <w:t xml:space="preserve">, która odzwierciedli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możliwość zwiększenia wzrostu planowanego przychodu, zgodnie z publikowanym przez Prezesa URE </w:t>
            </w:r>
            <w:r w:rsidR="00A94FA0">
              <w:rPr>
                <w:rFonts w:ascii="Times New Roman" w:eastAsiaTheme="minorEastAsia" w:hAnsi="Times New Roman" w:cs="Times New Roman"/>
              </w:rPr>
              <w:t>wskaźnikiem referencyjnym, którego wartość ustalana jest na podstawie</w:t>
            </w:r>
            <w:r w:rsidR="00A94FA0">
              <w:t xml:space="preserve"> </w:t>
            </w:r>
            <w:r w:rsidR="00D07153">
              <w:rPr>
                <w:rFonts w:ascii="Times New Roman" w:hAnsi="Times New Roman" w:cs="Times New Roman"/>
                <w:spacing w:val="-2"/>
              </w:rPr>
              <w:t>„</w:t>
            </w:r>
            <w:r w:rsidR="00A94FA0" w:rsidRPr="00023CE6">
              <w:rPr>
                <w:rFonts w:ascii="Times New Roman" w:hAnsi="Times New Roman" w:cs="Times New Roman"/>
              </w:rPr>
              <w:t xml:space="preserve">wielkości </w:t>
            </w:r>
            <w:r w:rsidR="00A94FA0" w:rsidRPr="00A94FA0">
              <w:rPr>
                <w:rFonts w:ascii="Times New Roman" w:eastAsiaTheme="minorEastAsia" w:hAnsi="Times New Roman" w:cs="Times New Roman"/>
              </w:rPr>
              <w:t>k</w:t>
            </w:r>
            <w:r w:rsidR="00D07153">
              <w:rPr>
                <w:rFonts w:ascii="Times New Roman" w:eastAsiaTheme="minorEastAsia" w:hAnsi="Times New Roman" w:cs="Times New Roman"/>
              </w:rPr>
              <w:t>”</w:t>
            </w:r>
            <w:r w:rsidR="00A94FA0">
              <w:rPr>
                <w:rFonts w:ascii="Times New Roman" w:eastAsiaTheme="minorEastAsia" w:hAnsi="Times New Roman" w:cs="Times New Roman"/>
              </w:rPr>
              <w:t xml:space="preserve"> – tj. </w:t>
            </w:r>
            <w:r w:rsidR="00A94FA0" w:rsidRPr="00A94FA0">
              <w:rPr>
                <w:rFonts w:ascii="Times New Roman" w:eastAsiaTheme="minorEastAsia" w:hAnsi="Times New Roman" w:cs="Times New Roman"/>
              </w:rPr>
              <w:t>zmian</w:t>
            </w:r>
            <w:r w:rsidR="00A94FA0">
              <w:rPr>
                <w:rFonts w:ascii="Times New Roman" w:eastAsiaTheme="minorEastAsia" w:hAnsi="Times New Roman" w:cs="Times New Roman"/>
              </w:rPr>
              <w:t>y</w:t>
            </w:r>
            <w:r w:rsidR="00A94FA0" w:rsidRPr="00A94FA0">
              <w:rPr>
                <w:rFonts w:ascii="Times New Roman" w:eastAsiaTheme="minorEastAsia" w:hAnsi="Times New Roman" w:cs="Times New Roman"/>
              </w:rPr>
              <w:t xml:space="preserve"> kosztów obciążających jednostkę produkowanego ciepła w jednostkach kogeneracji wynikającą z istotnej zmiany warunków wykonywania działalności gospodarczej przez przedsiębiorstwa energetyczne w takim zakresie, w jakim koszty związane z prowadzeniem działalności gospodarczej będą obciążać produkcję ciepła w okresie obowiązywania wskaźnika referencyjnego, a nie obciążały jej w okresie poprzedzającym okres ustalania tego wskaźnika</w:t>
            </w:r>
            <w:r w:rsidR="00A94FA0">
              <w:rPr>
                <w:rFonts w:ascii="Times New Roman" w:eastAsiaTheme="minorEastAsia" w:hAnsi="Times New Roman" w:cs="Times New Roman"/>
              </w:rPr>
              <w:t>.</w:t>
            </w:r>
            <w:r w:rsidR="005B0558" w:rsidRPr="00A94FA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7D98" w:rsidRPr="00067D98" w14:paraId="77D08E12" w14:textId="77777777" w:rsidTr="00066274">
        <w:trPr>
          <w:gridAfter w:val="1"/>
          <w:wAfter w:w="38" w:type="dxa"/>
          <w:trHeight w:val="142"/>
        </w:trPr>
        <w:tc>
          <w:tcPr>
            <w:tcW w:w="10909" w:type="dxa"/>
            <w:gridSpan w:val="27"/>
            <w:shd w:val="clear" w:color="auto" w:fill="99CCFF"/>
            <w:vAlign w:val="center"/>
          </w:tcPr>
          <w:p w14:paraId="589C1B4F" w14:textId="77777777" w:rsidR="00E35653" w:rsidRPr="00067D98" w:rsidRDefault="00E35653" w:rsidP="00974D0E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067D98" w:rsidRPr="00067D98" w14:paraId="45E0AD93" w14:textId="77777777" w:rsidTr="002E33D9">
        <w:tblPrEx>
          <w:tblCellMar>
            <w:left w:w="70" w:type="dxa"/>
            <w:right w:w="70" w:type="dxa"/>
          </w:tblCellMar>
        </w:tblPrEx>
        <w:trPr>
          <w:trHeight w:val="142"/>
        </w:trPr>
        <w:tc>
          <w:tcPr>
            <w:tcW w:w="10947" w:type="dxa"/>
            <w:gridSpan w:val="28"/>
            <w:shd w:val="clear" w:color="auto" w:fill="auto"/>
          </w:tcPr>
          <w:p w14:paraId="1362E59C" w14:textId="0F4C2C34" w:rsidR="00DB6863" w:rsidRPr="003B7D06" w:rsidRDefault="00DB6863" w:rsidP="00DB6863">
            <w:pPr>
              <w:spacing w:before="120" w:after="120" w:line="312" w:lineRule="auto"/>
              <w:ind w:firstLine="425"/>
              <w:jc w:val="both"/>
              <w:rPr>
                <w:rFonts w:ascii="Times New Roman" w:hAnsi="Times New Roman"/>
                <w:bCs/>
              </w:rPr>
            </w:pPr>
            <w:r w:rsidRPr="003B7D06">
              <w:rPr>
                <w:rFonts w:ascii="Times New Roman" w:eastAsiaTheme="minorEastAsia" w:hAnsi="Times New Roman" w:cs="Times New Roman"/>
              </w:rPr>
              <w:t>W celu u</w:t>
            </w:r>
            <w:r w:rsidR="0027362D" w:rsidRPr="003B7D06">
              <w:rPr>
                <w:rFonts w:ascii="Times New Roman" w:eastAsiaTheme="minorEastAsia" w:hAnsi="Times New Roman" w:cs="Times New Roman"/>
              </w:rPr>
              <w:t>realnieni</w:t>
            </w:r>
            <w:r w:rsidRPr="003B7D06">
              <w:rPr>
                <w:rFonts w:ascii="Times New Roman" w:eastAsiaTheme="minorEastAsia" w:hAnsi="Times New Roman" w:cs="Times New Roman"/>
              </w:rPr>
              <w:t>a</w:t>
            </w:r>
            <w:r w:rsidR="0027362D" w:rsidRPr="003B7D06">
              <w:rPr>
                <w:rFonts w:ascii="Times New Roman" w:eastAsiaTheme="minorEastAsia" w:hAnsi="Times New Roman"/>
              </w:rPr>
              <w:t xml:space="preserve"> metody </w:t>
            </w:r>
            <w:r w:rsidR="00A94FA0" w:rsidRPr="003B7D06">
              <w:rPr>
                <w:rFonts w:ascii="Times New Roman" w:eastAsiaTheme="minorEastAsia" w:hAnsi="Times New Roman"/>
              </w:rPr>
              <w:t>ograniczenia wzrostu planowanych przychodów</w:t>
            </w:r>
            <w:r w:rsidRPr="003B7D06">
              <w:rPr>
                <w:rFonts w:ascii="Times New Roman" w:eastAsiaTheme="minorEastAsia" w:hAnsi="Times New Roman"/>
              </w:rPr>
              <w:t xml:space="preserve"> p</w:t>
            </w:r>
            <w:r w:rsidRPr="003B7D06">
              <w:rPr>
                <w:rFonts w:ascii="Times New Roman" w:eastAsiaTheme="minorEastAsia" w:hAnsi="Times New Roman" w:cs="Times New Roman"/>
              </w:rPr>
              <w:t>roponuje</w:t>
            </w:r>
            <w:r w:rsidRPr="003B7D06">
              <w:rPr>
                <w:rFonts w:ascii="Times New Roman" w:hAnsi="Times New Roman"/>
                <w:bCs/>
              </w:rPr>
              <w:t xml:space="preserve"> się zmianę</w:t>
            </w:r>
            <w:r w:rsidR="00A9101C" w:rsidRPr="003B7D06">
              <w:rPr>
                <w:rFonts w:ascii="Times New Roman" w:hAnsi="Times New Roman"/>
                <w:bCs/>
              </w:rPr>
              <w:t xml:space="preserve"> </w:t>
            </w:r>
            <w:r w:rsidRPr="003B7D06">
              <w:rPr>
                <w:rFonts w:ascii="Times New Roman" w:hAnsi="Times New Roman"/>
                <w:bCs/>
              </w:rPr>
              <w:t>§</w:t>
            </w:r>
            <w:r w:rsidR="00BB2D77" w:rsidRPr="003B7D06">
              <w:rPr>
                <w:rFonts w:ascii="Times New Roman" w:hAnsi="Times New Roman"/>
                <w:bCs/>
              </w:rPr>
              <w:t xml:space="preserve"> </w:t>
            </w:r>
            <w:r w:rsidRPr="003B7D06">
              <w:rPr>
                <w:rFonts w:ascii="Times New Roman" w:hAnsi="Times New Roman"/>
                <w:bCs/>
              </w:rPr>
              <w:t xml:space="preserve">13 ust. 6 </w:t>
            </w:r>
            <w:r w:rsidR="00F5435F" w:rsidRPr="003B7D06">
              <w:rPr>
                <w:rFonts w:ascii="Times New Roman" w:hAnsi="Times New Roman"/>
                <w:bCs/>
              </w:rPr>
              <w:t xml:space="preserve">zmienianego </w:t>
            </w:r>
            <w:r w:rsidRPr="003B7D06">
              <w:rPr>
                <w:rFonts w:ascii="Times New Roman" w:hAnsi="Times New Roman"/>
                <w:bCs/>
              </w:rPr>
              <w:t>rozporządzenia uwzględniając we wzorach ograniczających wzrost planowanego przechodu w taryfach dla ciepła wytworzonego w kogeneracji składnika:</w:t>
            </w:r>
          </w:p>
          <w:p w14:paraId="3BA212FF" w14:textId="3F5478FA" w:rsidR="00DB6863" w:rsidRPr="007F2C2D" w:rsidRDefault="003B7D06" w:rsidP="00DB6863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theme="minorHAnsi"/>
                <w:bCs/>
                <w:lang w:eastAsia="pl-P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lang w:eastAsia="pl-PL"/>
                  </w:rPr>
                  <m:t>(Xc-1) x 100</m:t>
                </m:r>
              </m:oMath>
            </m:oMathPara>
          </w:p>
          <w:p w14:paraId="1BC021E5" w14:textId="5721577F" w:rsidR="00DB6863" w:rsidRPr="003B7D06" w:rsidRDefault="00DB6863" w:rsidP="00DB6863">
            <w:pPr>
              <w:spacing w:before="120" w:after="120" w:line="312" w:lineRule="auto"/>
              <w:ind w:firstLine="425"/>
              <w:jc w:val="both"/>
              <w:rPr>
                <w:rFonts w:ascii="Times New Roman" w:eastAsiaTheme="minorEastAsia" w:hAnsi="Times New Roman"/>
              </w:rPr>
            </w:pPr>
            <w:r w:rsidRPr="003B7D06">
              <w:rPr>
                <w:rFonts w:ascii="Times New Roman" w:eastAsiaTheme="minorEastAsia" w:hAnsi="Times New Roman"/>
              </w:rPr>
              <w:t>Proponowany §</w:t>
            </w:r>
            <w:r w:rsidR="00303F85" w:rsidRPr="003B7D06">
              <w:rPr>
                <w:rFonts w:ascii="Times New Roman" w:eastAsiaTheme="minorEastAsia" w:hAnsi="Times New Roman"/>
              </w:rPr>
              <w:t xml:space="preserve"> </w:t>
            </w:r>
            <w:r w:rsidRPr="003B7D06">
              <w:rPr>
                <w:rFonts w:ascii="Times New Roman" w:eastAsiaTheme="minorEastAsia" w:hAnsi="Times New Roman"/>
              </w:rPr>
              <w:t>13 ust. 6 otrzymuje brzmienie:</w:t>
            </w:r>
          </w:p>
          <w:p w14:paraId="2EF6639E" w14:textId="3D9B57EC" w:rsidR="00DB6863" w:rsidRPr="007F2C2D" w:rsidRDefault="00DB6863" w:rsidP="00DB6863">
            <w:pPr>
              <w:widowControl w:val="0"/>
              <w:autoSpaceDE w:val="0"/>
              <w:autoSpaceDN w:val="0"/>
              <w:spacing w:before="120" w:after="120" w:line="312" w:lineRule="auto"/>
              <w:ind w:right="11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„6. Wskaźnik </w:t>
            </w:r>
            <w:r w:rsidR="00E81E97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zmiany</w:t>
            </w:r>
            <w:r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przychodów ze sprzedaży ciepła dla źródeł ciepła [w %], dla których przedsiębiorstwo energetyczne stosuje uproszczony sposób kalkulacji cen i stawek opłat, o którym mowa w ust. 1, obliczanych na podstawie planowanych cen lub stawek opłat i planowanych na dany rok stosowania taryfy wielkości sprzedaży ciepła, mocy zamówionej oraz nośnika ciepła w kalkulacji tych cen i stawek opłat dla źródeł ciepła nie może być wyższy, uwzględniając wielkość przychodów ze sprzedaży ciepła obliczanych dla tych źródeł na podstawie dotychczas stosowanych cen i stawek opłat wynikających z obowiązującej taryfy oraz planowanych, na dany rok stosowania taryfy, wielkości sprzedaży ciepła, mocy zamówionej oraz nośnika ciepła w kalkulacji cen i stawek opłat dla tych źródeł ciepła, niż określony wzorem:</w:t>
            </w:r>
          </w:p>
          <w:p w14:paraId="3D588222" w14:textId="77777777" w:rsidR="00DB6863" w:rsidRPr="007F2C2D" w:rsidRDefault="00DB6863" w:rsidP="00DB686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4C090A14" w14:textId="54A372E7" w:rsidR="00DB6863" w:rsidRPr="007F2C2D" w:rsidRDefault="00DB6863" w:rsidP="007F2C2D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F2C2D">
              <w:rPr>
                <w:rFonts w:ascii="Times New Roman" w:hAnsi="Times New Roman" w:cs="Times New Roman"/>
                <w:lang w:eastAsia="pl-PL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lang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eastAsia="pl-PL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eastAsia="pl-PL"/>
                        </w:rPr>
                        <m:t>CSn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eastAsia="pl-PL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eastAsia="pl-PL"/>
                        </w:rPr>
                        <m:t>CSn-1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lang w:eastAsia="pl-PL"/>
                </w:rPr>
                <m:t>-1)×100+3+(Xc-1) x 100</m:t>
              </m:r>
            </m:oMath>
          </w:p>
          <w:p w14:paraId="1C533616" w14:textId="2DF64FB2" w:rsidR="00DB6863" w:rsidRPr="007F2C2D" w:rsidRDefault="00DB6863" w:rsidP="00DB6863">
            <w:pPr>
              <w:widowControl w:val="0"/>
              <w:autoSpaceDE w:val="0"/>
              <w:autoSpaceDN w:val="0"/>
              <w:spacing w:before="120" w:after="120" w:line="312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dla przedsiębiorstw, których jednoskładnikowa cena ciepła (C</w:t>
            </w:r>
            <w:r w:rsidRPr="007F2C2D"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n-1</w:t>
            </w:r>
            <w:r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) [w zł/GJ] obliczona na podstawie taryfy obowiązującej w dniu poprzedzającym dzień złożenia wniosku taryfowego i planowanej wielkości sprzedaży ciepła, mocy zamówionej oraz nośnika ciepła na pierwszy rok stosowania taryfy spełniała warunek:</w:t>
            </w:r>
          </w:p>
          <w:p w14:paraId="62E3096B" w14:textId="1D7BE0B6" w:rsidR="008D6EDE" w:rsidRPr="003B7D06" w:rsidRDefault="00000000" w:rsidP="008D6EDE">
            <w:pPr>
              <w:widowControl w:val="0"/>
              <w:autoSpaceDE w:val="0"/>
              <w:autoSpaceDN w:val="0"/>
              <w:spacing w:before="120" w:after="120" w:line="36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n-1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CSn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≤0,8,</m:t>
                </m:r>
              </m:oMath>
            </m:oMathPara>
          </w:p>
          <w:p w14:paraId="3F4EA556" w14:textId="3AED2696" w:rsidR="00DB6863" w:rsidRPr="007F2C2D" w:rsidRDefault="00DB6863" w:rsidP="00DB6863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56BB94A9" w14:textId="77777777" w:rsidR="00BE56F7" w:rsidRPr="007F2C2D" w:rsidRDefault="00BE56F7" w:rsidP="00DB6863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4729A8B0" w14:textId="7DDB08D8" w:rsidR="00DB6863" w:rsidRPr="007F2C2D" w:rsidRDefault="00DB6863" w:rsidP="00DB686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2439369D" w14:textId="5B013207" w:rsidR="00DB6863" w:rsidRPr="007F2C2D" w:rsidRDefault="00DB6863" w:rsidP="00DB6863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F2C2D">
              <w:rPr>
                <w:rFonts w:cstheme="minorHAnsi"/>
                <w:lang w:eastAsia="pl-PL"/>
              </w:rPr>
              <w:t>(</w:t>
            </w:r>
            <m:oMath>
              <m:f>
                <m:fPr>
                  <m:ctrlPr>
                    <w:rPr>
                      <w:rFonts w:ascii="Cambria Math" w:hAnsi="Cambria Math" w:cstheme="minorHAnsi"/>
                      <w:lang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eastAsia="pl-PL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eastAsia="pl-PL"/>
                        </w:rPr>
                        <m:t>CSn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eastAsia="pl-PL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eastAsia="pl-PL"/>
                        </w:rPr>
                        <m:t>CSn-1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eastAsia="pl-PL"/>
                </w:rPr>
                <m:t>-1)×100+2,75+(Xc-1) x 100</m:t>
              </m:r>
            </m:oMath>
          </w:p>
          <w:p w14:paraId="7E0731C9" w14:textId="77777777" w:rsidR="00BE56F7" w:rsidRPr="007F2C2D" w:rsidRDefault="00BE56F7" w:rsidP="00DB6863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33851D6" w14:textId="62A856A2" w:rsidR="00BE56F7" w:rsidRPr="007F2C2D" w:rsidRDefault="00DB6863" w:rsidP="00BE56F7">
            <w:pPr>
              <w:widowControl w:val="0"/>
              <w:autoSpaceDE w:val="0"/>
              <w:autoSpaceDN w:val="0"/>
              <w:spacing w:before="120" w:after="120" w:line="312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dla przedsiębiorstw, których jednoskładnikowa cena ciepła (C</w:t>
            </w:r>
            <w:r w:rsidRPr="007F2C2D"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n-1</w:t>
            </w:r>
            <w:r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) [w zł/GJ] obliczona na podstawie taryfy obowiązującej w dniu poprzedzającym dzień złożenia wniosku taryfowego </w:t>
            </w:r>
            <w:r w:rsidR="00BE56F7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i planowanej wielkości sprzedaży ciepła, mocy zamówionej oraz nośnika ciepła na pierwszy rok stosowania taryfy spełniała warunek:</w:t>
            </w:r>
          </w:p>
          <w:p w14:paraId="2B49A0F0" w14:textId="480090CD" w:rsidR="008D6EDE" w:rsidRPr="003B7D06" w:rsidRDefault="003B7D06" w:rsidP="008D6EDE">
            <w:pPr>
              <w:widowControl w:val="0"/>
              <w:autoSpaceDE w:val="0"/>
              <w:autoSpaceDN w:val="0"/>
              <w:spacing w:before="120" w:after="120" w:line="360" w:lineRule="auto"/>
              <w:ind w:right="113"/>
              <w:jc w:val="both"/>
              <w:rPr>
                <w:bCs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0,8&lt;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n-1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CSn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≤0,9,</m:t>
                </m:r>
              </m:oMath>
            </m:oMathPara>
          </w:p>
          <w:p w14:paraId="53D67B69" w14:textId="57E91B65" w:rsidR="00DB6863" w:rsidRPr="007F2C2D" w:rsidRDefault="00DB6863" w:rsidP="00DB6863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66494E46" w14:textId="04BCA1BE" w:rsidR="00DB6863" w:rsidRPr="007F2C2D" w:rsidRDefault="00DB6863" w:rsidP="00BE56F7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254CB92F" w14:textId="7F7C82F9" w:rsidR="00DB6863" w:rsidRPr="007F2C2D" w:rsidRDefault="00DB6863" w:rsidP="00DB6863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F2C2D">
              <w:rPr>
                <w:rFonts w:cstheme="minorHAnsi"/>
                <w:lang w:eastAsia="pl-PL"/>
              </w:rPr>
              <w:t>(</w:t>
            </w:r>
            <m:oMath>
              <m:f>
                <m:fPr>
                  <m:ctrlPr>
                    <w:rPr>
                      <w:rFonts w:ascii="Cambria Math" w:hAnsi="Cambria Math" w:cstheme="minorHAnsi"/>
                      <w:lang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eastAsia="pl-PL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eastAsia="pl-PL"/>
                        </w:rPr>
                        <m:t>CSn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eastAsia="pl-PL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eastAsia="pl-PL"/>
                        </w:rPr>
                        <m:t>CSn-1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eastAsia="pl-PL"/>
                </w:rPr>
                <m:t>-1)×100+2,25+(Xc-1) x 100</m:t>
              </m:r>
            </m:oMath>
          </w:p>
          <w:p w14:paraId="7E4D6E74" w14:textId="77777777" w:rsidR="00BE56F7" w:rsidRPr="007F2C2D" w:rsidRDefault="00BE56F7" w:rsidP="00DB6863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0B690D2E" w14:textId="7CBC3DB0" w:rsidR="00DB6863" w:rsidRPr="007F2C2D" w:rsidRDefault="00DB6863" w:rsidP="00BE56F7">
            <w:pPr>
              <w:widowControl w:val="0"/>
              <w:autoSpaceDE w:val="0"/>
              <w:autoSpaceDN w:val="0"/>
              <w:spacing w:before="120" w:after="120" w:line="312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dla przedsiębiorstw, których jednoskładnikowa cena ciepła (C</w:t>
            </w:r>
            <w:r w:rsidRPr="007F2C2D"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n-1</w:t>
            </w:r>
            <w:r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) [w zł/GJ] obliczona na podstawie taryfy obowiązującej w dniu poprzedzającym dzień złożenia wniosku taryfowego i planowanej wielkości sprzedaży ciepła, mocy zamówionej oraz nośnika ciepła na pierwszy rok stosowania taryfy spełniała warunek:</w:t>
            </w:r>
          </w:p>
          <w:p w14:paraId="582B4DAA" w14:textId="0FF14B54" w:rsidR="00DB6863" w:rsidRPr="00BD1E89" w:rsidRDefault="003B7D06" w:rsidP="00BD1E89">
            <w:pPr>
              <w:pStyle w:val="WMATFIZCHEMwzrmatfizlubchem"/>
              <w:rPr>
                <w:rFonts w:eastAsia="Calibri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22"/>
                    <w:szCs w:val="22"/>
                  </w:rPr>
                  <w:lastRenderedPageBreak/>
                  <m:t>0,9&lt;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2"/>
                        <w:szCs w:val="22"/>
                      </w:rPr>
                    </m:ctrlPr>
                  </m:fPr>
                  <m:num>
                    <w:bookmarkStart w:id="3" w:name="_Hlk82003328"/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n-1</m:t>
                        </m:r>
                      </m:sub>
                    </m:sSub>
                    <w:bookmarkEnd w:id="3"/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CSn</m:t>
                        </m:r>
                      </m:sub>
                    </m:sSub>
                  </m:den>
                </m:f>
              </m:oMath>
            </m:oMathPara>
          </w:p>
          <w:p w14:paraId="104F5631" w14:textId="30CB16DB" w:rsidR="00DB6863" w:rsidRPr="007F2C2D" w:rsidRDefault="00DB76DA" w:rsidP="0037688E">
            <w:pPr>
              <w:widowControl w:val="0"/>
              <w:autoSpaceDE w:val="0"/>
              <w:autoSpaceDN w:val="0"/>
              <w:spacing w:before="120" w:after="120" w:line="312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B76DA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DB6863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gdzie poszczególne symbole oznaczają:</w:t>
            </w:r>
          </w:p>
          <w:p w14:paraId="4EAA4AB3" w14:textId="5096D245" w:rsidR="00DB6863" w:rsidRPr="007F2C2D" w:rsidRDefault="009C13E4" w:rsidP="0037688E">
            <w:pPr>
              <w:widowControl w:val="0"/>
              <w:autoSpaceDE w:val="0"/>
              <w:autoSpaceDN w:val="0"/>
              <w:spacing w:before="120" w:after="120" w:line="312" w:lineRule="auto"/>
              <w:ind w:right="113"/>
              <w:jc w:val="both"/>
              <w:rPr>
                <w:rFonts w:ascii="Times" w:eastAsia="Times New Roman" w:hAnsi="Times" w:cs="Times"/>
                <w:bCs/>
                <w:lang w:eastAsia="pl-PL"/>
              </w:rPr>
            </w:pPr>
            <w:proofErr w:type="spellStart"/>
            <w:r w:rsidRPr="007F2C2D">
              <w:rPr>
                <w:rFonts w:ascii="Times" w:hAnsi="Times" w:cs="Times"/>
                <w:bCs/>
              </w:rPr>
              <w:t>C</w:t>
            </w:r>
            <w:r w:rsidRPr="007F2C2D">
              <w:rPr>
                <w:rFonts w:ascii="Times" w:hAnsi="Times" w:cs="Times"/>
                <w:bCs/>
                <w:vertAlign w:val="subscript"/>
              </w:rPr>
              <w:t>CSn</w:t>
            </w:r>
            <w:proofErr w:type="spellEnd"/>
            <w:r w:rsidRPr="007F2C2D" w:rsidDel="009C13E4">
              <w:rPr>
                <w:rFonts w:ascii="Times" w:eastAsia="Times New Roman" w:hAnsi="Times" w:cs="Times"/>
                <w:bCs/>
                <w:lang w:eastAsia="pl-PL"/>
              </w:rPr>
              <w:t xml:space="preserve"> </w:t>
            </w:r>
            <w:r w:rsidR="00DB6863" w:rsidRPr="007F2C2D">
              <w:rPr>
                <w:rFonts w:ascii="Times" w:eastAsia="Times New Roman" w:hAnsi="Times" w:cs="Times"/>
                <w:bCs/>
                <w:lang w:eastAsia="pl-PL"/>
              </w:rPr>
              <w:t>- średnią cenę sprzedaży ciepła, o której mowa w art. 23 ust. 2 pkt 18 lit. c ustawy, wytworzonego w jednostkach wytwórczych niebędących jednostkami kogeneracji, w których zużywane jest tego samego rodzaju paliwo jak w danej jednostce kogeneracji [w zł/GJ],</w:t>
            </w:r>
          </w:p>
          <w:p w14:paraId="76009801" w14:textId="6D21DACD" w:rsidR="00DB6863" w:rsidRPr="007F2C2D" w:rsidRDefault="009C13E4" w:rsidP="0037688E">
            <w:pPr>
              <w:widowControl w:val="0"/>
              <w:autoSpaceDE w:val="0"/>
              <w:autoSpaceDN w:val="0"/>
              <w:spacing w:before="120" w:after="120" w:line="312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F2C2D">
              <w:rPr>
                <w:rFonts w:ascii="Times" w:hAnsi="Times" w:cs="Times"/>
                <w:bCs/>
              </w:rPr>
              <w:t>C</w:t>
            </w:r>
            <w:r w:rsidRPr="007F2C2D">
              <w:rPr>
                <w:rFonts w:ascii="Times" w:hAnsi="Times" w:cs="Times"/>
                <w:bCs/>
                <w:vertAlign w:val="subscript"/>
              </w:rPr>
              <w:t>CSn</w:t>
            </w:r>
            <w:r w:rsidR="00D458B0">
              <w:rPr>
                <w:rFonts w:ascii="Times" w:hAnsi="Times" w:cs="Times"/>
                <w:bCs/>
                <w:vertAlign w:val="subscript"/>
              </w:rPr>
              <w:t>-1</w:t>
            </w:r>
            <w:r w:rsidRPr="007F2C2D" w:rsidDel="009C13E4">
              <w:rPr>
                <w:rFonts w:ascii="Times" w:eastAsia="Times New Roman" w:hAnsi="Times" w:cs="Times"/>
                <w:bCs/>
                <w:lang w:eastAsia="pl-PL"/>
              </w:rPr>
              <w:t xml:space="preserve"> </w:t>
            </w:r>
            <w:r w:rsidR="00DB6863" w:rsidRPr="007F2C2D">
              <w:rPr>
                <w:rFonts w:ascii="Times" w:eastAsia="Times New Roman" w:hAnsi="Times" w:cs="Times"/>
                <w:bCs/>
                <w:lang w:eastAsia="pl-PL"/>
              </w:rPr>
              <w:t xml:space="preserve"> - </w:t>
            </w:r>
            <w:r w:rsidR="00DB6863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średnią cenę sprzedaży ciepła, o której mowa w art. 23 ust. 2 pkt 18 lit. c ustawy, wytworzonego w jednostkach wytwórczych niebędących jednostkami kogeneracji, w których zużywane jest tego samego rodzaju paliwo jak w danej jednostce kogeneracji, ogłoszoną w roku poprzedzającym rok ostatnio ogłoszonej średniej ceny sprzedaży ciepła oznaczonej symbolem „</w:t>
            </w:r>
            <w:proofErr w:type="spellStart"/>
            <w:r w:rsidRPr="003B7D06">
              <w:rPr>
                <w:bCs/>
              </w:rPr>
              <w:t>C</w:t>
            </w:r>
            <w:r w:rsidRPr="003B7D06">
              <w:rPr>
                <w:bCs/>
                <w:vertAlign w:val="subscript"/>
              </w:rPr>
              <w:t>CSn</w:t>
            </w:r>
            <w:proofErr w:type="spellEnd"/>
            <w:r w:rsidR="00DB6863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” [w zł/GJ].</w:t>
            </w:r>
          </w:p>
          <w:p w14:paraId="10F2C07A" w14:textId="74B25758" w:rsidR="003C5B3C" w:rsidRPr="003B7D06" w:rsidRDefault="006B0051" w:rsidP="0037688E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005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X</w:t>
            </w:r>
            <w:r w:rsidRPr="006B0051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eastAsia="pl-PL"/>
              </w:rPr>
              <w:t>C</w:t>
            </w:r>
            <w:r w:rsidR="00DB6863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  <w:r w:rsidR="004B71BF">
              <w:rPr>
                <w:rFonts w:ascii="Times New Roman" w:eastAsia="Times New Roman" w:hAnsi="Times New Roman" w:cs="Times New Roman"/>
                <w:bCs/>
                <w:lang w:eastAsia="pl-PL"/>
              </w:rPr>
              <w:t>obowiązujący</w:t>
            </w:r>
            <w:r w:rsidR="00DB6863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wskaźnik referencyjny</w:t>
            </w:r>
            <w:r w:rsidR="004B71BF">
              <w:rPr>
                <w:rFonts w:ascii="Times New Roman" w:eastAsia="Times New Roman" w:hAnsi="Times New Roman" w:cs="Times New Roman"/>
                <w:bCs/>
                <w:lang w:eastAsia="pl-PL"/>
              </w:rPr>
              <w:t>, o którym mowa w art. 47 ust. 2f,</w:t>
            </w:r>
            <w:r w:rsidR="00DB6863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ustalony zgodnie z </w:t>
            </w:r>
            <w:r w:rsidR="00DB6863" w:rsidRPr="007F2C2D">
              <w:rPr>
                <w:rFonts w:ascii="Times New Roman" w:eastAsia="Times New Roman" w:hAnsi="Times New Roman" w:cs="Times New Roman"/>
                <w:lang w:eastAsia="pl-PL"/>
              </w:rPr>
              <w:t>§</w:t>
            </w:r>
            <w:r w:rsidR="007C5C2A" w:rsidRPr="007F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B6863" w:rsidRPr="007F2C2D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B6863" w:rsidRPr="007F2C2D">
              <w:rPr>
                <w:rFonts w:ascii="Times New Roman" w:eastAsia="Times New Roman" w:hAnsi="Times New Roman" w:cs="Times New Roman"/>
                <w:lang w:eastAsia="pl-PL"/>
              </w:rPr>
              <w:t>ust. 4</w:t>
            </w:r>
            <w:r w:rsidR="00DB6863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.”</w:t>
            </w:r>
          </w:p>
          <w:p w14:paraId="12B7D4AB" w14:textId="7653881B" w:rsidR="0037688E" w:rsidRPr="003B7D06" w:rsidRDefault="00E81E97" w:rsidP="0037688E">
            <w:pPr>
              <w:spacing w:before="120" w:after="120" w:line="312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celu zobligowania przedsiębiorstw kształtujących taryfy dla ciepła w sposób uproszczony do ewentualnego zmniejszenia wzrostu planowanych przychodów w sytuacji, gdy dynamika publikowanych przez Prezesa URE średnich cen sprzedaży ciepła będzie </w:t>
            </w:r>
            <w:r w:rsidR="0037688E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spadkowa lub wskaźnik referencyjny wpłynie na konieczność zmniejszenia planowanych przychodów – proponuje się uchylić  w § 13  ust. 7 w aktualnym brzemieniu:</w:t>
            </w:r>
            <w:r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37688E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„</w:t>
            </w:r>
            <w:r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W przypadku gdy wartość wskaźnika wzrostu przychodów, o którym mowa w ust. 6, będzie niższa od 0, przyjmuje się wartość tego wskaźnika równą 0.</w:t>
            </w:r>
            <w:r w:rsidR="0037688E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”</w:t>
            </w:r>
            <w:r w:rsidR="0037688E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  <w:p w14:paraId="53C6A9C4" w14:textId="79492711" w:rsidR="0037688E" w:rsidRPr="003B7D06" w:rsidRDefault="00796B4E" w:rsidP="0037688E">
            <w:pPr>
              <w:spacing w:before="120" w:after="120" w:line="312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 k</w:t>
            </w:r>
            <w:r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onsekwencji</w:t>
            </w:r>
            <w:r w:rsidR="0037688E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w § 13  ust. </w:t>
            </w:r>
            <w:r w:rsidR="0084340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  <w:r w:rsidR="0037688E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zaproponowano zmianę wyrazów </w:t>
            </w:r>
            <w:r w:rsidR="0037688E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„</w:t>
            </w:r>
            <w:r w:rsidR="00A33F8F">
              <w:rPr>
                <w:rFonts w:ascii="Times New Roman" w:eastAsia="Times New Roman" w:hAnsi="Times New Roman" w:cs="Times New Roman"/>
                <w:bCs/>
                <w:lang w:eastAsia="pl-PL"/>
              </w:rPr>
              <w:t>[w]</w:t>
            </w:r>
            <w:proofErr w:type="spellStart"/>
            <w:r w:rsidR="0037688E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skaźnik</w:t>
            </w:r>
            <w:proofErr w:type="spellEnd"/>
            <w:r w:rsidR="0037688E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wzrostu przychodów”</w:t>
            </w:r>
            <w:r w:rsidR="0037688E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</w:t>
            </w:r>
            <w:r w:rsidR="0037688E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„</w:t>
            </w:r>
            <w:r w:rsidR="00A33F8F">
              <w:rPr>
                <w:rFonts w:ascii="Times New Roman" w:eastAsia="Times New Roman" w:hAnsi="Times New Roman" w:cs="Times New Roman"/>
                <w:bCs/>
                <w:lang w:eastAsia="pl-PL"/>
              </w:rPr>
              <w:t>[w]</w:t>
            </w:r>
            <w:proofErr w:type="spellStart"/>
            <w:r w:rsidR="0037688E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>skaźnik</w:t>
            </w:r>
            <w:proofErr w:type="spellEnd"/>
            <w:r w:rsidR="0037688E" w:rsidRPr="007F2C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zmiany przychodów”</w:t>
            </w:r>
            <w:r w:rsidR="0037688E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  <w:p w14:paraId="2677A775" w14:textId="1411FBBA" w:rsidR="001F289B" w:rsidRPr="003B7D06" w:rsidRDefault="00843163" w:rsidP="0037688E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7D06">
              <w:rPr>
                <w:rFonts w:ascii="Times New Roman" w:eastAsia="Times New Roman" w:hAnsi="Times New Roman" w:cs="Times New Roman"/>
                <w:b/>
                <w:lang w:eastAsia="pl-PL"/>
              </w:rPr>
              <w:t>Oczekiwany efekt proponowanej regulacji</w:t>
            </w:r>
          </w:p>
          <w:p w14:paraId="1510C91D" w14:textId="47A520CC" w:rsidR="00843163" w:rsidRPr="003B7D06" w:rsidRDefault="00843163" w:rsidP="003768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7D06">
              <w:rPr>
                <w:rFonts w:ascii="Times New Roman" w:eastAsia="Times New Roman" w:hAnsi="Times New Roman" w:cs="Times New Roman"/>
                <w:b/>
                <w:lang w:eastAsia="pl-PL"/>
              </w:rPr>
              <w:t>Tabela 1.</w:t>
            </w:r>
            <w:r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Prezentacja możliwych wzrostów planowanych przychodów w taryfach dla </w:t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jednostek </w:t>
            </w:r>
            <w:r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kogeneracji</w:t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wytwarzających ciepło z węgla kamiennego</w:t>
            </w:r>
            <w:r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przy średniej cenie </w:t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 podstawie </w:t>
            </w:r>
            <w:r w:rsidR="007C5C2A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raportu </w:t>
            </w:r>
            <w:r w:rsidR="00A016D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Urzędu Regulacji Energetyki (</w:t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URE</w:t>
            </w:r>
            <w:r w:rsidR="00A016D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)</w:t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7C5C2A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„</w:t>
            </w:r>
            <w:r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Energetyka cieplna</w:t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liczbach</w:t>
            </w:r>
            <w:r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2020</w:t>
            </w:r>
            <w:r w:rsidR="007C5C2A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”</w:t>
            </w:r>
            <w:r w:rsidR="007C5C2A" w:rsidRPr="003B7D06">
              <w:rPr>
                <w:rStyle w:val="Odwoanieprzypisudolnego"/>
                <w:rFonts w:ascii="Times New Roman" w:eastAsia="Times New Roman" w:hAnsi="Times New Roman" w:cs="Times New Roman"/>
                <w:bCs/>
                <w:lang w:eastAsia="pl-PL"/>
              </w:rPr>
              <w:footnoteReference w:id="2"/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, przy założeniu kształtowania taryfy dla ciepła na podstawie aktualnych przepisów</w:t>
            </w:r>
            <w:r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tbl>
            <w:tblPr>
              <w:tblW w:w="88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"/>
              <w:gridCol w:w="789"/>
              <w:gridCol w:w="1213"/>
              <w:gridCol w:w="1746"/>
              <w:gridCol w:w="1656"/>
              <w:gridCol w:w="1807"/>
              <w:gridCol w:w="1276"/>
              <w:gridCol w:w="191"/>
            </w:tblGrid>
            <w:tr w:rsidR="001F289B" w:rsidRPr="003B7D06" w14:paraId="2BB7AF64" w14:textId="77777777" w:rsidTr="001F289B">
              <w:trPr>
                <w:trHeight w:val="300"/>
              </w:trPr>
              <w:tc>
                <w:tcPr>
                  <w:tcW w:w="887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E2FAAD" w14:textId="5F83EBFF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Zakładany średni wzrost średniej ceny z kogeneracji przy </w:t>
                  </w:r>
                  <w:r w:rsidR="007C5C2A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zastosowaniu </w:t>
                  </w: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aktualn</w:t>
                  </w:r>
                  <w:r w:rsidR="007C5C2A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ego</w:t>
                  </w:r>
                  <w:r w:rsidR="004A3B05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brzmienia</w:t>
                  </w: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="00D220E8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§ 13 ust. 6 zmienianego rozporządzenia</w:t>
                  </w:r>
                </w:p>
              </w:tc>
            </w:tr>
            <w:tr w:rsidR="001F289B" w:rsidRPr="003B7D06" w14:paraId="14E00BBE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06293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273A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C7841" w14:textId="173CFEDA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Aktualna cena PE [zł/GJ]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E4F98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40,9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06F54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BE61E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40,9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80FB9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39A51D58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F4246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E77DC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8F349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dla przedziału ceny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A127C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&gt;0,9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3E627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&gt;0,8; &lt;0,9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14E78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&lt;0,8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C2570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6C917377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382E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27C4A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6F394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B66A8" w14:textId="4A71ED63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p.p</w:t>
                  </w:r>
                  <w:proofErr w:type="spellEnd"/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E1878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2,25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D7A7A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06DB7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DE5B1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69D726B9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796F7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74995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EE0BF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0F6E7" w14:textId="5A895235" w:rsidR="001F289B" w:rsidRPr="003B7D06" w:rsidRDefault="00A455B6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928DE">
                    <w:rPr>
                      <w:rFonts w:ascii="Times" w:hAnsi="Times" w:cs="Times"/>
                      <w:bCs/>
                    </w:rPr>
                    <w:t>C</w:t>
                  </w:r>
                  <w:r w:rsidRPr="00B928DE">
                    <w:rPr>
                      <w:rFonts w:ascii="Times" w:hAnsi="Times" w:cs="Times"/>
                      <w:bCs/>
                      <w:vertAlign w:val="subscript"/>
                    </w:rPr>
                    <w:t>CSn</w:t>
                  </w:r>
                  <w:proofErr w:type="spellEnd"/>
                  <w:r w:rsidR="00FE5D95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CA488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51,91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0BA1E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0DA06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51,91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9232C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05C5EE8D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57BF1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0CC9A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61A1F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4D980" w14:textId="20F51C83" w:rsidR="001F289B" w:rsidRPr="003B7D06" w:rsidRDefault="00A455B6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928DE">
                    <w:rPr>
                      <w:rFonts w:ascii="Times" w:hAnsi="Times" w:cs="Times"/>
                      <w:bCs/>
                    </w:rPr>
                    <w:t>C</w:t>
                  </w:r>
                  <w:r w:rsidRPr="00B928DE">
                    <w:rPr>
                      <w:rFonts w:ascii="Times" w:hAnsi="Times" w:cs="Times"/>
                      <w:bCs/>
                      <w:vertAlign w:val="subscript"/>
                    </w:rPr>
                    <w:t>CSn</w:t>
                  </w:r>
                  <w:r w:rsidR="00006F06">
                    <w:rPr>
                      <w:rFonts w:ascii="Times" w:hAnsi="Times" w:cs="Times"/>
                      <w:bCs/>
                      <w:vertAlign w:val="subscript"/>
                    </w:rPr>
                    <w:t>-1</w:t>
                  </w:r>
                  <w:r w:rsidR="00FE5D95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8CCDB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50,38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7C0BB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50,38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9913C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50,38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599B0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4BF831BA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D4322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533C3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Możliwy wzrost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F9376" w14:textId="6F079290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Aktualnie</w:t>
                  </w:r>
                  <w:r w:rsidR="00FE5D95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[%]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8E49E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5,29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75790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5,79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72B2B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6,04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FF433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6FCA8D9D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88750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BBA43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Oczekiwana cena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59102" w14:textId="51E41FE1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Aktualnie</w:t>
                  </w:r>
                  <w:r w:rsidR="00FE5D95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8A629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43,06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B41B9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43,27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50CFA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43,37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FCA8F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281B4609" w14:textId="0D25D194" w:rsidR="00066274" w:rsidRPr="003B7D06" w:rsidRDefault="00843163" w:rsidP="003768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7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Tabela </w:t>
            </w:r>
            <w:r w:rsidR="001E0D36" w:rsidRPr="003B7D0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3B7D0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Prezentacja możliwych wzrostów planowanych przychodów w taryfach dla jednostek kogeneracji wytwarzających ciepło z węgla kamiennego przy średniej cenie na podstawie </w:t>
            </w:r>
            <w:r w:rsidR="003B2758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raportu</w:t>
            </w:r>
            <w:r w:rsidR="00E6163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URE </w:t>
            </w:r>
            <w:r w:rsidR="00E6163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„</w:t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Energetyka cieplna w liczbach 2020</w:t>
            </w:r>
            <w:r w:rsidR="00E6163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>”</w:t>
            </w:r>
            <w:r w:rsidR="00E6163B" w:rsidRPr="003B7D06">
              <w:rPr>
                <w:rStyle w:val="Odwoanieprzypisudolnego"/>
                <w:rFonts w:ascii="Times New Roman" w:eastAsia="Times New Roman" w:hAnsi="Times New Roman" w:cs="Times New Roman"/>
                <w:bCs/>
                <w:lang w:eastAsia="pl-PL"/>
              </w:rPr>
              <w:footnoteReference w:id="3"/>
            </w:r>
            <w:r w:rsidR="001F289B" w:rsidRPr="003B7D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przy założeniu kształtowania taryfy dla ciepła na podstawie zmienionych przepisów. </w:t>
            </w:r>
          </w:p>
          <w:tbl>
            <w:tblPr>
              <w:tblW w:w="89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"/>
              <w:gridCol w:w="787"/>
              <w:gridCol w:w="1102"/>
              <w:gridCol w:w="1985"/>
              <w:gridCol w:w="1559"/>
              <w:gridCol w:w="1465"/>
              <w:gridCol w:w="1707"/>
              <w:gridCol w:w="162"/>
            </w:tblGrid>
            <w:tr w:rsidR="001F289B" w:rsidRPr="003B7D06" w14:paraId="6ECED7CA" w14:textId="77777777" w:rsidTr="001F289B">
              <w:trPr>
                <w:trHeight w:val="288"/>
              </w:trPr>
              <w:tc>
                <w:tcPr>
                  <w:tcW w:w="893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07BC48" w14:textId="40662A3D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Zakładany średni wzrost średniej ceny z kogeneracji po zmianie </w:t>
                  </w:r>
                  <w:r w:rsidR="00FE2EE1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brzmienia </w:t>
                  </w:r>
                  <w:r w:rsidR="00D220E8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§ 13 ust. 6</w:t>
                  </w:r>
                  <w:r w:rsidR="00EC43B6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zmienianego rozporządzenia</w:t>
                  </w:r>
                </w:p>
              </w:tc>
            </w:tr>
            <w:tr w:rsidR="001F289B" w:rsidRPr="003B7D06" w14:paraId="47378B1F" w14:textId="77777777" w:rsidTr="00FE5D95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6516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7A47C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DD1F5" w14:textId="1CC893ED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Aktualna cena PE</w:t>
                  </w:r>
                  <w:r w:rsidR="00FE5D95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C8496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40,9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74D80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40,9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50DA1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40,9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8A325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65CF3E00" w14:textId="77777777" w:rsidTr="00FE5D95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10572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AB072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FCA92" w14:textId="77777777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B35FB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cena&lt;0,9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2AA16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cena&lt;0,8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3E7E8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cena&gt;0,8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487EB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7156B5A7" w14:textId="77777777" w:rsidTr="00FE5D95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A7AF6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1DF7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6441A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F7C33" w14:textId="5BD409BB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="00FE5D95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p.p</w:t>
                  </w:r>
                  <w:proofErr w:type="spellEnd"/>
                  <w:r w:rsidR="00FE5D95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C99CE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2,25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52F40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2,75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2AC07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E5318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5E016AB3" w14:textId="77777777" w:rsidTr="00FE5D95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3C420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7CE3A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F4F4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21AB6" w14:textId="2D356A3A" w:rsidR="001F289B" w:rsidRPr="003B7D06" w:rsidRDefault="00A455B6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928DE">
                    <w:rPr>
                      <w:rFonts w:ascii="Times" w:hAnsi="Times" w:cs="Times"/>
                      <w:bCs/>
                    </w:rPr>
                    <w:t>C</w:t>
                  </w:r>
                  <w:r w:rsidRPr="00B928DE">
                    <w:rPr>
                      <w:rFonts w:ascii="Times" w:hAnsi="Times" w:cs="Times"/>
                      <w:bCs/>
                      <w:vertAlign w:val="subscript"/>
                    </w:rPr>
                    <w:t>CSn</w:t>
                  </w:r>
                  <w:proofErr w:type="spellEnd"/>
                  <w:r w:rsidR="00FE5D95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7483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51,91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D8881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51,91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A7835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51,91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25DB3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062E5DFB" w14:textId="77777777" w:rsidTr="00FE5D95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74A96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55C78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94AB9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480F6" w14:textId="49D3FFD7" w:rsidR="001F289B" w:rsidRPr="003B7D06" w:rsidRDefault="00A455B6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928DE">
                    <w:rPr>
                      <w:rFonts w:ascii="Times" w:hAnsi="Times" w:cs="Times"/>
                      <w:bCs/>
                    </w:rPr>
                    <w:t>C</w:t>
                  </w:r>
                  <w:r w:rsidRPr="00B928DE">
                    <w:rPr>
                      <w:rFonts w:ascii="Times" w:hAnsi="Times" w:cs="Times"/>
                      <w:bCs/>
                      <w:vertAlign w:val="subscript"/>
                    </w:rPr>
                    <w:t>CSn</w:t>
                  </w:r>
                  <w:r w:rsidR="00DF1F8A">
                    <w:rPr>
                      <w:rFonts w:ascii="Times" w:hAnsi="Times" w:cs="Times"/>
                      <w:bCs/>
                      <w:vertAlign w:val="subscript"/>
                    </w:rPr>
                    <w:t>-1</w:t>
                  </w:r>
                  <w:r w:rsidRPr="003B7D06" w:rsidDel="00A455B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  <w:r w:rsidR="00FE5D95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[zł/GJ]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42A9E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50,38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3D3A8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50,38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B88DB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50,38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E1591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1ACB0B90" w14:textId="77777777" w:rsidTr="00FE5D95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814D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54257" w14:textId="77777777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Możliwy wzrost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EFE90" w14:textId="1D790DBF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Wzrost </w:t>
                  </w:r>
                  <w:proofErr w:type="spellStart"/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Xc</w:t>
                  </w:r>
                  <w:proofErr w:type="spellEnd"/>
                  <w:r w:rsidR="00FE5D95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[%]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8B700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30,29</w:t>
                  </w:r>
                </w:p>
              </w:tc>
              <w:tc>
                <w:tcPr>
                  <w:tcW w:w="1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148ED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30,79</w:t>
                  </w:r>
                </w:p>
              </w:tc>
              <w:tc>
                <w:tcPr>
                  <w:tcW w:w="17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78258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31,04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02011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7B719CE2" w14:textId="77777777" w:rsidTr="00FE5D95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74F8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3D5ED" w14:textId="77777777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Oczekiwana cena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2A8C3" w14:textId="06714B73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Wzrost </w:t>
                  </w:r>
                  <w:proofErr w:type="spellStart"/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Xc</w:t>
                  </w:r>
                  <w:proofErr w:type="spellEnd"/>
                  <w:r w:rsidR="00FE5D95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0F524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53,29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937AD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53,49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9BA45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53,59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BBB6A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54DF1497" w14:textId="36F77211" w:rsidR="003C5B3C" w:rsidRPr="003B7D06" w:rsidRDefault="001F289B" w:rsidP="0037688E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B7D06">
              <w:rPr>
                <w:rFonts w:ascii="Times New Roman" w:hAnsi="Times New Roman" w:cs="Times New Roman"/>
                <w:spacing w:val="-2"/>
              </w:rPr>
              <w:lastRenderedPageBreak/>
              <w:t>Z powyższ</w:t>
            </w:r>
            <w:r w:rsidR="00B46319" w:rsidRPr="003B7D06">
              <w:rPr>
                <w:rFonts w:ascii="Times New Roman" w:hAnsi="Times New Roman" w:cs="Times New Roman"/>
                <w:spacing w:val="-2"/>
              </w:rPr>
              <w:t xml:space="preserve">ego zestawienia i porównania danych </w:t>
            </w:r>
            <w:r w:rsidR="008D72CB" w:rsidRPr="003B7D06">
              <w:rPr>
                <w:rFonts w:ascii="Times New Roman" w:hAnsi="Times New Roman" w:cs="Times New Roman"/>
                <w:spacing w:val="-2"/>
              </w:rPr>
              <w:t xml:space="preserve">zawartych </w:t>
            </w:r>
            <w:r w:rsidR="004D5AD3" w:rsidRPr="003B7D06">
              <w:rPr>
                <w:rFonts w:ascii="Times New Roman" w:hAnsi="Times New Roman" w:cs="Times New Roman"/>
                <w:spacing w:val="-2"/>
              </w:rPr>
              <w:t xml:space="preserve">w </w:t>
            </w:r>
            <w:r w:rsidR="008D72CB" w:rsidRPr="003B7D06">
              <w:rPr>
                <w:rFonts w:ascii="Times New Roman" w:hAnsi="Times New Roman" w:cs="Times New Roman"/>
                <w:spacing w:val="-2"/>
              </w:rPr>
              <w:t>w</w:t>
            </w:r>
            <w:r w:rsidR="00487635" w:rsidRPr="003B7D06">
              <w:rPr>
                <w:rFonts w:ascii="Times New Roman" w:hAnsi="Times New Roman" w:cs="Times New Roman"/>
                <w:spacing w:val="-2"/>
              </w:rPr>
              <w:t>w</w:t>
            </w:r>
            <w:r w:rsidR="003A3D10" w:rsidRPr="003B7D06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3B7D06">
              <w:rPr>
                <w:rFonts w:ascii="Times New Roman" w:hAnsi="Times New Roman" w:cs="Times New Roman"/>
                <w:spacing w:val="-2"/>
              </w:rPr>
              <w:t>tabel</w:t>
            </w:r>
            <w:r w:rsidR="003A3D10" w:rsidRPr="003B7D06">
              <w:rPr>
                <w:rFonts w:ascii="Times New Roman" w:hAnsi="Times New Roman" w:cs="Times New Roman"/>
                <w:spacing w:val="-2"/>
              </w:rPr>
              <w:t>ach</w:t>
            </w:r>
            <w:r w:rsidRPr="003B7D06">
              <w:rPr>
                <w:rFonts w:ascii="Times New Roman" w:hAnsi="Times New Roman" w:cs="Times New Roman"/>
                <w:spacing w:val="-2"/>
              </w:rPr>
              <w:t xml:space="preserve"> wynika, że przy średniej cenie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 xml:space="preserve"> ciepła</w:t>
            </w:r>
            <w:r w:rsidRPr="003B7D06">
              <w:rPr>
                <w:rFonts w:ascii="Times New Roman" w:hAnsi="Times New Roman" w:cs="Times New Roman"/>
                <w:spacing w:val="-2"/>
              </w:rPr>
              <w:t xml:space="preserve"> z jednostek kogeneracji 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 xml:space="preserve">opalanych węglem kamiennym wynoszącej </w:t>
            </w:r>
            <w:r w:rsidRPr="003B7D06">
              <w:rPr>
                <w:rFonts w:ascii="Times New Roman" w:hAnsi="Times New Roman" w:cs="Times New Roman"/>
                <w:spacing w:val="-2"/>
              </w:rPr>
              <w:t>40,90 zł/GJ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 xml:space="preserve"> po wprowadzeniu projektowanego przepisu, planowane przychody przedsiębiorstw energetycznych w taryfach dla ciepła z kogeneracji wzrosną o 25%, co przełoży się w 70% na obciążenie dla odbiorców ciepła, dając 17,5% możliwego wzrostu opłat za dostawę ciepła.</w:t>
            </w:r>
          </w:p>
          <w:p w14:paraId="02B60D09" w14:textId="4BCEBABF" w:rsidR="001F289B" w:rsidRPr="003B7D06" w:rsidRDefault="001F289B" w:rsidP="0037688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B7D06">
              <w:rPr>
                <w:rFonts w:ascii="Times New Roman" w:hAnsi="Times New Roman" w:cs="Times New Roman"/>
                <w:b/>
                <w:bCs/>
                <w:spacing w:val="-2"/>
              </w:rPr>
              <w:t>Tabela 3.</w:t>
            </w:r>
            <w:r w:rsidR="00FE5D95" w:rsidRPr="003B7D06">
              <w:rPr>
                <w:rFonts w:ascii="Times New Roman" w:hAnsi="Times New Roman" w:cs="Times New Roman"/>
              </w:rPr>
              <w:t xml:space="preserve"> 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 xml:space="preserve">Prezentacja możliwych wzrostów planowanych przychodów w taryfach dla jednostek kogeneracji wytwarzających ciepło z gazu </w:t>
            </w:r>
            <w:r w:rsidR="006D6191" w:rsidRPr="003B7D06">
              <w:rPr>
                <w:rFonts w:ascii="Times New Roman" w:hAnsi="Times New Roman" w:cs="Times New Roman"/>
                <w:spacing w:val="-2"/>
              </w:rPr>
              <w:t xml:space="preserve">ziemnego 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 xml:space="preserve">wysokometanowego przy średniej cenie na podstawie </w:t>
            </w:r>
            <w:r w:rsidR="008D72CB" w:rsidRPr="003B7D06">
              <w:rPr>
                <w:rFonts w:ascii="Times New Roman" w:hAnsi="Times New Roman" w:cs="Times New Roman"/>
                <w:spacing w:val="-2"/>
              </w:rPr>
              <w:t xml:space="preserve">raportu 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 xml:space="preserve">URE </w:t>
            </w:r>
            <w:r w:rsidR="008D72CB" w:rsidRPr="003B7D06">
              <w:rPr>
                <w:rFonts w:ascii="Times New Roman" w:hAnsi="Times New Roman" w:cs="Times New Roman"/>
                <w:spacing w:val="-2"/>
              </w:rPr>
              <w:t>„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>Energetyka cieplna w liczbach 2020</w:t>
            </w:r>
            <w:r w:rsidR="008D72CB" w:rsidRPr="003B7D06">
              <w:rPr>
                <w:rFonts w:ascii="Times New Roman" w:hAnsi="Times New Roman" w:cs="Times New Roman"/>
                <w:spacing w:val="-2"/>
              </w:rPr>
              <w:t>”</w:t>
            </w:r>
            <w:r w:rsidR="008D72CB" w:rsidRPr="003B7D06">
              <w:rPr>
                <w:rStyle w:val="Odwoanieprzypisudolnego"/>
                <w:rFonts w:ascii="Times New Roman" w:hAnsi="Times New Roman" w:cs="Times New Roman"/>
                <w:spacing w:val="-2"/>
              </w:rPr>
              <w:footnoteReference w:id="4"/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>, przy założeniu kształtowania taryfy dla ciepła na podstawie aktualnych przepisów.</w:t>
            </w:r>
          </w:p>
          <w:tbl>
            <w:tblPr>
              <w:tblW w:w="88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"/>
              <w:gridCol w:w="789"/>
              <w:gridCol w:w="1071"/>
              <w:gridCol w:w="1888"/>
              <w:gridCol w:w="1656"/>
              <w:gridCol w:w="1807"/>
              <w:gridCol w:w="1276"/>
              <w:gridCol w:w="191"/>
            </w:tblGrid>
            <w:tr w:rsidR="001F289B" w:rsidRPr="003B7D06" w14:paraId="6D4457E5" w14:textId="77777777" w:rsidTr="001F289B">
              <w:trPr>
                <w:trHeight w:val="300"/>
              </w:trPr>
              <w:tc>
                <w:tcPr>
                  <w:tcW w:w="887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302D3D" w14:textId="314BD393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Zakładany średni wzrost średniej ceny z kogeneracji </w:t>
                  </w:r>
                  <w:r w:rsidR="00A169B8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przy zastosowaniu aktualnego </w:t>
                  </w:r>
                  <w:r w:rsidR="00FE2EE1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brzmienia </w:t>
                  </w:r>
                  <w:r w:rsidR="00A169B8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§ 13 ust. 6 zmienianego rozporządzenia</w:t>
                  </w:r>
                </w:p>
              </w:tc>
            </w:tr>
            <w:tr w:rsidR="001F289B" w:rsidRPr="003B7D06" w14:paraId="71580436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CEB1E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4D2B7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470DA" w14:textId="29649CF8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Aktualna cena PE</w:t>
                  </w:r>
                  <w:r w:rsidR="00FE5D95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A21C7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47,25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EAD2E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47,25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6880A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47,25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DC8AB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5EAA128D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67F61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19E82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A94C7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dla przedziału ceny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A6EF0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&gt;0,9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E9C18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&gt;0,8; &lt;0,9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71352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&lt;0,8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CF906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2FB8C56E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68DFB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9918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B0F6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B9D0B" w14:textId="52675018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="006D6191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p.p</w:t>
                  </w:r>
                  <w:proofErr w:type="spellEnd"/>
                  <w:r w:rsidR="006D6191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47DAC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2,25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5FEB0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85931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26991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6EAA2996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ADA10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C6E22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9CB6B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DA322" w14:textId="28D0B6E5" w:rsidR="001F289B" w:rsidRPr="003B7D06" w:rsidRDefault="00A455B6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928DE">
                    <w:rPr>
                      <w:rFonts w:ascii="Times" w:hAnsi="Times" w:cs="Times"/>
                      <w:bCs/>
                    </w:rPr>
                    <w:t>C</w:t>
                  </w:r>
                  <w:r w:rsidRPr="00B928DE">
                    <w:rPr>
                      <w:rFonts w:ascii="Times" w:hAnsi="Times" w:cs="Times"/>
                      <w:bCs/>
                      <w:vertAlign w:val="subscript"/>
                    </w:rPr>
                    <w:t>CSn</w:t>
                  </w:r>
                  <w:proofErr w:type="spellEnd"/>
                  <w:r w:rsidR="00FE5D95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83255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72,02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FBEB1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38802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72,02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58A5E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3B933C4B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A5FD9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BC127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DCD49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9345F" w14:textId="740AF596" w:rsidR="001F289B" w:rsidRPr="003B7D06" w:rsidRDefault="00A455B6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928DE">
                    <w:rPr>
                      <w:rFonts w:ascii="Times" w:hAnsi="Times" w:cs="Times"/>
                      <w:bCs/>
                    </w:rPr>
                    <w:t>C</w:t>
                  </w:r>
                  <w:r w:rsidRPr="00B928DE">
                    <w:rPr>
                      <w:rFonts w:ascii="Times" w:hAnsi="Times" w:cs="Times"/>
                      <w:bCs/>
                      <w:vertAlign w:val="subscript"/>
                    </w:rPr>
                    <w:t>CSn</w:t>
                  </w:r>
                  <w:r w:rsidR="00DF1F8A">
                    <w:rPr>
                      <w:rFonts w:ascii="Times" w:hAnsi="Times" w:cs="Times"/>
                      <w:bCs/>
                      <w:vertAlign w:val="subscript"/>
                    </w:rPr>
                    <w:t>-1</w:t>
                  </w:r>
                  <w:r w:rsidRPr="003B7D06" w:rsidDel="00A455B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  <w:r w:rsidR="00FE5D95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[zł/GJ]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B0BF5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72,43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6A221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68397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72,43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2E2CA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509BA70F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CEC14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98525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Możliwy wzrost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5BA06" w14:textId="1F64957A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Aktualnie</w:t>
                  </w:r>
                  <w:r w:rsidR="00FE5D95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[%]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E735D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1,68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C81F1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2,18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1B524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2,43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F27E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1A6AA241" w14:textId="77777777" w:rsidTr="00FE5D95">
              <w:trPr>
                <w:trHeight w:val="288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4BCF1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1693A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Oczekiwana cena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EC3B1" w14:textId="1018D302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Aktualnie</w:t>
                  </w:r>
                  <w:r w:rsidR="00FE5D95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62D41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48,05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2C2D1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48,28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D292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48,40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3149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3DBD97A9" w14:textId="45008685" w:rsidR="001F289B" w:rsidRPr="003B7D06" w:rsidRDefault="001F289B" w:rsidP="0037688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B7D06">
              <w:rPr>
                <w:rFonts w:ascii="Times New Roman" w:hAnsi="Times New Roman" w:cs="Times New Roman"/>
                <w:b/>
                <w:bCs/>
                <w:spacing w:val="-2"/>
              </w:rPr>
              <w:t>Tabela 4.</w:t>
            </w:r>
            <w:r w:rsidR="00FE5D95" w:rsidRPr="003B7D06">
              <w:rPr>
                <w:rFonts w:ascii="Times New Roman" w:hAnsi="Times New Roman" w:cs="Times New Roman"/>
              </w:rPr>
              <w:t xml:space="preserve"> 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 xml:space="preserve">Prezentacja możliwych wzrostów planowanych przychodów w taryfach dla jednostek kogeneracji wytwarzających ciepło z </w:t>
            </w:r>
            <w:r w:rsidR="006D6191" w:rsidRPr="003B7D06">
              <w:rPr>
                <w:rFonts w:ascii="Times New Roman" w:hAnsi="Times New Roman" w:cs="Times New Roman"/>
                <w:spacing w:val="-2"/>
              </w:rPr>
              <w:t>gazu ziemnego wysokometanowego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 xml:space="preserve"> przy średniej cenie na podstawie </w:t>
            </w:r>
            <w:r w:rsidR="00A016DB" w:rsidRPr="003B7D06">
              <w:rPr>
                <w:rFonts w:ascii="Times New Roman" w:hAnsi="Times New Roman" w:cs="Times New Roman"/>
                <w:spacing w:val="-2"/>
              </w:rPr>
              <w:t xml:space="preserve">raportu 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 xml:space="preserve">URE </w:t>
            </w:r>
            <w:r w:rsidR="00F8641C" w:rsidRPr="003B7D06">
              <w:rPr>
                <w:rFonts w:ascii="Times New Roman" w:hAnsi="Times New Roman" w:cs="Times New Roman"/>
                <w:spacing w:val="-2"/>
              </w:rPr>
              <w:t>„</w:t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>Energetyka cieplna w liczbach 2020</w:t>
            </w:r>
            <w:r w:rsidR="00F8641C" w:rsidRPr="003B7D06">
              <w:rPr>
                <w:rFonts w:ascii="Times New Roman" w:hAnsi="Times New Roman" w:cs="Times New Roman"/>
                <w:spacing w:val="-2"/>
              </w:rPr>
              <w:t>”</w:t>
            </w:r>
            <w:r w:rsidR="00F8641C" w:rsidRPr="003B7D06">
              <w:rPr>
                <w:rStyle w:val="Odwoanieprzypisudolnego"/>
                <w:rFonts w:ascii="Times New Roman" w:hAnsi="Times New Roman" w:cs="Times New Roman"/>
                <w:spacing w:val="-2"/>
              </w:rPr>
              <w:footnoteReference w:id="5"/>
            </w:r>
            <w:r w:rsidR="00FE5D95" w:rsidRPr="003B7D06">
              <w:rPr>
                <w:rFonts w:ascii="Times New Roman" w:hAnsi="Times New Roman" w:cs="Times New Roman"/>
                <w:spacing w:val="-2"/>
              </w:rPr>
              <w:t>, przy założeniu kształtowania taryfy dla ciepła na podstawie zmienionych przepisów.</w:t>
            </w:r>
          </w:p>
          <w:tbl>
            <w:tblPr>
              <w:tblW w:w="89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"/>
              <w:gridCol w:w="787"/>
              <w:gridCol w:w="1102"/>
              <w:gridCol w:w="1985"/>
              <w:gridCol w:w="1317"/>
              <w:gridCol w:w="1707"/>
              <w:gridCol w:w="1707"/>
              <w:gridCol w:w="162"/>
            </w:tblGrid>
            <w:tr w:rsidR="001F289B" w:rsidRPr="003B7D06" w14:paraId="195C3554" w14:textId="77777777" w:rsidTr="001F289B">
              <w:trPr>
                <w:trHeight w:val="288"/>
              </w:trPr>
              <w:tc>
                <w:tcPr>
                  <w:tcW w:w="893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7A996A" w14:textId="4035672C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Zakładany średni wzrost średniej ceny z kogeneracji </w:t>
                  </w:r>
                  <w:r w:rsidR="00A169B8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po zmianie </w:t>
                  </w:r>
                  <w:r w:rsidR="00FE2EE1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brzmienia </w:t>
                  </w:r>
                  <w:r w:rsidR="00A169B8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§ 13 ust. 6 zmienianego rozporządzenia</w:t>
                  </w:r>
                </w:p>
              </w:tc>
            </w:tr>
            <w:tr w:rsidR="001F289B" w:rsidRPr="003B7D06" w14:paraId="215D6E5C" w14:textId="77777777" w:rsidTr="006D6191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68560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76DA5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62E81" w14:textId="34114ACC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Aktualna cena PE</w:t>
                  </w:r>
                  <w:r w:rsidR="006D6191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2EED0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47,25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0AD9B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47,25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0D984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47,25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57E5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689289D0" w14:textId="77777777" w:rsidTr="006D6191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F7838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3CA0C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AEFB3" w14:textId="77777777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A687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cena&lt;0,9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61AC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cena&lt;0,8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ACA4B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cena&gt;0,8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F6BA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3F78433A" w14:textId="77777777" w:rsidTr="006D6191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DD2B8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9B4B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76C9B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E6E1E" w14:textId="6F6E92C5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="006D6191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p.p</w:t>
                  </w:r>
                  <w:proofErr w:type="spellEnd"/>
                  <w:r w:rsidR="006D6191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35FD1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2,25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FDCED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2,75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B174A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92549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522CCE84" w14:textId="77777777" w:rsidTr="006D6191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7DC85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382A1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729B1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71E8D" w14:textId="66B5D640" w:rsidR="001F289B" w:rsidRPr="003B7D06" w:rsidRDefault="00A455B6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928DE">
                    <w:rPr>
                      <w:rFonts w:ascii="Times" w:hAnsi="Times" w:cs="Times"/>
                      <w:bCs/>
                    </w:rPr>
                    <w:t>C</w:t>
                  </w:r>
                  <w:r w:rsidRPr="00B928DE">
                    <w:rPr>
                      <w:rFonts w:ascii="Times" w:hAnsi="Times" w:cs="Times"/>
                      <w:bCs/>
                      <w:vertAlign w:val="subscript"/>
                    </w:rPr>
                    <w:t>CSn</w:t>
                  </w:r>
                  <w:proofErr w:type="spellEnd"/>
                  <w:r w:rsidR="006D6191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BEA5A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72,02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A6473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72,02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C5CE1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72,02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3FA0F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445D489F" w14:textId="77777777" w:rsidTr="006D6191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B7938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615F7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5562E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81E6B" w14:textId="7CAEA45B" w:rsidR="001F289B" w:rsidRPr="003B7D06" w:rsidRDefault="00A455B6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928DE">
                    <w:rPr>
                      <w:rFonts w:ascii="Times" w:hAnsi="Times" w:cs="Times"/>
                      <w:bCs/>
                    </w:rPr>
                    <w:t>C</w:t>
                  </w:r>
                  <w:r w:rsidRPr="00B928DE">
                    <w:rPr>
                      <w:rFonts w:ascii="Times" w:hAnsi="Times" w:cs="Times"/>
                      <w:bCs/>
                      <w:vertAlign w:val="subscript"/>
                    </w:rPr>
                    <w:t>CSn</w:t>
                  </w:r>
                  <w:r w:rsidR="00DF1F8A">
                    <w:rPr>
                      <w:rFonts w:ascii="Times" w:hAnsi="Times" w:cs="Times"/>
                      <w:bCs/>
                      <w:vertAlign w:val="subscript"/>
                    </w:rPr>
                    <w:t>-1</w:t>
                  </w:r>
                  <w:r w:rsidRPr="003B7D06" w:rsidDel="00A455B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  <w:r w:rsidR="006D6191"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[zł/GJ]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3C485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72,43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6C708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72,43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57E5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72,43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ECBCD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14112710" w14:textId="77777777" w:rsidTr="006D6191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7CABC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9795F" w14:textId="77777777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Możliwy wzrost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1FAA4" w14:textId="566CD975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Wzrost </w:t>
                  </w:r>
                  <w:proofErr w:type="spellStart"/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Xc</w:t>
                  </w:r>
                  <w:proofErr w:type="spellEnd"/>
                  <w:r w:rsidR="006D6191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[%]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94A35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32,68</w:t>
                  </w:r>
                </w:p>
              </w:tc>
              <w:tc>
                <w:tcPr>
                  <w:tcW w:w="17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0AAEB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33,18</w:t>
                  </w:r>
                </w:p>
              </w:tc>
              <w:tc>
                <w:tcPr>
                  <w:tcW w:w="17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9E724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33,43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52DF7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F289B" w:rsidRPr="003B7D06" w14:paraId="1759FBE9" w14:textId="77777777" w:rsidTr="006D6191">
              <w:trPr>
                <w:trHeight w:val="288"/>
              </w:trPr>
              <w:tc>
                <w:tcPr>
                  <w:tcW w:w="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44B7B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09024" w14:textId="77777777" w:rsidR="001F289B" w:rsidRPr="003B7D06" w:rsidRDefault="001F289B" w:rsidP="001F2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Oczekiwana cena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682A1" w14:textId="5DB7625B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Wzrost </w:t>
                  </w:r>
                  <w:proofErr w:type="spellStart"/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Xc</w:t>
                  </w:r>
                  <w:proofErr w:type="spellEnd"/>
                  <w:r w:rsidR="006D6191"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[zł/GJ]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E3440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62,69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76C52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62,93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33CF0" w14:textId="77777777" w:rsidR="001F289B" w:rsidRPr="003B7D06" w:rsidRDefault="001F289B" w:rsidP="001F2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63,05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59109" w14:textId="77777777" w:rsidR="001F289B" w:rsidRPr="003B7D06" w:rsidRDefault="001F289B" w:rsidP="001F2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7D0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46B388EE" w14:textId="00DF2027" w:rsidR="00956175" w:rsidRPr="003B7D06" w:rsidRDefault="00167052" w:rsidP="0093120F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B7D06">
              <w:rPr>
                <w:rFonts w:ascii="Times New Roman" w:hAnsi="Times New Roman" w:cs="Times New Roman"/>
                <w:spacing w:val="-2"/>
              </w:rPr>
              <w:t>Z powyższego zestawienia i porównania danych zawartych w tabelach wynika</w:t>
            </w:r>
            <w:r w:rsidR="006D6191" w:rsidRPr="003B7D06">
              <w:rPr>
                <w:rFonts w:ascii="Times New Roman" w:hAnsi="Times New Roman" w:cs="Times New Roman"/>
                <w:spacing w:val="-2"/>
              </w:rPr>
              <w:t>, że przy średniej cenie ciepła z jednostek kogeneracji opalanych gazem ziemnym wysokometanowym wynoszącej 47,25 zł/GJ po wprowadzeniu projektowanego przepisu, planowane przychody przedsiębiorstw energetycznych w taryfach dla ciepła z kogeneracji wzrosną o 31%, co przełoży się w 70% na obciążenie dla odbiorców ciepła, dając 21,7% możliwego wzrostu opłat za dostawę ciepła.</w:t>
            </w:r>
          </w:p>
          <w:p w14:paraId="5E10CEF6" w14:textId="33EA1A15" w:rsidR="0093120F" w:rsidRPr="003B7D06" w:rsidRDefault="00AF37AB" w:rsidP="0093120F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B7D06">
              <w:rPr>
                <w:rFonts w:ascii="Times New Roman" w:hAnsi="Times New Roman" w:cs="Times New Roman"/>
                <w:spacing w:val="-2"/>
              </w:rPr>
              <w:t>Osiągnięcie celu proponowanej regulacji nie jest możliwe za pomocą innych środków niż wydanie rozporządzenia.</w:t>
            </w:r>
          </w:p>
        </w:tc>
      </w:tr>
      <w:tr w:rsidR="00067D98" w:rsidRPr="00067D98" w14:paraId="61A37CB2" w14:textId="77777777" w:rsidTr="00066274">
        <w:trPr>
          <w:gridAfter w:val="1"/>
          <w:wAfter w:w="38" w:type="dxa"/>
          <w:trHeight w:val="307"/>
        </w:trPr>
        <w:tc>
          <w:tcPr>
            <w:tcW w:w="10909" w:type="dxa"/>
            <w:gridSpan w:val="27"/>
            <w:shd w:val="clear" w:color="auto" w:fill="99CCFF"/>
            <w:vAlign w:val="center"/>
          </w:tcPr>
          <w:p w14:paraId="758A9C84" w14:textId="77777777" w:rsidR="00E35653" w:rsidRPr="00067D98" w:rsidRDefault="00E35653" w:rsidP="00326B7A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067D98">
              <w:rPr>
                <w:rFonts w:ascii="Times New Roman" w:eastAsia="Calibri" w:hAnsi="Times New Roman" w:cs="Times New Roman"/>
                <w:b/>
              </w:rPr>
              <w:t>?</w:t>
            </w:r>
            <w:r w:rsidRPr="00067D98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067D98" w:rsidRPr="00067D98" w14:paraId="7457E162" w14:textId="77777777" w:rsidTr="00066274">
        <w:trPr>
          <w:gridAfter w:val="1"/>
          <w:wAfter w:w="38" w:type="dxa"/>
          <w:trHeight w:val="142"/>
        </w:trPr>
        <w:tc>
          <w:tcPr>
            <w:tcW w:w="10909" w:type="dxa"/>
            <w:gridSpan w:val="27"/>
            <w:shd w:val="clear" w:color="auto" w:fill="auto"/>
          </w:tcPr>
          <w:p w14:paraId="39224FB0" w14:textId="04F1B82B" w:rsidR="00E35653" w:rsidRPr="00067D98" w:rsidRDefault="00326B7A" w:rsidP="00DA2B1A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t>Nie dotyczy</w:t>
            </w:r>
            <w:r w:rsidR="000A220C">
              <w:rPr>
                <w:rFonts w:ascii="Times New Roman" w:eastAsia="Calibri" w:hAnsi="Times New Roman" w:cs="Times New Roman"/>
              </w:rPr>
              <w:t>. Brak znanych przypadków podobnych rozwiązań.</w:t>
            </w:r>
          </w:p>
        </w:tc>
      </w:tr>
      <w:tr w:rsidR="00067D98" w:rsidRPr="00067D98" w14:paraId="2A5680E4" w14:textId="77777777" w:rsidTr="00066274">
        <w:trPr>
          <w:gridAfter w:val="1"/>
          <w:wAfter w:w="38" w:type="dxa"/>
          <w:trHeight w:val="359"/>
        </w:trPr>
        <w:tc>
          <w:tcPr>
            <w:tcW w:w="10909" w:type="dxa"/>
            <w:gridSpan w:val="27"/>
            <w:shd w:val="clear" w:color="auto" w:fill="99CCFF"/>
            <w:vAlign w:val="center"/>
          </w:tcPr>
          <w:p w14:paraId="6A6E739F" w14:textId="77777777" w:rsidR="00E35653" w:rsidRPr="00067D98" w:rsidRDefault="00E35653" w:rsidP="00326B7A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067D98" w:rsidRPr="00067D98" w14:paraId="4935DC3B" w14:textId="77777777" w:rsidTr="00745495">
        <w:trPr>
          <w:gridAfter w:val="1"/>
          <w:wAfter w:w="38" w:type="dxa"/>
          <w:trHeight w:val="363"/>
        </w:trPr>
        <w:tc>
          <w:tcPr>
            <w:tcW w:w="2445" w:type="dxa"/>
            <w:gridSpan w:val="2"/>
            <w:shd w:val="clear" w:color="auto" w:fill="auto"/>
          </w:tcPr>
          <w:p w14:paraId="539B7468" w14:textId="77777777" w:rsidR="00E35653" w:rsidRPr="00067D98" w:rsidRDefault="00E35653" w:rsidP="00B1646C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1680" w:type="dxa"/>
            <w:gridSpan w:val="5"/>
            <w:shd w:val="clear" w:color="auto" w:fill="auto"/>
          </w:tcPr>
          <w:p w14:paraId="0DCDA1DC" w14:textId="77777777" w:rsidR="00E35653" w:rsidRPr="00067D98" w:rsidRDefault="00E35653" w:rsidP="00B1646C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1620" w:type="dxa"/>
            <w:gridSpan w:val="5"/>
            <w:shd w:val="clear" w:color="auto" w:fill="auto"/>
          </w:tcPr>
          <w:p w14:paraId="24C733DD" w14:textId="77777777" w:rsidR="00E35653" w:rsidRPr="00067D98" w:rsidRDefault="00E35653" w:rsidP="00B1646C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Źródło danych </w:t>
            </w:r>
          </w:p>
        </w:tc>
        <w:tc>
          <w:tcPr>
            <w:tcW w:w="5164" w:type="dxa"/>
            <w:gridSpan w:val="15"/>
            <w:shd w:val="clear" w:color="auto" w:fill="auto"/>
          </w:tcPr>
          <w:p w14:paraId="091D6EF1" w14:textId="77777777" w:rsidR="00E35653" w:rsidRPr="00067D98" w:rsidRDefault="00E35653" w:rsidP="00B1646C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067D98" w:rsidRPr="00067D98" w14:paraId="7027789D" w14:textId="77777777" w:rsidTr="00745495">
        <w:trPr>
          <w:gridAfter w:val="1"/>
          <w:wAfter w:w="38" w:type="dxa"/>
          <w:trHeight w:val="2422"/>
        </w:trPr>
        <w:tc>
          <w:tcPr>
            <w:tcW w:w="2445" w:type="dxa"/>
            <w:gridSpan w:val="2"/>
            <w:shd w:val="clear" w:color="auto" w:fill="auto"/>
          </w:tcPr>
          <w:p w14:paraId="324EA49E" w14:textId="33817E08" w:rsidR="00E35653" w:rsidRPr="00067D98" w:rsidRDefault="00E35653" w:rsidP="00023CE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lastRenderedPageBreak/>
              <w:t xml:space="preserve">Przedsiębiorstwa </w:t>
            </w:r>
            <w:r w:rsidR="00CF4F30" w:rsidRPr="00067D98">
              <w:rPr>
                <w:rFonts w:ascii="Times New Roman" w:eastAsia="Calibri" w:hAnsi="Times New Roman" w:cs="Times New Roman"/>
              </w:rPr>
              <w:t xml:space="preserve">koncesjonowane </w:t>
            </w:r>
            <w:r w:rsidRPr="00067D98">
              <w:rPr>
                <w:rFonts w:ascii="Times New Roman" w:eastAsia="Calibri" w:hAnsi="Times New Roman" w:cs="Times New Roman"/>
              </w:rPr>
              <w:t>prowadzące działalność gospodarczą w zakresie wytwarzania ciepła</w:t>
            </w:r>
            <w:r w:rsidR="009A1DDF">
              <w:rPr>
                <w:rFonts w:ascii="Times New Roman" w:eastAsia="Calibri" w:hAnsi="Times New Roman" w:cs="Times New Roman"/>
              </w:rPr>
              <w:t xml:space="preserve"> w kogeneracji</w:t>
            </w:r>
          </w:p>
          <w:p w14:paraId="0E0E0B6E" w14:textId="77777777" w:rsidR="00E35653" w:rsidRPr="00067D98" w:rsidRDefault="00E35653" w:rsidP="00B1646C">
            <w:pPr>
              <w:spacing w:before="120" w:after="120" w:line="276" w:lineRule="auto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BD9401F" w14:textId="043D5050" w:rsidR="00E35653" w:rsidRPr="00067D98" w:rsidRDefault="009A1DDF" w:rsidP="00B1646C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12</w:t>
            </w:r>
            <w:r w:rsidR="00CA0BB0">
              <w:rPr>
                <w:rFonts w:ascii="Times New Roman" w:eastAsia="Calibri" w:hAnsi="Times New Roman" w:cs="Times New Roman"/>
                <w:spacing w:val="-2"/>
              </w:rPr>
              <w:t>8</w:t>
            </w:r>
          </w:p>
        </w:tc>
        <w:tc>
          <w:tcPr>
            <w:tcW w:w="1620" w:type="dxa"/>
            <w:gridSpan w:val="5"/>
            <w:shd w:val="clear" w:color="auto" w:fill="auto"/>
          </w:tcPr>
          <w:p w14:paraId="687DB1D6" w14:textId="79DB9B8E" w:rsidR="00E35653" w:rsidRPr="00067D98" w:rsidRDefault="003643FB" w:rsidP="00023CE6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Raport </w:t>
            </w:r>
            <w:r w:rsidR="004B7B0B">
              <w:rPr>
                <w:rFonts w:ascii="Times New Roman" w:eastAsia="Calibri" w:hAnsi="Times New Roman" w:cs="Times New Roman"/>
              </w:rPr>
              <w:t>„</w:t>
            </w:r>
            <w:r w:rsidR="00CB21AC" w:rsidRPr="00067D98">
              <w:rPr>
                <w:rFonts w:ascii="Times New Roman" w:eastAsia="Calibri" w:hAnsi="Times New Roman" w:cs="Times New Roman"/>
              </w:rPr>
              <w:t>Energetyka Cieplna w liczbach – 20</w:t>
            </w:r>
            <w:r w:rsidR="00CA0BB0">
              <w:rPr>
                <w:rFonts w:ascii="Times New Roman" w:eastAsia="Calibri" w:hAnsi="Times New Roman" w:cs="Times New Roman"/>
              </w:rPr>
              <w:t>20</w:t>
            </w:r>
            <w:r w:rsidR="001207C7">
              <w:rPr>
                <w:rFonts w:ascii="Times New Roman" w:eastAsia="Calibri" w:hAnsi="Times New Roman" w:cs="Times New Roman"/>
              </w:rPr>
              <w:t>”</w:t>
            </w:r>
            <w:r w:rsidR="001207C7">
              <w:rPr>
                <w:rStyle w:val="Odwoanieprzypisudolnego"/>
                <w:rFonts w:ascii="Times New Roman" w:eastAsia="Calibri" w:hAnsi="Times New Roman" w:cs="Times New Roman"/>
              </w:rPr>
              <w:footnoteReference w:id="6"/>
            </w:r>
            <w:r w:rsidR="00CB21AC" w:rsidRPr="00067D98">
              <w:rPr>
                <w:rFonts w:ascii="Times New Roman" w:eastAsia="Calibri" w:hAnsi="Times New Roman" w:cs="Times New Roman"/>
              </w:rPr>
              <w:t>. Urząd Regulacji Energetyki</w:t>
            </w:r>
          </w:p>
          <w:p w14:paraId="75D23A73" w14:textId="77777777" w:rsidR="004C2212" w:rsidRPr="00067D98" w:rsidRDefault="004C2212" w:rsidP="00023CE6">
            <w:pPr>
              <w:spacing w:before="120" w:after="120" w:line="276" w:lineRule="auto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5164" w:type="dxa"/>
            <w:gridSpan w:val="15"/>
            <w:shd w:val="clear" w:color="auto" w:fill="auto"/>
          </w:tcPr>
          <w:p w14:paraId="1D1956E6" w14:textId="57B734E2" w:rsidR="00E35653" w:rsidRPr="00067D98" w:rsidRDefault="00921F08" w:rsidP="00B1646C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Urealnienie kosztów przenoszonych </w:t>
            </w:r>
            <w:r w:rsidR="00A33F8F">
              <w:rPr>
                <w:rFonts w:ascii="Times New Roman" w:eastAsia="Calibri" w:hAnsi="Times New Roman" w:cs="Times New Roman"/>
                <w:spacing w:val="-2"/>
              </w:rPr>
              <w:t xml:space="preserve">przy </w:t>
            </w:r>
            <w:r>
              <w:rPr>
                <w:rFonts w:ascii="Times New Roman" w:eastAsia="Calibri" w:hAnsi="Times New Roman" w:cs="Times New Roman"/>
                <w:spacing w:val="-2"/>
              </w:rPr>
              <w:t>średnich cenach sprzedaży ciepła stosowanych do kształtowania taryf dla ciepła w kogeneracji – sposób uproszczony, o którym mowa w art. 47 ust. 2f ustawy – Prawo energetyczne oraz w §</w:t>
            </w:r>
            <w:r w:rsidR="00303F8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13 </w:t>
            </w:r>
            <w:r w:rsidR="00AD79CA">
              <w:rPr>
                <w:rFonts w:ascii="Times New Roman" w:eastAsia="Calibri" w:hAnsi="Times New Roman" w:cs="Times New Roman"/>
                <w:spacing w:val="-2"/>
              </w:rPr>
              <w:t xml:space="preserve">zmienianego 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rozporządzenia </w:t>
            </w:r>
            <w:r w:rsidR="00BE56F7">
              <w:rPr>
                <w:rFonts w:ascii="Times New Roman" w:eastAsia="Calibri" w:hAnsi="Times New Roman" w:cs="Times New Roman"/>
                <w:spacing w:val="-2"/>
              </w:rPr>
              <w:t xml:space="preserve">przez umożliwienie </w:t>
            </w:r>
            <w:r w:rsidR="006A5942">
              <w:rPr>
                <w:rFonts w:ascii="Times New Roman" w:eastAsia="Calibri" w:hAnsi="Times New Roman" w:cs="Times New Roman"/>
                <w:spacing w:val="-2"/>
              </w:rPr>
              <w:t>przyjęcia wzrostu planowanych przychodów zgodnie z zmieniającym się otoczeniem regulacyjnym.</w:t>
            </w:r>
          </w:p>
        </w:tc>
      </w:tr>
      <w:tr w:rsidR="00067D98" w:rsidRPr="00067D98" w14:paraId="68190E6E" w14:textId="77777777" w:rsidTr="00745495">
        <w:trPr>
          <w:gridAfter w:val="1"/>
          <w:wAfter w:w="38" w:type="dxa"/>
          <w:trHeight w:val="142"/>
        </w:trPr>
        <w:tc>
          <w:tcPr>
            <w:tcW w:w="2445" w:type="dxa"/>
            <w:gridSpan w:val="2"/>
            <w:shd w:val="clear" w:color="auto" w:fill="auto"/>
          </w:tcPr>
          <w:p w14:paraId="354B0EAE" w14:textId="6E15CB22" w:rsidR="00E35653" w:rsidRPr="00067D98" w:rsidRDefault="006202AB" w:rsidP="00023CE6">
            <w:pPr>
              <w:tabs>
                <w:tab w:val="left" w:pos="1560"/>
              </w:tabs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t>O</w:t>
            </w:r>
            <w:r w:rsidR="00E35653" w:rsidRPr="00067D98">
              <w:rPr>
                <w:rFonts w:ascii="Times New Roman" w:eastAsia="Calibri" w:hAnsi="Times New Roman" w:cs="Times New Roman"/>
              </w:rPr>
              <w:t>dbiorcy końcowi</w:t>
            </w:r>
          </w:p>
        </w:tc>
        <w:tc>
          <w:tcPr>
            <w:tcW w:w="1680" w:type="dxa"/>
            <w:gridSpan w:val="5"/>
            <w:shd w:val="clear" w:color="auto" w:fill="auto"/>
          </w:tcPr>
          <w:p w14:paraId="1B7EF591" w14:textId="280099A9" w:rsidR="00E35653" w:rsidRPr="00067D98" w:rsidRDefault="00921F08" w:rsidP="00023CE6">
            <w:pPr>
              <w:spacing w:before="120" w:after="12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921F08">
              <w:rPr>
                <w:rFonts w:ascii="Times New Roman" w:eastAsia="Calibri" w:hAnsi="Times New Roman" w:cs="Times New Roman"/>
                <w:spacing w:val="-2"/>
              </w:rPr>
              <w:t>W 20</w:t>
            </w:r>
            <w:r w:rsidR="00CA0BB0">
              <w:rPr>
                <w:rFonts w:ascii="Times New Roman" w:eastAsia="Calibri" w:hAnsi="Times New Roman" w:cs="Times New Roman"/>
                <w:spacing w:val="-2"/>
              </w:rPr>
              <w:t>20</w:t>
            </w:r>
            <w:r w:rsidRPr="00921F08">
              <w:rPr>
                <w:rFonts w:ascii="Times New Roman" w:eastAsia="Calibri" w:hAnsi="Times New Roman" w:cs="Times New Roman"/>
                <w:spacing w:val="-2"/>
              </w:rPr>
              <w:t xml:space="preserve"> r. udział ciepła z kogeneracji wynosił 65</w:t>
            </w:r>
            <w:r w:rsidR="00CA0BB0">
              <w:rPr>
                <w:rFonts w:ascii="Times New Roman" w:eastAsia="Calibri" w:hAnsi="Times New Roman" w:cs="Times New Roman"/>
                <w:spacing w:val="-2"/>
              </w:rPr>
              <w:t>,2</w:t>
            </w:r>
            <w:r>
              <w:rPr>
                <w:rFonts w:ascii="Times New Roman" w:eastAsia="Calibri" w:hAnsi="Times New Roman" w:cs="Times New Roman"/>
                <w:spacing w:val="-2"/>
              </w:rPr>
              <w:t>%</w:t>
            </w:r>
            <w:r w:rsidRPr="00921F08">
              <w:rPr>
                <w:rFonts w:ascii="Times New Roman" w:eastAsia="Calibri" w:hAnsi="Times New Roman" w:cs="Times New Roman"/>
                <w:spacing w:val="-2"/>
              </w:rPr>
              <w:t xml:space="preserve"> produkcji ciepła ogółem</w:t>
            </w:r>
          </w:p>
        </w:tc>
        <w:tc>
          <w:tcPr>
            <w:tcW w:w="1620" w:type="dxa"/>
            <w:gridSpan w:val="5"/>
            <w:shd w:val="clear" w:color="auto" w:fill="auto"/>
          </w:tcPr>
          <w:p w14:paraId="45788C7F" w14:textId="40187808" w:rsidR="00921F08" w:rsidRPr="00921F08" w:rsidRDefault="003643FB" w:rsidP="00023CE6">
            <w:pPr>
              <w:spacing w:before="120" w:after="12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643FB">
              <w:rPr>
                <w:rFonts w:ascii="Times New Roman" w:eastAsia="Calibri" w:hAnsi="Times New Roman" w:cs="Times New Roman"/>
                <w:spacing w:val="-2"/>
              </w:rPr>
              <w:t xml:space="preserve">Raport </w:t>
            </w:r>
            <w:r w:rsidR="006B03A4">
              <w:rPr>
                <w:rFonts w:ascii="Times New Roman" w:eastAsia="Calibri" w:hAnsi="Times New Roman" w:cs="Times New Roman"/>
                <w:spacing w:val="-2"/>
              </w:rPr>
              <w:t>„</w:t>
            </w:r>
            <w:r w:rsidR="00921F08" w:rsidRPr="00921F08">
              <w:rPr>
                <w:rFonts w:ascii="Times New Roman" w:eastAsia="Calibri" w:hAnsi="Times New Roman" w:cs="Times New Roman"/>
                <w:spacing w:val="-2"/>
              </w:rPr>
              <w:t>Energetyka Cieplna w liczbach – 20</w:t>
            </w:r>
            <w:r w:rsidR="00CA0BB0">
              <w:rPr>
                <w:rFonts w:ascii="Times New Roman" w:eastAsia="Calibri" w:hAnsi="Times New Roman" w:cs="Times New Roman"/>
                <w:spacing w:val="-2"/>
              </w:rPr>
              <w:t>20</w:t>
            </w:r>
            <w:r w:rsidR="006B03A4">
              <w:rPr>
                <w:rFonts w:ascii="Times New Roman" w:eastAsia="Calibri" w:hAnsi="Times New Roman" w:cs="Times New Roman"/>
                <w:spacing w:val="-2"/>
              </w:rPr>
              <w:t>”</w:t>
            </w:r>
            <w:r w:rsidR="00921F08" w:rsidRPr="00921F08">
              <w:rPr>
                <w:rFonts w:ascii="Times New Roman" w:eastAsia="Calibri" w:hAnsi="Times New Roman" w:cs="Times New Roman"/>
                <w:spacing w:val="-2"/>
              </w:rPr>
              <w:t>.</w:t>
            </w:r>
            <w:r>
              <w:rPr>
                <w:rStyle w:val="Odwoanieprzypisudolnego"/>
                <w:rFonts w:ascii="Times New Roman" w:eastAsia="Calibri" w:hAnsi="Times New Roman" w:cs="Times New Roman"/>
                <w:spacing w:val="-2"/>
              </w:rPr>
              <w:footnoteReference w:id="7"/>
            </w:r>
            <w:r w:rsidR="00921F08" w:rsidRPr="00921F08">
              <w:rPr>
                <w:rFonts w:ascii="Times New Roman" w:eastAsia="Calibri" w:hAnsi="Times New Roman" w:cs="Times New Roman"/>
                <w:spacing w:val="-2"/>
              </w:rPr>
              <w:t xml:space="preserve"> Urząd Regulacji Energetyki</w:t>
            </w:r>
          </w:p>
          <w:p w14:paraId="3CB2C0AC" w14:textId="77777777" w:rsidR="00921F08" w:rsidRPr="00921F08" w:rsidRDefault="00921F08" w:rsidP="00023CE6">
            <w:pPr>
              <w:spacing w:before="120" w:after="120" w:line="276" w:lineRule="auto"/>
              <w:rPr>
                <w:rFonts w:ascii="Times New Roman" w:eastAsia="Calibri" w:hAnsi="Times New Roman" w:cs="Times New Roman"/>
                <w:spacing w:val="-2"/>
              </w:rPr>
            </w:pPr>
          </w:p>
          <w:p w14:paraId="709F72AC" w14:textId="7AB67A23" w:rsidR="00E35653" w:rsidRPr="00067D98" w:rsidRDefault="00E35653" w:rsidP="00023CE6">
            <w:pPr>
              <w:spacing w:before="120" w:after="120" w:line="276" w:lineRule="auto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5164" w:type="dxa"/>
            <w:gridSpan w:val="15"/>
            <w:shd w:val="clear" w:color="auto" w:fill="auto"/>
          </w:tcPr>
          <w:p w14:paraId="2FFF16C3" w14:textId="0B92D99E" w:rsidR="00921F08" w:rsidRPr="00067D98" w:rsidRDefault="00921F08" w:rsidP="00B1646C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921F08">
              <w:rPr>
                <w:rFonts w:ascii="Times New Roman" w:eastAsia="Calibri" w:hAnsi="Times New Roman" w:cs="Times New Roman"/>
                <w:spacing w:val="-2"/>
              </w:rPr>
              <w:t xml:space="preserve">Zaproponowana modyfikacja regulacji taryfowej wpływa na ceny ciepła w </w:t>
            </w:r>
            <w:r w:rsidR="004D5AD3" w:rsidRPr="00921F08">
              <w:rPr>
                <w:rFonts w:ascii="Times New Roman" w:eastAsia="Calibri" w:hAnsi="Times New Roman" w:cs="Times New Roman"/>
                <w:spacing w:val="-2"/>
              </w:rPr>
              <w:t xml:space="preserve">stopniu </w:t>
            </w:r>
            <w:r w:rsidRPr="00921F08">
              <w:rPr>
                <w:rFonts w:ascii="Times New Roman" w:eastAsia="Calibri" w:hAnsi="Times New Roman" w:cs="Times New Roman"/>
                <w:spacing w:val="-2"/>
              </w:rPr>
              <w:t xml:space="preserve">niemożliwym do oceny. Należy zwrócić uwagę na fakt, że </w:t>
            </w:r>
            <w:r w:rsidR="006A5942">
              <w:rPr>
                <w:rFonts w:ascii="Times New Roman" w:eastAsia="Calibri" w:hAnsi="Times New Roman" w:cs="Times New Roman"/>
                <w:spacing w:val="-2"/>
              </w:rPr>
              <w:t>składnik zmienianego wzoru</w:t>
            </w:r>
            <w:r w:rsidRPr="00921F08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6A5942" w:rsidRPr="006A5942">
              <w:rPr>
                <w:rFonts w:ascii="Times New Roman" w:eastAsia="Calibri" w:hAnsi="Times New Roman" w:cs="Times New Roman"/>
                <w:spacing w:val="-2"/>
              </w:rPr>
              <w:t>(Xc-1) x 100</w:t>
            </w:r>
            <w:r w:rsidR="006A594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21F08">
              <w:rPr>
                <w:rFonts w:ascii="Times New Roman" w:eastAsia="Calibri" w:hAnsi="Times New Roman" w:cs="Times New Roman"/>
                <w:spacing w:val="-2"/>
              </w:rPr>
              <w:t xml:space="preserve">będzie urealniać </w:t>
            </w:r>
            <w:r w:rsidR="006A5942">
              <w:rPr>
                <w:rFonts w:ascii="Times New Roman" w:eastAsia="Calibri" w:hAnsi="Times New Roman" w:cs="Times New Roman"/>
                <w:spacing w:val="-2"/>
              </w:rPr>
              <w:t>ten wzrost</w:t>
            </w:r>
            <w:r w:rsidRPr="00921F08">
              <w:rPr>
                <w:rFonts w:ascii="Times New Roman" w:eastAsia="Calibri" w:hAnsi="Times New Roman" w:cs="Times New Roman"/>
                <w:spacing w:val="-2"/>
              </w:rPr>
              <w:t>, co będzie możliwe zarówno w kierunku je</w:t>
            </w:r>
            <w:r w:rsidR="006A5942">
              <w:rPr>
                <w:rFonts w:ascii="Times New Roman" w:eastAsia="Calibri" w:hAnsi="Times New Roman" w:cs="Times New Roman"/>
                <w:spacing w:val="-2"/>
              </w:rPr>
              <w:t>go zwiększenia</w:t>
            </w:r>
            <w:r w:rsidRPr="00921F08">
              <w:rPr>
                <w:rFonts w:ascii="Times New Roman" w:eastAsia="Calibri" w:hAnsi="Times New Roman" w:cs="Times New Roman"/>
                <w:spacing w:val="-2"/>
              </w:rPr>
              <w:t xml:space="preserve">, jak i </w:t>
            </w:r>
            <w:r w:rsidR="006A5942">
              <w:rPr>
                <w:rFonts w:ascii="Times New Roman" w:eastAsia="Calibri" w:hAnsi="Times New Roman" w:cs="Times New Roman"/>
                <w:spacing w:val="-2"/>
              </w:rPr>
              <w:t>zmniejszenia, w przypadku wskaźnika referencyjnego opublikowanego przez Prezesa URE o wartości poniżej 1</w:t>
            </w:r>
            <w:r w:rsidRPr="00921F08">
              <w:rPr>
                <w:rFonts w:ascii="Times New Roman" w:eastAsia="Calibri" w:hAnsi="Times New Roman" w:cs="Times New Roman"/>
                <w:spacing w:val="-2"/>
              </w:rPr>
              <w:t>.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5D5396">
              <w:rPr>
                <w:rFonts w:ascii="Times New Roman" w:eastAsia="Calibri" w:hAnsi="Times New Roman" w:cs="Times New Roman"/>
                <w:spacing w:val="-2"/>
              </w:rPr>
              <w:t>W konsekwencji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rachunki za ciepło będą wyższe w przypadku zwiększenia się kosztów </w:t>
            </w:r>
            <w:r w:rsidR="006A5942">
              <w:rPr>
                <w:rFonts w:ascii="Times New Roman" w:eastAsia="Calibri" w:hAnsi="Times New Roman" w:cs="Times New Roman"/>
                <w:spacing w:val="-2"/>
              </w:rPr>
              <w:t xml:space="preserve">prowadzenia działalności </w:t>
            </w:r>
            <w:r>
              <w:rPr>
                <w:rFonts w:ascii="Times New Roman" w:eastAsia="Calibri" w:hAnsi="Times New Roman" w:cs="Times New Roman"/>
                <w:spacing w:val="-2"/>
              </w:rPr>
              <w:t>wytwarzania ciepła z kogeneracji, ale obniżą się, gdy koszty wytwarzania będą charakteryzować się spadkiem</w:t>
            </w:r>
            <w:r w:rsidR="006A5942">
              <w:rPr>
                <w:rFonts w:ascii="Times New Roman" w:eastAsia="Calibri" w:hAnsi="Times New Roman" w:cs="Times New Roman"/>
                <w:spacing w:val="-2"/>
              </w:rPr>
              <w:t xml:space="preserve">, co odzwierciedlić powinien wskaźnik referencyjny </w:t>
            </w:r>
            <w:proofErr w:type="spellStart"/>
            <w:r w:rsidR="006A5942">
              <w:rPr>
                <w:rFonts w:ascii="Times New Roman" w:eastAsia="Calibri" w:hAnsi="Times New Roman" w:cs="Times New Roman"/>
                <w:spacing w:val="-2"/>
              </w:rPr>
              <w:t>Xc</w:t>
            </w:r>
            <w:proofErr w:type="spellEnd"/>
            <w:r w:rsidR="006A5942">
              <w:rPr>
                <w:rFonts w:ascii="Times New Roman" w:eastAsia="Calibri" w:hAnsi="Times New Roman" w:cs="Times New Roman"/>
                <w:spacing w:val="-2"/>
              </w:rPr>
              <w:t>.</w:t>
            </w:r>
          </w:p>
        </w:tc>
      </w:tr>
      <w:tr w:rsidR="00067D98" w:rsidRPr="00067D98" w14:paraId="37E4EAFF" w14:textId="77777777" w:rsidTr="00745495">
        <w:trPr>
          <w:gridAfter w:val="1"/>
          <w:wAfter w:w="38" w:type="dxa"/>
          <w:trHeight w:val="495"/>
        </w:trPr>
        <w:tc>
          <w:tcPr>
            <w:tcW w:w="2445" w:type="dxa"/>
            <w:gridSpan w:val="2"/>
            <w:shd w:val="clear" w:color="auto" w:fill="auto"/>
          </w:tcPr>
          <w:p w14:paraId="765A3841" w14:textId="76AF06C1" w:rsidR="00E35653" w:rsidRPr="00067D98" w:rsidRDefault="00E35653" w:rsidP="00023CE6">
            <w:pPr>
              <w:tabs>
                <w:tab w:val="left" w:pos="1560"/>
              </w:tabs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t>Prezes U</w:t>
            </w:r>
            <w:r w:rsidR="00921F08">
              <w:rPr>
                <w:rFonts w:ascii="Times New Roman" w:eastAsia="Calibri" w:hAnsi="Times New Roman" w:cs="Times New Roman"/>
              </w:rPr>
              <w:t>rzędu Regulacji Energetyki</w:t>
            </w:r>
          </w:p>
        </w:tc>
        <w:tc>
          <w:tcPr>
            <w:tcW w:w="1680" w:type="dxa"/>
            <w:gridSpan w:val="5"/>
            <w:shd w:val="clear" w:color="auto" w:fill="auto"/>
          </w:tcPr>
          <w:p w14:paraId="7E2D0447" w14:textId="77777777" w:rsidR="00E35653" w:rsidRPr="00067D98" w:rsidRDefault="00E35653" w:rsidP="00B1646C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1620" w:type="dxa"/>
            <w:gridSpan w:val="5"/>
            <w:shd w:val="clear" w:color="auto" w:fill="auto"/>
          </w:tcPr>
          <w:p w14:paraId="200A22F0" w14:textId="78312E1C" w:rsidR="00E35653" w:rsidRPr="00067D98" w:rsidRDefault="00E35653" w:rsidP="00023CE6">
            <w:pPr>
              <w:spacing w:before="120" w:after="12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Projekt </w:t>
            </w:r>
            <w:r w:rsidR="009D4E8A" w:rsidRPr="00067D98">
              <w:rPr>
                <w:rFonts w:ascii="Times New Roman" w:eastAsia="Calibri" w:hAnsi="Times New Roman" w:cs="Times New Roman"/>
                <w:spacing w:val="-2"/>
              </w:rPr>
              <w:t>rozporządzenia</w:t>
            </w:r>
          </w:p>
        </w:tc>
        <w:tc>
          <w:tcPr>
            <w:tcW w:w="5164" w:type="dxa"/>
            <w:gridSpan w:val="15"/>
            <w:shd w:val="clear" w:color="auto" w:fill="auto"/>
          </w:tcPr>
          <w:p w14:paraId="3FEB1081" w14:textId="51A1F671" w:rsidR="00E35653" w:rsidRPr="00067D98" w:rsidRDefault="00921F08" w:rsidP="00023CE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Zmiana niektórych taryf dla ciepła z kogeneracji</w:t>
            </w:r>
            <w:r w:rsidR="006A5942">
              <w:rPr>
                <w:rFonts w:ascii="Times New Roman" w:eastAsia="Calibri" w:hAnsi="Times New Roman" w:cs="Times New Roman"/>
                <w:spacing w:val="-2"/>
              </w:rPr>
              <w:t>, co będzie wynikać z przepisów przejściowych.</w:t>
            </w:r>
          </w:p>
        </w:tc>
      </w:tr>
      <w:tr w:rsidR="00067D98" w:rsidRPr="00067D98" w14:paraId="0AA0A2F6" w14:textId="77777777" w:rsidTr="00066274">
        <w:trPr>
          <w:gridAfter w:val="1"/>
          <w:wAfter w:w="38" w:type="dxa"/>
          <w:trHeight w:val="302"/>
        </w:trPr>
        <w:tc>
          <w:tcPr>
            <w:tcW w:w="10909" w:type="dxa"/>
            <w:gridSpan w:val="27"/>
            <w:shd w:val="clear" w:color="auto" w:fill="99CCFF"/>
            <w:vAlign w:val="center"/>
          </w:tcPr>
          <w:p w14:paraId="64181313" w14:textId="410F9956" w:rsidR="00E35653" w:rsidRPr="00067D98" w:rsidRDefault="00E35653" w:rsidP="00326B7A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A8605A" w:rsidRPr="00067D98" w14:paraId="1D1ABECD" w14:textId="77777777" w:rsidTr="00066274">
        <w:trPr>
          <w:gridAfter w:val="1"/>
          <w:wAfter w:w="38" w:type="dxa"/>
          <w:trHeight w:val="704"/>
        </w:trPr>
        <w:tc>
          <w:tcPr>
            <w:tcW w:w="10909" w:type="dxa"/>
            <w:gridSpan w:val="27"/>
            <w:shd w:val="clear" w:color="auto" w:fill="FFFFFF"/>
          </w:tcPr>
          <w:p w14:paraId="4BB106C3" w14:textId="292D78D2" w:rsidR="00A8605A" w:rsidRPr="00067D98" w:rsidRDefault="00A8605A" w:rsidP="0093120F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067D98">
              <w:rPr>
                <w:rFonts w:ascii="Times New Roman" w:hAnsi="Times New Roman" w:cs="Times New Roman"/>
                <w:spacing w:val="-2"/>
              </w:rPr>
              <w:t>Projekt rozporządzenia zosta</w:t>
            </w:r>
            <w:r w:rsidR="006A5942">
              <w:rPr>
                <w:rFonts w:ascii="Times New Roman" w:hAnsi="Times New Roman" w:cs="Times New Roman"/>
                <w:spacing w:val="-2"/>
              </w:rPr>
              <w:t>nie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 zamieszczony na stronie Rządowego Centrum Legislacji, w serwisie Rządowy Proces Legislacyjny, zgodnie z przepisami ustawy z dnia 7 lipca 2005 r. o działalności lobbingowej w procesie stanowienia prawa (Dz. U. z 2017 r. poz. 248). </w:t>
            </w:r>
          </w:p>
          <w:p w14:paraId="615D53C9" w14:textId="0F55A1ED" w:rsidR="00A8605A" w:rsidRPr="00067D98" w:rsidRDefault="00A8605A" w:rsidP="009312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067D98">
              <w:rPr>
                <w:rFonts w:ascii="Times New Roman" w:hAnsi="Times New Roman" w:cs="Times New Roman"/>
                <w:spacing w:val="-2"/>
              </w:rPr>
              <w:t>Projekt rozporządzenia zosta</w:t>
            </w:r>
            <w:r w:rsidR="006A5942">
              <w:rPr>
                <w:rFonts w:ascii="Times New Roman" w:hAnsi="Times New Roman" w:cs="Times New Roman"/>
                <w:spacing w:val="-2"/>
              </w:rPr>
              <w:t>nie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 przekazany w ramach </w:t>
            </w:r>
            <w:r w:rsidR="004B51AD">
              <w:rPr>
                <w:rFonts w:ascii="Times New Roman" w:hAnsi="Times New Roman" w:cs="Times New Roman"/>
                <w:spacing w:val="-2"/>
              </w:rPr>
              <w:t>3</w:t>
            </w:r>
            <w:r w:rsidR="00920CA0">
              <w:rPr>
                <w:rFonts w:ascii="Times New Roman" w:hAnsi="Times New Roman" w:cs="Times New Roman"/>
                <w:spacing w:val="-2"/>
              </w:rPr>
              <w:t>-</w:t>
            </w:r>
            <w:r w:rsidR="004724B8">
              <w:rPr>
                <w:rFonts w:ascii="Times New Roman" w:hAnsi="Times New Roman" w:cs="Times New Roman"/>
                <w:spacing w:val="-2"/>
              </w:rPr>
              <w:t xml:space="preserve">dniowych 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konsultacji publicznych do następujących podmiotów: </w:t>
            </w:r>
          </w:p>
          <w:p w14:paraId="546423E7" w14:textId="77777777" w:rsidR="00A8605A" w:rsidRPr="00E37D0F" w:rsidRDefault="00A8605A" w:rsidP="0093120F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 xml:space="preserve">Izby Gospodarczej Ciepłownictwo Polskie; </w:t>
            </w:r>
          </w:p>
          <w:p w14:paraId="20C2459D" w14:textId="77777777" w:rsidR="00A8605A" w:rsidRPr="00E37D0F" w:rsidRDefault="00A8605A" w:rsidP="0093120F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 xml:space="preserve">Polskiego Towarzystwa Elektrociepłowni Zawodowych; </w:t>
            </w:r>
          </w:p>
          <w:p w14:paraId="57F552B4" w14:textId="77777777" w:rsidR="00A8605A" w:rsidRPr="00E37D0F" w:rsidRDefault="00A8605A" w:rsidP="0093120F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 xml:space="preserve">Izby Energetyki Przemysłowej i Odbiorców Energii; </w:t>
            </w:r>
          </w:p>
          <w:p w14:paraId="7972A5D8" w14:textId="77777777" w:rsidR="00A8605A" w:rsidRPr="00E37D0F" w:rsidRDefault="00A8605A" w:rsidP="0093120F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>Forum Odbiorców Energii Elektrycznej i Gazu;</w:t>
            </w:r>
          </w:p>
          <w:p w14:paraId="3E51433C" w14:textId="77777777" w:rsidR="00A8605A" w:rsidRPr="00E37D0F" w:rsidRDefault="00A8605A" w:rsidP="0093120F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 xml:space="preserve">Izby Gospodarczej Gazownictwa; </w:t>
            </w:r>
          </w:p>
          <w:p w14:paraId="4E8D20B3" w14:textId="77777777" w:rsidR="00A8605A" w:rsidRPr="00E37D0F" w:rsidRDefault="00A8605A" w:rsidP="0093120F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 xml:space="preserve">Towarzystwa Gospodarczego Polskie Elektrownie; </w:t>
            </w:r>
          </w:p>
          <w:p w14:paraId="172C4CF2" w14:textId="77777777" w:rsidR="00A8605A" w:rsidRPr="00E37D0F" w:rsidRDefault="00A8605A" w:rsidP="0093120F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 xml:space="preserve">Polskiego Komitetu Energii Elektrycznej; </w:t>
            </w:r>
          </w:p>
          <w:p w14:paraId="5F488AA6" w14:textId="77777777" w:rsidR="006A5942" w:rsidRDefault="00A8605A" w:rsidP="0093120F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>Izby Gospodarczej Energetyki i Ochrony Środowiska;</w:t>
            </w:r>
          </w:p>
          <w:p w14:paraId="5A453711" w14:textId="77777777" w:rsidR="00A8605A" w:rsidRPr="00E37D0F" w:rsidRDefault="00A8605A" w:rsidP="0093120F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 xml:space="preserve">Krajowej Izby Gospodarczej; </w:t>
            </w:r>
          </w:p>
          <w:p w14:paraId="3FCD394F" w14:textId="77777777" w:rsidR="00A8605A" w:rsidRPr="00E37D0F" w:rsidRDefault="00A8605A" w:rsidP="0093120F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 xml:space="preserve">Związku Banków Polskich. </w:t>
            </w:r>
          </w:p>
          <w:p w14:paraId="2E572B66" w14:textId="77777777" w:rsidR="003C5EE4" w:rsidRDefault="003C5EE4" w:rsidP="00E37D0F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14:paraId="70A6A243" w14:textId="28ACE228" w:rsidR="003C5EE4" w:rsidRDefault="00A8605A" w:rsidP="0093120F">
            <w:pPr>
              <w:spacing w:after="0" w:line="312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067D98">
              <w:rPr>
                <w:rFonts w:ascii="Times New Roman" w:hAnsi="Times New Roman" w:cs="Times New Roman"/>
                <w:spacing w:val="-2"/>
              </w:rPr>
              <w:t>Jednocześnie projekt rozporządzenia zost</w:t>
            </w:r>
            <w:r w:rsidR="006A5942">
              <w:rPr>
                <w:rFonts w:ascii="Times New Roman" w:hAnsi="Times New Roman" w:cs="Times New Roman"/>
                <w:spacing w:val="-2"/>
              </w:rPr>
              <w:t>anie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 przekazany do zaopiniowania przez </w:t>
            </w:r>
            <w:r w:rsidR="00E33B87">
              <w:rPr>
                <w:rFonts w:ascii="Times New Roman" w:hAnsi="Times New Roman" w:cs="Times New Roman"/>
                <w:spacing w:val="-2"/>
              </w:rPr>
              <w:t>Prezesa URE</w:t>
            </w:r>
            <w:r w:rsidR="00927130">
              <w:rPr>
                <w:rFonts w:ascii="Times New Roman" w:hAnsi="Times New Roman" w:cs="Times New Roman"/>
                <w:spacing w:val="-2"/>
              </w:rPr>
              <w:t xml:space="preserve">, zgodnie z </w:t>
            </w:r>
            <w:r w:rsidR="004724B8">
              <w:rPr>
                <w:rFonts w:ascii="Times New Roman" w:hAnsi="Times New Roman" w:cs="Times New Roman"/>
                <w:spacing w:val="-2"/>
              </w:rPr>
              <w:t xml:space="preserve">art. </w:t>
            </w:r>
            <w:r w:rsidR="00927130" w:rsidRPr="00927130">
              <w:rPr>
                <w:rFonts w:ascii="Times New Roman" w:hAnsi="Times New Roman" w:cs="Times New Roman"/>
                <w:spacing w:val="-2"/>
              </w:rPr>
              <w:t>46 ust. 5 ustawy – Prawo energetyczne</w:t>
            </w:r>
            <w:r w:rsidRPr="00067D98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0A3B2676" w14:textId="3DE87099" w:rsidR="003C5EE4" w:rsidRPr="00E83F4F" w:rsidRDefault="00A8605A" w:rsidP="0093120F">
            <w:pPr>
              <w:spacing w:after="0" w:line="312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067D98">
              <w:rPr>
                <w:rFonts w:ascii="Times New Roman" w:hAnsi="Times New Roman" w:cs="Times New Roman"/>
                <w:spacing w:val="-2"/>
              </w:rPr>
              <w:t>Projekt rozporządzenia nie zosta</w:t>
            </w:r>
            <w:r w:rsidR="00407754">
              <w:rPr>
                <w:rFonts w:ascii="Times New Roman" w:hAnsi="Times New Roman" w:cs="Times New Roman"/>
                <w:spacing w:val="-2"/>
              </w:rPr>
              <w:t>nie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 skierowany do opiniowania przez Komisję Wspólną Rządu i Samorządu Terytorialnego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E37D0F">
              <w:rPr>
                <w:rFonts w:ascii="Times New Roman" w:hAnsi="Times New Roman" w:cs="Times New Roman"/>
                <w:spacing w:val="-2"/>
              </w:rPr>
              <w:t xml:space="preserve"> R</w:t>
            </w:r>
            <w:r w:rsidRPr="00CA1E7A">
              <w:rPr>
                <w:rFonts w:ascii="Times New Roman" w:hAnsi="Times New Roman" w:cs="Times New Roman"/>
                <w:spacing w:val="-2"/>
              </w:rPr>
              <w:t>egulacja nie wpływa bezpośrednio na koszty ponoszone przez jednostki samorządu terytorialnego. Zgodnie z art. 3 pkt 5 ustawy z dnia 6 maja 2005 r. o Komisji Wspólnej Rządu i Samorządu Terytorialnego oraz o przedstawicielach Rzeczypospolitej Polskiej w Komitecie Regionów Unii Europejskiej (Dz.</w:t>
            </w:r>
            <w:r w:rsidR="007444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E7A">
              <w:rPr>
                <w:rFonts w:ascii="Times New Roman" w:hAnsi="Times New Roman" w:cs="Times New Roman"/>
                <w:spacing w:val="-2"/>
              </w:rPr>
              <w:t>U. poz. 759) do zadań</w:t>
            </w:r>
            <w:r w:rsidR="00407754">
              <w:rPr>
                <w:rFonts w:ascii="Times New Roman" w:hAnsi="Times New Roman" w:cs="Times New Roman"/>
                <w:spacing w:val="-2"/>
              </w:rPr>
              <w:t xml:space="preserve"> tej</w:t>
            </w:r>
            <w:r w:rsidRPr="00CA1E7A">
              <w:rPr>
                <w:rFonts w:ascii="Times New Roman" w:hAnsi="Times New Roman" w:cs="Times New Roman"/>
                <w:spacing w:val="-2"/>
              </w:rPr>
              <w:t xml:space="preserve"> Komisji należy opiniowanie projektów aktów normatywnych, programów i innych dokumentów rządowych dotyczących problematyki samorządu terytorialnego, w tym także określających relacje między samorządem terytorialnym a innymi organami </w:t>
            </w:r>
            <w:r w:rsidRPr="00CA1E7A">
              <w:rPr>
                <w:rFonts w:ascii="Times New Roman" w:hAnsi="Times New Roman" w:cs="Times New Roman"/>
                <w:spacing w:val="-2"/>
              </w:rPr>
              <w:lastRenderedPageBreak/>
              <w:t xml:space="preserve">administracji publicznej. </w:t>
            </w:r>
            <w:r>
              <w:rPr>
                <w:rFonts w:ascii="Times New Roman" w:hAnsi="Times New Roman" w:cs="Times New Roman"/>
                <w:spacing w:val="-2"/>
              </w:rPr>
              <w:t>P</w:t>
            </w:r>
            <w:r w:rsidRPr="00CA1E7A">
              <w:rPr>
                <w:rFonts w:ascii="Times New Roman" w:hAnsi="Times New Roman" w:cs="Times New Roman"/>
                <w:spacing w:val="-2"/>
              </w:rPr>
              <w:t>rojekt rozporządzeni</w:t>
            </w:r>
            <w:r w:rsidR="003C5EE4">
              <w:rPr>
                <w:rFonts w:ascii="Times New Roman" w:hAnsi="Times New Roman" w:cs="Times New Roman"/>
                <w:spacing w:val="-2"/>
              </w:rPr>
              <w:t>a</w:t>
            </w:r>
            <w:r w:rsidRPr="00CA1E7A">
              <w:rPr>
                <w:rFonts w:ascii="Times New Roman" w:hAnsi="Times New Roman" w:cs="Times New Roman"/>
                <w:spacing w:val="-2"/>
              </w:rPr>
              <w:t xml:space="preserve"> zakłada pewne działania, któr</w:t>
            </w:r>
            <w:r w:rsidR="008B2882">
              <w:rPr>
                <w:rFonts w:ascii="Times New Roman" w:hAnsi="Times New Roman" w:cs="Times New Roman"/>
                <w:spacing w:val="-2"/>
              </w:rPr>
              <w:t xml:space="preserve">ych </w:t>
            </w:r>
            <w:r w:rsidRPr="00CA1E7A">
              <w:rPr>
                <w:rFonts w:ascii="Times New Roman" w:hAnsi="Times New Roman" w:cs="Times New Roman"/>
                <w:spacing w:val="-2"/>
              </w:rPr>
              <w:t xml:space="preserve">skutki dotyczą </w:t>
            </w:r>
            <w:r w:rsidRPr="00E83F4F">
              <w:rPr>
                <w:rFonts w:ascii="Times New Roman" w:hAnsi="Times New Roman" w:cs="Times New Roman"/>
                <w:spacing w:val="-2"/>
              </w:rPr>
              <w:t>wszystkich przedsiębiorstw</w:t>
            </w:r>
            <w:r w:rsidR="008B2882">
              <w:rPr>
                <w:rFonts w:ascii="Times New Roman" w:hAnsi="Times New Roman" w:cs="Times New Roman"/>
                <w:spacing w:val="-2"/>
              </w:rPr>
              <w:t xml:space="preserve"> energetycznych</w:t>
            </w:r>
            <w:r w:rsidRPr="00E83F4F">
              <w:rPr>
                <w:rFonts w:ascii="Times New Roman" w:hAnsi="Times New Roman" w:cs="Times New Roman"/>
                <w:spacing w:val="-2"/>
              </w:rPr>
              <w:t xml:space="preserve"> będących uczestnikami systemów ciepłowniczych bez względu na właściciela. Oddziaływanie projekt</w:t>
            </w:r>
            <w:r w:rsidR="003C5EE4">
              <w:rPr>
                <w:rFonts w:ascii="Times New Roman" w:hAnsi="Times New Roman" w:cs="Times New Roman"/>
                <w:spacing w:val="-2"/>
              </w:rPr>
              <w:t>u</w:t>
            </w:r>
            <w:r w:rsidRPr="00E83F4F">
              <w:rPr>
                <w:rFonts w:ascii="Times New Roman" w:hAnsi="Times New Roman" w:cs="Times New Roman"/>
                <w:spacing w:val="-2"/>
              </w:rPr>
              <w:t xml:space="preserve"> rozporządzenia na te przedsiębiorstwa energetyczne, których właścicielem są jednostki samorządu terytorialnego, będzie takie samo jak na inne przedsiębiorstwa energetyczne, a więc urealnienie kształtowania taryf dla ciepła z kogeneracji z zastosowaniem średnich cen sprzedaży ciepła i wskaźnika referencyjnego. Z tego względu nie ma potrzeby przekazania projektu </w:t>
            </w:r>
            <w:r w:rsidR="003C5EE4">
              <w:rPr>
                <w:rFonts w:ascii="Times New Roman" w:hAnsi="Times New Roman" w:cs="Times New Roman"/>
                <w:spacing w:val="-2"/>
              </w:rPr>
              <w:t xml:space="preserve">rozporządzenia </w:t>
            </w:r>
            <w:r w:rsidRPr="00E83F4F">
              <w:rPr>
                <w:rFonts w:ascii="Times New Roman" w:hAnsi="Times New Roman" w:cs="Times New Roman"/>
                <w:spacing w:val="-2"/>
              </w:rPr>
              <w:t>do opiniowania przez</w:t>
            </w:r>
            <w:r w:rsidR="0040775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07754" w:rsidRPr="00CA1E7A">
              <w:rPr>
                <w:rFonts w:ascii="Times New Roman" w:hAnsi="Times New Roman" w:cs="Times New Roman"/>
                <w:spacing w:val="-2"/>
              </w:rPr>
              <w:t>Komisj</w:t>
            </w:r>
            <w:r w:rsidR="00407754">
              <w:rPr>
                <w:rFonts w:ascii="Times New Roman" w:hAnsi="Times New Roman" w:cs="Times New Roman"/>
                <w:spacing w:val="-2"/>
              </w:rPr>
              <w:t>ę</w:t>
            </w:r>
            <w:r w:rsidR="00407754" w:rsidRPr="00CA1E7A">
              <w:rPr>
                <w:rFonts w:ascii="Times New Roman" w:hAnsi="Times New Roman" w:cs="Times New Roman"/>
                <w:spacing w:val="-2"/>
              </w:rPr>
              <w:t xml:space="preserve"> Wspóln</w:t>
            </w:r>
            <w:r w:rsidR="00407754">
              <w:rPr>
                <w:rFonts w:ascii="Times New Roman" w:hAnsi="Times New Roman" w:cs="Times New Roman"/>
                <w:spacing w:val="-2"/>
              </w:rPr>
              <w:t>ą</w:t>
            </w:r>
            <w:r w:rsidR="00407754" w:rsidRPr="00CA1E7A">
              <w:rPr>
                <w:rFonts w:ascii="Times New Roman" w:hAnsi="Times New Roman" w:cs="Times New Roman"/>
                <w:spacing w:val="-2"/>
              </w:rPr>
              <w:t xml:space="preserve"> Rządu i Samorządu Terytorialnego</w:t>
            </w:r>
            <w:r w:rsidR="003C5EE4">
              <w:rPr>
                <w:rFonts w:ascii="Times New Roman" w:hAnsi="Times New Roman" w:cs="Times New Roman"/>
                <w:spacing w:val="-2"/>
              </w:rPr>
              <w:t>.</w:t>
            </w:r>
          </w:p>
          <w:p w14:paraId="345AAA8A" w14:textId="113D822E" w:rsidR="00A8605A" w:rsidRPr="00E83F4F" w:rsidRDefault="00A8605A" w:rsidP="0093120F">
            <w:pPr>
              <w:spacing w:after="0" w:line="312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E83F4F">
              <w:rPr>
                <w:rFonts w:ascii="Times New Roman" w:hAnsi="Times New Roman" w:cs="Times New Roman"/>
                <w:spacing w:val="-2"/>
              </w:rPr>
              <w:t xml:space="preserve">Projekt rozporządzenia nie wymaga </w:t>
            </w:r>
            <w:r w:rsidR="003C5EE4">
              <w:rPr>
                <w:rFonts w:ascii="Times New Roman" w:hAnsi="Times New Roman" w:cs="Times New Roman"/>
                <w:spacing w:val="-2"/>
              </w:rPr>
              <w:t xml:space="preserve">również </w:t>
            </w:r>
            <w:r w:rsidRPr="00E83F4F">
              <w:rPr>
                <w:rFonts w:ascii="Times New Roman" w:hAnsi="Times New Roman" w:cs="Times New Roman"/>
                <w:spacing w:val="-2"/>
              </w:rPr>
              <w:t>zaopiniowania przez Radę Dialogu Społecznego, reprezentatywne organizacje związkowe i reprezentatywne organizacje pracodawców, gdyż nie reguluje kwestii będących w obszarze ich działania. Z uwagi na zakres projektu</w:t>
            </w:r>
            <w:r w:rsidR="003C5EE4">
              <w:rPr>
                <w:rFonts w:ascii="Times New Roman" w:hAnsi="Times New Roman" w:cs="Times New Roman"/>
                <w:spacing w:val="-2"/>
              </w:rPr>
              <w:t xml:space="preserve"> rozporządzenia</w:t>
            </w:r>
            <w:r w:rsidRPr="00E83F4F">
              <w:rPr>
                <w:rFonts w:ascii="Times New Roman" w:hAnsi="Times New Roman" w:cs="Times New Roman"/>
                <w:spacing w:val="-2"/>
              </w:rPr>
              <w:t>, który nie dotyczy praw i interesów związków pracodawców oraz zadań związków zawodowych, projekt nie podlega opiniowaniu przez reprezentatywne organizacje pracodawców i związki zawodowe.</w:t>
            </w:r>
            <w:r w:rsidRPr="00E37D0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154D51D8" w14:textId="77777777" w:rsidR="00A8605A" w:rsidRPr="00E83F4F" w:rsidRDefault="00A8605A" w:rsidP="0093120F">
            <w:pPr>
              <w:spacing w:after="0" w:line="312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E83F4F">
              <w:rPr>
                <w:rFonts w:ascii="Times New Roman" w:hAnsi="Times New Roman" w:cs="Times New Roman"/>
                <w:spacing w:val="-2"/>
              </w:rPr>
              <w:t>Projekt rozporządzenia nie wymaga zasięgnięcia opinii, dokonania konsultacji oraz dokonania uzgodnienia z innymi organami i instytucjami Unii Europejskiej, w tym Europejskim Bankiem Centralnym.</w:t>
            </w:r>
          </w:p>
          <w:p w14:paraId="2B37F766" w14:textId="65BA4A0C" w:rsidR="00A8605A" w:rsidRPr="00E37D0F" w:rsidRDefault="00A8605A" w:rsidP="0093120F">
            <w:pPr>
              <w:spacing w:after="0" w:line="312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E83F4F">
              <w:rPr>
                <w:rFonts w:ascii="Times New Roman" w:hAnsi="Times New Roman" w:cs="Times New Roman"/>
                <w:spacing w:val="-2"/>
              </w:rPr>
              <w:t>Wyniki przeprowadzonych konsultacji publicznych zostaną zamieszczone na stronie internetowej Biuletynu Informacji Publicznej Rządowego Centrum Legislacji w raporcie z konsultacji.</w:t>
            </w:r>
          </w:p>
        </w:tc>
      </w:tr>
      <w:tr w:rsidR="00067D98" w:rsidRPr="00067D98" w14:paraId="4F556CF7" w14:textId="77777777" w:rsidTr="00066274">
        <w:trPr>
          <w:gridAfter w:val="2"/>
          <w:wAfter w:w="48" w:type="dxa"/>
          <w:trHeight w:val="363"/>
        </w:trPr>
        <w:tc>
          <w:tcPr>
            <w:tcW w:w="10899" w:type="dxa"/>
            <w:gridSpan w:val="26"/>
            <w:shd w:val="clear" w:color="auto" w:fill="99CCFF"/>
            <w:vAlign w:val="center"/>
          </w:tcPr>
          <w:p w14:paraId="2432E3AF" w14:textId="77777777" w:rsidR="006202AB" w:rsidRPr="00067D98" w:rsidRDefault="006202AB" w:rsidP="00326B7A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lastRenderedPageBreak/>
              <w:t>Wpływ na sektor finansów publicznych</w:t>
            </w:r>
          </w:p>
        </w:tc>
      </w:tr>
      <w:tr w:rsidR="00067D98" w:rsidRPr="00067D98" w14:paraId="34329FFC" w14:textId="77777777" w:rsidTr="00745495">
        <w:trPr>
          <w:gridAfter w:val="2"/>
          <w:wAfter w:w="48" w:type="dxa"/>
          <w:trHeight w:val="142"/>
        </w:trPr>
        <w:tc>
          <w:tcPr>
            <w:tcW w:w="3114" w:type="dxa"/>
            <w:gridSpan w:val="3"/>
            <w:vMerge w:val="restart"/>
            <w:shd w:val="clear" w:color="auto" w:fill="FFFFFF"/>
          </w:tcPr>
          <w:p w14:paraId="1B422902" w14:textId="00E1C651" w:rsidR="004467EE" w:rsidRPr="00067D98" w:rsidRDefault="004467EE" w:rsidP="004467EE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(ceny stałe z …… r.)</w:t>
            </w:r>
          </w:p>
        </w:tc>
        <w:tc>
          <w:tcPr>
            <w:tcW w:w="7785" w:type="dxa"/>
            <w:gridSpan w:val="23"/>
            <w:shd w:val="clear" w:color="auto" w:fill="FFFFFF"/>
          </w:tcPr>
          <w:p w14:paraId="542BED12" w14:textId="3B3B1CCF" w:rsidR="004467EE" w:rsidRPr="00067D98" w:rsidRDefault="004467EE" w:rsidP="004467EE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Skutki w okresie 10 lat od wejścia w życie zmian [mln zł]</w:t>
            </w:r>
          </w:p>
        </w:tc>
      </w:tr>
      <w:tr w:rsidR="00067D98" w:rsidRPr="00067D98" w14:paraId="451BF0E1" w14:textId="77777777" w:rsidTr="00745495">
        <w:trPr>
          <w:gridAfter w:val="2"/>
          <w:wAfter w:w="48" w:type="dxa"/>
          <w:trHeight w:val="142"/>
        </w:trPr>
        <w:tc>
          <w:tcPr>
            <w:tcW w:w="3114" w:type="dxa"/>
            <w:gridSpan w:val="3"/>
            <w:vMerge/>
            <w:shd w:val="clear" w:color="auto" w:fill="FFFFFF"/>
          </w:tcPr>
          <w:p w14:paraId="15305539" w14:textId="77777777" w:rsidR="004467EE" w:rsidRPr="00067D98" w:rsidRDefault="004467EE" w:rsidP="004467EE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7A423AE7" w14:textId="078C008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59DAAFE5" w14:textId="7777777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359AC753" w14:textId="595DA270" w:rsidR="004467EE" w:rsidRPr="00067D98" w:rsidRDefault="00A6414A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DDD7A8C" w14:textId="7777777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4B2F39A" w14:textId="062B8068" w:rsidR="004467EE" w:rsidRPr="00067D98" w:rsidRDefault="00A6414A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0380AE6" w14:textId="7777777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06FCFC" w14:textId="1BAFC81A" w:rsidR="004467EE" w:rsidRPr="00067D98" w:rsidRDefault="00A6414A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64242ACF" w14:textId="7777777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8" w:type="dxa"/>
            <w:shd w:val="clear" w:color="auto" w:fill="FFFFFF"/>
          </w:tcPr>
          <w:p w14:paraId="5A8B2A2E" w14:textId="235F24CE" w:rsidR="004467EE" w:rsidRPr="00067D98" w:rsidRDefault="00A6414A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7DDFE87" w14:textId="7777777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8" w:type="dxa"/>
            <w:shd w:val="clear" w:color="auto" w:fill="FFFFFF"/>
          </w:tcPr>
          <w:p w14:paraId="0A7A5664" w14:textId="1413AD35" w:rsidR="004467EE" w:rsidRPr="00067D98" w:rsidRDefault="00A6414A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1</w:t>
            </w:r>
            <w:r w:rsidR="004467EE"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/>
          </w:tcPr>
          <w:p w14:paraId="1250E989" w14:textId="77777777" w:rsidR="004467EE" w:rsidRPr="00067D98" w:rsidRDefault="004467EE" w:rsidP="004467EE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067D98" w:rsidRPr="00067D98" w14:paraId="7E9D74B7" w14:textId="77777777" w:rsidTr="00745495">
        <w:trPr>
          <w:gridAfter w:val="1"/>
          <w:wAfter w:w="38" w:type="dxa"/>
          <w:trHeight w:val="321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5BF4C5D9" w14:textId="46EBB757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5856F511" w14:textId="0BAC92D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1B0461D9" w14:textId="20EABCF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122A7F0D" w14:textId="6EA60A6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358D890" w14:textId="2FA08A6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278C0B1" w14:textId="2991D38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D84F880" w14:textId="07AFDFB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3E3B2B" w14:textId="4798087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6B70A3FB" w14:textId="0F9DF84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B4FB956" w14:textId="668FCCF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C85FA7A" w14:textId="2C17442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AE6D2D1" w14:textId="5A9D8B4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6432741D" w14:textId="68F52CF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15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09DEB852" w14:textId="77777777" w:rsidTr="00745495">
        <w:trPr>
          <w:gridAfter w:val="1"/>
          <w:wAfter w:w="38" w:type="dxa"/>
          <w:trHeight w:val="321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79939E2B" w14:textId="1AF94D8D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budżet państwa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2F27C40B" w14:textId="2A7A5DF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2398AD8B" w14:textId="6C7577B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33467547" w14:textId="79A751F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10DFF15" w14:textId="75C53A1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0FF9DC0" w14:textId="25B2059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9538F69" w14:textId="7C785F0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B1A5FB" w14:textId="69E8B37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4B3976A2" w14:textId="608C5B0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68906A1" w14:textId="3817890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1D05045" w14:textId="030A986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FA40B42" w14:textId="4F5058D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4350B28E" w14:textId="586C7FB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15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0B0CCC2C" w14:textId="77777777" w:rsidTr="00745495">
        <w:trPr>
          <w:gridAfter w:val="1"/>
          <w:wAfter w:w="38" w:type="dxa"/>
          <w:trHeight w:val="344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4051E73F" w14:textId="27DDDD9C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JST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21214457" w14:textId="52699F7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14477907" w14:textId="5CBAC3E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14FAB698" w14:textId="38A00CA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13BAFC5" w14:textId="026C9CC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9D30E82" w14:textId="346555A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0E0411B" w14:textId="17C6BE8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2E8545" w14:textId="26AD4EFF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1BB8774" w14:textId="13C2875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2482963" w14:textId="2DF61D0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5686FF0" w14:textId="3EF3BA7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29B4B24" w14:textId="40529C0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5A9E6EC8" w14:textId="3C38A42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42F15B06" w14:textId="77777777" w:rsidTr="00745495">
        <w:trPr>
          <w:gridAfter w:val="1"/>
          <w:wAfter w:w="38" w:type="dxa"/>
          <w:trHeight w:val="344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05015B7A" w14:textId="1A9FDDE9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pozostałe jednostki (oddzielnie)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201F003C" w14:textId="5D90A12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6058B804" w14:textId="1B68EF6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46985076" w14:textId="17A53E9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C53A4FE" w14:textId="786607C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FED9438" w14:textId="5737D11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85BEA0F" w14:textId="70CB738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2F0063" w14:textId="00B83C1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4B2EC5FB" w14:textId="2AFD524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C6E1D3A" w14:textId="5C2AB9E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7641B42" w14:textId="05FBEA5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67656A5" w14:textId="6D00A87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24E6BD1A" w14:textId="4D4C3FE3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25112613" w14:textId="77777777" w:rsidTr="00745495">
        <w:trPr>
          <w:gridAfter w:val="1"/>
          <w:wAfter w:w="38" w:type="dxa"/>
          <w:trHeight w:val="330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403DC115" w14:textId="6F1FC03A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1C251C8C" w14:textId="17998E0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56C4D923" w14:textId="285B830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58CAE8FB" w14:textId="5576249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58DA25" w14:textId="4920C90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AB5AC0A" w14:textId="3B402CB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695B301" w14:textId="1CD78F6F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01101E" w14:textId="4CEA13A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5BD4382C" w14:textId="4D9DBF7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77BD1C3" w14:textId="5F5F94B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42B279D" w14:textId="49FED31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69BA2F3" w14:textId="6CB918F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7BC73A36" w14:textId="13FFCB5F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62225197" w14:textId="77777777" w:rsidTr="00745495">
        <w:trPr>
          <w:gridAfter w:val="1"/>
          <w:wAfter w:w="38" w:type="dxa"/>
          <w:trHeight w:val="330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1DEE7581" w14:textId="765BA3DF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budżet państwa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601E9E18" w14:textId="0ED3841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11A3DC75" w14:textId="4108DF3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564D30E5" w14:textId="7BFA0C6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A59AA77" w14:textId="691568E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CED78F1" w14:textId="781FFA2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D4563A3" w14:textId="0431054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0C0C87" w14:textId="16075FB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7B49663D" w14:textId="7AF21EF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9E43223" w14:textId="1B11AB3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2644BD8" w14:textId="0E119FF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CBE8338" w14:textId="64DB7DD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63BCEECE" w14:textId="537741C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1A719428" w14:textId="77777777" w:rsidTr="00745495">
        <w:trPr>
          <w:gridAfter w:val="1"/>
          <w:wAfter w:w="38" w:type="dxa"/>
          <w:trHeight w:val="351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59A0F841" w14:textId="5D19244E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JST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0F60ACC2" w14:textId="1D3525B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0AD04B79" w14:textId="4743F40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73EC0EE3" w14:textId="2B2C5EE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2040191" w14:textId="29FE266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EBCEF1E" w14:textId="247DEC8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12E2AC4" w14:textId="32DDBCD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2B6504" w14:textId="05143EB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32CF0CB1" w14:textId="0128464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C26ABA8" w14:textId="71A4D79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2943635" w14:textId="32C3170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AF0517E" w14:textId="23E5E4B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40731822" w14:textId="4584B8C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250B8003" w14:textId="77777777" w:rsidTr="00745495">
        <w:trPr>
          <w:gridAfter w:val="1"/>
          <w:wAfter w:w="38" w:type="dxa"/>
          <w:trHeight w:val="351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124D757C" w14:textId="409FD432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pozostałe jednostki (oddzielnie)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40A0DD4E" w14:textId="5F3D672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7656C935" w14:textId="18C74AC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7A71E837" w14:textId="77C5982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E690D2" w14:textId="2D2FD26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E4EB874" w14:textId="2690F78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D073732" w14:textId="6501AA7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DD5925" w14:textId="4FE021F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5EB1D46E" w14:textId="1102D9B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72F60B1" w14:textId="262107A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F9D5340" w14:textId="4122C7F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18F75C5" w14:textId="579C132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27A5F743" w14:textId="1997994F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1CEDFFDF" w14:textId="77777777" w:rsidTr="00745495">
        <w:trPr>
          <w:gridAfter w:val="1"/>
          <w:wAfter w:w="38" w:type="dxa"/>
          <w:trHeight w:val="360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453AAF2F" w14:textId="4569D102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  <w:b/>
              </w:rPr>
              <w:t>Saldo ogółem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775F6B79" w14:textId="6F6B64C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22AAF326" w14:textId="5A4F9A3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133ECBC1" w14:textId="1D2E19A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B1B6182" w14:textId="334D056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478B37D" w14:textId="1F75A69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58A6E3E" w14:textId="3A80841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B42454" w14:textId="0D96BBE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4BE28242" w14:textId="52B275E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BABEC5A" w14:textId="7D0A64C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D971263" w14:textId="25BA47C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7A923B3" w14:textId="087211E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3ECB6BA9" w14:textId="1B2492F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640B9108" w14:textId="77777777" w:rsidTr="00745495">
        <w:trPr>
          <w:gridAfter w:val="1"/>
          <w:wAfter w:w="38" w:type="dxa"/>
          <w:trHeight w:val="360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717DE0CE" w14:textId="26B8B6B6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budżet państwa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05263407" w14:textId="7CD7D0C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25A6A751" w14:textId="4EF90AC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056D9FCD" w14:textId="4B37F10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99838FD" w14:textId="380BE82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FCF209F" w14:textId="31E3E78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8233E05" w14:textId="36D44CE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0EF984" w14:textId="0781214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18872388" w14:textId="1B0BB01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36AE570" w14:textId="0204654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6F0A2AD" w14:textId="3544856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89D8809" w14:textId="53184C9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2E789C29" w14:textId="663F97B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24E060EF" w14:textId="77777777" w:rsidTr="00745495">
        <w:trPr>
          <w:gridAfter w:val="1"/>
          <w:wAfter w:w="38" w:type="dxa"/>
          <w:trHeight w:val="357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2AC7CC54" w14:textId="5F91105A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JST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4DF685FC" w14:textId="7120256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057EFBBA" w14:textId="767B699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738BC69D" w14:textId="49A4DA2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4F7024" w14:textId="07B8DE6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68DFFB4" w14:textId="3AD0F91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0976214" w14:textId="0BE1FA9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9A49E6" w14:textId="5854731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2C11AB9C" w14:textId="55EB76F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CF15C35" w14:textId="5197470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26B439C" w14:textId="15F0D0B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80D6FCB" w14:textId="0F8F24A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76869A75" w14:textId="017DCB2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3B94A5EA" w14:textId="77777777" w:rsidTr="00745495">
        <w:trPr>
          <w:gridAfter w:val="1"/>
          <w:wAfter w:w="38" w:type="dxa"/>
          <w:trHeight w:val="357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4EF36FFD" w14:textId="2E672D4D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pozostałe jednostki (oddzielnie)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6C1C1B78" w14:textId="3DB0A35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/>
          </w:tcPr>
          <w:p w14:paraId="0D56AD47" w14:textId="5B3122B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514238CF" w14:textId="208FB67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48A49FE" w14:textId="793A680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8458B95" w14:textId="3ED3AE4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F08CC24" w14:textId="61434D3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8C420B" w14:textId="15182CA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32CE65FB" w14:textId="41ECC47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32B1AB0" w14:textId="43B0FAF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7AB96E0" w14:textId="5505329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CC7C70C" w14:textId="4A462D1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072BEFA1" w14:textId="013D3C67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6DE242FB" w14:textId="77777777" w:rsidTr="00745495">
        <w:trPr>
          <w:gridAfter w:val="2"/>
          <w:wAfter w:w="48" w:type="dxa"/>
          <w:trHeight w:val="348"/>
        </w:trPr>
        <w:tc>
          <w:tcPr>
            <w:tcW w:w="3261" w:type="dxa"/>
            <w:gridSpan w:val="4"/>
            <w:shd w:val="clear" w:color="auto" w:fill="FFFFFF"/>
            <w:vAlign w:val="center"/>
          </w:tcPr>
          <w:p w14:paraId="50ADE536" w14:textId="1DB0D90D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 xml:space="preserve">Źródła finansowania </w:t>
            </w:r>
          </w:p>
        </w:tc>
        <w:tc>
          <w:tcPr>
            <w:tcW w:w="7638" w:type="dxa"/>
            <w:gridSpan w:val="22"/>
            <w:shd w:val="clear" w:color="auto" w:fill="FFFFFF"/>
            <w:vAlign w:val="center"/>
          </w:tcPr>
          <w:p w14:paraId="3972382F" w14:textId="2587DBF6" w:rsidR="004467EE" w:rsidRPr="00067D98" w:rsidRDefault="00920CA0" w:rsidP="003B2C14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Projekt r</w:t>
            </w:r>
            <w:r w:rsidR="004E4299" w:rsidRPr="004E4299">
              <w:rPr>
                <w:rFonts w:ascii="Times New Roman" w:hAnsi="Times New Roman" w:cs="Times New Roman"/>
              </w:rPr>
              <w:t>ozporządzeni</w:t>
            </w:r>
            <w:r>
              <w:rPr>
                <w:rFonts w:ascii="Times New Roman" w:hAnsi="Times New Roman" w:cs="Times New Roman"/>
              </w:rPr>
              <w:t>a</w:t>
            </w:r>
            <w:r w:rsidR="004E4299" w:rsidRPr="004E4299">
              <w:rPr>
                <w:rFonts w:ascii="Times New Roman" w:hAnsi="Times New Roman" w:cs="Times New Roman"/>
              </w:rPr>
              <w:t xml:space="preserve"> nie ma wpływu na dochody i wydatki budżetu państwa.</w:t>
            </w:r>
          </w:p>
        </w:tc>
      </w:tr>
      <w:tr w:rsidR="00067D98" w:rsidRPr="00067D98" w14:paraId="3B8B39BC" w14:textId="77777777" w:rsidTr="00DF4C82">
        <w:trPr>
          <w:gridAfter w:val="2"/>
          <w:wAfter w:w="48" w:type="dxa"/>
          <w:trHeight w:val="977"/>
        </w:trPr>
        <w:tc>
          <w:tcPr>
            <w:tcW w:w="3261" w:type="dxa"/>
            <w:gridSpan w:val="4"/>
            <w:shd w:val="clear" w:color="auto" w:fill="FFFFFF"/>
          </w:tcPr>
          <w:p w14:paraId="1C308435" w14:textId="5F91A91A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7638" w:type="dxa"/>
            <w:gridSpan w:val="22"/>
            <w:shd w:val="clear" w:color="auto" w:fill="FFFFFF"/>
          </w:tcPr>
          <w:p w14:paraId="23D84992" w14:textId="40B834F6" w:rsidR="004467EE" w:rsidRPr="00DF4C82" w:rsidRDefault="00920CA0" w:rsidP="00DF4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r</w:t>
            </w:r>
            <w:r w:rsidR="008C1461" w:rsidRPr="008C1461">
              <w:rPr>
                <w:rFonts w:ascii="Times New Roman" w:hAnsi="Times New Roman" w:cs="Times New Roman"/>
              </w:rPr>
              <w:t>ozporządzeni</w:t>
            </w:r>
            <w:r>
              <w:rPr>
                <w:rFonts w:ascii="Times New Roman" w:hAnsi="Times New Roman" w:cs="Times New Roman"/>
              </w:rPr>
              <w:t>a</w:t>
            </w:r>
            <w:r w:rsidR="008C1461" w:rsidRPr="008C1461">
              <w:rPr>
                <w:rFonts w:ascii="Times New Roman" w:hAnsi="Times New Roman" w:cs="Times New Roman"/>
              </w:rPr>
              <w:t xml:space="preserve">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</w:tc>
      </w:tr>
      <w:tr w:rsidR="00067D98" w:rsidRPr="00067D98" w14:paraId="1FA3E680" w14:textId="77777777" w:rsidTr="00066274">
        <w:trPr>
          <w:gridAfter w:val="2"/>
          <w:wAfter w:w="48" w:type="dxa"/>
          <w:trHeight w:val="345"/>
        </w:trPr>
        <w:tc>
          <w:tcPr>
            <w:tcW w:w="10899" w:type="dxa"/>
            <w:gridSpan w:val="26"/>
            <w:shd w:val="clear" w:color="auto" w:fill="99CCFF"/>
          </w:tcPr>
          <w:p w14:paraId="6732B703" w14:textId="77777777" w:rsidR="006202AB" w:rsidRPr="00067D98" w:rsidRDefault="006202AB" w:rsidP="00326B7A">
            <w:pPr>
              <w:numPr>
                <w:ilvl w:val="0"/>
                <w:numId w:val="41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067D98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67D98" w:rsidRPr="00067D98" w14:paraId="28D20022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FFFFFF"/>
          </w:tcPr>
          <w:p w14:paraId="6DCE925E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Skutki</w:t>
            </w:r>
          </w:p>
        </w:tc>
      </w:tr>
      <w:tr w:rsidR="00067D98" w:rsidRPr="00067D98" w14:paraId="6E79E1DC" w14:textId="77777777" w:rsidTr="00745495">
        <w:trPr>
          <w:gridAfter w:val="2"/>
          <w:wAfter w:w="48" w:type="dxa"/>
          <w:trHeight w:val="142"/>
        </w:trPr>
        <w:tc>
          <w:tcPr>
            <w:tcW w:w="3869" w:type="dxa"/>
            <w:gridSpan w:val="6"/>
            <w:shd w:val="clear" w:color="auto" w:fill="FFFFFF"/>
          </w:tcPr>
          <w:p w14:paraId="1B5BE60E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34" w:type="dxa"/>
            <w:gridSpan w:val="2"/>
            <w:shd w:val="clear" w:color="auto" w:fill="FFFFFF"/>
          </w:tcPr>
          <w:p w14:paraId="2F95686D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42" w:type="dxa"/>
            <w:gridSpan w:val="4"/>
            <w:shd w:val="clear" w:color="auto" w:fill="FFFFFF"/>
          </w:tcPr>
          <w:p w14:paraId="11D3E010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08477DB6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39AE75ED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74EED186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08E8E603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14:paraId="69CCBCF5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  <w:t>Łącznie</w:t>
            </w:r>
            <w:r w:rsidRPr="00067D98" w:rsidDel="0073273A"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067D98" w:rsidRPr="00067D98" w14:paraId="32EB8D35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14:paraId="54DAB37A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W ujęciu pieniężnym</w:t>
            </w:r>
          </w:p>
          <w:p w14:paraId="65242137" w14:textId="581E2C2C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tys. zł, </w:t>
            </w:r>
          </w:p>
          <w:p w14:paraId="361B2947" w14:textId="172A73A1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 r.)</w:t>
            </w:r>
          </w:p>
        </w:tc>
        <w:tc>
          <w:tcPr>
            <w:tcW w:w="2282" w:type="dxa"/>
            <w:gridSpan w:val="5"/>
            <w:shd w:val="clear" w:color="auto" w:fill="FFFFFF"/>
          </w:tcPr>
          <w:p w14:paraId="4B0B4AA8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duże przedsiębiorstwa</w:t>
            </w:r>
          </w:p>
        </w:tc>
        <w:tc>
          <w:tcPr>
            <w:tcW w:w="934" w:type="dxa"/>
            <w:gridSpan w:val="2"/>
            <w:shd w:val="clear" w:color="auto" w:fill="auto"/>
          </w:tcPr>
          <w:p w14:paraId="0B3BDBE9" w14:textId="063CD252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12703B0F" w14:textId="3AE3857A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4"/>
            <w:shd w:val="clear" w:color="auto" w:fill="auto"/>
          </w:tcPr>
          <w:p w14:paraId="769677E0" w14:textId="4A36719A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0581CCE2" w14:textId="14046680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5F9D9AFE" w14:textId="1607CCF9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14:paraId="3C4FF883" w14:textId="2E93B6F1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14:paraId="62FD8531" w14:textId="521257ED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68B08D28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1194ED05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1955863A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14:paraId="010B1566" w14:textId="1C98D291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2140919E" w14:textId="09960ED5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4"/>
            <w:shd w:val="clear" w:color="auto" w:fill="auto"/>
            <w:vAlign w:val="center"/>
          </w:tcPr>
          <w:p w14:paraId="451F30A4" w14:textId="5C205A2B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5899EB8A" w14:textId="2CE7805C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23EDFB21" w14:textId="0F8D9D4E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14:paraId="7BC7ED56" w14:textId="787CD19A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FE8FFF7" w14:textId="7F70579F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3E10F4C6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58241CFC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7C78C722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14:paraId="407C7084" w14:textId="13DE7749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00F559E3" w14:textId="153CB16A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4"/>
            <w:shd w:val="clear" w:color="auto" w:fill="auto"/>
            <w:vAlign w:val="center"/>
          </w:tcPr>
          <w:p w14:paraId="5F861C73" w14:textId="404849B7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36FE5074" w14:textId="3FD36553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55614DED" w14:textId="3DD4F32B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14:paraId="10F76A7F" w14:textId="60D673C7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EBD451A" w14:textId="77DA6B97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6A42589C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2B8B335C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163E2BB0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(dodaj/usuń)</w: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934" w:type="dxa"/>
            <w:gridSpan w:val="2"/>
            <w:shd w:val="clear" w:color="auto" w:fill="auto"/>
          </w:tcPr>
          <w:p w14:paraId="6A1EBB8D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42" w:type="dxa"/>
            <w:gridSpan w:val="4"/>
            <w:shd w:val="clear" w:color="auto" w:fill="auto"/>
          </w:tcPr>
          <w:p w14:paraId="380E0E67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auto"/>
          </w:tcPr>
          <w:p w14:paraId="0E4B5AC4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14:paraId="7BE5C068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14:paraId="38134041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14:paraId="5594DBCC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14:paraId="4AC10750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</w:p>
        </w:tc>
      </w:tr>
      <w:tr w:rsidR="00067D98" w:rsidRPr="00067D98" w14:paraId="3861DB88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14:paraId="0E4E3CA1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 ujęciu niepieniężnym</w:t>
            </w:r>
          </w:p>
        </w:tc>
        <w:tc>
          <w:tcPr>
            <w:tcW w:w="2282" w:type="dxa"/>
            <w:gridSpan w:val="5"/>
            <w:shd w:val="clear" w:color="auto" w:fill="FFFFFF"/>
          </w:tcPr>
          <w:p w14:paraId="6A78ABCD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duże przedsiębiorstwa</w:t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1D25B9D0" w14:textId="08E8C9E0" w:rsidR="00A6414A" w:rsidRPr="00067D98" w:rsidRDefault="00A6414A" w:rsidP="00023CE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067D98">
              <w:rPr>
                <w:rFonts w:ascii="Times New Roman" w:hAnsi="Times New Roman" w:cs="Times New Roman"/>
                <w:spacing w:val="-2"/>
              </w:rPr>
              <w:t xml:space="preserve">Umożliwienie dokonania transformacji energetycznej niezbędnej z punktu widzenia polityki klimatycznej Unii Europejskiej i </w:t>
            </w:r>
            <w:r w:rsidR="002C3936">
              <w:rPr>
                <w:rFonts w:ascii="Times New Roman" w:hAnsi="Times New Roman" w:cs="Times New Roman"/>
                <w:spacing w:val="-2"/>
              </w:rPr>
              <w:t>„</w:t>
            </w:r>
            <w:r w:rsidRPr="00067D98">
              <w:rPr>
                <w:rFonts w:ascii="Times New Roman" w:hAnsi="Times New Roman" w:cs="Times New Roman"/>
                <w:spacing w:val="-2"/>
              </w:rPr>
              <w:t>Polityki Energetycznej Polski do 2040 r.</w:t>
            </w:r>
            <w:r w:rsidR="002C3936">
              <w:rPr>
                <w:rFonts w:ascii="Times New Roman" w:hAnsi="Times New Roman" w:cs="Times New Roman"/>
                <w:spacing w:val="-2"/>
              </w:rPr>
              <w:t>”</w:t>
            </w:r>
            <w:r w:rsidR="00FF0122">
              <w:rPr>
                <w:rStyle w:val="Odwoanieprzypisudolnego"/>
                <w:rFonts w:ascii="Times New Roman" w:hAnsi="Times New Roman" w:cs="Times New Roman"/>
                <w:spacing w:val="-2"/>
              </w:rPr>
              <w:footnoteReference w:id="8"/>
            </w:r>
            <w:r w:rsidR="002C39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03897">
              <w:rPr>
                <w:rFonts w:ascii="Times New Roman" w:hAnsi="Times New Roman" w:cs="Times New Roman"/>
                <w:spacing w:val="-2"/>
              </w:rPr>
              <w:t xml:space="preserve">przez </w:t>
            </w:r>
            <w:bookmarkStart w:id="4" w:name="_Hlk104548606"/>
            <w:r w:rsidR="00103897">
              <w:rPr>
                <w:rFonts w:ascii="Times New Roman" w:hAnsi="Times New Roman" w:cs="Times New Roman"/>
                <w:spacing w:val="-2"/>
              </w:rPr>
              <w:t>zwiększenie przychodów przedsiębiorstw</w:t>
            </w:r>
            <w:bookmarkEnd w:id="4"/>
            <w:r w:rsidR="003B2C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E4299">
              <w:rPr>
                <w:rFonts w:ascii="Times New Roman" w:hAnsi="Times New Roman" w:cs="Times New Roman"/>
                <w:spacing w:val="-2"/>
              </w:rPr>
              <w:t>energetycznych wytwarzających ciepło w kogeneracji.</w:t>
            </w:r>
          </w:p>
          <w:p w14:paraId="3263C3F8" w14:textId="04FF527C" w:rsidR="00A6414A" w:rsidRPr="00067D98" w:rsidRDefault="00A8605A" w:rsidP="00023C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</w:rPr>
              <w:t>Urealnienie procesu zatwierdzania taryf dla ciepła z kogeneracji.</w:t>
            </w:r>
          </w:p>
        </w:tc>
      </w:tr>
      <w:tr w:rsidR="00067D98" w:rsidRPr="00067D98" w14:paraId="79B4EFC5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1D2FD377" w14:textId="6A64CA0B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4ED034A7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6EB81EE4" w14:textId="339CD6F3" w:rsidR="00A6414A" w:rsidRPr="00067D98" w:rsidRDefault="00A6414A" w:rsidP="00023CE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067D98">
              <w:rPr>
                <w:rFonts w:ascii="Times New Roman" w:hAnsi="Times New Roman" w:cs="Times New Roman"/>
                <w:spacing w:val="-2"/>
              </w:rPr>
              <w:t xml:space="preserve">Umożliwienie dokonania transformacji energetycznej niezbędnej z punktu widzenia polityki klimatycznej Unii Europejskiej i </w:t>
            </w:r>
            <w:r w:rsidR="00D07153">
              <w:rPr>
                <w:rFonts w:ascii="Times New Roman" w:hAnsi="Times New Roman" w:cs="Times New Roman"/>
                <w:spacing w:val="-2"/>
              </w:rPr>
              <w:t>„</w:t>
            </w:r>
            <w:r w:rsidRPr="00067D98">
              <w:rPr>
                <w:rFonts w:ascii="Times New Roman" w:hAnsi="Times New Roman" w:cs="Times New Roman"/>
                <w:spacing w:val="-2"/>
              </w:rPr>
              <w:t>Polityki Energetycznej Polski do 2040 r.</w:t>
            </w:r>
            <w:r w:rsidR="00D07153">
              <w:rPr>
                <w:rFonts w:ascii="Times New Roman" w:hAnsi="Times New Roman" w:cs="Times New Roman"/>
                <w:spacing w:val="-2"/>
              </w:rPr>
              <w:t>”</w:t>
            </w:r>
            <w:r w:rsidR="00D07153">
              <w:rPr>
                <w:rStyle w:val="Odwoanieprzypisudolnego"/>
                <w:rFonts w:ascii="Times New Roman" w:hAnsi="Times New Roman" w:cs="Times New Roman"/>
                <w:spacing w:val="-2"/>
              </w:rPr>
              <w:footnoteReference w:id="9"/>
            </w:r>
            <w:r w:rsidR="00103897">
              <w:t xml:space="preserve"> </w:t>
            </w:r>
            <w:r w:rsidR="00103897" w:rsidRPr="00103897">
              <w:rPr>
                <w:rFonts w:ascii="Times New Roman" w:hAnsi="Times New Roman" w:cs="Times New Roman"/>
                <w:spacing w:val="-2"/>
              </w:rPr>
              <w:t>przez zwiększenie przychodów przedsiębiorstw</w:t>
            </w:r>
            <w:r w:rsidR="004E4299">
              <w:rPr>
                <w:rFonts w:ascii="Times New Roman" w:hAnsi="Times New Roman" w:cs="Times New Roman"/>
                <w:spacing w:val="-2"/>
              </w:rPr>
              <w:t xml:space="preserve"> energetycznych wytwarzających ciepło w kogeneracji.</w:t>
            </w:r>
          </w:p>
          <w:p w14:paraId="2480BBE4" w14:textId="166B3A38" w:rsidR="00A6414A" w:rsidRPr="00A8605A" w:rsidRDefault="00A8605A" w:rsidP="00023CE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8605A">
              <w:rPr>
                <w:rFonts w:ascii="Times New Roman" w:hAnsi="Times New Roman" w:cs="Times New Roman"/>
                <w:spacing w:val="-2"/>
              </w:rPr>
              <w:t>Urealnienie procesu zatwierdzania taryf dla ciepła z kogeneracji</w:t>
            </w:r>
            <w:r w:rsidR="00A6414A" w:rsidRPr="00067D98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067D98" w:rsidRPr="00067D98" w14:paraId="21DA1EE6" w14:textId="77777777" w:rsidTr="00745495">
        <w:trPr>
          <w:gridAfter w:val="2"/>
          <w:wAfter w:w="48" w:type="dxa"/>
          <w:trHeight w:val="596"/>
        </w:trPr>
        <w:tc>
          <w:tcPr>
            <w:tcW w:w="1587" w:type="dxa"/>
            <w:vMerge/>
            <w:shd w:val="clear" w:color="auto" w:fill="FFFFFF"/>
          </w:tcPr>
          <w:p w14:paraId="2D5F3F85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3A149AF9" w14:textId="77777777" w:rsidR="00A6414A" w:rsidRPr="00067D98" w:rsidRDefault="00A6414A" w:rsidP="00A6414A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3D5CFCCA" w14:textId="22EEEDAA" w:rsidR="00A6414A" w:rsidRDefault="00A6414A" w:rsidP="00023CE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067D98">
              <w:rPr>
                <w:rFonts w:ascii="Times New Roman" w:hAnsi="Times New Roman" w:cs="Times New Roman"/>
                <w:spacing w:val="-2"/>
              </w:rPr>
              <w:t>Zmiana pośrednio zapewni funkcjonowanie przedsiębiorstw</w:t>
            </w:r>
            <w:r w:rsidR="00275F9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E4299">
              <w:rPr>
                <w:rFonts w:ascii="Times New Roman" w:hAnsi="Times New Roman" w:cs="Times New Roman"/>
                <w:spacing w:val="-2"/>
              </w:rPr>
              <w:t xml:space="preserve">energetycznych </w:t>
            </w:r>
            <w:r w:rsidR="00275F97">
              <w:rPr>
                <w:rFonts w:ascii="Times New Roman" w:hAnsi="Times New Roman" w:cs="Times New Roman"/>
                <w:spacing w:val="-2"/>
              </w:rPr>
              <w:t xml:space="preserve">wytwarzających ciepło w kogeneracji (w szczególności </w:t>
            </w:r>
            <w:r w:rsidR="00EC5F61">
              <w:rPr>
                <w:rFonts w:ascii="Times New Roman" w:hAnsi="Times New Roman" w:cs="Times New Roman"/>
                <w:spacing w:val="-2"/>
              </w:rPr>
              <w:t xml:space="preserve">w </w:t>
            </w:r>
            <w:r w:rsidR="00275F97">
              <w:rPr>
                <w:rFonts w:ascii="Times New Roman" w:hAnsi="Times New Roman" w:cs="Times New Roman"/>
                <w:spacing w:val="-2"/>
              </w:rPr>
              <w:t>duż</w:t>
            </w:r>
            <w:r w:rsidR="00EC5F61">
              <w:rPr>
                <w:rFonts w:ascii="Times New Roman" w:hAnsi="Times New Roman" w:cs="Times New Roman"/>
                <w:spacing w:val="-2"/>
              </w:rPr>
              <w:t>ych</w:t>
            </w:r>
            <w:r w:rsidR="00275F97">
              <w:rPr>
                <w:rFonts w:ascii="Times New Roman" w:hAnsi="Times New Roman" w:cs="Times New Roman"/>
                <w:spacing w:val="-2"/>
              </w:rPr>
              <w:t xml:space="preserve"> miasta</w:t>
            </w:r>
            <w:r w:rsidR="00EC5F61">
              <w:rPr>
                <w:rFonts w:ascii="Times New Roman" w:hAnsi="Times New Roman" w:cs="Times New Roman"/>
                <w:spacing w:val="-2"/>
              </w:rPr>
              <w:t>ch</w:t>
            </w:r>
            <w:r w:rsidR="00275F97">
              <w:rPr>
                <w:rFonts w:ascii="Times New Roman" w:hAnsi="Times New Roman" w:cs="Times New Roman"/>
                <w:spacing w:val="-2"/>
              </w:rPr>
              <w:t>) umożliwiając rzetelne podejście przy kształtowaniu taryf dla ciepła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, co będzie miało wpływ na bezpieczeństwo dostaw ciepła do odbiorców oraz transformację energetyczną pozwalającą na zmianę ciepłownictwa systemowego zgodnie z polityką klimatyczną Unii Europejskiej i </w:t>
            </w:r>
            <w:r w:rsidR="00FF0122">
              <w:rPr>
                <w:rFonts w:ascii="Times New Roman" w:hAnsi="Times New Roman" w:cs="Times New Roman"/>
                <w:spacing w:val="-2"/>
              </w:rPr>
              <w:t>„</w:t>
            </w:r>
            <w:r w:rsidRPr="00067D98">
              <w:rPr>
                <w:rFonts w:ascii="Times New Roman" w:hAnsi="Times New Roman" w:cs="Times New Roman"/>
                <w:spacing w:val="-2"/>
              </w:rPr>
              <w:t>Polityką Energetyczną Polski do 2040 r.</w:t>
            </w:r>
            <w:r w:rsidR="00FF0122">
              <w:rPr>
                <w:rFonts w:ascii="Times New Roman" w:hAnsi="Times New Roman" w:cs="Times New Roman"/>
                <w:spacing w:val="-2"/>
              </w:rPr>
              <w:t>”</w:t>
            </w:r>
            <w:r w:rsidR="00B969D0">
              <w:rPr>
                <w:rStyle w:val="Odwoanieprzypisudolnego"/>
                <w:rFonts w:ascii="Times New Roman" w:hAnsi="Times New Roman" w:cs="Times New Roman"/>
                <w:spacing w:val="-2"/>
              </w:rPr>
              <w:footnoteReference w:id="10"/>
            </w:r>
          </w:p>
          <w:p w14:paraId="438A0B23" w14:textId="7E0B4514" w:rsidR="006D6191" w:rsidRPr="00067D98" w:rsidRDefault="006D6191" w:rsidP="00023C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Wzrost obciążeń dla odbiorców końcowych ciepła – jak </w:t>
            </w:r>
            <w:r w:rsidR="00A455B6">
              <w:rPr>
                <w:rFonts w:ascii="Times New Roman" w:hAnsi="Times New Roman" w:cs="Times New Roman"/>
                <w:spacing w:val="-2"/>
              </w:rPr>
              <w:t xml:space="preserve">wskazano </w:t>
            </w:r>
            <w:r>
              <w:rPr>
                <w:rFonts w:ascii="Times New Roman" w:hAnsi="Times New Roman" w:cs="Times New Roman"/>
                <w:spacing w:val="-2"/>
              </w:rPr>
              <w:t xml:space="preserve">w </w:t>
            </w:r>
            <w:r w:rsidR="005132B5">
              <w:rPr>
                <w:rFonts w:ascii="Times New Roman" w:hAnsi="Times New Roman" w:cs="Times New Roman"/>
                <w:spacing w:val="-2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abelach 1</w:t>
            </w:r>
            <w:r w:rsidR="005132B5">
              <w:rPr>
                <w:rFonts w:ascii="Times New Roman" w:hAnsi="Times New Roman" w:cs="Times New Roman"/>
                <w:spacing w:val="-2"/>
              </w:rPr>
              <w:t>-</w:t>
            </w:r>
            <w:r>
              <w:rPr>
                <w:rFonts w:ascii="Times New Roman" w:hAnsi="Times New Roman" w:cs="Times New Roman"/>
                <w:spacing w:val="-2"/>
              </w:rPr>
              <w:t>4.</w:t>
            </w:r>
          </w:p>
        </w:tc>
      </w:tr>
      <w:tr w:rsidR="00067D98" w:rsidRPr="00067D98" w14:paraId="152E1DF1" w14:textId="77777777" w:rsidTr="00745495">
        <w:trPr>
          <w:gridAfter w:val="2"/>
          <w:wAfter w:w="48" w:type="dxa"/>
          <w:trHeight w:val="240"/>
        </w:trPr>
        <w:tc>
          <w:tcPr>
            <w:tcW w:w="1587" w:type="dxa"/>
            <w:vMerge/>
            <w:shd w:val="clear" w:color="auto" w:fill="FFFFFF"/>
          </w:tcPr>
          <w:p w14:paraId="47E02795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7D5B6AA6" w14:textId="77777777" w:rsidR="006202AB" w:rsidRPr="00067D98" w:rsidRDefault="006202AB" w:rsidP="0033052C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(dodaj/usuń)</w: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3717553F" w14:textId="3A874731" w:rsidR="006202AB" w:rsidRPr="00067D98" w:rsidRDefault="00FB02B0" w:rsidP="0033052C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Brak</w:t>
            </w:r>
          </w:p>
        </w:tc>
      </w:tr>
      <w:tr w:rsidR="00067D98" w:rsidRPr="00067D98" w14:paraId="7F430BA7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14:paraId="253F680A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Niemierzalne</w:t>
            </w:r>
          </w:p>
        </w:tc>
        <w:tc>
          <w:tcPr>
            <w:tcW w:w="2282" w:type="dxa"/>
            <w:gridSpan w:val="5"/>
            <w:shd w:val="clear" w:color="auto" w:fill="FFFFFF"/>
          </w:tcPr>
          <w:p w14:paraId="0C871809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(dodaj/usuń)</w: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35B1C0ED" w14:textId="69985B93" w:rsidR="006202AB" w:rsidRPr="00067D98" w:rsidRDefault="00FB02B0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Brak</w:t>
            </w:r>
          </w:p>
        </w:tc>
      </w:tr>
      <w:tr w:rsidR="00067D98" w:rsidRPr="00067D98" w14:paraId="486ADD62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4A22F16A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39945124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(dodaj/usuń)</w: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09F99F8F" w14:textId="37D6C64A" w:rsidR="006202AB" w:rsidRPr="00067D98" w:rsidRDefault="00FB02B0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Brak</w:t>
            </w:r>
          </w:p>
        </w:tc>
      </w:tr>
      <w:tr w:rsidR="00067D98" w:rsidRPr="00067D98" w14:paraId="5E6AD2A3" w14:textId="77777777" w:rsidTr="00745495">
        <w:trPr>
          <w:gridAfter w:val="2"/>
          <w:wAfter w:w="48" w:type="dxa"/>
          <w:trHeight w:val="942"/>
        </w:trPr>
        <w:tc>
          <w:tcPr>
            <w:tcW w:w="3261" w:type="dxa"/>
            <w:gridSpan w:val="4"/>
            <w:shd w:val="clear" w:color="auto" w:fill="FFFFFF"/>
          </w:tcPr>
          <w:p w14:paraId="46BBC76D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638" w:type="dxa"/>
            <w:gridSpan w:val="22"/>
            <w:shd w:val="clear" w:color="auto" w:fill="FFFFFF"/>
            <w:vAlign w:val="center"/>
          </w:tcPr>
          <w:p w14:paraId="2CDE7DBC" w14:textId="0FEAAE64" w:rsidR="006202AB" w:rsidRPr="003B2C14" w:rsidRDefault="003C5133" w:rsidP="003305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C14">
              <w:rPr>
                <w:rFonts w:ascii="Times New Roman" w:eastAsia="Calibri" w:hAnsi="Times New Roman" w:cs="Times New Roman"/>
              </w:rPr>
              <w:t>Nie dotyczy</w:t>
            </w:r>
          </w:p>
          <w:p w14:paraId="64D870C3" w14:textId="77777777" w:rsidR="006202AB" w:rsidRPr="00067D98" w:rsidRDefault="006202AB" w:rsidP="000504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67D98" w:rsidRPr="00067D98" w14:paraId="2FC9F834" w14:textId="77777777" w:rsidTr="00066274">
        <w:trPr>
          <w:gridAfter w:val="2"/>
          <w:wAfter w:w="48" w:type="dxa"/>
          <w:trHeight w:val="274"/>
        </w:trPr>
        <w:tc>
          <w:tcPr>
            <w:tcW w:w="10899" w:type="dxa"/>
            <w:gridSpan w:val="26"/>
            <w:shd w:val="clear" w:color="auto" w:fill="99CCFF"/>
            <w:vAlign w:val="center"/>
          </w:tcPr>
          <w:p w14:paraId="431FA356" w14:textId="77777777" w:rsidR="006202AB" w:rsidRPr="00067D98" w:rsidRDefault="006202AB" w:rsidP="00326B7A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067D98" w:rsidRPr="00067D98" w14:paraId="2A64725A" w14:textId="77777777" w:rsidTr="00066274">
        <w:trPr>
          <w:gridAfter w:val="2"/>
          <w:wAfter w:w="48" w:type="dxa"/>
          <w:trHeight w:val="151"/>
        </w:trPr>
        <w:tc>
          <w:tcPr>
            <w:tcW w:w="10899" w:type="dxa"/>
            <w:gridSpan w:val="26"/>
            <w:shd w:val="clear" w:color="auto" w:fill="FFFFFF"/>
          </w:tcPr>
          <w:p w14:paraId="7243B42F" w14:textId="225A9CCE" w:rsidR="006202AB" w:rsidRPr="00067D98" w:rsidRDefault="00066274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6202AB" w:rsidRPr="00067D98">
              <w:rPr>
                <w:rFonts w:ascii="Times New Roman" w:eastAsia="Calibri" w:hAnsi="Times New Roman" w:cs="Times New Roman"/>
              </w:rPr>
              <w:t xml:space="preserve"> </w:t>
            </w:r>
            <w:r w:rsidR="006202AB" w:rsidRPr="00067D98">
              <w:rPr>
                <w:rFonts w:ascii="Times New Roman" w:eastAsia="Calibri" w:hAnsi="Times New Roman" w:cs="Times New Roman"/>
                <w:spacing w:val="-2"/>
              </w:rPr>
              <w:t>nie dotyczy</w:t>
            </w:r>
          </w:p>
        </w:tc>
      </w:tr>
      <w:tr w:rsidR="00067D98" w:rsidRPr="00067D98" w14:paraId="1FB1D4E7" w14:textId="77777777" w:rsidTr="00745495">
        <w:trPr>
          <w:gridAfter w:val="2"/>
          <w:wAfter w:w="48" w:type="dxa"/>
          <w:trHeight w:val="946"/>
        </w:trPr>
        <w:tc>
          <w:tcPr>
            <w:tcW w:w="5087" w:type="dxa"/>
            <w:gridSpan w:val="10"/>
            <w:shd w:val="clear" w:color="auto" w:fill="FFFFFF"/>
          </w:tcPr>
          <w:p w14:paraId="6A83A329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Wprowadzane są obciążenia poza bezwzględnie wymaganymi przez UE </w:t>
            </w:r>
            <w:r w:rsidRPr="00067D98">
              <w:rPr>
                <w:rFonts w:ascii="Times New Roman" w:eastAsia="Calibri" w:hAnsi="Times New Roman" w:cs="Times New Roman"/>
              </w:rPr>
              <w:t>(szczegóły w odwróconej tabeli zgodności).</w:t>
            </w:r>
          </w:p>
        </w:tc>
        <w:tc>
          <w:tcPr>
            <w:tcW w:w="5812" w:type="dxa"/>
            <w:gridSpan w:val="16"/>
            <w:shd w:val="clear" w:color="auto" w:fill="FFFFFF"/>
          </w:tcPr>
          <w:p w14:paraId="57174C23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</w:rPr>
              <w:t xml:space="preserve"> tak</w:t>
            </w:r>
          </w:p>
          <w:p w14:paraId="33D0B84D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693B36CA" w14:textId="6F485609" w:rsidR="006202AB" w:rsidRPr="00067D98" w:rsidRDefault="00066274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6202AB" w:rsidRPr="00067D98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067D98" w:rsidRPr="00067D98" w14:paraId="0F60E029" w14:textId="77777777" w:rsidTr="00745495">
        <w:trPr>
          <w:gridAfter w:val="2"/>
          <w:wAfter w:w="48" w:type="dxa"/>
          <w:trHeight w:val="1245"/>
        </w:trPr>
        <w:tc>
          <w:tcPr>
            <w:tcW w:w="5087" w:type="dxa"/>
            <w:gridSpan w:val="10"/>
            <w:shd w:val="clear" w:color="auto" w:fill="FFFFFF"/>
          </w:tcPr>
          <w:p w14:paraId="04415C84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zmniejszenie liczby dokumentów </w:t>
            </w:r>
          </w:p>
          <w:p w14:paraId="5A86E913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zmniejszenie liczby procedur</w:t>
            </w:r>
          </w:p>
          <w:p w14:paraId="04A875CB" w14:textId="6FCC1001" w:rsidR="006202AB" w:rsidRPr="00067D98" w:rsidRDefault="00066274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6202AB" w:rsidRPr="00067D98">
              <w:rPr>
                <w:rFonts w:ascii="Times New Roman" w:eastAsia="Calibri" w:hAnsi="Times New Roman" w:cs="Times New Roman"/>
                <w:spacing w:val="-2"/>
              </w:rPr>
              <w:t>skrócenie czasu na załatwienie sprawy</w:t>
            </w:r>
          </w:p>
          <w:p w14:paraId="4DBB91D6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inne:</w:t>
            </w:r>
            <w:r w:rsidRPr="00067D98">
              <w:rPr>
                <w:rFonts w:ascii="Times New Roman" w:eastAsia="Calibri" w:hAnsi="Times New Roman" w:cs="Times New Roman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</w:rPr>
            </w:r>
            <w:r w:rsidRPr="00067D98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5812" w:type="dxa"/>
            <w:gridSpan w:val="16"/>
            <w:shd w:val="clear" w:color="auto" w:fill="FFFFFF"/>
          </w:tcPr>
          <w:p w14:paraId="2FD69536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zwiększenie liczby dokumentów</w:t>
            </w:r>
          </w:p>
          <w:p w14:paraId="5627039F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zwiększenie liczby procedur</w:t>
            </w:r>
          </w:p>
          <w:p w14:paraId="31C2BDC9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wydłużenie czasu na załatwienie sprawy</w:t>
            </w:r>
          </w:p>
          <w:p w14:paraId="30C4F7BD" w14:textId="36B79C48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inne:</w:t>
            </w:r>
            <w:r w:rsidRPr="00067D98">
              <w:rPr>
                <w:rFonts w:ascii="Times New Roman" w:eastAsia="Calibri" w:hAnsi="Times New Roman" w:cs="Times New Roman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</w:rPr>
            </w:r>
            <w:r w:rsidRPr="00067D98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067D98" w:rsidRPr="00067D98" w14:paraId="6C7CE863" w14:textId="77777777" w:rsidTr="00745495">
        <w:trPr>
          <w:gridAfter w:val="2"/>
          <w:wAfter w:w="48" w:type="dxa"/>
          <w:trHeight w:val="870"/>
        </w:trPr>
        <w:tc>
          <w:tcPr>
            <w:tcW w:w="5087" w:type="dxa"/>
            <w:gridSpan w:val="10"/>
            <w:shd w:val="clear" w:color="auto" w:fill="FFFFFF"/>
          </w:tcPr>
          <w:p w14:paraId="128437D9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12" w:type="dxa"/>
            <w:gridSpan w:val="16"/>
            <w:shd w:val="clear" w:color="auto" w:fill="FFFFFF"/>
          </w:tcPr>
          <w:p w14:paraId="755F4716" w14:textId="0F0E8ADD" w:rsidR="006202AB" w:rsidRPr="00067D98" w:rsidRDefault="00066274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6202AB" w:rsidRPr="00067D98">
              <w:rPr>
                <w:rFonts w:ascii="Times New Roman" w:eastAsia="Calibri" w:hAnsi="Times New Roman" w:cs="Times New Roman"/>
              </w:rPr>
              <w:t xml:space="preserve"> tak</w:t>
            </w:r>
          </w:p>
          <w:p w14:paraId="63370D3A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65F4696A" w14:textId="3CF33B8A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</w:rPr>
              <w:t xml:space="preserve"> nie dotyczy</w:t>
            </w:r>
          </w:p>
        </w:tc>
      </w:tr>
      <w:tr w:rsidR="00067D98" w:rsidRPr="00067D98" w14:paraId="17C4F68C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99CCFF"/>
          </w:tcPr>
          <w:p w14:paraId="46FA9F7A" w14:textId="77777777" w:rsidR="006727C7" w:rsidRPr="00067D98" w:rsidRDefault="006727C7" w:rsidP="006727C7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 xml:space="preserve">Wpływ na rynek pracy </w:t>
            </w:r>
          </w:p>
        </w:tc>
      </w:tr>
      <w:tr w:rsidR="00067D98" w:rsidRPr="00067D98" w14:paraId="40A62D49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auto"/>
          </w:tcPr>
          <w:p w14:paraId="2CBF4426" w14:textId="5A1804EA" w:rsidR="006727C7" w:rsidRPr="00067D98" w:rsidRDefault="003C5133" w:rsidP="003B2C14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t xml:space="preserve">Rozporządzenie nie zawiera przepisów, które w bezpośredni sposób wpływałyby na rynek pracy. </w:t>
            </w:r>
          </w:p>
        </w:tc>
      </w:tr>
      <w:tr w:rsidR="00067D98" w:rsidRPr="00067D98" w14:paraId="0110FF37" w14:textId="77777777" w:rsidTr="00066274">
        <w:trPr>
          <w:gridAfter w:val="2"/>
          <w:wAfter w:w="48" w:type="dxa"/>
          <w:trHeight w:val="349"/>
        </w:trPr>
        <w:tc>
          <w:tcPr>
            <w:tcW w:w="10899" w:type="dxa"/>
            <w:gridSpan w:val="26"/>
            <w:shd w:val="clear" w:color="auto" w:fill="99CCFF"/>
          </w:tcPr>
          <w:p w14:paraId="42242E4C" w14:textId="77777777" w:rsidR="006727C7" w:rsidRPr="00067D98" w:rsidRDefault="006727C7" w:rsidP="006727C7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>Wpływ na pozostałe obszary</w:t>
            </w:r>
          </w:p>
        </w:tc>
      </w:tr>
      <w:tr w:rsidR="00067D98" w:rsidRPr="00067D98" w14:paraId="1DEEA76B" w14:textId="77777777" w:rsidTr="00745495">
        <w:trPr>
          <w:gridAfter w:val="2"/>
          <w:wAfter w:w="48" w:type="dxa"/>
          <w:trHeight w:val="1205"/>
        </w:trPr>
        <w:tc>
          <w:tcPr>
            <w:tcW w:w="3261" w:type="dxa"/>
            <w:gridSpan w:val="4"/>
            <w:shd w:val="clear" w:color="auto" w:fill="FFFFFF"/>
          </w:tcPr>
          <w:p w14:paraId="041BA026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32DB8A01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środowisko naturalne</w:t>
            </w:r>
          </w:p>
          <w:p w14:paraId="2B4A102E" w14:textId="481CCD3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</w:rPr>
              <w:t>sytuacja i rozwój regionalny</w:t>
            </w:r>
          </w:p>
          <w:p w14:paraId="535B77A9" w14:textId="671852B7" w:rsidR="006727C7" w:rsidRPr="00DD691D" w:rsidRDefault="00067D67" w:rsidP="006727C7">
            <w:pPr>
              <w:spacing w:after="0" w:line="276" w:lineRule="auto"/>
              <w:rPr>
                <w:rFonts w:ascii="Times New Roman" w:hAnsi="Times New Roman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943" w:type="dxa"/>
            <w:gridSpan w:val="14"/>
            <w:shd w:val="clear" w:color="auto" w:fill="FFFFFF"/>
          </w:tcPr>
          <w:p w14:paraId="770A6067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64213505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demografia</w:t>
            </w:r>
          </w:p>
          <w:p w14:paraId="2E443BA3" w14:textId="77777777" w:rsidR="006727C7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</w:rPr>
              <w:t>mienie państwowe</w:t>
            </w:r>
          </w:p>
          <w:p w14:paraId="68FBE658" w14:textId="0AB0AA85" w:rsidR="00067D67" w:rsidRPr="00067D98" w:rsidRDefault="00067D6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95" w:type="dxa"/>
            <w:gridSpan w:val="8"/>
            <w:shd w:val="clear" w:color="auto" w:fill="FFFFFF"/>
          </w:tcPr>
          <w:p w14:paraId="22C09C88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5241C9B9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informatyzacja</w:t>
            </w:r>
          </w:p>
          <w:p w14:paraId="40E4A083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zdrowie</w:t>
            </w:r>
          </w:p>
        </w:tc>
      </w:tr>
      <w:tr w:rsidR="00067D98" w:rsidRPr="00067D98" w14:paraId="4B87AEB3" w14:textId="77777777" w:rsidTr="00745495">
        <w:trPr>
          <w:gridAfter w:val="2"/>
          <w:wAfter w:w="48" w:type="dxa"/>
          <w:trHeight w:val="712"/>
        </w:trPr>
        <w:tc>
          <w:tcPr>
            <w:tcW w:w="3261" w:type="dxa"/>
            <w:gridSpan w:val="4"/>
            <w:shd w:val="clear" w:color="auto" w:fill="FFFFFF"/>
            <w:vAlign w:val="center"/>
          </w:tcPr>
          <w:p w14:paraId="679987F0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t>Omówienie wpływu</w:t>
            </w:r>
          </w:p>
        </w:tc>
        <w:tc>
          <w:tcPr>
            <w:tcW w:w="7638" w:type="dxa"/>
            <w:gridSpan w:val="22"/>
            <w:shd w:val="clear" w:color="auto" w:fill="FFFFFF"/>
            <w:vAlign w:val="center"/>
          </w:tcPr>
          <w:p w14:paraId="201472E0" w14:textId="605E7B63" w:rsidR="006727C7" w:rsidRPr="00067D98" w:rsidRDefault="003C5EE4" w:rsidP="008431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>rojekt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rozporządzenia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 przyczyni się do </w:t>
            </w:r>
            <w:r w:rsidR="00275F97">
              <w:rPr>
                <w:rFonts w:ascii="Times New Roman" w:eastAsia="Calibri" w:hAnsi="Times New Roman" w:cs="Times New Roman"/>
                <w:spacing w:val="-2"/>
              </w:rPr>
              <w:t>urealnienia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 rentowności przedsiębiorstw </w:t>
            </w:r>
            <w:r w:rsidR="00D45094">
              <w:rPr>
                <w:rFonts w:ascii="Times New Roman" w:eastAsia="Calibri" w:hAnsi="Times New Roman" w:cs="Times New Roman"/>
                <w:spacing w:val="-2"/>
              </w:rPr>
              <w:t xml:space="preserve">energetycznych </w:t>
            </w:r>
            <w:r w:rsidR="00931067">
              <w:rPr>
                <w:rFonts w:ascii="Times New Roman" w:eastAsia="Calibri" w:hAnsi="Times New Roman" w:cs="Times New Roman"/>
                <w:spacing w:val="-2"/>
              </w:rPr>
              <w:t>wytwarzających ciepło w kogeneracji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. </w:t>
            </w:r>
            <w:r w:rsidR="00843163">
              <w:rPr>
                <w:rFonts w:ascii="Times New Roman" w:eastAsia="Calibri" w:hAnsi="Times New Roman" w:cs="Times New Roman"/>
                <w:spacing w:val="-2"/>
              </w:rPr>
              <w:t>Aktualnie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 ponad 70% ciepła 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systemowego jest wytwarzane z węgla, a większość systemów ciepłowniczych nie może być uznana za systemy efektywne. Ten stan rzeczy musi się zmienić w ciągu najbliższych lat. </w:t>
            </w:r>
            <w:r w:rsidR="00843163">
              <w:rPr>
                <w:rFonts w:ascii="Times New Roman" w:eastAsia="Calibri" w:hAnsi="Times New Roman" w:cs="Times New Roman"/>
                <w:spacing w:val="-2"/>
              </w:rPr>
              <w:t>Ż</w:t>
            </w:r>
            <w:r w:rsidR="00275F97">
              <w:rPr>
                <w:rFonts w:ascii="Times New Roman" w:eastAsia="Calibri" w:hAnsi="Times New Roman" w:cs="Times New Roman"/>
                <w:spacing w:val="-2"/>
              </w:rPr>
              <w:t>eby p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rzedsiębiorstwa </w:t>
            </w:r>
            <w:r w:rsidR="009A0B71" w:rsidRPr="009A0B71">
              <w:rPr>
                <w:rFonts w:ascii="Times New Roman" w:eastAsia="Calibri" w:hAnsi="Times New Roman" w:cs="Times New Roman"/>
                <w:spacing w:val="-2"/>
              </w:rPr>
              <w:t>energetyczn</w:t>
            </w:r>
            <w:r w:rsidR="009A0B71">
              <w:rPr>
                <w:rFonts w:ascii="Times New Roman" w:eastAsia="Calibri" w:hAnsi="Times New Roman" w:cs="Times New Roman"/>
                <w:spacing w:val="-2"/>
              </w:rPr>
              <w:t xml:space="preserve">e </w:t>
            </w:r>
            <w:r w:rsidR="00275F97">
              <w:rPr>
                <w:rFonts w:ascii="Times New Roman" w:eastAsia="Calibri" w:hAnsi="Times New Roman" w:cs="Times New Roman"/>
                <w:spacing w:val="-2"/>
              </w:rPr>
              <w:t xml:space="preserve">wytwarzające ciepło w kogeneracji tego dokonały, nie mogą mieć ograniczonych przychodów. 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Aby ta zmiana była możliwa, przedsiębiorstwa </w:t>
            </w:r>
            <w:r w:rsidR="009A0B71">
              <w:rPr>
                <w:rFonts w:ascii="Times New Roman" w:eastAsia="Calibri" w:hAnsi="Times New Roman" w:cs="Times New Roman"/>
                <w:spacing w:val="-2"/>
              </w:rPr>
              <w:t xml:space="preserve">te 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muszą dysponować odpowiednimi środkami finansowymi, do czego przyczyni się proponowana zmiana </w:t>
            </w:r>
            <w:r w:rsidR="00843163">
              <w:rPr>
                <w:rFonts w:ascii="Times New Roman" w:eastAsia="Calibri" w:hAnsi="Times New Roman" w:cs="Times New Roman"/>
                <w:spacing w:val="-2"/>
              </w:rPr>
              <w:t>przepisu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. </w:t>
            </w:r>
            <w:r w:rsidR="00066274">
              <w:rPr>
                <w:rFonts w:ascii="Times New Roman" w:eastAsia="Calibri" w:hAnsi="Times New Roman" w:cs="Times New Roman"/>
                <w:spacing w:val="-2"/>
              </w:rPr>
              <w:t>Dzięki tej zmianie odsunie się zagrożenie upadłością dla niektórych przedsiębiorstw</w:t>
            </w:r>
            <w:r w:rsidR="009A0B71">
              <w:t xml:space="preserve"> </w:t>
            </w:r>
            <w:r w:rsidR="009A0B71" w:rsidRPr="009A0B71">
              <w:rPr>
                <w:rFonts w:ascii="Times New Roman" w:eastAsia="Calibri" w:hAnsi="Times New Roman" w:cs="Times New Roman"/>
                <w:spacing w:val="-2"/>
              </w:rPr>
              <w:t>energetycznych</w:t>
            </w:r>
            <w:r w:rsidR="001D3D8B">
              <w:t xml:space="preserve"> </w:t>
            </w:r>
            <w:r w:rsidR="001D3D8B" w:rsidRPr="001D3D8B">
              <w:rPr>
                <w:rFonts w:ascii="Times New Roman" w:eastAsia="Calibri" w:hAnsi="Times New Roman" w:cs="Times New Roman"/>
                <w:spacing w:val="-2"/>
              </w:rPr>
              <w:t>wytwarzając</w:t>
            </w:r>
            <w:r w:rsidR="001D3D8B">
              <w:rPr>
                <w:rFonts w:ascii="Times New Roman" w:eastAsia="Calibri" w:hAnsi="Times New Roman" w:cs="Times New Roman"/>
                <w:spacing w:val="-2"/>
              </w:rPr>
              <w:t>ych</w:t>
            </w:r>
            <w:r w:rsidR="001D3D8B" w:rsidRPr="001D3D8B">
              <w:rPr>
                <w:rFonts w:ascii="Times New Roman" w:eastAsia="Calibri" w:hAnsi="Times New Roman" w:cs="Times New Roman"/>
                <w:spacing w:val="-2"/>
              </w:rPr>
              <w:t xml:space="preserve"> ciepło w kogeneracji</w:t>
            </w:r>
            <w:r w:rsidR="00066274">
              <w:rPr>
                <w:rFonts w:ascii="Times New Roman" w:eastAsia="Calibri" w:hAnsi="Times New Roman" w:cs="Times New Roman"/>
                <w:spacing w:val="-2"/>
              </w:rPr>
              <w:t>.</w:t>
            </w:r>
            <w:r w:rsidR="0084316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>Przeprowadzenie transformacji energetycznej ciepłownictwa wpłynie</w:t>
            </w:r>
            <w:r w:rsidR="00465096">
              <w:rPr>
                <w:rFonts w:ascii="Times New Roman" w:eastAsia="Calibri" w:hAnsi="Times New Roman" w:cs="Times New Roman"/>
                <w:spacing w:val="-2"/>
              </w:rPr>
              <w:t xml:space="preserve"> także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 pozytywnie na jakość powietrza, co z kolei przełoży się na ograniczenie liczby </w:t>
            </w:r>
            <w:r w:rsidR="000A220C">
              <w:rPr>
                <w:rFonts w:ascii="Times New Roman" w:eastAsia="Calibri" w:hAnsi="Times New Roman" w:cs="Times New Roman"/>
                <w:spacing w:val="-2"/>
              </w:rPr>
              <w:t>chorych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 na choroby układu oddechowego. </w:t>
            </w:r>
          </w:p>
        </w:tc>
      </w:tr>
      <w:tr w:rsidR="00067D98" w:rsidRPr="00067D98" w14:paraId="298CF442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99CCFF"/>
          </w:tcPr>
          <w:p w14:paraId="2F45F321" w14:textId="77777777" w:rsidR="006727C7" w:rsidRPr="00067D98" w:rsidRDefault="006727C7" w:rsidP="006727C7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lastRenderedPageBreak/>
              <w:t>Planowane wykonanie przepisów aktu prawnego</w:t>
            </w:r>
          </w:p>
        </w:tc>
      </w:tr>
      <w:tr w:rsidR="00067D98" w:rsidRPr="00067D98" w14:paraId="2BE77172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FFFFFF"/>
          </w:tcPr>
          <w:p w14:paraId="633CBB39" w14:textId="52F4DDB9" w:rsidR="006727C7" w:rsidRPr="00067D98" w:rsidRDefault="003C5133" w:rsidP="00B1646C">
            <w:pPr>
              <w:spacing w:before="120" w:after="120" w:line="312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Rozporządzenie wchodzi w życie </w:t>
            </w:r>
            <w:r w:rsidR="005320A2">
              <w:rPr>
                <w:rFonts w:ascii="Times New Roman" w:eastAsia="Calibri" w:hAnsi="Times New Roman" w:cs="Times New Roman"/>
                <w:spacing w:val="-2"/>
              </w:rPr>
              <w:t>po upływie 14 dni od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 ogłoszenia.</w:t>
            </w:r>
          </w:p>
        </w:tc>
      </w:tr>
      <w:tr w:rsidR="00067D98" w:rsidRPr="00067D98" w14:paraId="08568C2D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99CCFF"/>
          </w:tcPr>
          <w:p w14:paraId="68F7DFEE" w14:textId="77777777" w:rsidR="006727C7" w:rsidRPr="00067D98" w:rsidRDefault="006727C7" w:rsidP="006727C7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067D98" w:rsidRPr="00067D98" w14:paraId="38133936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FFFFFF"/>
          </w:tcPr>
          <w:p w14:paraId="62AD93FD" w14:textId="16EADA1A" w:rsidR="006727C7" w:rsidRPr="00067D98" w:rsidRDefault="006727C7" w:rsidP="00B1646C">
            <w:pPr>
              <w:spacing w:before="120" w:after="120" w:line="312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Ewaluacja efektów projektów prowadzona będzie na bieżąco.</w:t>
            </w:r>
          </w:p>
        </w:tc>
      </w:tr>
      <w:tr w:rsidR="00067D98" w:rsidRPr="00067D98" w14:paraId="4BC6B285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99CCFF"/>
          </w:tcPr>
          <w:p w14:paraId="5486A076" w14:textId="77777777" w:rsidR="006727C7" w:rsidRPr="00067D98" w:rsidRDefault="006727C7" w:rsidP="006727C7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b/>
                <w:spacing w:val="-2"/>
              </w:rPr>
              <w:t xml:space="preserve">Załączniki </w:t>
            </w:r>
            <w:r w:rsidRPr="00067D9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67D98">
              <w:rPr>
                <w:rFonts w:ascii="Times New Roman" w:eastAsia="Calibri" w:hAnsi="Times New Roman" w:cs="Times New Roman"/>
                <w:b/>
                <w:spacing w:val="-2"/>
              </w:rPr>
              <w:t xml:space="preserve">) </w:t>
            </w:r>
          </w:p>
        </w:tc>
      </w:tr>
      <w:tr w:rsidR="00067D98" w:rsidRPr="00067D98" w14:paraId="14854D51" w14:textId="77777777" w:rsidTr="00066274">
        <w:trPr>
          <w:gridAfter w:val="2"/>
          <w:wAfter w:w="48" w:type="dxa"/>
          <w:trHeight w:val="464"/>
        </w:trPr>
        <w:tc>
          <w:tcPr>
            <w:tcW w:w="10899" w:type="dxa"/>
            <w:gridSpan w:val="26"/>
            <w:shd w:val="clear" w:color="auto" w:fill="FFFFFF"/>
          </w:tcPr>
          <w:p w14:paraId="38D312CE" w14:textId="4ABDCD65" w:rsidR="006727C7" w:rsidRPr="00067D98" w:rsidRDefault="00FB02B0" w:rsidP="00B1646C">
            <w:pPr>
              <w:spacing w:before="120" w:after="120" w:line="312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Brak</w:t>
            </w:r>
          </w:p>
        </w:tc>
      </w:tr>
    </w:tbl>
    <w:p w14:paraId="7D831F91" w14:textId="77777777" w:rsidR="00D91101" w:rsidRPr="00067D98" w:rsidRDefault="00D91101" w:rsidP="00745495"/>
    <w:sectPr w:rsidR="00D91101" w:rsidRPr="00067D98" w:rsidSect="0009302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39C3" w14:textId="77777777" w:rsidR="00A707EC" w:rsidRDefault="00A707EC">
      <w:pPr>
        <w:spacing w:after="0" w:line="240" w:lineRule="auto"/>
      </w:pPr>
      <w:r>
        <w:separator/>
      </w:r>
    </w:p>
  </w:endnote>
  <w:endnote w:type="continuationSeparator" w:id="0">
    <w:p w14:paraId="47202A99" w14:textId="77777777" w:rsidR="00A707EC" w:rsidRDefault="00A707EC">
      <w:pPr>
        <w:spacing w:after="0" w:line="240" w:lineRule="auto"/>
      </w:pPr>
      <w:r>
        <w:continuationSeparator/>
      </w:r>
    </w:p>
  </w:endnote>
  <w:endnote w:type="continuationNotice" w:id="1">
    <w:p w14:paraId="3284D5F2" w14:textId="77777777" w:rsidR="00A707EC" w:rsidRDefault="00A707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674C" w14:textId="77777777" w:rsidR="00A707EC" w:rsidRDefault="00A707EC">
      <w:pPr>
        <w:spacing w:after="0" w:line="240" w:lineRule="auto"/>
      </w:pPr>
      <w:r>
        <w:separator/>
      </w:r>
    </w:p>
  </w:footnote>
  <w:footnote w:type="continuationSeparator" w:id="0">
    <w:p w14:paraId="28ABCFE8" w14:textId="77777777" w:rsidR="00A707EC" w:rsidRDefault="00A707EC">
      <w:pPr>
        <w:spacing w:after="0" w:line="240" w:lineRule="auto"/>
      </w:pPr>
      <w:r>
        <w:continuationSeparator/>
      </w:r>
    </w:p>
  </w:footnote>
  <w:footnote w:type="continuationNotice" w:id="1">
    <w:p w14:paraId="41E9C232" w14:textId="77777777" w:rsidR="00A707EC" w:rsidRDefault="00A707EC">
      <w:pPr>
        <w:spacing w:after="0" w:line="240" w:lineRule="auto"/>
      </w:pPr>
    </w:p>
  </w:footnote>
  <w:footnote w:id="2">
    <w:p w14:paraId="4F18EC50" w14:textId="2C9528CD" w:rsidR="007C5C2A" w:rsidRPr="007F2C2D" w:rsidRDefault="007C5C2A" w:rsidP="00023CE6">
      <w:pPr>
        <w:pStyle w:val="Tekstprzypisudolnego"/>
        <w:spacing w:line="240" w:lineRule="auto"/>
        <w:rPr>
          <w:rFonts w:ascii="Times New Roman" w:hAnsi="Times New Roman"/>
          <w:sz w:val="18"/>
          <w:szCs w:val="18"/>
        </w:rPr>
      </w:pPr>
      <w:r w:rsidRPr="007F2C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F2C2D">
        <w:rPr>
          <w:rFonts w:ascii="Times New Roman" w:hAnsi="Times New Roman"/>
          <w:sz w:val="18"/>
          <w:szCs w:val="18"/>
        </w:rPr>
        <w:t xml:space="preserve"> https://www.ure.gov.pl/pl/cieplo/energetyka-cieplna-w-l/10096,2020.html</w:t>
      </w:r>
    </w:p>
  </w:footnote>
  <w:footnote w:id="3">
    <w:p w14:paraId="7C0D265E" w14:textId="4C9F4AFE" w:rsidR="00E6163B" w:rsidRPr="00E71C2C" w:rsidRDefault="00E6163B" w:rsidP="00023CE6">
      <w:pPr>
        <w:pStyle w:val="Tekstprzypisudolnego"/>
        <w:spacing w:line="240" w:lineRule="auto"/>
        <w:rPr>
          <w:rFonts w:ascii="Times New Roman" w:hAnsi="Times New Roman"/>
          <w:lang w:val="en-GB"/>
        </w:rPr>
      </w:pPr>
      <w:r w:rsidRPr="007F2C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F2C2D">
        <w:rPr>
          <w:rFonts w:ascii="Times New Roman" w:hAnsi="Times New Roman"/>
          <w:sz w:val="18"/>
          <w:szCs w:val="18"/>
          <w:lang w:val="en-GB"/>
        </w:rPr>
        <w:t xml:space="preserve"> op.</w:t>
      </w:r>
      <w:r w:rsidR="00F8641C" w:rsidRPr="007F2C2D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7F2C2D">
        <w:rPr>
          <w:rFonts w:ascii="Times New Roman" w:hAnsi="Times New Roman"/>
          <w:sz w:val="18"/>
          <w:szCs w:val="18"/>
          <w:lang w:val="en-GB"/>
        </w:rPr>
        <w:t>cit</w:t>
      </w:r>
      <w:r w:rsidRPr="00E71C2C">
        <w:rPr>
          <w:rFonts w:ascii="Times New Roman" w:hAnsi="Times New Roman"/>
          <w:lang w:val="en-GB"/>
        </w:rPr>
        <w:t>.</w:t>
      </w:r>
    </w:p>
  </w:footnote>
  <w:footnote w:id="4">
    <w:p w14:paraId="7413DAF3" w14:textId="2B538ECD" w:rsidR="008D72CB" w:rsidRPr="00E71C2C" w:rsidRDefault="008D72CB" w:rsidP="00023CE6">
      <w:pPr>
        <w:pStyle w:val="Tekstprzypisudolnego"/>
        <w:spacing w:line="240" w:lineRule="auto"/>
        <w:rPr>
          <w:lang w:val="en-GB"/>
        </w:rPr>
      </w:pPr>
      <w:r w:rsidRPr="00023CE6">
        <w:rPr>
          <w:rStyle w:val="Odwoanieprzypisudolnego"/>
          <w:rFonts w:ascii="Times New Roman" w:hAnsi="Times New Roman"/>
        </w:rPr>
        <w:footnoteRef/>
      </w:r>
      <w:r w:rsidRPr="00E71C2C">
        <w:rPr>
          <w:rFonts w:ascii="Times New Roman" w:hAnsi="Times New Roman"/>
          <w:lang w:val="en-GB"/>
        </w:rPr>
        <w:t xml:space="preserve"> op. cit.</w:t>
      </w:r>
    </w:p>
  </w:footnote>
  <w:footnote w:id="5">
    <w:p w14:paraId="4E7A5357" w14:textId="36A7D8A1" w:rsidR="00F8641C" w:rsidRPr="00E71C2C" w:rsidRDefault="00F8641C" w:rsidP="00023CE6">
      <w:pPr>
        <w:pStyle w:val="Tekstprzypisudolnego"/>
        <w:spacing w:line="240" w:lineRule="auto"/>
        <w:rPr>
          <w:rFonts w:ascii="Times New Roman" w:hAnsi="Times New Roman"/>
          <w:lang w:val="en-GB"/>
        </w:rPr>
      </w:pPr>
      <w:r w:rsidRPr="00023CE6">
        <w:rPr>
          <w:rStyle w:val="Odwoanieprzypisudolnego"/>
          <w:rFonts w:ascii="Times New Roman" w:hAnsi="Times New Roman"/>
        </w:rPr>
        <w:footnoteRef/>
      </w:r>
      <w:r w:rsidRPr="00E71C2C">
        <w:rPr>
          <w:rFonts w:ascii="Times New Roman" w:hAnsi="Times New Roman"/>
          <w:lang w:val="en-GB"/>
        </w:rPr>
        <w:t xml:space="preserve"> op. cit.</w:t>
      </w:r>
    </w:p>
  </w:footnote>
  <w:footnote w:id="6">
    <w:p w14:paraId="2AA0EBB1" w14:textId="7848B7A2" w:rsidR="001207C7" w:rsidRPr="00E71C2C" w:rsidRDefault="001207C7" w:rsidP="00023CE6">
      <w:pPr>
        <w:pStyle w:val="Tekstprzypisudolnego"/>
        <w:spacing w:line="240" w:lineRule="auto"/>
        <w:rPr>
          <w:rFonts w:ascii="Times New Roman" w:hAnsi="Times New Roman"/>
          <w:lang w:val="en-GB"/>
        </w:rPr>
      </w:pPr>
      <w:r w:rsidRPr="00023CE6">
        <w:rPr>
          <w:rStyle w:val="Odwoanieprzypisudolnego"/>
          <w:rFonts w:ascii="Times New Roman" w:hAnsi="Times New Roman"/>
        </w:rPr>
        <w:footnoteRef/>
      </w:r>
      <w:r w:rsidRPr="00E71C2C">
        <w:rPr>
          <w:rFonts w:ascii="Times New Roman" w:hAnsi="Times New Roman"/>
          <w:lang w:val="en-GB"/>
        </w:rPr>
        <w:t xml:space="preserve"> op. cit.</w:t>
      </w:r>
    </w:p>
  </w:footnote>
  <w:footnote w:id="7">
    <w:p w14:paraId="06CE65D7" w14:textId="74ADB394" w:rsidR="003643FB" w:rsidRPr="00E71C2C" w:rsidRDefault="003643FB" w:rsidP="00023CE6">
      <w:pPr>
        <w:pStyle w:val="Tekstprzypisudolnego"/>
        <w:spacing w:line="240" w:lineRule="auto"/>
        <w:rPr>
          <w:lang w:val="en-GB"/>
        </w:rPr>
      </w:pPr>
      <w:r w:rsidRPr="00023CE6">
        <w:rPr>
          <w:rStyle w:val="Odwoanieprzypisudolnego"/>
          <w:rFonts w:ascii="Times New Roman" w:hAnsi="Times New Roman"/>
        </w:rPr>
        <w:footnoteRef/>
      </w:r>
      <w:r w:rsidRPr="00E71C2C">
        <w:rPr>
          <w:rFonts w:ascii="Times New Roman" w:hAnsi="Times New Roman"/>
          <w:lang w:val="en-GB"/>
        </w:rPr>
        <w:t xml:space="preserve"> op. cit.</w:t>
      </w:r>
    </w:p>
  </w:footnote>
  <w:footnote w:id="8">
    <w:p w14:paraId="17AEC23A" w14:textId="5A9ED15B" w:rsidR="00FF0122" w:rsidRPr="007F2C2D" w:rsidRDefault="00FF0122" w:rsidP="00023CE6">
      <w:pPr>
        <w:pStyle w:val="Tekstprzypisudolnego"/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7F2C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F2C2D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B969D0" w:rsidRPr="007F2C2D">
        <w:rPr>
          <w:rFonts w:ascii="Times New Roman" w:hAnsi="Times New Roman"/>
          <w:sz w:val="18"/>
          <w:szCs w:val="18"/>
          <w:lang w:val="en-GB"/>
        </w:rPr>
        <w:t>https://www.gov.pl/web/klimat/polityka-energetyczna-polski</w:t>
      </w:r>
    </w:p>
  </w:footnote>
  <w:footnote w:id="9">
    <w:p w14:paraId="611905F6" w14:textId="3BA02CBB" w:rsidR="00D07153" w:rsidRPr="007F2C2D" w:rsidRDefault="00D07153" w:rsidP="00023CE6">
      <w:pPr>
        <w:pStyle w:val="Tekstprzypisudolnego"/>
        <w:spacing w:line="240" w:lineRule="auto"/>
        <w:rPr>
          <w:rFonts w:ascii="Times New Roman" w:hAnsi="Times New Roman"/>
          <w:sz w:val="18"/>
          <w:szCs w:val="18"/>
        </w:rPr>
      </w:pPr>
      <w:r w:rsidRPr="007F2C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F2C2D">
        <w:rPr>
          <w:rFonts w:ascii="Times New Roman" w:hAnsi="Times New Roman"/>
          <w:sz w:val="18"/>
          <w:szCs w:val="18"/>
        </w:rPr>
        <w:t xml:space="preserve"> op. cit.</w:t>
      </w:r>
    </w:p>
  </w:footnote>
  <w:footnote w:id="10">
    <w:p w14:paraId="5FC5FDE0" w14:textId="281460F1" w:rsidR="00B969D0" w:rsidRDefault="00B969D0" w:rsidP="00023CE6">
      <w:pPr>
        <w:pStyle w:val="Tekstprzypisudolnego"/>
        <w:spacing w:line="240" w:lineRule="auto"/>
      </w:pPr>
      <w:r w:rsidRPr="007F2C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F2C2D">
        <w:rPr>
          <w:rFonts w:ascii="Times New Roman" w:hAnsi="Times New Roman"/>
          <w:sz w:val="18"/>
          <w:szCs w:val="18"/>
        </w:rPr>
        <w:t xml:space="preserve"> op. cit.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807"/>
    <w:multiLevelType w:val="hybridMultilevel"/>
    <w:tmpl w:val="6C1E4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3878"/>
    <w:multiLevelType w:val="hybridMultilevel"/>
    <w:tmpl w:val="F5C665C8"/>
    <w:lvl w:ilvl="0" w:tplc="56927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8480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6090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90E6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7298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D223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686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6F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DCBC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C4385"/>
    <w:multiLevelType w:val="hybridMultilevel"/>
    <w:tmpl w:val="31087208"/>
    <w:lvl w:ilvl="0" w:tplc="37309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B41C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CC5D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9C82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3220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5636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4CFC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CEF8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92B7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A2100"/>
    <w:multiLevelType w:val="hybridMultilevel"/>
    <w:tmpl w:val="02B2E768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859"/>
    <w:multiLevelType w:val="hybridMultilevel"/>
    <w:tmpl w:val="9FAAD202"/>
    <w:lvl w:ilvl="0" w:tplc="3BF6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04B8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C0C0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B85E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4EB1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4C4F5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10C7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5AAF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B609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81BFC"/>
    <w:multiLevelType w:val="hybridMultilevel"/>
    <w:tmpl w:val="7A3813CC"/>
    <w:lvl w:ilvl="0" w:tplc="FFC4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45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69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45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2C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42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2A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C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0D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34AFB"/>
    <w:multiLevelType w:val="hybridMultilevel"/>
    <w:tmpl w:val="69C8B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3EB4"/>
    <w:multiLevelType w:val="hybridMultilevel"/>
    <w:tmpl w:val="52E6C72E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A67"/>
    <w:multiLevelType w:val="hybridMultilevel"/>
    <w:tmpl w:val="355C89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2B28"/>
    <w:multiLevelType w:val="hybridMultilevel"/>
    <w:tmpl w:val="92EA8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A64B4"/>
    <w:multiLevelType w:val="hybridMultilevel"/>
    <w:tmpl w:val="282A4E32"/>
    <w:lvl w:ilvl="0" w:tplc="56927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8480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6090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90E6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7298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D223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686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6F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DCBC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09D506D"/>
    <w:multiLevelType w:val="hybridMultilevel"/>
    <w:tmpl w:val="B366F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44AD5"/>
    <w:multiLevelType w:val="hybridMultilevel"/>
    <w:tmpl w:val="871A96BA"/>
    <w:lvl w:ilvl="0" w:tplc="052E0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541"/>
    <w:multiLevelType w:val="hybridMultilevel"/>
    <w:tmpl w:val="08804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E3209"/>
    <w:multiLevelType w:val="hybridMultilevel"/>
    <w:tmpl w:val="42B2FEAE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066CE"/>
    <w:multiLevelType w:val="hybridMultilevel"/>
    <w:tmpl w:val="768AE9C4"/>
    <w:lvl w:ilvl="0" w:tplc="C91E30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20FC7"/>
    <w:multiLevelType w:val="hybridMultilevel"/>
    <w:tmpl w:val="FF9CC98C"/>
    <w:lvl w:ilvl="0" w:tplc="7630B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6CDD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D45A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50B8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08D4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F496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706AA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EA0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5ED6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761BA4"/>
    <w:multiLevelType w:val="hybridMultilevel"/>
    <w:tmpl w:val="3BA2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629EF"/>
    <w:multiLevelType w:val="hybridMultilevel"/>
    <w:tmpl w:val="9D72A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705FE"/>
    <w:multiLevelType w:val="hybridMultilevel"/>
    <w:tmpl w:val="35B4BE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F20D5"/>
    <w:multiLevelType w:val="hybridMultilevel"/>
    <w:tmpl w:val="64F8DBB6"/>
    <w:lvl w:ilvl="0" w:tplc="5BF2D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C54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45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297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86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8AE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C16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2EB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08E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3B31E83"/>
    <w:multiLevelType w:val="hybridMultilevel"/>
    <w:tmpl w:val="99F4AE44"/>
    <w:lvl w:ilvl="0" w:tplc="ECE6F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4E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EA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63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AC5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E4B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A1E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9A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4C4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624340D"/>
    <w:multiLevelType w:val="hybridMultilevel"/>
    <w:tmpl w:val="885A723E"/>
    <w:lvl w:ilvl="0" w:tplc="1D42E8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A41E7"/>
    <w:multiLevelType w:val="hybridMultilevel"/>
    <w:tmpl w:val="02B2E768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A2A8A"/>
    <w:multiLevelType w:val="hybridMultilevel"/>
    <w:tmpl w:val="48B84B32"/>
    <w:lvl w:ilvl="0" w:tplc="842280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D7D158C"/>
    <w:multiLevelType w:val="hybridMultilevel"/>
    <w:tmpl w:val="A7202358"/>
    <w:lvl w:ilvl="0" w:tplc="B0FC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D5B6A"/>
    <w:multiLevelType w:val="hybridMultilevel"/>
    <w:tmpl w:val="42B2FEAE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55538"/>
    <w:multiLevelType w:val="hybridMultilevel"/>
    <w:tmpl w:val="02C00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C102D"/>
    <w:multiLevelType w:val="hybridMultilevel"/>
    <w:tmpl w:val="F5C665C8"/>
    <w:lvl w:ilvl="0" w:tplc="56927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8480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6090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90E6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7298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D223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686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6F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DCBC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8C54F7"/>
    <w:multiLevelType w:val="hybridMultilevel"/>
    <w:tmpl w:val="B8121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3" w15:restartNumberingAfterBreak="0">
    <w:nsid w:val="52000E16"/>
    <w:multiLevelType w:val="hybridMultilevel"/>
    <w:tmpl w:val="46DCE3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8480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6090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90E6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7298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D223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686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6F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DCBC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2A3143"/>
    <w:multiLevelType w:val="hybridMultilevel"/>
    <w:tmpl w:val="AABA4726"/>
    <w:lvl w:ilvl="0" w:tplc="F44E024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55C"/>
    <w:multiLevelType w:val="hybridMultilevel"/>
    <w:tmpl w:val="481246F2"/>
    <w:lvl w:ilvl="0" w:tplc="37FE8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986AFB"/>
    <w:multiLevelType w:val="hybridMultilevel"/>
    <w:tmpl w:val="8A30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B3332B"/>
    <w:multiLevelType w:val="hybridMultilevel"/>
    <w:tmpl w:val="6CB60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55664"/>
    <w:multiLevelType w:val="hybridMultilevel"/>
    <w:tmpl w:val="1714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84345"/>
    <w:multiLevelType w:val="hybridMultilevel"/>
    <w:tmpl w:val="02C6A7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4486"/>
    <w:multiLevelType w:val="hybridMultilevel"/>
    <w:tmpl w:val="3F109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9F4420"/>
    <w:multiLevelType w:val="hybridMultilevel"/>
    <w:tmpl w:val="9BA2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52865"/>
    <w:multiLevelType w:val="hybridMultilevel"/>
    <w:tmpl w:val="D952B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912D9"/>
    <w:multiLevelType w:val="hybridMultilevel"/>
    <w:tmpl w:val="2FE25F0E"/>
    <w:lvl w:ilvl="0" w:tplc="B0FC36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5644EAD"/>
    <w:multiLevelType w:val="hybridMultilevel"/>
    <w:tmpl w:val="30BE6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92706">
    <w:abstractNumId w:val="25"/>
  </w:num>
  <w:num w:numId="2" w16cid:durableId="84620778">
    <w:abstractNumId w:val="11"/>
  </w:num>
  <w:num w:numId="3" w16cid:durableId="291864048">
    <w:abstractNumId w:val="32"/>
  </w:num>
  <w:num w:numId="4" w16cid:durableId="2116944722">
    <w:abstractNumId w:val="36"/>
  </w:num>
  <w:num w:numId="5" w16cid:durableId="1043333938">
    <w:abstractNumId w:val="13"/>
  </w:num>
  <w:num w:numId="6" w16cid:durableId="299727956">
    <w:abstractNumId w:val="43"/>
  </w:num>
  <w:num w:numId="7" w16cid:durableId="1196039071">
    <w:abstractNumId w:val="38"/>
  </w:num>
  <w:num w:numId="8" w16cid:durableId="1858883939">
    <w:abstractNumId w:val="20"/>
  </w:num>
  <w:num w:numId="9" w16cid:durableId="566306504">
    <w:abstractNumId w:val="12"/>
  </w:num>
  <w:num w:numId="10" w16cid:durableId="1111704108">
    <w:abstractNumId w:val="24"/>
  </w:num>
  <w:num w:numId="11" w16cid:durableId="766576942">
    <w:abstractNumId w:val="26"/>
  </w:num>
  <w:num w:numId="12" w16cid:durableId="1647706400">
    <w:abstractNumId w:val="35"/>
  </w:num>
  <w:num w:numId="13" w16cid:durableId="1187906598">
    <w:abstractNumId w:val="29"/>
  </w:num>
  <w:num w:numId="14" w16cid:durableId="1002775680">
    <w:abstractNumId w:val="2"/>
  </w:num>
  <w:num w:numId="15" w16cid:durableId="919563191">
    <w:abstractNumId w:val="31"/>
  </w:num>
  <w:num w:numId="16" w16cid:durableId="1411579917">
    <w:abstractNumId w:val="39"/>
  </w:num>
  <w:num w:numId="17" w16cid:durableId="629476620">
    <w:abstractNumId w:val="4"/>
  </w:num>
  <w:num w:numId="18" w16cid:durableId="1744065246">
    <w:abstractNumId w:val="44"/>
  </w:num>
  <w:num w:numId="19" w16cid:durableId="203059623">
    <w:abstractNumId w:val="37"/>
  </w:num>
  <w:num w:numId="20" w16cid:durableId="1426801817">
    <w:abstractNumId w:val="5"/>
  </w:num>
  <w:num w:numId="21" w16cid:durableId="1628580502">
    <w:abstractNumId w:val="0"/>
  </w:num>
  <w:num w:numId="22" w16cid:durableId="1728871486">
    <w:abstractNumId w:val="22"/>
  </w:num>
  <w:num w:numId="23" w16cid:durableId="1234200486">
    <w:abstractNumId w:val="23"/>
  </w:num>
  <w:num w:numId="24" w16cid:durableId="270361289">
    <w:abstractNumId w:val="10"/>
  </w:num>
  <w:num w:numId="25" w16cid:durableId="2001159009">
    <w:abstractNumId w:val="30"/>
  </w:num>
  <w:num w:numId="26" w16cid:durableId="1058474638">
    <w:abstractNumId w:val="8"/>
  </w:num>
  <w:num w:numId="27" w16cid:durableId="2094886640">
    <w:abstractNumId w:val="6"/>
  </w:num>
  <w:num w:numId="28" w16cid:durableId="1153251090">
    <w:abstractNumId w:val="33"/>
  </w:num>
  <w:num w:numId="29" w16cid:durableId="2122410691">
    <w:abstractNumId w:val="1"/>
  </w:num>
  <w:num w:numId="30" w16cid:durableId="501896860">
    <w:abstractNumId w:val="16"/>
  </w:num>
  <w:num w:numId="31" w16cid:durableId="1652824844">
    <w:abstractNumId w:val="7"/>
  </w:num>
  <w:num w:numId="32" w16cid:durableId="552544461">
    <w:abstractNumId w:val="15"/>
  </w:num>
  <w:num w:numId="33" w16cid:durableId="429399317">
    <w:abstractNumId w:val="19"/>
  </w:num>
  <w:num w:numId="34" w16cid:durableId="1045565468">
    <w:abstractNumId w:val="47"/>
  </w:num>
  <w:num w:numId="35" w16cid:durableId="1510948654">
    <w:abstractNumId w:val="41"/>
  </w:num>
  <w:num w:numId="36" w16cid:durableId="1793475286">
    <w:abstractNumId w:val="21"/>
  </w:num>
  <w:num w:numId="37" w16cid:durableId="619460279">
    <w:abstractNumId w:val="40"/>
  </w:num>
  <w:num w:numId="38" w16cid:durableId="926109195">
    <w:abstractNumId w:val="46"/>
  </w:num>
  <w:num w:numId="39" w16cid:durableId="1650204813">
    <w:abstractNumId w:val="27"/>
  </w:num>
  <w:num w:numId="40" w16cid:durableId="242301365">
    <w:abstractNumId w:val="3"/>
  </w:num>
  <w:num w:numId="41" w16cid:durableId="1891644693">
    <w:abstractNumId w:val="17"/>
  </w:num>
  <w:num w:numId="42" w16cid:durableId="2012103932">
    <w:abstractNumId w:val="18"/>
  </w:num>
  <w:num w:numId="43" w16cid:durableId="264045106">
    <w:abstractNumId w:val="14"/>
  </w:num>
  <w:num w:numId="44" w16cid:durableId="1338196385">
    <w:abstractNumId w:val="45"/>
  </w:num>
  <w:num w:numId="45" w16cid:durableId="335574617">
    <w:abstractNumId w:val="34"/>
  </w:num>
  <w:num w:numId="46" w16cid:durableId="1062757512">
    <w:abstractNumId w:val="9"/>
  </w:num>
  <w:num w:numId="47" w16cid:durableId="92357618">
    <w:abstractNumId w:val="28"/>
  </w:num>
  <w:num w:numId="48" w16cid:durableId="2875871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53"/>
    <w:rsid w:val="00001430"/>
    <w:rsid w:val="0000654E"/>
    <w:rsid w:val="00006F06"/>
    <w:rsid w:val="00007E9E"/>
    <w:rsid w:val="00007F66"/>
    <w:rsid w:val="00012366"/>
    <w:rsid w:val="000132EE"/>
    <w:rsid w:val="00015E86"/>
    <w:rsid w:val="00017AF0"/>
    <w:rsid w:val="00021143"/>
    <w:rsid w:val="00022011"/>
    <w:rsid w:val="00023210"/>
    <w:rsid w:val="00023CE6"/>
    <w:rsid w:val="00024570"/>
    <w:rsid w:val="00024857"/>
    <w:rsid w:val="00026BB5"/>
    <w:rsid w:val="00030BE3"/>
    <w:rsid w:val="00031B10"/>
    <w:rsid w:val="00033565"/>
    <w:rsid w:val="00034F1F"/>
    <w:rsid w:val="00035105"/>
    <w:rsid w:val="00035F42"/>
    <w:rsid w:val="000377D2"/>
    <w:rsid w:val="000404DB"/>
    <w:rsid w:val="0004557C"/>
    <w:rsid w:val="000500DD"/>
    <w:rsid w:val="0005042D"/>
    <w:rsid w:val="000510A5"/>
    <w:rsid w:val="00051E96"/>
    <w:rsid w:val="00052D5F"/>
    <w:rsid w:val="0005490A"/>
    <w:rsid w:val="00060A91"/>
    <w:rsid w:val="000624DF"/>
    <w:rsid w:val="0006328E"/>
    <w:rsid w:val="0006603B"/>
    <w:rsid w:val="00066274"/>
    <w:rsid w:val="00067D67"/>
    <w:rsid w:val="00067D98"/>
    <w:rsid w:val="0007578D"/>
    <w:rsid w:val="00081183"/>
    <w:rsid w:val="000833C8"/>
    <w:rsid w:val="00084D9B"/>
    <w:rsid w:val="00085A2D"/>
    <w:rsid w:val="000912F3"/>
    <w:rsid w:val="00093027"/>
    <w:rsid w:val="00093B2E"/>
    <w:rsid w:val="00097F81"/>
    <w:rsid w:val="000A0EDD"/>
    <w:rsid w:val="000A220C"/>
    <w:rsid w:val="000A3A56"/>
    <w:rsid w:val="000A47BF"/>
    <w:rsid w:val="000A62F4"/>
    <w:rsid w:val="000B24AD"/>
    <w:rsid w:val="000B36FE"/>
    <w:rsid w:val="000B3C39"/>
    <w:rsid w:val="000C02E2"/>
    <w:rsid w:val="000C0D17"/>
    <w:rsid w:val="000C0E9F"/>
    <w:rsid w:val="000C2CAD"/>
    <w:rsid w:val="000C4531"/>
    <w:rsid w:val="000D7077"/>
    <w:rsid w:val="000E09E5"/>
    <w:rsid w:val="000E164A"/>
    <w:rsid w:val="000E29B0"/>
    <w:rsid w:val="000E684F"/>
    <w:rsid w:val="000E7C0A"/>
    <w:rsid w:val="000F47FC"/>
    <w:rsid w:val="000F4F7D"/>
    <w:rsid w:val="000F6910"/>
    <w:rsid w:val="000F7AE7"/>
    <w:rsid w:val="00103897"/>
    <w:rsid w:val="001050CE"/>
    <w:rsid w:val="00111F1B"/>
    <w:rsid w:val="00117737"/>
    <w:rsid w:val="001207C7"/>
    <w:rsid w:val="00120CBF"/>
    <w:rsid w:val="00125508"/>
    <w:rsid w:val="001271F5"/>
    <w:rsid w:val="001277F5"/>
    <w:rsid w:val="001322F2"/>
    <w:rsid w:val="00137BC7"/>
    <w:rsid w:val="00142433"/>
    <w:rsid w:val="00152399"/>
    <w:rsid w:val="0015424F"/>
    <w:rsid w:val="0015755E"/>
    <w:rsid w:val="001577F7"/>
    <w:rsid w:val="001628AC"/>
    <w:rsid w:val="00163AF7"/>
    <w:rsid w:val="00165EAC"/>
    <w:rsid w:val="00167052"/>
    <w:rsid w:val="00170FBE"/>
    <w:rsid w:val="00173B44"/>
    <w:rsid w:val="001741FC"/>
    <w:rsid w:val="00187F7D"/>
    <w:rsid w:val="0019119A"/>
    <w:rsid w:val="00192B06"/>
    <w:rsid w:val="00192F3B"/>
    <w:rsid w:val="00194975"/>
    <w:rsid w:val="001A1349"/>
    <w:rsid w:val="001A6CE2"/>
    <w:rsid w:val="001A7896"/>
    <w:rsid w:val="001B13ED"/>
    <w:rsid w:val="001B203F"/>
    <w:rsid w:val="001C5080"/>
    <w:rsid w:val="001D3D8B"/>
    <w:rsid w:val="001E0D36"/>
    <w:rsid w:val="001E200B"/>
    <w:rsid w:val="001E3176"/>
    <w:rsid w:val="001F213F"/>
    <w:rsid w:val="001F289B"/>
    <w:rsid w:val="001F58FD"/>
    <w:rsid w:val="001F70A2"/>
    <w:rsid w:val="002047FC"/>
    <w:rsid w:val="00204C89"/>
    <w:rsid w:val="00205D87"/>
    <w:rsid w:val="00206FD6"/>
    <w:rsid w:val="0020778B"/>
    <w:rsid w:val="00213A7B"/>
    <w:rsid w:val="00232FA6"/>
    <w:rsid w:val="00242188"/>
    <w:rsid w:val="00244E1F"/>
    <w:rsid w:val="002476DB"/>
    <w:rsid w:val="00250885"/>
    <w:rsid w:val="002532CE"/>
    <w:rsid w:val="0025357F"/>
    <w:rsid w:val="00253F6A"/>
    <w:rsid w:val="00256DCB"/>
    <w:rsid w:val="00257014"/>
    <w:rsid w:val="00261686"/>
    <w:rsid w:val="002627AE"/>
    <w:rsid w:val="0026325A"/>
    <w:rsid w:val="00264F15"/>
    <w:rsid w:val="00267DCB"/>
    <w:rsid w:val="002717EC"/>
    <w:rsid w:val="00273580"/>
    <w:rsid w:val="0027362D"/>
    <w:rsid w:val="00273DF9"/>
    <w:rsid w:val="00274AAB"/>
    <w:rsid w:val="00275F97"/>
    <w:rsid w:val="00280564"/>
    <w:rsid w:val="0028307C"/>
    <w:rsid w:val="00284C44"/>
    <w:rsid w:val="00286C0A"/>
    <w:rsid w:val="002871F3"/>
    <w:rsid w:val="002909E7"/>
    <w:rsid w:val="002957A8"/>
    <w:rsid w:val="00296F5A"/>
    <w:rsid w:val="002A099E"/>
    <w:rsid w:val="002A5979"/>
    <w:rsid w:val="002A6EF3"/>
    <w:rsid w:val="002A74D8"/>
    <w:rsid w:val="002B3704"/>
    <w:rsid w:val="002C3936"/>
    <w:rsid w:val="002C39B3"/>
    <w:rsid w:val="002D0B7D"/>
    <w:rsid w:val="002D3834"/>
    <w:rsid w:val="002D4DD5"/>
    <w:rsid w:val="002D5624"/>
    <w:rsid w:val="002E33D9"/>
    <w:rsid w:val="002E4015"/>
    <w:rsid w:val="002E60BD"/>
    <w:rsid w:val="002F1074"/>
    <w:rsid w:val="002F45F1"/>
    <w:rsid w:val="00301C45"/>
    <w:rsid w:val="003035CC"/>
    <w:rsid w:val="00303F85"/>
    <w:rsid w:val="0030422C"/>
    <w:rsid w:val="00304F15"/>
    <w:rsid w:val="003064D4"/>
    <w:rsid w:val="003065FC"/>
    <w:rsid w:val="00316FD3"/>
    <w:rsid w:val="003205F1"/>
    <w:rsid w:val="00322409"/>
    <w:rsid w:val="0032550F"/>
    <w:rsid w:val="0032677D"/>
    <w:rsid w:val="00326B7A"/>
    <w:rsid w:val="0032745F"/>
    <w:rsid w:val="0033052C"/>
    <w:rsid w:val="00330C8A"/>
    <w:rsid w:val="00332F45"/>
    <w:rsid w:val="003332D7"/>
    <w:rsid w:val="003341B8"/>
    <w:rsid w:val="00337501"/>
    <w:rsid w:val="003512EC"/>
    <w:rsid w:val="00354D87"/>
    <w:rsid w:val="00354D94"/>
    <w:rsid w:val="00357129"/>
    <w:rsid w:val="0036164F"/>
    <w:rsid w:val="003643FB"/>
    <w:rsid w:val="00372AE4"/>
    <w:rsid w:val="00374421"/>
    <w:rsid w:val="0037688E"/>
    <w:rsid w:val="00377C00"/>
    <w:rsid w:val="00377DE1"/>
    <w:rsid w:val="003800DA"/>
    <w:rsid w:val="00380E1C"/>
    <w:rsid w:val="00381C58"/>
    <w:rsid w:val="00383781"/>
    <w:rsid w:val="00383A87"/>
    <w:rsid w:val="00387268"/>
    <w:rsid w:val="00387F73"/>
    <w:rsid w:val="00393055"/>
    <w:rsid w:val="003A2A2C"/>
    <w:rsid w:val="003A313E"/>
    <w:rsid w:val="003A34C7"/>
    <w:rsid w:val="003A3D10"/>
    <w:rsid w:val="003A580D"/>
    <w:rsid w:val="003A646A"/>
    <w:rsid w:val="003B063B"/>
    <w:rsid w:val="003B21A0"/>
    <w:rsid w:val="003B2758"/>
    <w:rsid w:val="003B2C14"/>
    <w:rsid w:val="003B4CA6"/>
    <w:rsid w:val="003B5B09"/>
    <w:rsid w:val="003B7D06"/>
    <w:rsid w:val="003C5133"/>
    <w:rsid w:val="003C5B3C"/>
    <w:rsid w:val="003C5EE4"/>
    <w:rsid w:val="003D0278"/>
    <w:rsid w:val="003D079A"/>
    <w:rsid w:val="003D76F7"/>
    <w:rsid w:val="003D7C97"/>
    <w:rsid w:val="003E1772"/>
    <w:rsid w:val="003E2C40"/>
    <w:rsid w:val="003E4A95"/>
    <w:rsid w:val="003E59CB"/>
    <w:rsid w:val="003F5955"/>
    <w:rsid w:val="00401127"/>
    <w:rsid w:val="00403F35"/>
    <w:rsid w:val="00406975"/>
    <w:rsid w:val="00407754"/>
    <w:rsid w:val="00416B58"/>
    <w:rsid w:val="004200FD"/>
    <w:rsid w:val="00422221"/>
    <w:rsid w:val="004266EC"/>
    <w:rsid w:val="00435B25"/>
    <w:rsid w:val="00441F7C"/>
    <w:rsid w:val="00443BED"/>
    <w:rsid w:val="00445900"/>
    <w:rsid w:val="004467EE"/>
    <w:rsid w:val="00450ADF"/>
    <w:rsid w:val="00454834"/>
    <w:rsid w:val="00457018"/>
    <w:rsid w:val="00463066"/>
    <w:rsid w:val="00465096"/>
    <w:rsid w:val="00470153"/>
    <w:rsid w:val="00470384"/>
    <w:rsid w:val="00472056"/>
    <w:rsid w:val="004724B8"/>
    <w:rsid w:val="00472EFD"/>
    <w:rsid w:val="00477E9E"/>
    <w:rsid w:val="00482137"/>
    <w:rsid w:val="0048369B"/>
    <w:rsid w:val="00485A09"/>
    <w:rsid w:val="00487635"/>
    <w:rsid w:val="004877E7"/>
    <w:rsid w:val="00497693"/>
    <w:rsid w:val="004A1C43"/>
    <w:rsid w:val="004A2D53"/>
    <w:rsid w:val="004A2F43"/>
    <w:rsid w:val="004A3B05"/>
    <w:rsid w:val="004B0E5E"/>
    <w:rsid w:val="004B2D6A"/>
    <w:rsid w:val="004B51AD"/>
    <w:rsid w:val="004B5243"/>
    <w:rsid w:val="004B71BF"/>
    <w:rsid w:val="004B7B0B"/>
    <w:rsid w:val="004C08CA"/>
    <w:rsid w:val="004C139B"/>
    <w:rsid w:val="004C2212"/>
    <w:rsid w:val="004C4036"/>
    <w:rsid w:val="004C48B3"/>
    <w:rsid w:val="004C4C1E"/>
    <w:rsid w:val="004D5AD3"/>
    <w:rsid w:val="004D5F02"/>
    <w:rsid w:val="004E0C74"/>
    <w:rsid w:val="004E0D35"/>
    <w:rsid w:val="004E1B92"/>
    <w:rsid w:val="004E4299"/>
    <w:rsid w:val="004E581A"/>
    <w:rsid w:val="004E5F87"/>
    <w:rsid w:val="004E5F91"/>
    <w:rsid w:val="004F5898"/>
    <w:rsid w:val="00501831"/>
    <w:rsid w:val="00503CA7"/>
    <w:rsid w:val="00505263"/>
    <w:rsid w:val="00506050"/>
    <w:rsid w:val="0050664E"/>
    <w:rsid w:val="005132B5"/>
    <w:rsid w:val="00514BAB"/>
    <w:rsid w:val="00515355"/>
    <w:rsid w:val="005156D2"/>
    <w:rsid w:val="00521255"/>
    <w:rsid w:val="00523A3E"/>
    <w:rsid w:val="00524785"/>
    <w:rsid w:val="005247DC"/>
    <w:rsid w:val="005320A2"/>
    <w:rsid w:val="00532B3A"/>
    <w:rsid w:val="00535917"/>
    <w:rsid w:val="0054052D"/>
    <w:rsid w:val="00540AE5"/>
    <w:rsid w:val="00540EB5"/>
    <w:rsid w:val="00542314"/>
    <w:rsid w:val="00544224"/>
    <w:rsid w:val="00545E3E"/>
    <w:rsid w:val="005530F4"/>
    <w:rsid w:val="00554960"/>
    <w:rsid w:val="00554E9A"/>
    <w:rsid w:val="005617A2"/>
    <w:rsid w:val="0056227A"/>
    <w:rsid w:val="0056393D"/>
    <w:rsid w:val="005645BE"/>
    <w:rsid w:val="005704E2"/>
    <w:rsid w:val="005736A4"/>
    <w:rsid w:val="00573DF7"/>
    <w:rsid w:val="00574B38"/>
    <w:rsid w:val="00576856"/>
    <w:rsid w:val="0057695A"/>
    <w:rsid w:val="005803A0"/>
    <w:rsid w:val="0058287E"/>
    <w:rsid w:val="00582A18"/>
    <w:rsid w:val="00584B5D"/>
    <w:rsid w:val="00584CED"/>
    <w:rsid w:val="00585CCD"/>
    <w:rsid w:val="00593FB2"/>
    <w:rsid w:val="005A1155"/>
    <w:rsid w:val="005A2E7C"/>
    <w:rsid w:val="005A5B38"/>
    <w:rsid w:val="005B0558"/>
    <w:rsid w:val="005B165F"/>
    <w:rsid w:val="005B3C4A"/>
    <w:rsid w:val="005B3EE3"/>
    <w:rsid w:val="005B4B43"/>
    <w:rsid w:val="005C3CED"/>
    <w:rsid w:val="005C4442"/>
    <w:rsid w:val="005C5D8E"/>
    <w:rsid w:val="005D017C"/>
    <w:rsid w:val="005D44CE"/>
    <w:rsid w:val="005D5382"/>
    <w:rsid w:val="005D5396"/>
    <w:rsid w:val="005E2BF3"/>
    <w:rsid w:val="005E40E0"/>
    <w:rsid w:val="005E5B5D"/>
    <w:rsid w:val="005F0A3F"/>
    <w:rsid w:val="005F19BD"/>
    <w:rsid w:val="005F1AB5"/>
    <w:rsid w:val="005F3088"/>
    <w:rsid w:val="005F3A1B"/>
    <w:rsid w:val="005F3CC5"/>
    <w:rsid w:val="005F40FF"/>
    <w:rsid w:val="005F5249"/>
    <w:rsid w:val="00601E48"/>
    <w:rsid w:val="0061568D"/>
    <w:rsid w:val="00617911"/>
    <w:rsid w:val="006202AB"/>
    <w:rsid w:val="006236D5"/>
    <w:rsid w:val="00626D75"/>
    <w:rsid w:val="00630A59"/>
    <w:rsid w:val="006335BB"/>
    <w:rsid w:val="00640ABA"/>
    <w:rsid w:val="006446A5"/>
    <w:rsid w:val="00644C38"/>
    <w:rsid w:val="006458D0"/>
    <w:rsid w:val="00647FA3"/>
    <w:rsid w:val="006537C9"/>
    <w:rsid w:val="0065555D"/>
    <w:rsid w:val="00657F54"/>
    <w:rsid w:val="00663068"/>
    <w:rsid w:val="00663449"/>
    <w:rsid w:val="00667936"/>
    <w:rsid w:val="00670587"/>
    <w:rsid w:val="00671CBC"/>
    <w:rsid w:val="006727C7"/>
    <w:rsid w:val="006746DD"/>
    <w:rsid w:val="0067499A"/>
    <w:rsid w:val="00677438"/>
    <w:rsid w:val="006879EC"/>
    <w:rsid w:val="006913F0"/>
    <w:rsid w:val="00692C35"/>
    <w:rsid w:val="00694231"/>
    <w:rsid w:val="006951B9"/>
    <w:rsid w:val="00697219"/>
    <w:rsid w:val="006A13DF"/>
    <w:rsid w:val="006A16EC"/>
    <w:rsid w:val="006A27AE"/>
    <w:rsid w:val="006A324C"/>
    <w:rsid w:val="006A4BC5"/>
    <w:rsid w:val="006A5942"/>
    <w:rsid w:val="006A7C26"/>
    <w:rsid w:val="006B0051"/>
    <w:rsid w:val="006B03A4"/>
    <w:rsid w:val="006B3B27"/>
    <w:rsid w:val="006B5B6C"/>
    <w:rsid w:val="006C03ED"/>
    <w:rsid w:val="006C0BE1"/>
    <w:rsid w:val="006C3A70"/>
    <w:rsid w:val="006C5242"/>
    <w:rsid w:val="006D112C"/>
    <w:rsid w:val="006D4E4F"/>
    <w:rsid w:val="006D6191"/>
    <w:rsid w:val="006E1D77"/>
    <w:rsid w:val="006F186A"/>
    <w:rsid w:val="006F1D96"/>
    <w:rsid w:val="006F27FC"/>
    <w:rsid w:val="006F2CC5"/>
    <w:rsid w:val="006F7838"/>
    <w:rsid w:val="007039C9"/>
    <w:rsid w:val="00704FFD"/>
    <w:rsid w:val="00710E3A"/>
    <w:rsid w:val="00711BC3"/>
    <w:rsid w:val="00711FA2"/>
    <w:rsid w:val="00716B51"/>
    <w:rsid w:val="0072169F"/>
    <w:rsid w:val="00724301"/>
    <w:rsid w:val="0072444D"/>
    <w:rsid w:val="00735FB2"/>
    <w:rsid w:val="0074030C"/>
    <w:rsid w:val="00742CEB"/>
    <w:rsid w:val="00742E1F"/>
    <w:rsid w:val="00743DF0"/>
    <w:rsid w:val="0074444A"/>
    <w:rsid w:val="00745495"/>
    <w:rsid w:val="00746788"/>
    <w:rsid w:val="00751957"/>
    <w:rsid w:val="00752B94"/>
    <w:rsid w:val="00753AC4"/>
    <w:rsid w:val="00753CE5"/>
    <w:rsid w:val="00764C81"/>
    <w:rsid w:val="0076522F"/>
    <w:rsid w:val="0076698F"/>
    <w:rsid w:val="00772A21"/>
    <w:rsid w:val="0077326B"/>
    <w:rsid w:val="007746F4"/>
    <w:rsid w:val="007752FB"/>
    <w:rsid w:val="00777411"/>
    <w:rsid w:val="00777742"/>
    <w:rsid w:val="00780730"/>
    <w:rsid w:val="00781CEC"/>
    <w:rsid w:val="00781FB8"/>
    <w:rsid w:val="007841C0"/>
    <w:rsid w:val="007854B5"/>
    <w:rsid w:val="00796AEF"/>
    <w:rsid w:val="00796B4E"/>
    <w:rsid w:val="0079726A"/>
    <w:rsid w:val="007A0716"/>
    <w:rsid w:val="007A2ACE"/>
    <w:rsid w:val="007A33B9"/>
    <w:rsid w:val="007A3DF0"/>
    <w:rsid w:val="007A46D9"/>
    <w:rsid w:val="007A7538"/>
    <w:rsid w:val="007B1DA2"/>
    <w:rsid w:val="007B31D4"/>
    <w:rsid w:val="007C0316"/>
    <w:rsid w:val="007C060C"/>
    <w:rsid w:val="007C2DB4"/>
    <w:rsid w:val="007C5C2A"/>
    <w:rsid w:val="007D281B"/>
    <w:rsid w:val="007D2D52"/>
    <w:rsid w:val="007D6951"/>
    <w:rsid w:val="007D7D4C"/>
    <w:rsid w:val="007D7DFE"/>
    <w:rsid w:val="007E0466"/>
    <w:rsid w:val="007E11EA"/>
    <w:rsid w:val="007E36B6"/>
    <w:rsid w:val="007F03E1"/>
    <w:rsid w:val="007F2C2D"/>
    <w:rsid w:val="007F4949"/>
    <w:rsid w:val="007F4994"/>
    <w:rsid w:val="007F6396"/>
    <w:rsid w:val="008002B4"/>
    <w:rsid w:val="00800830"/>
    <w:rsid w:val="008016C3"/>
    <w:rsid w:val="00801B5C"/>
    <w:rsid w:val="008066A9"/>
    <w:rsid w:val="008207F2"/>
    <w:rsid w:val="00822F26"/>
    <w:rsid w:val="008305FC"/>
    <w:rsid w:val="0083122B"/>
    <w:rsid w:val="008318DF"/>
    <w:rsid w:val="00833249"/>
    <w:rsid w:val="008341F7"/>
    <w:rsid w:val="0083644D"/>
    <w:rsid w:val="00837697"/>
    <w:rsid w:val="00841253"/>
    <w:rsid w:val="00843163"/>
    <w:rsid w:val="00843406"/>
    <w:rsid w:val="0084668A"/>
    <w:rsid w:val="0084782A"/>
    <w:rsid w:val="00854D1A"/>
    <w:rsid w:val="00855EEA"/>
    <w:rsid w:val="00857808"/>
    <w:rsid w:val="00864713"/>
    <w:rsid w:val="008660F8"/>
    <w:rsid w:val="0087183A"/>
    <w:rsid w:val="00872746"/>
    <w:rsid w:val="00874969"/>
    <w:rsid w:val="00875447"/>
    <w:rsid w:val="00876005"/>
    <w:rsid w:val="00881801"/>
    <w:rsid w:val="00886BB0"/>
    <w:rsid w:val="00892175"/>
    <w:rsid w:val="00896541"/>
    <w:rsid w:val="00897D55"/>
    <w:rsid w:val="008A02B2"/>
    <w:rsid w:val="008A20EC"/>
    <w:rsid w:val="008A2A77"/>
    <w:rsid w:val="008A4875"/>
    <w:rsid w:val="008A7BC7"/>
    <w:rsid w:val="008B238D"/>
    <w:rsid w:val="008B2882"/>
    <w:rsid w:val="008C01F5"/>
    <w:rsid w:val="008C06E1"/>
    <w:rsid w:val="008C1461"/>
    <w:rsid w:val="008C3865"/>
    <w:rsid w:val="008D018D"/>
    <w:rsid w:val="008D6EDE"/>
    <w:rsid w:val="008D72CB"/>
    <w:rsid w:val="008E35CA"/>
    <w:rsid w:val="008E5510"/>
    <w:rsid w:val="008F16BA"/>
    <w:rsid w:val="008F5A2E"/>
    <w:rsid w:val="008F7B5F"/>
    <w:rsid w:val="00910F39"/>
    <w:rsid w:val="0091188B"/>
    <w:rsid w:val="0091382D"/>
    <w:rsid w:val="00916010"/>
    <w:rsid w:val="00920CA0"/>
    <w:rsid w:val="00921F08"/>
    <w:rsid w:val="00925CA9"/>
    <w:rsid w:val="00926344"/>
    <w:rsid w:val="00926FEF"/>
    <w:rsid w:val="00927130"/>
    <w:rsid w:val="00931067"/>
    <w:rsid w:val="009311B9"/>
    <w:rsid w:val="0093120F"/>
    <w:rsid w:val="0093200F"/>
    <w:rsid w:val="00932D53"/>
    <w:rsid w:val="009333C6"/>
    <w:rsid w:val="00937349"/>
    <w:rsid w:val="00945112"/>
    <w:rsid w:val="00946EF6"/>
    <w:rsid w:val="00956175"/>
    <w:rsid w:val="0096754C"/>
    <w:rsid w:val="0097014B"/>
    <w:rsid w:val="0097477A"/>
    <w:rsid w:val="00974D0E"/>
    <w:rsid w:val="0097511A"/>
    <w:rsid w:val="0097670C"/>
    <w:rsid w:val="00976DA8"/>
    <w:rsid w:val="00977329"/>
    <w:rsid w:val="009811F2"/>
    <w:rsid w:val="00981227"/>
    <w:rsid w:val="009820CB"/>
    <w:rsid w:val="00983743"/>
    <w:rsid w:val="0098588F"/>
    <w:rsid w:val="00995DDB"/>
    <w:rsid w:val="00996A6B"/>
    <w:rsid w:val="00997C9E"/>
    <w:rsid w:val="009A0B71"/>
    <w:rsid w:val="009A16F0"/>
    <w:rsid w:val="009A1DDF"/>
    <w:rsid w:val="009A3F77"/>
    <w:rsid w:val="009A419B"/>
    <w:rsid w:val="009B3595"/>
    <w:rsid w:val="009B5A7A"/>
    <w:rsid w:val="009B72F0"/>
    <w:rsid w:val="009C13E4"/>
    <w:rsid w:val="009C2163"/>
    <w:rsid w:val="009D4E8A"/>
    <w:rsid w:val="009F4CBE"/>
    <w:rsid w:val="009F57B9"/>
    <w:rsid w:val="00A016DB"/>
    <w:rsid w:val="00A037F6"/>
    <w:rsid w:val="00A11286"/>
    <w:rsid w:val="00A14248"/>
    <w:rsid w:val="00A1630A"/>
    <w:rsid w:val="00A169B8"/>
    <w:rsid w:val="00A21067"/>
    <w:rsid w:val="00A250BD"/>
    <w:rsid w:val="00A262B3"/>
    <w:rsid w:val="00A262D2"/>
    <w:rsid w:val="00A300B8"/>
    <w:rsid w:val="00A322DF"/>
    <w:rsid w:val="00A33F8F"/>
    <w:rsid w:val="00A36EBF"/>
    <w:rsid w:val="00A42B44"/>
    <w:rsid w:val="00A454DA"/>
    <w:rsid w:val="00A455B6"/>
    <w:rsid w:val="00A4734C"/>
    <w:rsid w:val="00A559B4"/>
    <w:rsid w:val="00A565DB"/>
    <w:rsid w:val="00A56E7D"/>
    <w:rsid w:val="00A6414A"/>
    <w:rsid w:val="00A6581E"/>
    <w:rsid w:val="00A707EC"/>
    <w:rsid w:val="00A71A41"/>
    <w:rsid w:val="00A72088"/>
    <w:rsid w:val="00A72CA4"/>
    <w:rsid w:val="00A734F8"/>
    <w:rsid w:val="00A74CC0"/>
    <w:rsid w:val="00A76398"/>
    <w:rsid w:val="00A77D5A"/>
    <w:rsid w:val="00A80B13"/>
    <w:rsid w:val="00A8605A"/>
    <w:rsid w:val="00A9055B"/>
    <w:rsid w:val="00A9101C"/>
    <w:rsid w:val="00A92549"/>
    <w:rsid w:val="00A9281F"/>
    <w:rsid w:val="00A92D07"/>
    <w:rsid w:val="00A9432E"/>
    <w:rsid w:val="00A949EB"/>
    <w:rsid w:val="00A94FA0"/>
    <w:rsid w:val="00AA5742"/>
    <w:rsid w:val="00AB0AEB"/>
    <w:rsid w:val="00AB253B"/>
    <w:rsid w:val="00AC058A"/>
    <w:rsid w:val="00AC34CD"/>
    <w:rsid w:val="00AC4109"/>
    <w:rsid w:val="00AC418D"/>
    <w:rsid w:val="00AC464D"/>
    <w:rsid w:val="00AD3B25"/>
    <w:rsid w:val="00AD51E2"/>
    <w:rsid w:val="00AD79CA"/>
    <w:rsid w:val="00AE1012"/>
    <w:rsid w:val="00AE6FDE"/>
    <w:rsid w:val="00AF0F51"/>
    <w:rsid w:val="00AF3002"/>
    <w:rsid w:val="00AF30F7"/>
    <w:rsid w:val="00AF37AB"/>
    <w:rsid w:val="00AF3A2A"/>
    <w:rsid w:val="00AF6DBB"/>
    <w:rsid w:val="00B0247A"/>
    <w:rsid w:val="00B12699"/>
    <w:rsid w:val="00B15960"/>
    <w:rsid w:val="00B1646C"/>
    <w:rsid w:val="00B16695"/>
    <w:rsid w:val="00B23718"/>
    <w:rsid w:val="00B2410B"/>
    <w:rsid w:val="00B24F1F"/>
    <w:rsid w:val="00B24F4F"/>
    <w:rsid w:val="00B27A9E"/>
    <w:rsid w:val="00B37A8B"/>
    <w:rsid w:val="00B417F7"/>
    <w:rsid w:val="00B46319"/>
    <w:rsid w:val="00B463F8"/>
    <w:rsid w:val="00B471C0"/>
    <w:rsid w:val="00B474EB"/>
    <w:rsid w:val="00B50D1C"/>
    <w:rsid w:val="00B51D7B"/>
    <w:rsid w:val="00B57E6D"/>
    <w:rsid w:val="00B615B2"/>
    <w:rsid w:val="00B61815"/>
    <w:rsid w:val="00B643F6"/>
    <w:rsid w:val="00B64C51"/>
    <w:rsid w:val="00B6569F"/>
    <w:rsid w:val="00B65CCC"/>
    <w:rsid w:val="00B7189F"/>
    <w:rsid w:val="00B72C59"/>
    <w:rsid w:val="00B739A5"/>
    <w:rsid w:val="00B742E5"/>
    <w:rsid w:val="00B969D0"/>
    <w:rsid w:val="00B96CB8"/>
    <w:rsid w:val="00BA6680"/>
    <w:rsid w:val="00BA7821"/>
    <w:rsid w:val="00BB2D77"/>
    <w:rsid w:val="00BB4F11"/>
    <w:rsid w:val="00BB5CAC"/>
    <w:rsid w:val="00BC110E"/>
    <w:rsid w:val="00BC2C5E"/>
    <w:rsid w:val="00BC439B"/>
    <w:rsid w:val="00BC6086"/>
    <w:rsid w:val="00BC7980"/>
    <w:rsid w:val="00BD1E89"/>
    <w:rsid w:val="00BD4005"/>
    <w:rsid w:val="00BD4B1A"/>
    <w:rsid w:val="00BD51CD"/>
    <w:rsid w:val="00BD5920"/>
    <w:rsid w:val="00BE56F7"/>
    <w:rsid w:val="00BF2B48"/>
    <w:rsid w:val="00BF3438"/>
    <w:rsid w:val="00BF41D2"/>
    <w:rsid w:val="00BF4B96"/>
    <w:rsid w:val="00BF7794"/>
    <w:rsid w:val="00C00C8D"/>
    <w:rsid w:val="00C03203"/>
    <w:rsid w:val="00C11B1F"/>
    <w:rsid w:val="00C157F4"/>
    <w:rsid w:val="00C22E17"/>
    <w:rsid w:val="00C2335D"/>
    <w:rsid w:val="00C31FB6"/>
    <w:rsid w:val="00C32BDF"/>
    <w:rsid w:val="00C37C14"/>
    <w:rsid w:val="00C40971"/>
    <w:rsid w:val="00C434B1"/>
    <w:rsid w:val="00C44B9C"/>
    <w:rsid w:val="00C45E95"/>
    <w:rsid w:val="00C47171"/>
    <w:rsid w:val="00C536CC"/>
    <w:rsid w:val="00C53713"/>
    <w:rsid w:val="00C54F47"/>
    <w:rsid w:val="00C55397"/>
    <w:rsid w:val="00C5597C"/>
    <w:rsid w:val="00C57E65"/>
    <w:rsid w:val="00C57ED8"/>
    <w:rsid w:val="00C60D1C"/>
    <w:rsid w:val="00C62DF2"/>
    <w:rsid w:val="00C632CC"/>
    <w:rsid w:val="00C704B2"/>
    <w:rsid w:val="00C74F5B"/>
    <w:rsid w:val="00C76CD5"/>
    <w:rsid w:val="00C80FA1"/>
    <w:rsid w:val="00C86526"/>
    <w:rsid w:val="00C920CF"/>
    <w:rsid w:val="00C9232B"/>
    <w:rsid w:val="00C96FBF"/>
    <w:rsid w:val="00CA0BB0"/>
    <w:rsid w:val="00CA11F1"/>
    <w:rsid w:val="00CB007F"/>
    <w:rsid w:val="00CB21AC"/>
    <w:rsid w:val="00CB3C64"/>
    <w:rsid w:val="00CB3DC1"/>
    <w:rsid w:val="00CC01B9"/>
    <w:rsid w:val="00CD5824"/>
    <w:rsid w:val="00CD61BC"/>
    <w:rsid w:val="00CE0C5F"/>
    <w:rsid w:val="00CE2549"/>
    <w:rsid w:val="00CE2646"/>
    <w:rsid w:val="00CE2CF8"/>
    <w:rsid w:val="00CE44B8"/>
    <w:rsid w:val="00CF1885"/>
    <w:rsid w:val="00CF4395"/>
    <w:rsid w:val="00CF4BD3"/>
    <w:rsid w:val="00CF4DA2"/>
    <w:rsid w:val="00CF4F30"/>
    <w:rsid w:val="00D031B5"/>
    <w:rsid w:val="00D07153"/>
    <w:rsid w:val="00D12508"/>
    <w:rsid w:val="00D150AD"/>
    <w:rsid w:val="00D15840"/>
    <w:rsid w:val="00D2059A"/>
    <w:rsid w:val="00D21DD5"/>
    <w:rsid w:val="00D220E8"/>
    <w:rsid w:val="00D22BCA"/>
    <w:rsid w:val="00D22FD9"/>
    <w:rsid w:val="00D329BE"/>
    <w:rsid w:val="00D337EA"/>
    <w:rsid w:val="00D33ECB"/>
    <w:rsid w:val="00D34C02"/>
    <w:rsid w:val="00D42BB8"/>
    <w:rsid w:val="00D45094"/>
    <w:rsid w:val="00D451C6"/>
    <w:rsid w:val="00D451FF"/>
    <w:rsid w:val="00D458B0"/>
    <w:rsid w:val="00D46361"/>
    <w:rsid w:val="00D46547"/>
    <w:rsid w:val="00D55973"/>
    <w:rsid w:val="00D61B49"/>
    <w:rsid w:val="00D7184D"/>
    <w:rsid w:val="00D72CC6"/>
    <w:rsid w:val="00D908E0"/>
    <w:rsid w:val="00D91101"/>
    <w:rsid w:val="00D94731"/>
    <w:rsid w:val="00DA24BC"/>
    <w:rsid w:val="00DA2B1A"/>
    <w:rsid w:val="00DA30BF"/>
    <w:rsid w:val="00DA3A40"/>
    <w:rsid w:val="00DA4046"/>
    <w:rsid w:val="00DA4097"/>
    <w:rsid w:val="00DB1616"/>
    <w:rsid w:val="00DB189E"/>
    <w:rsid w:val="00DB4225"/>
    <w:rsid w:val="00DB5CBA"/>
    <w:rsid w:val="00DB6863"/>
    <w:rsid w:val="00DB76DA"/>
    <w:rsid w:val="00DC3B3D"/>
    <w:rsid w:val="00DC7BAB"/>
    <w:rsid w:val="00DD691D"/>
    <w:rsid w:val="00DE037A"/>
    <w:rsid w:val="00DF05D5"/>
    <w:rsid w:val="00DF0619"/>
    <w:rsid w:val="00DF1F8A"/>
    <w:rsid w:val="00DF42B2"/>
    <w:rsid w:val="00DF45E5"/>
    <w:rsid w:val="00DF4BB0"/>
    <w:rsid w:val="00DF4BF4"/>
    <w:rsid w:val="00DF4C82"/>
    <w:rsid w:val="00DF5082"/>
    <w:rsid w:val="00DF5870"/>
    <w:rsid w:val="00DF79A4"/>
    <w:rsid w:val="00E00FEE"/>
    <w:rsid w:val="00E02283"/>
    <w:rsid w:val="00E02FB6"/>
    <w:rsid w:val="00E1036D"/>
    <w:rsid w:val="00E12483"/>
    <w:rsid w:val="00E160AF"/>
    <w:rsid w:val="00E17BAE"/>
    <w:rsid w:val="00E214F1"/>
    <w:rsid w:val="00E21523"/>
    <w:rsid w:val="00E236D5"/>
    <w:rsid w:val="00E23FDF"/>
    <w:rsid w:val="00E24EF4"/>
    <w:rsid w:val="00E24F35"/>
    <w:rsid w:val="00E27E9A"/>
    <w:rsid w:val="00E33B87"/>
    <w:rsid w:val="00E35653"/>
    <w:rsid w:val="00E3693D"/>
    <w:rsid w:val="00E37D0F"/>
    <w:rsid w:val="00E42AC9"/>
    <w:rsid w:val="00E460FB"/>
    <w:rsid w:val="00E5425E"/>
    <w:rsid w:val="00E6163B"/>
    <w:rsid w:val="00E64887"/>
    <w:rsid w:val="00E648FC"/>
    <w:rsid w:val="00E66ADD"/>
    <w:rsid w:val="00E67889"/>
    <w:rsid w:val="00E6794B"/>
    <w:rsid w:val="00E709A7"/>
    <w:rsid w:val="00E71C2C"/>
    <w:rsid w:val="00E74E73"/>
    <w:rsid w:val="00E81178"/>
    <w:rsid w:val="00E81E97"/>
    <w:rsid w:val="00E83F4F"/>
    <w:rsid w:val="00E86D97"/>
    <w:rsid w:val="00E90A5B"/>
    <w:rsid w:val="00E93573"/>
    <w:rsid w:val="00EA0CB5"/>
    <w:rsid w:val="00EA2C0F"/>
    <w:rsid w:val="00EA4CCD"/>
    <w:rsid w:val="00EA4DB6"/>
    <w:rsid w:val="00EA516E"/>
    <w:rsid w:val="00EA71FC"/>
    <w:rsid w:val="00EA7A07"/>
    <w:rsid w:val="00EB333C"/>
    <w:rsid w:val="00EC215C"/>
    <w:rsid w:val="00EC3B8C"/>
    <w:rsid w:val="00EC43B6"/>
    <w:rsid w:val="00EC5F61"/>
    <w:rsid w:val="00ED1C35"/>
    <w:rsid w:val="00ED2176"/>
    <w:rsid w:val="00ED28BB"/>
    <w:rsid w:val="00EE0729"/>
    <w:rsid w:val="00EE3CB2"/>
    <w:rsid w:val="00EE6F17"/>
    <w:rsid w:val="00EE7775"/>
    <w:rsid w:val="00EE7BF0"/>
    <w:rsid w:val="00EF0BFF"/>
    <w:rsid w:val="00EF24AB"/>
    <w:rsid w:val="00EF5B25"/>
    <w:rsid w:val="00EF6449"/>
    <w:rsid w:val="00EF6540"/>
    <w:rsid w:val="00EF7CC3"/>
    <w:rsid w:val="00F00E92"/>
    <w:rsid w:val="00F035E1"/>
    <w:rsid w:val="00F10A52"/>
    <w:rsid w:val="00F12031"/>
    <w:rsid w:val="00F13475"/>
    <w:rsid w:val="00F211D0"/>
    <w:rsid w:val="00F225CD"/>
    <w:rsid w:val="00F27D90"/>
    <w:rsid w:val="00F311D1"/>
    <w:rsid w:val="00F3439C"/>
    <w:rsid w:val="00F408BB"/>
    <w:rsid w:val="00F444CE"/>
    <w:rsid w:val="00F465E8"/>
    <w:rsid w:val="00F47A5C"/>
    <w:rsid w:val="00F47EF0"/>
    <w:rsid w:val="00F50653"/>
    <w:rsid w:val="00F51AF4"/>
    <w:rsid w:val="00F5274E"/>
    <w:rsid w:val="00F5435F"/>
    <w:rsid w:val="00F5567F"/>
    <w:rsid w:val="00F5617C"/>
    <w:rsid w:val="00F56C7F"/>
    <w:rsid w:val="00F609EA"/>
    <w:rsid w:val="00F61FB4"/>
    <w:rsid w:val="00F62853"/>
    <w:rsid w:val="00F66489"/>
    <w:rsid w:val="00F805DD"/>
    <w:rsid w:val="00F80B88"/>
    <w:rsid w:val="00F84B86"/>
    <w:rsid w:val="00F8641C"/>
    <w:rsid w:val="00F873CF"/>
    <w:rsid w:val="00F90705"/>
    <w:rsid w:val="00F93121"/>
    <w:rsid w:val="00F9527F"/>
    <w:rsid w:val="00FA3064"/>
    <w:rsid w:val="00FB02B0"/>
    <w:rsid w:val="00FB243A"/>
    <w:rsid w:val="00FB3FB6"/>
    <w:rsid w:val="00FB667B"/>
    <w:rsid w:val="00FC4451"/>
    <w:rsid w:val="00FC759D"/>
    <w:rsid w:val="00FD0ABA"/>
    <w:rsid w:val="00FE0FC9"/>
    <w:rsid w:val="00FE2EE1"/>
    <w:rsid w:val="00FE3C75"/>
    <w:rsid w:val="00FE5D95"/>
    <w:rsid w:val="00FE5F1A"/>
    <w:rsid w:val="00FF0122"/>
    <w:rsid w:val="00FF0B00"/>
    <w:rsid w:val="00FF21E2"/>
    <w:rsid w:val="00FF22FB"/>
    <w:rsid w:val="00FF2610"/>
    <w:rsid w:val="00FF2A4B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1E68"/>
  <w15:docId w15:val="{3924993D-8D04-4207-B1C5-EE59E1A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7F7"/>
  </w:style>
  <w:style w:type="paragraph" w:styleId="Nagwek1">
    <w:name w:val="heading 1"/>
    <w:basedOn w:val="Normalny"/>
    <w:next w:val="Normalny"/>
    <w:link w:val="Nagwek1Znak"/>
    <w:qFormat/>
    <w:rsid w:val="00E356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56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65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35653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35653"/>
  </w:style>
  <w:style w:type="table" w:styleId="Tabela-Siatka">
    <w:name w:val="Table Grid"/>
    <w:basedOn w:val="Standardowy"/>
    <w:uiPriority w:val="99"/>
    <w:rsid w:val="00E35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56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5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5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56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3565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356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5653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E35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653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6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653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653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6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653"/>
    <w:rPr>
      <w:vertAlign w:val="superscript"/>
    </w:rPr>
  </w:style>
  <w:style w:type="character" w:styleId="Hipercze">
    <w:name w:val="Hyperlink"/>
    <w:uiPriority w:val="99"/>
    <w:unhideWhenUsed/>
    <w:rsid w:val="00E3565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35653"/>
    <w:rPr>
      <w:color w:val="800080"/>
      <w:u w:val="single"/>
    </w:rPr>
  </w:style>
  <w:style w:type="paragraph" w:customStyle="1" w:styleId="Default">
    <w:name w:val="Default"/>
    <w:rsid w:val="00E3565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71CB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833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300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9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1101"/>
    <w:rPr>
      <w:color w:val="605E5C"/>
      <w:shd w:val="clear" w:color="auto" w:fill="E1DFDD"/>
    </w:rPr>
  </w:style>
  <w:style w:type="paragraph" w:customStyle="1" w:styleId="WMATFIZCHEMwzrmatfizlubchem">
    <w:name w:val="W_MAT(FIZ|CHEM) – wzór mat. (fiz. lub chem.)"/>
    <w:uiPriority w:val="18"/>
    <w:qFormat/>
    <w:rsid w:val="003B7D06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1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4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6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1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1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4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E8FC5-0561-44CC-8697-9A9EAFDB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3352</Words>
  <Characters>20116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BOGUSŁAWSKI Paweł</dc:creator>
  <cp:lastModifiedBy>BOGUSŁAWSKI Paweł</cp:lastModifiedBy>
  <cp:revision>21</cp:revision>
  <dcterms:created xsi:type="dcterms:W3CDTF">2022-07-26T10:13:00Z</dcterms:created>
  <dcterms:modified xsi:type="dcterms:W3CDTF">2022-09-26T13:46:00Z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zofia.romanowska@fortum.com</vt:lpwstr>
  </property>
  <property fmtid="{D5CDD505-2E9C-101B-9397-08002B2CF9AE}" pid="5" name="MSIP_Label_65c3b1a5-3e25-4525-b923-a0572e679d8b_SetDate">
    <vt:lpwstr>2019-01-28T09:13:00.0695414Z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zofia.romanowska@fortum.com</vt:lpwstr>
  </property>
  <property fmtid="{D5CDD505-2E9C-101B-9397-08002B2CF9AE}" pid="12" name="MSIP_Label_f45044c0-b6aa-4b2b-834d-65c9ef8bb134_SetDate">
    <vt:lpwstr>2019-01-28T09:13:00.0695414Z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  <property fmtid="{D5CDD505-2E9C-101B-9397-08002B2CF9AE}" pid="18" name="_NewReviewCycle">
    <vt:lpwstr/>
  </property>
</Properties>
</file>