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3"/>
        <w:gridCol w:w="279"/>
        <w:gridCol w:w="818"/>
        <w:gridCol w:w="1474"/>
        <w:gridCol w:w="128"/>
        <w:gridCol w:w="1249"/>
        <w:gridCol w:w="544"/>
        <w:gridCol w:w="650"/>
        <w:gridCol w:w="2329"/>
      </w:tblGrid>
      <w:tr w:rsidR="00393CC0" w:rsidRPr="008B4FE6" w14:paraId="54C1175F" w14:textId="77777777" w:rsidTr="00393CC0">
        <w:trPr>
          <w:trHeight w:val="1611"/>
        </w:trPr>
        <w:tc>
          <w:tcPr>
            <w:tcW w:w="6571" w:type="dxa"/>
            <w:gridSpan w:val="6"/>
          </w:tcPr>
          <w:p w14:paraId="62C1A338" w14:textId="77777777" w:rsidR="00F75D6C" w:rsidRDefault="00500249" w:rsidP="00F75D6C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037DE39" w14:textId="3323FD0F" w:rsidR="00500249" w:rsidRPr="00C452DF" w:rsidRDefault="00527694" w:rsidP="00F75D6C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0" w:name="_Hlk103842183"/>
            <w:r>
              <w:rPr>
                <w:rFonts w:ascii="Times New Roman" w:hAnsi="Times New Roman"/>
                <w:color w:val="000000"/>
              </w:rPr>
              <w:t xml:space="preserve">Rozporządzenie Ministra Klimatu i Środowiska </w:t>
            </w:r>
            <w:r w:rsidR="004F6423" w:rsidRPr="00C452DF">
              <w:rPr>
                <w:rFonts w:ascii="Times New Roman" w:hAnsi="Times New Roman"/>
                <w:color w:val="000000"/>
              </w:rPr>
              <w:t>w sprawie szczegółowego zakresu informacji zawartych w raporcie oraz sposobu jego</w:t>
            </w:r>
            <w:r w:rsidR="00F75D6C" w:rsidRPr="00C452DF">
              <w:rPr>
                <w:rFonts w:ascii="Times New Roman" w:hAnsi="Times New Roman"/>
                <w:color w:val="000000"/>
              </w:rPr>
              <w:t xml:space="preserve"> </w:t>
            </w:r>
            <w:r w:rsidR="004F6423" w:rsidRPr="00C452DF">
              <w:rPr>
                <w:rFonts w:ascii="Times New Roman" w:hAnsi="Times New Roman"/>
                <w:color w:val="000000"/>
              </w:rPr>
              <w:t>wprowadzania do Krajowej bazy o emisjach gazów cieplarnianych i innych substancji</w:t>
            </w:r>
            <w:bookmarkEnd w:id="0"/>
          </w:p>
          <w:p w14:paraId="3A5502D4" w14:textId="77777777" w:rsidR="00500249" w:rsidRPr="008B4FE6" w:rsidRDefault="00500249" w:rsidP="006140E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6F9E970B" w14:textId="77777777" w:rsidR="00F75D6C" w:rsidRDefault="00500249" w:rsidP="00F75D6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C27E5">
              <w:rPr>
                <w:rFonts w:ascii="Times New Roman" w:hAnsi="Times New Roman"/>
                <w:color w:val="000000"/>
              </w:rPr>
              <w:t xml:space="preserve">Ministerstwo </w:t>
            </w:r>
            <w:r>
              <w:rPr>
                <w:rFonts w:ascii="Times New Roman" w:hAnsi="Times New Roman"/>
                <w:color w:val="000000"/>
              </w:rPr>
              <w:t>Klimatu i Środowiska</w:t>
            </w:r>
          </w:p>
          <w:p w14:paraId="57C38B73" w14:textId="7FA4C821" w:rsidR="00500249" w:rsidRPr="00F75D6C" w:rsidRDefault="00500249" w:rsidP="00F75D6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3A16A76E" w14:textId="542DDAC2" w:rsidR="00F75D6C" w:rsidRPr="00F75D6C" w:rsidRDefault="00F75D6C" w:rsidP="006140E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75D6C">
              <w:rPr>
                <w:rFonts w:ascii="Times New Roman" w:hAnsi="Times New Roman"/>
                <w:bCs/>
                <w:sz w:val="21"/>
                <w:szCs w:val="21"/>
              </w:rPr>
              <w:t xml:space="preserve">Minister </w:t>
            </w:r>
            <w:r w:rsidR="00585E27">
              <w:rPr>
                <w:rFonts w:ascii="Times New Roman" w:hAnsi="Times New Roman"/>
                <w:bCs/>
                <w:sz w:val="21"/>
                <w:szCs w:val="21"/>
              </w:rPr>
              <w:t xml:space="preserve">Klimatu i Środowiska </w:t>
            </w:r>
            <w:r w:rsidRPr="00F75D6C">
              <w:rPr>
                <w:rFonts w:ascii="Times New Roman" w:hAnsi="Times New Roman"/>
                <w:bCs/>
                <w:sz w:val="21"/>
                <w:szCs w:val="21"/>
              </w:rPr>
              <w:t>Anna Moskwa</w:t>
            </w:r>
          </w:p>
          <w:p w14:paraId="67D89D40" w14:textId="77777777" w:rsidR="00500249" w:rsidRPr="008B4FE6" w:rsidRDefault="00500249" w:rsidP="006140E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8ACC68E" w14:textId="32E3A7CE" w:rsidR="00500249" w:rsidRPr="00614FCF" w:rsidRDefault="00140A80" w:rsidP="00301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CF">
              <w:rPr>
                <w:rFonts w:ascii="Times New Roman" w:hAnsi="Times New Roman"/>
                <w:color w:val="000000"/>
              </w:rPr>
              <w:t>Joanna Michałowska</w:t>
            </w:r>
          </w:p>
          <w:p w14:paraId="36C63904" w14:textId="72629DBE" w:rsidR="00140A80" w:rsidRPr="00614FCF" w:rsidRDefault="00140A80" w:rsidP="003013CB">
            <w:pPr>
              <w:spacing w:after="0"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614FCF">
              <w:rPr>
                <w:rFonts w:ascii="Times New Roman" w:hAnsi="Times New Roman"/>
                <w:color w:val="000000"/>
              </w:rPr>
              <w:t>joanna.michalowska@klimat.gov.pl</w:t>
            </w:r>
          </w:p>
          <w:p w14:paraId="2F1BAADB" w14:textId="77777777" w:rsidR="00140A80" w:rsidRPr="00140A80" w:rsidRDefault="00140A80" w:rsidP="003013CB">
            <w:pPr>
              <w:spacing w:after="0"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140A80">
              <w:rPr>
                <w:rFonts w:ascii="Times New Roman" w:hAnsi="Times New Roman"/>
                <w:color w:val="000000"/>
              </w:rPr>
              <w:t>ul. Wawelska 52/54, 00-922 Warszawa</w:t>
            </w:r>
          </w:p>
          <w:p w14:paraId="7C158001" w14:textId="537661B5" w:rsidR="00140A80" w:rsidRPr="008B4FE6" w:rsidRDefault="00140A80" w:rsidP="003013CB">
            <w:pPr>
              <w:spacing w:after="0"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140A80">
              <w:rPr>
                <w:rFonts w:ascii="Times New Roman" w:hAnsi="Times New Roman"/>
                <w:color w:val="000000"/>
              </w:rPr>
              <w:t>tel. +48 22 36 92 874</w:t>
            </w:r>
          </w:p>
        </w:tc>
        <w:tc>
          <w:tcPr>
            <w:tcW w:w="3523" w:type="dxa"/>
            <w:gridSpan w:val="3"/>
            <w:shd w:val="clear" w:color="auto" w:fill="FFFFFF"/>
          </w:tcPr>
          <w:p w14:paraId="5FDCABCF" w14:textId="1A41FA1C" w:rsidR="00500249" w:rsidRPr="00642825" w:rsidRDefault="00500249" w:rsidP="006140E7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="00A9021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A9021A" w:rsidRPr="00615E29">
              <w:rPr>
                <w:rFonts w:ascii="Times New Roman" w:hAnsi="Times New Roman"/>
                <w:sz w:val="21"/>
                <w:szCs w:val="21"/>
              </w:rPr>
              <w:t>23 maja 2022 r.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</w:p>
          <w:p w14:paraId="2FB8115F" w14:textId="77777777" w:rsidR="00500249" w:rsidRDefault="00500249" w:rsidP="006140E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37F35F0" w14:textId="77777777" w:rsidR="00500249" w:rsidRPr="0065019F" w:rsidRDefault="00500249" w:rsidP="006140E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</w:p>
          <w:p w14:paraId="0436557A" w14:textId="77777777" w:rsidR="00005913" w:rsidRDefault="000E0F30" w:rsidP="006140E7">
            <w:pPr>
              <w:spacing w:before="120" w:line="240" w:lineRule="auto"/>
              <w:rPr>
                <w:rFonts w:ascii="Times New Roman" w:hAnsi="Times New Roman"/>
              </w:rPr>
            </w:pPr>
            <w:r w:rsidRPr="000E0F30">
              <w:rPr>
                <w:rFonts w:ascii="Times New Roman" w:hAnsi="Times New Roman"/>
              </w:rPr>
              <w:t xml:space="preserve">Podstawa wydania: art. 7 ust. 7 ustawy z dnia 17 lipca 2009 r. </w:t>
            </w:r>
            <w:r w:rsidRPr="000E0F30">
              <w:rPr>
                <w:rFonts w:ascii="Times New Roman" w:hAnsi="Times New Roman"/>
                <w:i/>
                <w:iCs/>
              </w:rPr>
              <w:t>o systemie zarządzania emisjami gazów cieplarnianych i innych substancji</w:t>
            </w:r>
            <w:r w:rsidRPr="000E0F30">
              <w:rPr>
                <w:rFonts w:ascii="Times New Roman" w:hAnsi="Times New Roman"/>
              </w:rPr>
              <w:t xml:space="preserve"> (Dz. U. z 2022 r. poz. 673)</w:t>
            </w:r>
          </w:p>
          <w:p w14:paraId="3063D61C" w14:textId="01C85D81" w:rsidR="00500249" w:rsidRDefault="00500249" w:rsidP="006140E7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0E0F30">
              <w:rPr>
                <w:rFonts w:ascii="Times New Roman" w:hAnsi="Times New Roman"/>
                <w:b/>
                <w:color w:val="000000"/>
              </w:rPr>
              <w:t>Ministra Klimatu i Środowiska</w:t>
            </w:r>
            <w:r>
              <w:rPr>
                <w:rFonts w:ascii="Times New Roman" w:hAnsi="Times New Roman"/>
                <w:b/>
                <w:color w:val="000000"/>
              </w:rPr>
              <w:t xml:space="preserve">. </w:t>
            </w:r>
          </w:p>
          <w:p w14:paraId="551D0120" w14:textId="5375F3E9" w:rsidR="00500249" w:rsidRPr="008B4FE6" w:rsidRDefault="001D1486" w:rsidP="006140E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848</w:t>
            </w:r>
          </w:p>
        </w:tc>
      </w:tr>
      <w:tr w:rsidR="00500249" w:rsidRPr="0022687A" w14:paraId="3A6F8B04" w14:textId="77777777" w:rsidTr="00140A80">
        <w:trPr>
          <w:trHeight w:val="142"/>
        </w:trPr>
        <w:tc>
          <w:tcPr>
            <w:tcW w:w="10094" w:type="dxa"/>
            <w:gridSpan w:val="9"/>
            <w:shd w:val="clear" w:color="auto" w:fill="99CCFF"/>
          </w:tcPr>
          <w:p w14:paraId="0EAA684A" w14:textId="77777777" w:rsidR="00500249" w:rsidRPr="00627221" w:rsidRDefault="00500249" w:rsidP="006140E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500249" w:rsidRPr="008B4FE6" w14:paraId="5E2BD9D2" w14:textId="77777777" w:rsidTr="00140A80">
        <w:trPr>
          <w:trHeight w:val="333"/>
        </w:trPr>
        <w:tc>
          <w:tcPr>
            <w:tcW w:w="10094" w:type="dxa"/>
            <w:gridSpan w:val="9"/>
            <w:shd w:val="clear" w:color="auto" w:fill="99CCFF"/>
            <w:vAlign w:val="center"/>
          </w:tcPr>
          <w:p w14:paraId="6434F1C4" w14:textId="77777777" w:rsidR="00500249" w:rsidRPr="008B4FE6" w:rsidRDefault="00500249" w:rsidP="00500249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</w:p>
        </w:tc>
      </w:tr>
      <w:tr w:rsidR="00500249" w:rsidRPr="008B4FE6" w14:paraId="493B5DA5" w14:textId="77777777" w:rsidTr="00140A80">
        <w:trPr>
          <w:trHeight w:val="142"/>
        </w:trPr>
        <w:tc>
          <w:tcPr>
            <w:tcW w:w="10094" w:type="dxa"/>
            <w:gridSpan w:val="9"/>
            <w:shd w:val="clear" w:color="auto" w:fill="FFFFFF"/>
          </w:tcPr>
          <w:p w14:paraId="0A2DE447" w14:textId="3E4A783B" w:rsidR="000E0F30" w:rsidRDefault="000E0F30" w:rsidP="009845F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Aktualnymi problemami, do których rozwiązania mają przyczynić się proponowane przepisy nowego rozporządzenia, są przede wszystkim:</w:t>
            </w:r>
          </w:p>
          <w:p w14:paraId="1D9B3ADB" w14:textId="77777777" w:rsidR="000E0F30" w:rsidRDefault="000E0F30" w:rsidP="009845F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183E25">
              <w:rPr>
                <w:rFonts w:ascii="Times New Roman" w:hAnsi="Times New Roman"/>
                <w:color w:val="000000"/>
              </w:rPr>
              <w:t>niepełna elektronizacja procesu składania formularzy do Krajowej bazy (w tym formularzy rejestracyjnych i formularzy aktualizacyjnych)</w:t>
            </w:r>
            <w:r w:rsidRPr="00F5728C">
              <w:rPr>
                <w:rFonts w:ascii="Times New Roman" w:hAnsi="Times New Roman"/>
                <w:color w:val="000000"/>
              </w:rPr>
              <w:t>;</w:t>
            </w:r>
            <w:r w:rsidRPr="00183E25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72DACD6" w14:textId="77777777" w:rsidR="000E0F30" w:rsidRDefault="000E0F30" w:rsidP="009845F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183E25">
              <w:rPr>
                <w:rFonts w:ascii="Times New Roman" w:hAnsi="Times New Roman"/>
                <w:color w:val="000000"/>
              </w:rPr>
              <w:t>konieczność każdorazowej autoryzacji przez Krajowy ośrodek czynności użytkowników Krajowej bazy związanych z aktualizacją danych podmiotu</w:t>
            </w:r>
            <w:r>
              <w:rPr>
                <w:rFonts w:ascii="Times New Roman" w:hAnsi="Times New Roman"/>
                <w:color w:val="000000"/>
                <w:lang w:val="pl-PL"/>
              </w:rPr>
              <w:t>;</w:t>
            </w:r>
            <w:r w:rsidRPr="00183E25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E4C804E" w14:textId="41064FA0" w:rsidR="000E0F30" w:rsidRDefault="000E0F30" w:rsidP="009845F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F5728C">
              <w:rPr>
                <w:rFonts w:ascii="Times New Roman" w:hAnsi="Times New Roman"/>
                <w:color w:val="000000"/>
              </w:rPr>
              <w:t xml:space="preserve">ograniczona do 10 liczba </w:t>
            </w:r>
            <w:r>
              <w:rPr>
                <w:rFonts w:ascii="Times New Roman" w:hAnsi="Times New Roman"/>
                <w:color w:val="000000"/>
              </w:rPr>
              <w:t>użytkowników</w:t>
            </w:r>
            <w:r w:rsidR="00A05689">
              <w:rPr>
                <w:rFonts w:ascii="Times New Roman" w:hAnsi="Times New Roman"/>
                <w:color w:val="000000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pl-PL"/>
              </w:rPr>
              <w:t xml:space="preserve">Krajowej </w:t>
            </w:r>
            <w:r w:rsidR="00A05689">
              <w:rPr>
                <w:rFonts w:ascii="Times New Roman" w:hAnsi="Times New Roman"/>
                <w:color w:val="000000"/>
                <w:lang w:val="pl-PL"/>
              </w:rPr>
              <w:t xml:space="preserve">bazy dla </w:t>
            </w:r>
            <w:r w:rsidR="003A2755">
              <w:rPr>
                <w:rFonts w:ascii="Times New Roman" w:hAnsi="Times New Roman"/>
                <w:color w:val="000000"/>
                <w:lang w:val="pl-PL"/>
              </w:rPr>
              <w:t xml:space="preserve"> </w:t>
            </w:r>
            <w:r w:rsidR="002A6E20">
              <w:rPr>
                <w:rFonts w:ascii="Times New Roman" w:hAnsi="Times New Roman"/>
                <w:color w:val="000000"/>
                <w:lang w:val="pl-PL"/>
              </w:rPr>
              <w:t xml:space="preserve">danego </w:t>
            </w:r>
            <w:r w:rsidR="00A05689">
              <w:rPr>
                <w:rFonts w:ascii="Times New Roman" w:hAnsi="Times New Roman"/>
                <w:color w:val="000000"/>
                <w:lang w:val="pl-PL"/>
              </w:rPr>
              <w:t>podmiotu</w:t>
            </w:r>
            <w:r>
              <w:rPr>
                <w:rFonts w:ascii="Times New Roman" w:hAnsi="Times New Roman"/>
                <w:color w:val="000000"/>
                <w:lang w:val="pl-PL"/>
              </w:rPr>
              <w:t xml:space="preserve">. </w:t>
            </w:r>
          </w:p>
          <w:p w14:paraId="23540774" w14:textId="4F23150D" w:rsidR="000E0F30" w:rsidRDefault="000E0F30" w:rsidP="009845F8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183E25">
              <w:rPr>
                <w:rFonts w:ascii="Times New Roman" w:hAnsi="Times New Roman"/>
                <w:color w:val="000000"/>
              </w:rPr>
              <w:t>Należy przy tym wyjaśnić, iż obecnie jedyną w pełni zelektronizowaną czynnością jest sporządzanie i wprowadzanie raportu do Krajowej bazy, zaś</w:t>
            </w:r>
            <w:r w:rsidRPr="00F5728C">
              <w:rPr>
                <w:rFonts w:ascii="Times New Roman" w:hAnsi="Times New Roman"/>
                <w:color w:val="000000"/>
              </w:rPr>
              <w:t xml:space="preserve"> formularze wype</w:t>
            </w:r>
            <w:r>
              <w:rPr>
                <w:rFonts w:ascii="Times New Roman" w:hAnsi="Times New Roman"/>
                <w:color w:val="000000"/>
              </w:rPr>
              <w:t>łniane</w:t>
            </w:r>
            <w:r w:rsidRPr="00F5728C">
              <w:rPr>
                <w:rFonts w:ascii="Times New Roman" w:hAnsi="Times New Roman"/>
                <w:color w:val="000000"/>
              </w:rPr>
              <w:t xml:space="preserve"> s</w:t>
            </w:r>
            <w:r>
              <w:rPr>
                <w:rFonts w:ascii="Times New Roman" w:hAnsi="Times New Roman"/>
                <w:color w:val="000000"/>
              </w:rPr>
              <w:t>ą co prawda elektronicznie, lecz</w:t>
            </w:r>
            <w:r w:rsidRPr="00183E25">
              <w:rPr>
                <w:rFonts w:ascii="Times New Roman" w:hAnsi="Times New Roman"/>
                <w:color w:val="000000"/>
              </w:rPr>
              <w:t xml:space="preserve"> mogą być </w:t>
            </w:r>
            <w:r>
              <w:rPr>
                <w:rFonts w:ascii="Times New Roman" w:hAnsi="Times New Roman"/>
                <w:color w:val="000000"/>
              </w:rPr>
              <w:t xml:space="preserve">składane do Krajowego ośrodka </w:t>
            </w:r>
            <w:r w:rsidRPr="00183E25">
              <w:rPr>
                <w:rFonts w:ascii="Times New Roman" w:hAnsi="Times New Roman"/>
                <w:color w:val="000000"/>
              </w:rPr>
              <w:t xml:space="preserve">w dwojaki sposób: elektronicznie lub w formie papierowej. W związku z powyższym aktualnie ciągle stosunkowo </w:t>
            </w:r>
            <w:r w:rsidRPr="00F5728C">
              <w:rPr>
                <w:rFonts w:ascii="Times New Roman" w:hAnsi="Times New Roman"/>
                <w:color w:val="000000"/>
              </w:rPr>
              <w:t>wysoka jest liczba</w:t>
            </w:r>
            <w:r w:rsidRPr="00183E25">
              <w:rPr>
                <w:rFonts w:ascii="Times New Roman" w:hAnsi="Times New Roman"/>
                <w:color w:val="000000"/>
              </w:rPr>
              <w:t xml:space="preserve"> formularzy składanych w formie papierowe</w:t>
            </w:r>
            <w:r>
              <w:rPr>
                <w:rFonts w:ascii="Times New Roman" w:hAnsi="Times New Roman"/>
                <w:color w:val="000000"/>
              </w:rPr>
              <w:t>j</w:t>
            </w:r>
            <w:r w:rsidRPr="00183E25">
              <w:rPr>
                <w:rFonts w:ascii="Times New Roman" w:hAnsi="Times New Roman"/>
                <w:color w:val="000000"/>
              </w:rPr>
              <w:t xml:space="preserve">, których </w:t>
            </w:r>
            <w:r>
              <w:rPr>
                <w:rFonts w:ascii="Times New Roman" w:hAnsi="Times New Roman"/>
                <w:color w:val="000000"/>
              </w:rPr>
              <w:t xml:space="preserve">przeprocedowanie i </w:t>
            </w:r>
            <w:r w:rsidRPr="00183E25">
              <w:rPr>
                <w:rFonts w:ascii="Times New Roman" w:hAnsi="Times New Roman"/>
                <w:color w:val="000000"/>
              </w:rPr>
              <w:t>rozpat</w:t>
            </w:r>
            <w:r>
              <w:rPr>
                <w:rFonts w:ascii="Times New Roman" w:hAnsi="Times New Roman"/>
                <w:color w:val="000000"/>
              </w:rPr>
              <w:t>rzenie</w:t>
            </w:r>
            <w:r w:rsidRPr="00183E25">
              <w:rPr>
                <w:rFonts w:ascii="Times New Roman" w:hAnsi="Times New Roman"/>
                <w:color w:val="000000"/>
              </w:rPr>
              <w:t xml:space="preserve"> jest bardziej czasochłonne i pracochłonne, niż w przypadku formularzy składanych</w:t>
            </w:r>
            <w:r w:rsidRPr="00F5728C">
              <w:rPr>
                <w:rFonts w:ascii="Times New Roman" w:hAnsi="Times New Roman"/>
                <w:color w:val="000000"/>
              </w:rPr>
              <w:t xml:space="preserve"> drog</w:t>
            </w:r>
            <w:r>
              <w:rPr>
                <w:rFonts w:ascii="Times New Roman" w:hAnsi="Times New Roman"/>
                <w:color w:val="000000"/>
              </w:rPr>
              <w:t>ą</w:t>
            </w:r>
            <w:r w:rsidRPr="00183E25">
              <w:rPr>
                <w:rFonts w:ascii="Times New Roman" w:hAnsi="Times New Roman"/>
                <w:color w:val="000000"/>
              </w:rPr>
              <w:t xml:space="preserve"> elektroniczną.</w:t>
            </w:r>
          </w:p>
          <w:p w14:paraId="53504386" w14:textId="3B96F2EB" w:rsidR="009319E2" w:rsidRPr="00C83A10" w:rsidRDefault="009319E2" w:rsidP="00D972BE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00249" w:rsidRPr="008B4FE6" w14:paraId="437D8418" w14:textId="77777777" w:rsidTr="00140A80">
        <w:trPr>
          <w:trHeight w:val="142"/>
        </w:trPr>
        <w:tc>
          <w:tcPr>
            <w:tcW w:w="10094" w:type="dxa"/>
            <w:gridSpan w:val="9"/>
            <w:shd w:val="clear" w:color="auto" w:fill="99CCFF"/>
            <w:vAlign w:val="center"/>
          </w:tcPr>
          <w:p w14:paraId="05846759" w14:textId="77777777" w:rsidR="00500249" w:rsidRPr="00C83A10" w:rsidRDefault="00500249" w:rsidP="009845F8">
            <w:pPr>
              <w:numPr>
                <w:ilvl w:val="0"/>
                <w:numId w:val="11"/>
              </w:numPr>
              <w:suppressAutoHyphens w:val="0"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3A10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500249" w:rsidRPr="008B4FE6" w14:paraId="041F781A" w14:textId="77777777" w:rsidTr="00140A80">
        <w:trPr>
          <w:trHeight w:val="142"/>
        </w:trPr>
        <w:tc>
          <w:tcPr>
            <w:tcW w:w="10094" w:type="dxa"/>
            <w:gridSpan w:val="9"/>
            <w:shd w:val="clear" w:color="auto" w:fill="auto"/>
          </w:tcPr>
          <w:p w14:paraId="6B699518" w14:textId="336D1451" w:rsidR="00652208" w:rsidRDefault="00652208" w:rsidP="009845F8">
            <w:pPr>
              <w:ind w:left="-5"/>
              <w:jc w:val="both"/>
              <w:rPr>
                <w:rFonts w:ascii="Times New Roman" w:hAnsi="Times New Roman"/>
                <w:color w:val="000000"/>
              </w:rPr>
            </w:pPr>
            <w:r w:rsidRPr="00C83A10">
              <w:rPr>
                <w:rFonts w:ascii="Times New Roman" w:hAnsi="Times New Roman"/>
                <w:color w:val="000000"/>
              </w:rPr>
              <w:t xml:space="preserve">Podstawowym celem opracowania nowego rozporządzenia </w:t>
            </w:r>
            <w:r w:rsidRPr="002E3631">
              <w:rPr>
                <w:rFonts w:ascii="Times New Roman" w:hAnsi="Times New Roman"/>
                <w:color w:val="000000"/>
              </w:rPr>
              <w:t>w sprawie szczegółowego zakresu informacji zawartych w raporcie oraz sposobu jego wprowadzania do Krajowej bazy o emisjach gazów cieplarnianych i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2E3631">
              <w:rPr>
                <w:rFonts w:ascii="Times New Roman" w:hAnsi="Times New Roman"/>
                <w:color w:val="000000"/>
              </w:rPr>
              <w:t>innych substancji</w:t>
            </w:r>
            <w:r w:rsidRPr="00C83A10">
              <w:rPr>
                <w:rFonts w:ascii="Times New Roman" w:hAnsi="Times New Roman"/>
                <w:color w:val="000000"/>
              </w:rPr>
              <w:t xml:space="preserve"> jest dalsza elektronizacja procesu obsługi systemu Krajowej bazy</w:t>
            </w:r>
            <w:r w:rsidR="00421B92">
              <w:rPr>
                <w:rFonts w:ascii="Times New Roman" w:hAnsi="Times New Roman"/>
                <w:color w:val="000000"/>
              </w:rPr>
              <w:t>,</w:t>
            </w:r>
            <w:r w:rsidRPr="00C83A10">
              <w:rPr>
                <w:rFonts w:ascii="Times New Roman" w:hAnsi="Times New Roman"/>
                <w:color w:val="000000"/>
              </w:rPr>
              <w:t xml:space="preserve"> mająca na celu jego uproszczenie, zarówno od strony Krajowego ośrodka, jak i użytkujących go podmiotów. Powyższe przyczyni się do usprawnienia administrowania systemem Krajowej bazy oraz do ułatwienia korzystania z tego systemu przez podmioty korzystające ze środowiska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C83A10">
              <w:rPr>
                <w:rFonts w:ascii="Times New Roman" w:hAnsi="Times New Roman"/>
                <w:color w:val="000000"/>
              </w:rPr>
              <w:t>prowadzące działalność powodującą emisje do powietrza gazów cieplarnianych i innych substancji.</w:t>
            </w:r>
          </w:p>
          <w:p w14:paraId="00E84C2C" w14:textId="3073C178" w:rsidR="00580CC0" w:rsidRDefault="00580CC0" w:rsidP="00C11FC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Projekt rozporządzenia rozwiązuje problemy określone w pkt 1 poprzez wprowadzenie zmian w przepisach </w:t>
            </w:r>
            <w:r w:rsidR="00E04F05">
              <w:rPr>
                <w:rFonts w:ascii="Times New Roman" w:hAnsi="Times New Roman"/>
                <w:color w:val="000000"/>
              </w:rPr>
              <w:br/>
            </w:r>
            <w:r w:rsidR="00421B92">
              <w:rPr>
                <w:rFonts w:ascii="Times New Roman" w:hAnsi="Times New Roman"/>
                <w:color w:val="000000"/>
              </w:rPr>
              <w:t>w celu zapewnienia</w:t>
            </w:r>
            <w:r>
              <w:rPr>
                <w:rFonts w:ascii="Times New Roman" w:hAnsi="Times New Roman"/>
                <w:color w:val="000000"/>
              </w:rPr>
              <w:t>: pełn</w:t>
            </w:r>
            <w:r w:rsidR="00421B92">
              <w:rPr>
                <w:rFonts w:ascii="Times New Roman" w:hAnsi="Times New Roman"/>
                <w:color w:val="000000"/>
              </w:rPr>
              <w:t>ej</w:t>
            </w:r>
            <w:r>
              <w:rPr>
                <w:rFonts w:ascii="Times New Roman" w:hAnsi="Times New Roman"/>
                <w:color w:val="000000"/>
              </w:rPr>
              <w:t xml:space="preserve"> elektronizacj</w:t>
            </w:r>
            <w:r w:rsidR="00421B92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 wszelkich czynności związanych z systemem Krajowej bazy (obejmujących zarówno wprowadzanie raportu</w:t>
            </w:r>
            <w:r w:rsidR="00421B92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jak i składanie formularzy), </w:t>
            </w:r>
            <w:r w:rsidRPr="007A2A4E">
              <w:rPr>
                <w:rFonts w:ascii="Times New Roman" w:hAnsi="Times New Roman"/>
                <w:color w:val="000000"/>
              </w:rPr>
              <w:t>zwiększeni</w:t>
            </w:r>
            <w:r w:rsidR="00421B92">
              <w:rPr>
                <w:rFonts w:ascii="Times New Roman" w:hAnsi="Times New Roman"/>
                <w:color w:val="000000"/>
              </w:rPr>
              <w:t>a</w:t>
            </w:r>
            <w:r w:rsidRPr="007A2A4E">
              <w:rPr>
                <w:rFonts w:ascii="Times New Roman" w:hAnsi="Times New Roman"/>
                <w:color w:val="000000"/>
              </w:rPr>
              <w:t xml:space="preserve"> zakresu czynności podejmowanych</w:t>
            </w:r>
            <w:r>
              <w:rPr>
                <w:rFonts w:ascii="Times New Roman" w:hAnsi="Times New Roman"/>
                <w:color w:val="000000"/>
              </w:rPr>
              <w:t xml:space="preserve"> samodzielnie na koncie podmiotu</w:t>
            </w:r>
            <w:r w:rsidRPr="007A2A4E">
              <w:rPr>
                <w:rFonts w:ascii="Times New Roman" w:hAnsi="Times New Roman"/>
                <w:color w:val="000000"/>
              </w:rPr>
              <w:t xml:space="preserve"> przez użytkowników Krajowej bazy</w:t>
            </w:r>
            <w:r>
              <w:rPr>
                <w:rFonts w:ascii="Times New Roman" w:hAnsi="Times New Roman"/>
                <w:color w:val="000000"/>
              </w:rPr>
              <w:t xml:space="preserve"> (bez konieczności ich autoryzacji przez Krajowy ośrodek) oraz zniesieni</w:t>
            </w:r>
            <w:r w:rsidR="00421B92"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</w:rPr>
              <w:t xml:space="preserve"> limitu </w:t>
            </w:r>
            <w:r w:rsidR="00E04F05">
              <w:rPr>
                <w:rFonts w:ascii="Times New Roman" w:hAnsi="Times New Roman"/>
                <w:color w:val="000000"/>
              </w:rPr>
              <w:t xml:space="preserve">liczby </w:t>
            </w:r>
            <w:r>
              <w:rPr>
                <w:rFonts w:ascii="Times New Roman" w:hAnsi="Times New Roman"/>
                <w:color w:val="000000"/>
              </w:rPr>
              <w:t>użytkowników K</w:t>
            </w:r>
            <w:r w:rsidR="00421B92">
              <w:rPr>
                <w:rFonts w:ascii="Times New Roman" w:hAnsi="Times New Roman"/>
                <w:color w:val="000000"/>
              </w:rPr>
              <w:t xml:space="preserve">rajowej </w:t>
            </w:r>
            <w:r>
              <w:rPr>
                <w:rFonts w:ascii="Times New Roman" w:hAnsi="Times New Roman"/>
                <w:color w:val="000000"/>
              </w:rPr>
              <w:t>b</w:t>
            </w:r>
            <w:r w:rsidR="00421B92">
              <w:rPr>
                <w:rFonts w:ascii="Times New Roman" w:hAnsi="Times New Roman"/>
                <w:color w:val="000000"/>
              </w:rPr>
              <w:t>azy</w:t>
            </w:r>
            <w:r w:rsidR="00191C09">
              <w:rPr>
                <w:rFonts w:ascii="Times New Roman" w:hAnsi="Times New Roman"/>
                <w:color w:val="000000"/>
              </w:rPr>
              <w:t xml:space="preserve"> dla </w:t>
            </w:r>
            <w:r w:rsidR="00D972BE">
              <w:rPr>
                <w:rFonts w:ascii="Times New Roman" w:hAnsi="Times New Roman"/>
                <w:color w:val="000000"/>
              </w:rPr>
              <w:t>konta</w:t>
            </w:r>
            <w:r w:rsidR="003A2755">
              <w:rPr>
                <w:rFonts w:ascii="Times New Roman" w:hAnsi="Times New Roman"/>
                <w:color w:val="000000"/>
              </w:rPr>
              <w:t xml:space="preserve"> </w:t>
            </w:r>
            <w:r w:rsidR="00191C09">
              <w:rPr>
                <w:rFonts w:ascii="Times New Roman" w:hAnsi="Times New Roman"/>
                <w:color w:val="000000"/>
              </w:rPr>
              <w:t>podmiotu</w:t>
            </w:r>
            <w:r>
              <w:rPr>
                <w:rFonts w:ascii="Times New Roman" w:hAnsi="Times New Roman"/>
                <w:color w:val="000000"/>
              </w:rPr>
              <w:t>, co również było zgłaszane przez podmioty posiadające dużą liczbę miejsc korzystania ze środowiska (zakładów).</w:t>
            </w:r>
          </w:p>
          <w:p w14:paraId="3C050BB0" w14:textId="5BD00700" w:rsidR="00580CC0" w:rsidRPr="00C83A10" w:rsidRDefault="00421B92" w:rsidP="009845F8">
            <w:pPr>
              <w:spacing w:after="0"/>
              <w:ind w:left="-6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Proponowane z</w:t>
            </w:r>
            <w:r w:rsidR="00580CC0" w:rsidRPr="00C83A10">
              <w:rPr>
                <w:rFonts w:ascii="Times New Roman" w:hAnsi="Times New Roman"/>
                <w:color w:val="000000"/>
              </w:rPr>
              <w:t>miany</w:t>
            </w:r>
            <w:r w:rsidR="00580CC0">
              <w:rPr>
                <w:rFonts w:ascii="Times New Roman" w:hAnsi="Times New Roman"/>
                <w:color w:val="000000"/>
              </w:rPr>
              <w:t xml:space="preserve"> </w:t>
            </w:r>
            <w:r w:rsidR="00580CC0" w:rsidRPr="00C83A10">
              <w:rPr>
                <w:rFonts w:ascii="Times New Roman" w:hAnsi="Times New Roman"/>
                <w:color w:val="000000"/>
              </w:rPr>
              <w:t xml:space="preserve">obejmują </w:t>
            </w:r>
            <w:r w:rsidR="00580CC0">
              <w:rPr>
                <w:rFonts w:ascii="Times New Roman" w:hAnsi="Times New Roman"/>
                <w:color w:val="000000"/>
              </w:rPr>
              <w:t>w szczególności</w:t>
            </w:r>
            <w:r w:rsidR="00580CC0" w:rsidRPr="00C83A10">
              <w:rPr>
                <w:rFonts w:ascii="Times New Roman" w:hAnsi="Times New Roman"/>
                <w:color w:val="000000"/>
              </w:rPr>
              <w:t>:</w:t>
            </w:r>
          </w:p>
          <w:p w14:paraId="5800A6F5" w14:textId="3D884704" w:rsidR="00580CC0" w:rsidRPr="00C83A10" w:rsidRDefault="00580CC0" w:rsidP="009845F8">
            <w:pPr>
              <w:pStyle w:val="Akapitzlist"/>
              <w:numPr>
                <w:ilvl w:val="0"/>
                <w:numId w:val="15"/>
              </w:numPr>
              <w:ind w:left="486" w:hanging="426"/>
              <w:jc w:val="both"/>
              <w:rPr>
                <w:rFonts w:ascii="Times New Roman" w:hAnsi="Times New Roman" w:cs="Calibri"/>
                <w:color w:val="000000"/>
                <w:lang w:val="pl-PL" w:eastAsia="ar-SA"/>
              </w:rPr>
            </w:pPr>
            <w:r w:rsidRPr="00C83A10">
              <w:rPr>
                <w:rFonts w:ascii="Times New Roman" w:hAnsi="Times New Roman" w:cs="Calibri"/>
                <w:color w:val="000000"/>
                <w:lang w:val="pl-PL" w:eastAsia="ar-SA"/>
              </w:rPr>
              <w:t xml:space="preserve">pełną cyfryzację procedury rejestracji podmiotu w Krajowej bazie, jak również innych czynności podejmowanych przez </w:t>
            </w:r>
            <w:r w:rsidRPr="00E04F05">
              <w:rPr>
                <w:rFonts w:ascii="Times New Roman" w:hAnsi="Times New Roman" w:cs="Calibri"/>
                <w:color w:val="000000"/>
                <w:lang w:val="pl-PL" w:eastAsia="ar-SA"/>
              </w:rPr>
              <w:t>użytkowników</w:t>
            </w:r>
            <w:r w:rsidR="00E04F05" w:rsidRPr="00C11FCE">
              <w:rPr>
                <w:rFonts w:ascii="Times New Roman" w:hAnsi="Times New Roman" w:cs="Calibri"/>
                <w:color w:val="000000"/>
                <w:lang w:val="pl-PL" w:eastAsia="ar-SA"/>
              </w:rPr>
              <w:t xml:space="preserve"> Krajowej bazy</w:t>
            </w:r>
            <w:r w:rsidRPr="00E04F05">
              <w:rPr>
                <w:rFonts w:ascii="Times New Roman" w:hAnsi="Times New Roman" w:cs="Calibri"/>
                <w:color w:val="000000"/>
                <w:lang w:val="pl-PL" w:eastAsia="ar-SA"/>
              </w:rPr>
              <w:t>;</w:t>
            </w:r>
          </w:p>
          <w:p w14:paraId="2C11E36A" w14:textId="4D4F3C33" w:rsidR="00580CC0" w:rsidRPr="00C83A10" w:rsidRDefault="00580CC0" w:rsidP="009845F8">
            <w:pPr>
              <w:pStyle w:val="Akapitzlist"/>
              <w:numPr>
                <w:ilvl w:val="0"/>
                <w:numId w:val="15"/>
              </w:numPr>
              <w:spacing w:before="120"/>
              <w:ind w:left="486" w:hanging="426"/>
              <w:jc w:val="both"/>
              <w:rPr>
                <w:rFonts w:ascii="Times New Roman" w:hAnsi="Times New Roman" w:cs="Calibri"/>
                <w:color w:val="000000"/>
                <w:lang w:val="pl-PL" w:eastAsia="ar-SA"/>
              </w:rPr>
            </w:pPr>
            <w:r w:rsidRPr="00C83A10">
              <w:rPr>
                <w:rFonts w:ascii="Times New Roman" w:hAnsi="Times New Roman" w:cs="Calibri"/>
                <w:color w:val="000000"/>
                <w:lang w:val="pl-PL" w:eastAsia="ar-SA"/>
              </w:rPr>
              <w:t xml:space="preserve">zwiększenie zakresu czynności podejmowanych na koncie podmiotu samodzielnie przez użytkowników Krajowej bazy, takich jak np.: </w:t>
            </w:r>
            <w:r w:rsidRPr="00BB6DCF">
              <w:rPr>
                <w:rFonts w:ascii="Times New Roman" w:hAnsi="Times New Roman" w:cs="Calibri"/>
                <w:color w:val="000000"/>
                <w:lang w:val="pl-PL" w:eastAsia="ar-SA"/>
              </w:rPr>
              <w:t>aktualizacja danych</w:t>
            </w:r>
            <w:r>
              <w:rPr>
                <w:rFonts w:ascii="Times New Roman" w:hAnsi="Times New Roman" w:cs="Calibri"/>
                <w:color w:val="000000"/>
                <w:lang w:val="pl-PL" w:eastAsia="ar-SA"/>
              </w:rPr>
              <w:t xml:space="preserve"> podmiotu</w:t>
            </w:r>
            <w:r w:rsidRPr="00C83A10">
              <w:rPr>
                <w:rFonts w:ascii="Times New Roman" w:hAnsi="Times New Roman" w:cs="Calibri"/>
                <w:color w:val="000000"/>
                <w:lang w:val="pl-PL" w:eastAsia="ar-SA"/>
              </w:rPr>
              <w:t>, dodawanie dodatkowych użytkowników, zmiana danych głównego użytkownika</w:t>
            </w:r>
            <w:r>
              <w:rPr>
                <w:rFonts w:ascii="Times New Roman" w:hAnsi="Times New Roman" w:cs="Calibri"/>
                <w:color w:val="000000"/>
                <w:lang w:val="pl-PL" w:eastAsia="ar-SA"/>
              </w:rPr>
              <w:t xml:space="preserve"> </w:t>
            </w:r>
            <w:r w:rsidRPr="00C83A10">
              <w:rPr>
                <w:rFonts w:ascii="Times New Roman" w:hAnsi="Times New Roman" w:cs="Calibri"/>
                <w:color w:val="000000"/>
                <w:lang w:val="pl-PL" w:eastAsia="ar-SA"/>
              </w:rPr>
              <w:t>(bez konieczności przeprowadzania bardziej formalistycznych procedur składania formularzy);</w:t>
            </w:r>
          </w:p>
          <w:p w14:paraId="635137CC" w14:textId="00466DD5" w:rsidR="00580CC0" w:rsidRPr="00C83A10" w:rsidRDefault="00580CC0" w:rsidP="009845F8">
            <w:pPr>
              <w:pStyle w:val="Akapitzlist"/>
              <w:numPr>
                <w:ilvl w:val="0"/>
                <w:numId w:val="15"/>
              </w:numPr>
              <w:spacing w:before="120"/>
              <w:ind w:left="486" w:hanging="426"/>
              <w:jc w:val="both"/>
              <w:rPr>
                <w:rFonts w:ascii="Times New Roman" w:hAnsi="Times New Roman" w:cs="Calibri"/>
                <w:color w:val="000000"/>
                <w:lang w:val="pl-PL" w:eastAsia="ar-SA"/>
              </w:rPr>
            </w:pPr>
            <w:r w:rsidRPr="00E04F05">
              <w:rPr>
                <w:rFonts w:ascii="Times New Roman" w:hAnsi="Times New Roman" w:cs="Calibri"/>
                <w:color w:val="000000"/>
                <w:lang w:val="pl-PL" w:eastAsia="ar-SA"/>
              </w:rPr>
              <w:t>zniesienie limitu liczby użytkowników Krajowej</w:t>
            </w:r>
            <w:r w:rsidRPr="00C83A10">
              <w:rPr>
                <w:rFonts w:ascii="Times New Roman" w:hAnsi="Times New Roman" w:cs="Calibri"/>
                <w:color w:val="000000"/>
                <w:lang w:val="pl-PL" w:eastAsia="ar-SA"/>
              </w:rPr>
              <w:t xml:space="preserve"> bazy </w:t>
            </w:r>
            <w:r w:rsidR="00E04F05">
              <w:rPr>
                <w:rFonts w:ascii="Times New Roman" w:hAnsi="Times New Roman" w:cs="Calibri"/>
                <w:color w:val="000000"/>
                <w:lang w:val="pl-PL" w:eastAsia="ar-SA"/>
              </w:rPr>
              <w:t xml:space="preserve">dla danego podmiotu </w:t>
            </w:r>
            <w:r w:rsidRPr="00C83A10">
              <w:rPr>
                <w:rFonts w:ascii="Times New Roman" w:hAnsi="Times New Roman" w:cs="Calibri"/>
                <w:color w:val="000000"/>
                <w:lang w:val="pl-PL" w:eastAsia="ar-SA"/>
              </w:rPr>
              <w:t>(w aktualnie obowiązującym rozporządzeniu limit ten wynosi 10 użytkowników);</w:t>
            </w:r>
          </w:p>
          <w:p w14:paraId="3DD67230" w14:textId="7EE84724" w:rsidR="00580CC0" w:rsidRDefault="00580CC0" w:rsidP="009845F8">
            <w:pPr>
              <w:pStyle w:val="Akapitzlist"/>
              <w:numPr>
                <w:ilvl w:val="0"/>
                <w:numId w:val="15"/>
              </w:numPr>
              <w:spacing w:before="120"/>
              <w:ind w:left="486" w:hanging="426"/>
              <w:jc w:val="both"/>
              <w:rPr>
                <w:rFonts w:ascii="Times New Roman" w:hAnsi="Times New Roman" w:cs="Calibri"/>
                <w:color w:val="000000"/>
                <w:lang w:val="pl-PL" w:eastAsia="ar-SA"/>
              </w:rPr>
            </w:pPr>
            <w:r w:rsidRPr="00C83A10">
              <w:rPr>
                <w:rFonts w:ascii="Times New Roman" w:hAnsi="Times New Roman" w:cs="Calibri"/>
                <w:color w:val="000000"/>
                <w:lang w:val="pl-PL" w:eastAsia="ar-SA"/>
              </w:rPr>
              <w:t xml:space="preserve">wprowadzenie </w:t>
            </w:r>
            <w:r>
              <w:rPr>
                <w:rFonts w:ascii="Times New Roman" w:hAnsi="Times New Roman" w:cs="Calibri"/>
                <w:color w:val="000000"/>
                <w:lang w:val="pl-PL" w:eastAsia="ar-SA"/>
              </w:rPr>
              <w:t>pojęcia</w:t>
            </w:r>
            <w:r w:rsidRPr="00C83A10">
              <w:rPr>
                <w:rFonts w:ascii="Times New Roman" w:hAnsi="Times New Roman" w:cs="Calibri"/>
                <w:color w:val="000000"/>
                <w:lang w:val="pl-PL" w:eastAsia="ar-SA"/>
              </w:rPr>
              <w:t xml:space="preserve"> konta podmiotu w Krajowej bazie w miejscu dotychczasowego „dostępu do danych podmiotu w Krajowej bazie”</w:t>
            </w:r>
            <w:r w:rsidR="007C6BD5">
              <w:rPr>
                <w:rFonts w:ascii="Times New Roman" w:hAnsi="Times New Roman" w:cs="Calibri"/>
                <w:color w:val="000000"/>
                <w:lang w:val="pl-PL" w:eastAsia="ar-SA"/>
              </w:rPr>
              <w:t>;</w:t>
            </w:r>
          </w:p>
          <w:p w14:paraId="66E7768C" w14:textId="110B27EC" w:rsidR="00580CC0" w:rsidRDefault="00580CC0" w:rsidP="009845F8">
            <w:pPr>
              <w:pStyle w:val="Akapitzlist"/>
              <w:numPr>
                <w:ilvl w:val="0"/>
                <w:numId w:val="15"/>
              </w:numPr>
              <w:spacing w:before="120"/>
              <w:ind w:left="486" w:hanging="426"/>
              <w:jc w:val="both"/>
              <w:rPr>
                <w:rFonts w:ascii="Times New Roman" w:hAnsi="Times New Roman" w:cs="Calibri"/>
                <w:color w:val="000000"/>
                <w:lang w:val="pl-PL" w:eastAsia="ar-SA"/>
              </w:rPr>
            </w:pPr>
            <w:r w:rsidRPr="00C83A10">
              <w:rPr>
                <w:rFonts w:ascii="Times New Roman" w:hAnsi="Times New Roman" w:cs="Calibri"/>
                <w:color w:val="000000"/>
                <w:lang w:val="pl-PL" w:eastAsia="ar-SA"/>
              </w:rPr>
              <w:t>doprecyzowanie zasad uzupełniania braków i niezgodności w przedkładanych do Krajowej bazy formularzach;</w:t>
            </w:r>
          </w:p>
          <w:p w14:paraId="670B5E3C" w14:textId="43F56D34" w:rsidR="00500249" w:rsidRPr="00AB167A" w:rsidRDefault="00580CC0" w:rsidP="00C11FCE">
            <w:pPr>
              <w:pStyle w:val="Akapitzlist"/>
              <w:numPr>
                <w:ilvl w:val="0"/>
                <w:numId w:val="15"/>
              </w:numPr>
              <w:spacing w:before="120"/>
              <w:ind w:left="486" w:hanging="426"/>
              <w:jc w:val="both"/>
              <w:rPr>
                <w:rFonts w:ascii="Times New Roman" w:hAnsi="Times New Roman" w:cs="Calibri"/>
                <w:color w:val="000000"/>
                <w:lang w:val="pl-PL" w:eastAsia="ar-SA"/>
              </w:rPr>
            </w:pPr>
            <w:r w:rsidRPr="00E04F05">
              <w:rPr>
                <w:rFonts w:ascii="Times New Roman" w:hAnsi="Times New Roman" w:cs="Calibri"/>
                <w:color w:val="000000"/>
                <w:lang w:val="pl-PL" w:eastAsia="ar-SA"/>
              </w:rPr>
              <w:t>wprowadzenie przepisów ułatwiających dodawanie i usuwanie użytkowników Krajowej bazy, m.in. poprzez rozróżnienie uprawnień głównego użytkownika i dodatkowych użytkowników oraz określenie zasad usuwania użytkowników Krajowej bazy przez Krajowy ośrodek - w szczególnych przypadkach.</w:t>
            </w:r>
          </w:p>
          <w:p w14:paraId="5B3C89F0" w14:textId="0051B2E5" w:rsidR="00580CC0" w:rsidRDefault="00580CC0" w:rsidP="009845F8">
            <w:pPr>
              <w:pStyle w:val="Akapitzlist"/>
              <w:spacing w:before="120"/>
              <w:ind w:left="0"/>
              <w:jc w:val="both"/>
              <w:rPr>
                <w:rFonts w:ascii="Times New Roman" w:hAnsi="Times New Roman" w:cs="Calibri"/>
                <w:color w:val="000000"/>
                <w:lang w:val="pl-PL" w:eastAsia="ar-SA"/>
              </w:rPr>
            </w:pPr>
          </w:p>
          <w:p w14:paraId="04736623" w14:textId="4D4F7E04" w:rsidR="00580CC0" w:rsidRPr="007C6C88" w:rsidRDefault="00580CC0" w:rsidP="009845F8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E66F7">
              <w:rPr>
                <w:rFonts w:ascii="Times New Roman" w:hAnsi="Times New Roman" w:cs="Calibri"/>
                <w:color w:val="000000"/>
                <w:lang w:val="pl-PL" w:eastAsia="ar-SA"/>
              </w:rPr>
              <w:t>Wprowadzenie w życi</w:t>
            </w:r>
            <w:r>
              <w:rPr>
                <w:rFonts w:ascii="Times New Roman" w:hAnsi="Times New Roman" w:cs="Calibri"/>
                <w:color w:val="000000"/>
                <w:lang w:val="pl-PL" w:eastAsia="ar-SA"/>
              </w:rPr>
              <w:t xml:space="preserve">e proponowanych przepisów w pełni zelektronizuje i uprości procedury związane </w:t>
            </w:r>
            <w:r>
              <w:rPr>
                <w:rFonts w:ascii="Times New Roman" w:hAnsi="Times New Roman" w:cs="Calibri"/>
                <w:color w:val="000000"/>
                <w:lang w:val="pl-PL" w:eastAsia="ar-SA"/>
              </w:rPr>
              <w:br/>
              <w:t>z rejestracją podmiotów w systemie Krajowej bazy i aktualizacją ich danych oraz korzystaniem z sy</w:t>
            </w:r>
            <w:r w:rsidR="00E04F05">
              <w:rPr>
                <w:rFonts w:ascii="Times New Roman" w:hAnsi="Times New Roman" w:cs="Calibri"/>
                <w:color w:val="000000"/>
                <w:lang w:val="pl-PL" w:eastAsia="ar-SA"/>
              </w:rPr>
              <w:t>st</w:t>
            </w:r>
            <w:r>
              <w:rPr>
                <w:rFonts w:ascii="Times New Roman" w:hAnsi="Times New Roman" w:cs="Calibri"/>
                <w:color w:val="000000"/>
                <w:lang w:val="pl-PL" w:eastAsia="ar-SA"/>
              </w:rPr>
              <w:t>emu przez jego użytkowników, co powinno</w:t>
            </w:r>
            <w:r w:rsidRPr="007E66F7">
              <w:rPr>
                <w:rFonts w:ascii="Times New Roman" w:hAnsi="Times New Roman" w:cs="Calibri"/>
                <w:color w:val="000000"/>
                <w:lang w:val="pl-PL" w:eastAsia="ar-SA"/>
              </w:rPr>
              <w:t xml:space="preserve"> przyczynić </w:t>
            </w:r>
            <w:r>
              <w:rPr>
                <w:rFonts w:ascii="Times New Roman" w:hAnsi="Times New Roman" w:cs="Calibri"/>
                <w:color w:val="000000"/>
                <w:lang w:val="pl-PL" w:eastAsia="ar-SA"/>
              </w:rPr>
              <w:t xml:space="preserve">się </w:t>
            </w:r>
            <w:r w:rsidRPr="007E66F7">
              <w:rPr>
                <w:rFonts w:ascii="Times New Roman" w:hAnsi="Times New Roman" w:cs="Calibri"/>
                <w:color w:val="000000"/>
                <w:lang w:val="pl-PL" w:eastAsia="ar-SA"/>
              </w:rPr>
              <w:t xml:space="preserve">do zwiększenia liczby podmiotów korzystających z Krajowej bazy, a tym samym – do zwiększenia liczby składanych przez te podmioty raportów o emisjach gazów cieplarnianych i innych substancji. </w:t>
            </w:r>
            <w:r w:rsidRPr="007C6C88">
              <w:rPr>
                <w:rFonts w:ascii="Times New Roman" w:hAnsi="Times New Roman"/>
                <w:color w:val="000000"/>
                <w:lang w:val="pl-PL"/>
              </w:rPr>
              <w:t>Większa liczba raportów zapewni dokładniejsze rozpoznanie stanu faktycznego w zakresie rodzaju i ilości gazów cieplarnianych i innych substancji wprowadzonych do powietrza na terenie Polski.</w:t>
            </w:r>
          </w:p>
          <w:p w14:paraId="5948B303" w14:textId="77777777" w:rsidR="00580CC0" w:rsidRPr="00BE4197" w:rsidRDefault="00580CC0" w:rsidP="009845F8">
            <w:pPr>
              <w:pStyle w:val="Akapitzlist"/>
              <w:spacing w:before="120"/>
              <w:ind w:left="0"/>
              <w:jc w:val="both"/>
              <w:rPr>
                <w:rFonts w:ascii="Times New Roman" w:hAnsi="Times New Roman" w:cs="Calibri"/>
                <w:color w:val="000000"/>
                <w:lang w:eastAsia="ar-SA"/>
              </w:rPr>
            </w:pPr>
          </w:p>
          <w:p w14:paraId="4141607D" w14:textId="5EC8DFBF" w:rsidR="00580CC0" w:rsidRPr="00C83A10" w:rsidRDefault="00580CC0" w:rsidP="009845F8">
            <w:pPr>
              <w:pStyle w:val="Akapitzlist"/>
              <w:spacing w:before="120"/>
              <w:ind w:left="0"/>
              <w:jc w:val="both"/>
              <w:rPr>
                <w:rFonts w:ascii="Times New Roman" w:hAnsi="Times New Roman" w:cs="Calibri"/>
                <w:color w:val="000000"/>
                <w:lang w:val="pl-PL" w:eastAsia="ar-SA"/>
              </w:rPr>
            </w:pPr>
          </w:p>
        </w:tc>
      </w:tr>
      <w:tr w:rsidR="00500249" w:rsidRPr="008B4FE6" w14:paraId="654B93F8" w14:textId="77777777" w:rsidTr="00140A80">
        <w:trPr>
          <w:trHeight w:val="307"/>
        </w:trPr>
        <w:tc>
          <w:tcPr>
            <w:tcW w:w="10094" w:type="dxa"/>
            <w:gridSpan w:val="9"/>
            <w:shd w:val="clear" w:color="auto" w:fill="99CCFF"/>
            <w:vAlign w:val="center"/>
          </w:tcPr>
          <w:p w14:paraId="464F2502" w14:textId="77777777" w:rsidR="00500249" w:rsidRPr="00C83A10" w:rsidRDefault="00500249" w:rsidP="00500249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3A10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C83A10">
              <w:rPr>
                <w:rFonts w:ascii="Times New Roman" w:hAnsi="Times New Roman"/>
                <w:b/>
                <w:color w:val="000000"/>
              </w:rPr>
              <w:t>?</w:t>
            </w:r>
            <w:r w:rsidRPr="00C83A10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500249" w:rsidRPr="008B4FE6" w14:paraId="6A0FBFF8" w14:textId="77777777" w:rsidTr="00140A80">
        <w:trPr>
          <w:trHeight w:val="142"/>
        </w:trPr>
        <w:tc>
          <w:tcPr>
            <w:tcW w:w="10094" w:type="dxa"/>
            <w:gridSpan w:val="9"/>
            <w:shd w:val="clear" w:color="auto" w:fill="auto"/>
          </w:tcPr>
          <w:p w14:paraId="18A4EF14" w14:textId="60B788BA" w:rsidR="007F4173" w:rsidRDefault="007F4173" w:rsidP="00614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F4173">
              <w:rPr>
                <w:rFonts w:ascii="Times New Roman" w:hAnsi="Times New Roman"/>
                <w:color w:val="000000"/>
                <w:spacing w:val="-2"/>
              </w:rPr>
              <w:t>Brak informacji o szczegółowych rozwiązaniach w tym zakresie.</w:t>
            </w:r>
          </w:p>
          <w:p w14:paraId="1F786D8F" w14:textId="1BCF8B85" w:rsidR="00500249" w:rsidRPr="00C83A10" w:rsidRDefault="00500249" w:rsidP="00614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00249" w:rsidRPr="008B4FE6" w14:paraId="517E015D" w14:textId="77777777" w:rsidTr="00140A80">
        <w:trPr>
          <w:trHeight w:val="359"/>
        </w:trPr>
        <w:tc>
          <w:tcPr>
            <w:tcW w:w="10094" w:type="dxa"/>
            <w:gridSpan w:val="9"/>
            <w:shd w:val="clear" w:color="auto" w:fill="99CCFF"/>
            <w:vAlign w:val="center"/>
          </w:tcPr>
          <w:p w14:paraId="79446FB2" w14:textId="77777777" w:rsidR="00500249" w:rsidRPr="00C83A10" w:rsidRDefault="00500249" w:rsidP="00500249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3A10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500249" w:rsidRPr="008B4FE6" w14:paraId="4C6AEF07" w14:textId="77777777" w:rsidTr="00393CC0">
        <w:trPr>
          <w:trHeight w:val="142"/>
        </w:trPr>
        <w:tc>
          <w:tcPr>
            <w:tcW w:w="2902" w:type="dxa"/>
            <w:gridSpan w:val="2"/>
            <w:shd w:val="clear" w:color="auto" w:fill="auto"/>
          </w:tcPr>
          <w:p w14:paraId="6A0736CE" w14:textId="77777777" w:rsidR="00500249" w:rsidRPr="00C83A10" w:rsidRDefault="00500249" w:rsidP="006140E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2"/>
            <w:shd w:val="clear" w:color="auto" w:fill="auto"/>
          </w:tcPr>
          <w:p w14:paraId="31CE7DDD" w14:textId="77777777" w:rsidR="00500249" w:rsidRPr="00C83A10" w:rsidRDefault="00500249" w:rsidP="006140E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571" w:type="dxa"/>
            <w:gridSpan w:val="4"/>
            <w:shd w:val="clear" w:color="auto" w:fill="auto"/>
          </w:tcPr>
          <w:p w14:paraId="59BF58E1" w14:textId="77777777" w:rsidR="00500249" w:rsidRPr="00C83A10" w:rsidRDefault="00500249" w:rsidP="006140E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C83A10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329" w:type="dxa"/>
            <w:shd w:val="clear" w:color="auto" w:fill="auto"/>
          </w:tcPr>
          <w:p w14:paraId="1CC1A886" w14:textId="77777777" w:rsidR="00500249" w:rsidRPr="00C83A10" w:rsidRDefault="00500249" w:rsidP="006140E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500249" w:rsidRPr="008B4FE6" w14:paraId="058F1BCB" w14:textId="77777777" w:rsidTr="00393CC0">
        <w:trPr>
          <w:trHeight w:val="142"/>
        </w:trPr>
        <w:tc>
          <w:tcPr>
            <w:tcW w:w="2902" w:type="dxa"/>
            <w:gridSpan w:val="2"/>
            <w:shd w:val="clear" w:color="auto" w:fill="auto"/>
          </w:tcPr>
          <w:p w14:paraId="3D60AAEC" w14:textId="04281E79" w:rsidR="00500249" w:rsidRPr="007647DA" w:rsidRDefault="00397777" w:rsidP="008748C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647DA">
              <w:rPr>
                <w:rFonts w:ascii="Times New Roman" w:hAnsi="Times New Roman"/>
                <w:color w:val="000000"/>
              </w:rPr>
              <w:t xml:space="preserve">Podmioty korzystające ze środowiska prowadzące działalność powodującą emisje do powietrza gazów cieplarnianych i innych substancji </w:t>
            </w:r>
          </w:p>
        </w:tc>
        <w:tc>
          <w:tcPr>
            <w:tcW w:w="2292" w:type="dxa"/>
            <w:gridSpan w:val="2"/>
            <w:shd w:val="clear" w:color="auto" w:fill="auto"/>
          </w:tcPr>
          <w:p w14:paraId="4089EF3C" w14:textId="758517C4" w:rsidR="00500249" w:rsidRPr="007647DA" w:rsidRDefault="00397777" w:rsidP="006140E7">
            <w:pPr>
              <w:pStyle w:val="Akapitzlist"/>
              <w:spacing w:line="240" w:lineRule="auto"/>
              <w:ind w:left="206"/>
              <w:rPr>
                <w:rFonts w:ascii="Times New Roman" w:hAnsi="Times New Roman" w:cs="Calibri"/>
                <w:color w:val="000000"/>
                <w:lang w:val="pl-PL" w:eastAsia="ar-SA"/>
              </w:rPr>
            </w:pPr>
            <w:r w:rsidRPr="007647DA">
              <w:rPr>
                <w:rFonts w:ascii="Times New Roman" w:hAnsi="Times New Roman" w:cs="Calibri"/>
                <w:color w:val="000000"/>
                <w:lang w:val="pl-PL" w:eastAsia="ar-SA"/>
              </w:rPr>
              <w:t xml:space="preserve">ok 200 tys. </w:t>
            </w:r>
          </w:p>
        </w:tc>
        <w:tc>
          <w:tcPr>
            <w:tcW w:w="2571" w:type="dxa"/>
            <w:gridSpan w:val="4"/>
            <w:shd w:val="clear" w:color="auto" w:fill="auto"/>
          </w:tcPr>
          <w:p w14:paraId="0122F362" w14:textId="1BA41D38" w:rsidR="00500249" w:rsidRPr="007647DA" w:rsidRDefault="00397777" w:rsidP="006140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647DA">
              <w:rPr>
                <w:rFonts w:ascii="Times New Roman" w:hAnsi="Times New Roman"/>
                <w:color w:val="000000"/>
              </w:rPr>
              <w:t xml:space="preserve">Dane pozyskane z 16 urzędów marszałkowskich dotyczące opłat </w:t>
            </w:r>
            <w:r w:rsidRPr="007647DA">
              <w:rPr>
                <w:rFonts w:ascii="Times New Roman" w:hAnsi="Times New Roman"/>
                <w:color w:val="000000"/>
              </w:rPr>
              <w:br/>
              <w:t xml:space="preserve">za korzystanie ze środowiska (obowiązek dotyczący raportowania do Krajowej bazy i </w:t>
            </w:r>
            <w:r w:rsidRPr="007647DA">
              <w:rPr>
                <w:rFonts w:ascii="Times New Roman" w:hAnsi="Times New Roman"/>
                <w:color w:val="000000"/>
              </w:rPr>
              <w:lastRenderedPageBreak/>
              <w:t xml:space="preserve">ponoszenia opłat za emisję do powietrza dotyczył tej samej grupy podmiotów korzystających </w:t>
            </w:r>
            <w:r w:rsidRPr="007647DA">
              <w:rPr>
                <w:rFonts w:ascii="Times New Roman" w:hAnsi="Times New Roman"/>
                <w:color w:val="000000"/>
              </w:rPr>
              <w:br/>
              <w:t>ze środowiska)</w:t>
            </w:r>
          </w:p>
        </w:tc>
        <w:tc>
          <w:tcPr>
            <w:tcW w:w="2329" w:type="dxa"/>
            <w:shd w:val="clear" w:color="auto" w:fill="auto"/>
          </w:tcPr>
          <w:p w14:paraId="34DFB77E" w14:textId="316EAEDF" w:rsidR="00624390" w:rsidRPr="007647DA" w:rsidRDefault="004B0EF3" w:rsidP="004B0E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Ułatwienia w zakresie korzystania z systemu Krajowej bazy  wynikające m.in. z uproszczenia procedury rejestracji podmiotu w systemie Krajowej </w:t>
            </w:r>
            <w:r>
              <w:rPr>
                <w:rFonts w:ascii="Times New Roman" w:hAnsi="Times New Roman"/>
                <w:color w:val="000000"/>
              </w:rPr>
              <w:lastRenderedPageBreak/>
              <w:t>bazy oraz aktualizacji danych w tym systemie (elektronizacja procesów), jak również z ułatwień związanych</w:t>
            </w:r>
            <w:r w:rsidRPr="00B24147">
              <w:rPr>
                <w:rFonts w:ascii="Times New Roman" w:hAnsi="Times New Roman"/>
                <w:color w:val="000000"/>
              </w:rPr>
              <w:t xml:space="preserve"> z nadaniem szerszych uprawnień dla użytkowników w zakresie zarządzania dostępem do danych w Krajowej bazie</w:t>
            </w:r>
          </w:p>
        </w:tc>
      </w:tr>
      <w:tr w:rsidR="00500249" w:rsidRPr="008B4FE6" w14:paraId="1C5597EF" w14:textId="77777777" w:rsidTr="00393CC0">
        <w:trPr>
          <w:trHeight w:val="142"/>
        </w:trPr>
        <w:tc>
          <w:tcPr>
            <w:tcW w:w="2902" w:type="dxa"/>
            <w:gridSpan w:val="2"/>
            <w:shd w:val="clear" w:color="auto" w:fill="auto"/>
          </w:tcPr>
          <w:p w14:paraId="5E29F081" w14:textId="2766A7C7" w:rsidR="00500249" w:rsidRPr="00C83A10" w:rsidRDefault="00E83538" w:rsidP="006140E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83A10">
              <w:rPr>
                <w:rFonts w:ascii="Times New Roman" w:hAnsi="Times New Roman"/>
                <w:spacing w:val="-2"/>
              </w:rPr>
              <w:lastRenderedPageBreak/>
              <w:t xml:space="preserve">Krajowy Ośrodek Bilansowania i Zarządzania </w:t>
            </w:r>
            <w:r w:rsidR="00006E7C" w:rsidRPr="00C83A10">
              <w:rPr>
                <w:rFonts w:ascii="Times New Roman" w:hAnsi="Times New Roman"/>
                <w:spacing w:val="-2"/>
              </w:rPr>
              <w:t>Emisjami</w:t>
            </w:r>
          </w:p>
        </w:tc>
        <w:tc>
          <w:tcPr>
            <w:tcW w:w="2292" w:type="dxa"/>
            <w:gridSpan w:val="2"/>
            <w:shd w:val="clear" w:color="auto" w:fill="auto"/>
          </w:tcPr>
          <w:p w14:paraId="09FC7E70" w14:textId="3D7E51DA" w:rsidR="00500249" w:rsidRPr="00C83A10" w:rsidRDefault="0021065D" w:rsidP="0021065D">
            <w:pPr>
              <w:spacing w:line="240" w:lineRule="auto"/>
              <w:jc w:val="center"/>
              <w:rPr>
                <w:rFonts w:ascii="Times New Roman" w:hAnsi="Times New Roman"/>
                <w:spacing w:val="-2"/>
                <w:highlight w:val="yellow"/>
              </w:rPr>
            </w:pPr>
            <w:r w:rsidRPr="00C83A10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571" w:type="dxa"/>
            <w:gridSpan w:val="4"/>
            <w:shd w:val="clear" w:color="auto" w:fill="auto"/>
          </w:tcPr>
          <w:p w14:paraId="368B4A55" w14:textId="77777777" w:rsidR="00500249" w:rsidRPr="00C83A10" w:rsidRDefault="00500249" w:rsidP="006140E7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329" w:type="dxa"/>
            <w:shd w:val="clear" w:color="auto" w:fill="auto"/>
          </w:tcPr>
          <w:p w14:paraId="18AF68D6" w14:textId="7E377E12" w:rsidR="00500249" w:rsidRPr="00C83A10" w:rsidRDefault="004B0EF3" w:rsidP="006140E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Sprawniejsze i efektywniejsze </w:t>
            </w:r>
            <w:r w:rsidR="003878E8">
              <w:rPr>
                <w:rFonts w:ascii="Times New Roman" w:hAnsi="Times New Roman"/>
                <w:spacing w:val="-2"/>
              </w:rPr>
              <w:t>z</w:t>
            </w:r>
            <w:r w:rsidR="002E3D56" w:rsidRPr="00C83A10">
              <w:rPr>
                <w:rFonts w:ascii="Times New Roman" w:hAnsi="Times New Roman"/>
                <w:spacing w:val="-2"/>
              </w:rPr>
              <w:t>arządzanie systemem Krajowej bazy</w:t>
            </w:r>
            <w:r w:rsidR="00393CC0" w:rsidRPr="00C83A10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500249" w:rsidRPr="008B4FE6" w14:paraId="4D2B5EA7" w14:textId="77777777" w:rsidTr="00140A80">
        <w:trPr>
          <w:trHeight w:val="302"/>
        </w:trPr>
        <w:tc>
          <w:tcPr>
            <w:tcW w:w="10094" w:type="dxa"/>
            <w:gridSpan w:val="9"/>
            <w:shd w:val="clear" w:color="auto" w:fill="99CCFF"/>
            <w:vAlign w:val="center"/>
          </w:tcPr>
          <w:p w14:paraId="4A94E53E" w14:textId="77777777" w:rsidR="00500249" w:rsidRPr="00C83A10" w:rsidRDefault="00500249" w:rsidP="00500249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3A10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500249" w:rsidRPr="008B4FE6" w14:paraId="565E8656" w14:textId="77777777" w:rsidTr="00140A80">
        <w:trPr>
          <w:trHeight w:val="342"/>
        </w:trPr>
        <w:tc>
          <w:tcPr>
            <w:tcW w:w="10094" w:type="dxa"/>
            <w:gridSpan w:val="9"/>
            <w:shd w:val="clear" w:color="auto" w:fill="FFFFFF"/>
          </w:tcPr>
          <w:p w14:paraId="50FBDB3C" w14:textId="5590BD69" w:rsidR="000465AE" w:rsidRPr="00C83A10" w:rsidRDefault="000465AE" w:rsidP="002B5FB1">
            <w:pPr>
              <w:spacing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color w:val="000000"/>
                <w:spacing w:val="-2"/>
              </w:rPr>
              <w:t>Projekt rozporządzeni</w:t>
            </w:r>
            <w:r w:rsidR="001269F4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C83A10">
              <w:rPr>
                <w:rFonts w:ascii="Times New Roman" w:hAnsi="Times New Roman"/>
                <w:color w:val="000000"/>
                <w:spacing w:val="-2"/>
              </w:rPr>
              <w:t xml:space="preserve"> nie był przedmiotem pre-konsultacji. Projekt będzie przedmiotem uzgodnień, konsultacji publicznych i opiniowania.</w:t>
            </w:r>
          </w:p>
          <w:p w14:paraId="62B23987" w14:textId="15E1B4EB" w:rsidR="0004039E" w:rsidRPr="00C83A10" w:rsidRDefault="000465AE" w:rsidP="00BE4197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color w:val="000000"/>
                <w:spacing w:val="-2"/>
              </w:rPr>
              <w:t xml:space="preserve">Projekt rozporządzenia zostanie przesłany do konsultacji publicznych, które potrwają </w:t>
            </w:r>
            <w:r w:rsidR="00C42F6D">
              <w:rPr>
                <w:rFonts w:ascii="Times New Roman" w:hAnsi="Times New Roman"/>
                <w:color w:val="000000"/>
                <w:spacing w:val="-2"/>
              </w:rPr>
              <w:t>10</w:t>
            </w:r>
            <w:r w:rsidRPr="008A1EA0">
              <w:rPr>
                <w:rFonts w:ascii="Times New Roman" w:hAnsi="Times New Roman"/>
                <w:color w:val="000000"/>
                <w:spacing w:val="-2"/>
              </w:rPr>
              <w:t xml:space="preserve"> dni</w:t>
            </w:r>
            <w:r w:rsidRPr="00C83A10">
              <w:rPr>
                <w:rFonts w:ascii="Times New Roman" w:hAnsi="Times New Roman"/>
                <w:color w:val="000000"/>
                <w:spacing w:val="-2"/>
              </w:rPr>
              <w:t>, do następującyc</w:t>
            </w:r>
            <w:r w:rsidR="0004039E" w:rsidRPr="00C83A10">
              <w:rPr>
                <w:rFonts w:ascii="Times New Roman" w:hAnsi="Times New Roman"/>
                <w:color w:val="000000"/>
                <w:spacing w:val="-2"/>
              </w:rPr>
              <w:t>h instytucji oraz organizacji reprezentujących interesy grup branżowych skupiających podmioty korzystające ze środowiska prowadzące działalność powodującą emisje do powietrza gazów cieplarnianych i innych substancji</w:t>
            </w:r>
            <w:r w:rsidR="001D2699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7755EF04" w14:textId="6738D0EE" w:rsidR="007766CF" w:rsidRDefault="0004039E" w:rsidP="0004039E">
            <w:pPr>
              <w:spacing w:after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color w:val="000000"/>
                <w:spacing w:val="-2"/>
              </w:rPr>
              <w:t>1)</w:t>
            </w:r>
            <w:r w:rsidRPr="00C83A10">
              <w:rPr>
                <w:rFonts w:ascii="Times New Roman" w:hAnsi="Times New Roman"/>
                <w:color w:val="000000"/>
                <w:spacing w:val="-2"/>
              </w:rPr>
              <w:tab/>
              <w:t>Krajowej Izby Gospodarczej;</w:t>
            </w:r>
          </w:p>
          <w:p w14:paraId="42F726E2" w14:textId="4FB7D398" w:rsidR="0004039E" w:rsidRDefault="0004039E" w:rsidP="007766CF">
            <w:pPr>
              <w:pStyle w:val="Akapitzlist"/>
              <w:numPr>
                <w:ilvl w:val="0"/>
                <w:numId w:val="21"/>
              </w:numPr>
              <w:ind w:left="769" w:hanging="76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66CF">
              <w:rPr>
                <w:rFonts w:ascii="Times New Roman" w:hAnsi="Times New Roman"/>
                <w:color w:val="000000"/>
                <w:spacing w:val="-2"/>
              </w:rPr>
              <w:t>Izby Gospodarczej Ciepłownictwo Polskie;</w:t>
            </w:r>
          </w:p>
          <w:p w14:paraId="1E9B78AE" w14:textId="3CA8912C" w:rsidR="0004039E" w:rsidRDefault="0004039E" w:rsidP="0004039E">
            <w:pPr>
              <w:pStyle w:val="Akapitzlist"/>
              <w:numPr>
                <w:ilvl w:val="0"/>
                <w:numId w:val="21"/>
              </w:numPr>
              <w:ind w:left="769" w:hanging="76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66CF">
              <w:rPr>
                <w:rFonts w:ascii="Times New Roman" w:hAnsi="Times New Roman"/>
                <w:color w:val="000000"/>
                <w:spacing w:val="-2"/>
              </w:rPr>
              <w:t>Hutniczej Izby Przemysłowo-Handlowej;</w:t>
            </w:r>
          </w:p>
          <w:p w14:paraId="4D71771D" w14:textId="4267B24D" w:rsidR="0004039E" w:rsidRDefault="0004039E" w:rsidP="0004039E">
            <w:pPr>
              <w:pStyle w:val="Akapitzlist"/>
              <w:numPr>
                <w:ilvl w:val="0"/>
                <w:numId w:val="21"/>
              </w:numPr>
              <w:ind w:left="769" w:hanging="76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66CF">
              <w:rPr>
                <w:rFonts w:ascii="Times New Roman" w:hAnsi="Times New Roman"/>
                <w:color w:val="000000"/>
                <w:spacing w:val="-2"/>
              </w:rPr>
              <w:t>Instytutu Chemicznej Przeróbki Węgla;</w:t>
            </w:r>
          </w:p>
          <w:p w14:paraId="14F36D74" w14:textId="668A8E82" w:rsidR="0004039E" w:rsidRDefault="0004039E" w:rsidP="0004039E">
            <w:pPr>
              <w:pStyle w:val="Akapitzlist"/>
              <w:numPr>
                <w:ilvl w:val="0"/>
                <w:numId w:val="21"/>
              </w:numPr>
              <w:ind w:left="769" w:hanging="76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66CF">
              <w:rPr>
                <w:rFonts w:ascii="Times New Roman" w:hAnsi="Times New Roman"/>
                <w:color w:val="000000"/>
                <w:spacing w:val="-2"/>
              </w:rPr>
              <w:t>Stowarzyszenia Papierników Polskich;</w:t>
            </w:r>
          </w:p>
          <w:p w14:paraId="59BAAD6B" w14:textId="62AF90D3" w:rsidR="0004039E" w:rsidRDefault="0004039E" w:rsidP="007766CF">
            <w:pPr>
              <w:pStyle w:val="Akapitzlist"/>
              <w:numPr>
                <w:ilvl w:val="0"/>
                <w:numId w:val="21"/>
              </w:numPr>
              <w:ind w:left="769" w:hanging="76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66CF">
              <w:rPr>
                <w:rFonts w:ascii="Times New Roman" w:hAnsi="Times New Roman"/>
                <w:color w:val="000000"/>
                <w:spacing w:val="-2"/>
              </w:rPr>
              <w:t>Polskiego Towarzystwa Elektrociepłowni Zawodowych;</w:t>
            </w:r>
          </w:p>
          <w:p w14:paraId="699BB723" w14:textId="6608A428" w:rsidR="0004039E" w:rsidRDefault="0004039E" w:rsidP="0004039E">
            <w:pPr>
              <w:pStyle w:val="Akapitzlist"/>
              <w:numPr>
                <w:ilvl w:val="0"/>
                <w:numId w:val="21"/>
              </w:numPr>
              <w:ind w:left="769" w:hanging="76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66CF">
              <w:rPr>
                <w:rFonts w:ascii="Times New Roman" w:hAnsi="Times New Roman"/>
                <w:color w:val="000000"/>
                <w:spacing w:val="-2"/>
              </w:rPr>
              <w:t>Towarzystwa Gospodarczego Polskie Elektrownie;</w:t>
            </w:r>
          </w:p>
          <w:p w14:paraId="15CDAEAE" w14:textId="1209CB25" w:rsidR="0004039E" w:rsidRDefault="0004039E" w:rsidP="0004039E">
            <w:pPr>
              <w:pStyle w:val="Akapitzlist"/>
              <w:numPr>
                <w:ilvl w:val="0"/>
                <w:numId w:val="21"/>
              </w:numPr>
              <w:ind w:left="769" w:hanging="76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66CF">
              <w:rPr>
                <w:rFonts w:ascii="Times New Roman" w:hAnsi="Times New Roman"/>
                <w:color w:val="000000"/>
                <w:spacing w:val="-2"/>
              </w:rPr>
              <w:t>Stowarzyszenia Forum Opakowań Szklanych;</w:t>
            </w:r>
            <w:r w:rsidRPr="007766CF">
              <w:rPr>
                <w:rFonts w:ascii="Times New Roman" w:hAnsi="Times New Roman"/>
                <w:color w:val="000000"/>
                <w:spacing w:val="-2"/>
              </w:rPr>
              <w:tab/>
            </w:r>
          </w:p>
          <w:p w14:paraId="0EB31172" w14:textId="045FC759" w:rsidR="0004039E" w:rsidRDefault="0004039E" w:rsidP="0004039E">
            <w:pPr>
              <w:pStyle w:val="Akapitzlist"/>
              <w:numPr>
                <w:ilvl w:val="0"/>
                <w:numId w:val="21"/>
              </w:numPr>
              <w:ind w:left="769" w:hanging="76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66CF">
              <w:rPr>
                <w:rFonts w:ascii="Times New Roman" w:hAnsi="Times New Roman"/>
                <w:color w:val="000000"/>
                <w:spacing w:val="-2"/>
              </w:rPr>
              <w:t>Stowarzyszenia Producentów Cementu;</w:t>
            </w:r>
          </w:p>
          <w:p w14:paraId="06B0F9CA" w14:textId="14F4A1DB" w:rsidR="0004039E" w:rsidRDefault="0004039E" w:rsidP="0004039E">
            <w:pPr>
              <w:pStyle w:val="Akapitzlist"/>
              <w:numPr>
                <w:ilvl w:val="0"/>
                <w:numId w:val="21"/>
              </w:numPr>
              <w:ind w:left="769" w:hanging="76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66CF">
              <w:rPr>
                <w:rFonts w:ascii="Times New Roman" w:hAnsi="Times New Roman"/>
                <w:color w:val="000000"/>
                <w:spacing w:val="-2"/>
              </w:rPr>
              <w:t>Związku Pracodawców Polskie Szkło;</w:t>
            </w:r>
          </w:p>
          <w:p w14:paraId="4E6B76C6" w14:textId="35CE7626" w:rsidR="0004039E" w:rsidRDefault="0004039E" w:rsidP="0004039E">
            <w:pPr>
              <w:pStyle w:val="Akapitzlist"/>
              <w:numPr>
                <w:ilvl w:val="0"/>
                <w:numId w:val="21"/>
              </w:numPr>
              <w:ind w:left="769" w:hanging="76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66CF">
              <w:rPr>
                <w:rFonts w:ascii="Times New Roman" w:hAnsi="Times New Roman"/>
                <w:color w:val="000000"/>
                <w:spacing w:val="-2"/>
              </w:rPr>
              <w:t>Związku Producentów Cukru;</w:t>
            </w:r>
          </w:p>
          <w:p w14:paraId="0BB87335" w14:textId="4976AEAB" w:rsidR="0004039E" w:rsidRDefault="0004039E" w:rsidP="0004039E">
            <w:pPr>
              <w:pStyle w:val="Akapitzlist"/>
              <w:numPr>
                <w:ilvl w:val="0"/>
                <w:numId w:val="21"/>
              </w:numPr>
              <w:ind w:left="769" w:hanging="76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66CF">
              <w:rPr>
                <w:rFonts w:ascii="Times New Roman" w:hAnsi="Times New Roman"/>
                <w:color w:val="000000"/>
                <w:spacing w:val="-2"/>
              </w:rPr>
              <w:t>Polskiej Organizacji Przemysłu i Handlu Naftowego;</w:t>
            </w:r>
          </w:p>
          <w:p w14:paraId="3E287399" w14:textId="07B9AE62" w:rsidR="0004039E" w:rsidRDefault="0004039E" w:rsidP="0004039E">
            <w:pPr>
              <w:pStyle w:val="Akapitzlist"/>
              <w:numPr>
                <w:ilvl w:val="0"/>
                <w:numId w:val="21"/>
              </w:numPr>
              <w:ind w:left="769" w:hanging="76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66CF">
              <w:rPr>
                <w:rFonts w:ascii="Times New Roman" w:hAnsi="Times New Roman"/>
                <w:color w:val="000000"/>
                <w:spacing w:val="-2"/>
              </w:rPr>
              <w:t>CERBUD Krajowego Zrzeszenia Producentów Materiałów Mineralnych;</w:t>
            </w:r>
          </w:p>
          <w:p w14:paraId="30E78907" w14:textId="1D9BD534" w:rsidR="0004039E" w:rsidRDefault="0004039E" w:rsidP="0004039E">
            <w:pPr>
              <w:pStyle w:val="Akapitzlist"/>
              <w:numPr>
                <w:ilvl w:val="0"/>
                <w:numId w:val="21"/>
              </w:numPr>
              <w:ind w:left="769" w:hanging="76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66CF">
              <w:rPr>
                <w:rFonts w:ascii="Times New Roman" w:hAnsi="Times New Roman"/>
                <w:color w:val="000000"/>
                <w:spacing w:val="-2"/>
              </w:rPr>
              <w:t>Polskiej Izby Przemysłu Chemicznego - Związku Pracodawców;</w:t>
            </w:r>
          </w:p>
          <w:p w14:paraId="3D80A038" w14:textId="408BBF34" w:rsidR="0004039E" w:rsidRDefault="0004039E" w:rsidP="0004039E">
            <w:pPr>
              <w:pStyle w:val="Akapitzlist"/>
              <w:numPr>
                <w:ilvl w:val="0"/>
                <w:numId w:val="21"/>
              </w:numPr>
              <w:ind w:left="769" w:hanging="76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66CF">
              <w:rPr>
                <w:rFonts w:ascii="Times New Roman" w:hAnsi="Times New Roman"/>
                <w:color w:val="000000"/>
                <w:spacing w:val="-2"/>
              </w:rPr>
              <w:t>Stowarzyszenia Przemysłu Wapienniczego;</w:t>
            </w:r>
          </w:p>
          <w:p w14:paraId="0A8F538C" w14:textId="43E4065F" w:rsidR="0004039E" w:rsidRDefault="0004039E" w:rsidP="0004039E">
            <w:pPr>
              <w:pStyle w:val="Akapitzlist"/>
              <w:numPr>
                <w:ilvl w:val="0"/>
                <w:numId w:val="21"/>
              </w:numPr>
              <w:ind w:left="769" w:hanging="76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66CF">
              <w:rPr>
                <w:rFonts w:ascii="Times New Roman" w:hAnsi="Times New Roman"/>
                <w:color w:val="000000"/>
                <w:spacing w:val="-2"/>
              </w:rPr>
              <w:t>Stowarzyszenia Producentów Płyt Drewnopodobnych w Polsce;</w:t>
            </w:r>
          </w:p>
          <w:p w14:paraId="3784D51C" w14:textId="6A8B8AD5" w:rsidR="0004039E" w:rsidRDefault="0004039E" w:rsidP="0004039E">
            <w:pPr>
              <w:pStyle w:val="Akapitzlist"/>
              <w:numPr>
                <w:ilvl w:val="0"/>
                <w:numId w:val="21"/>
              </w:numPr>
              <w:ind w:left="769" w:hanging="76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66CF">
              <w:rPr>
                <w:rFonts w:ascii="Times New Roman" w:hAnsi="Times New Roman"/>
                <w:color w:val="000000"/>
                <w:spacing w:val="-2"/>
              </w:rPr>
              <w:t>Związku Pracodawców Ceramiki Budowlanej i Silikatów;</w:t>
            </w:r>
          </w:p>
          <w:p w14:paraId="7DF0764C" w14:textId="03E3D7E2" w:rsidR="0004039E" w:rsidRDefault="0004039E" w:rsidP="0004039E">
            <w:pPr>
              <w:pStyle w:val="Akapitzlist"/>
              <w:numPr>
                <w:ilvl w:val="0"/>
                <w:numId w:val="21"/>
              </w:numPr>
              <w:ind w:left="769" w:hanging="76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66CF">
              <w:rPr>
                <w:rFonts w:ascii="Times New Roman" w:hAnsi="Times New Roman"/>
                <w:color w:val="000000"/>
                <w:spacing w:val="-2"/>
              </w:rPr>
              <w:t>Izby Energetyki Przemysłowej i Odbiorców Energii;</w:t>
            </w:r>
          </w:p>
          <w:p w14:paraId="377F4D8B" w14:textId="6FE9D64D" w:rsidR="0004039E" w:rsidRDefault="0004039E" w:rsidP="0004039E">
            <w:pPr>
              <w:pStyle w:val="Akapitzlist"/>
              <w:numPr>
                <w:ilvl w:val="0"/>
                <w:numId w:val="21"/>
              </w:numPr>
              <w:ind w:left="769" w:hanging="76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66CF">
              <w:rPr>
                <w:rFonts w:ascii="Times New Roman" w:hAnsi="Times New Roman"/>
                <w:color w:val="000000"/>
                <w:spacing w:val="-2"/>
              </w:rPr>
              <w:t>Związku Rzemiosła Polskiego;</w:t>
            </w:r>
          </w:p>
          <w:p w14:paraId="29CEA8AF" w14:textId="438F0625" w:rsidR="0004039E" w:rsidRDefault="0004039E" w:rsidP="0004039E">
            <w:pPr>
              <w:pStyle w:val="Akapitzlist"/>
              <w:numPr>
                <w:ilvl w:val="0"/>
                <w:numId w:val="21"/>
              </w:numPr>
              <w:ind w:left="769" w:hanging="76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66CF">
              <w:rPr>
                <w:rFonts w:ascii="Times New Roman" w:hAnsi="Times New Roman"/>
                <w:color w:val="000000"/>
                <w:spacing w:val="-2"/>
              </w:rPr>
              <w:t>Krajowego Związku Rolników i Organizacji Rolniczych;</w:t>
            </w:r>
          </w:p>
          <w:p w14:paraId="782A1D95" w14:textId="4386E676" w:rsidR="0004039E" w:rsidRDefault="0004039E" w:rsidP="0004039E">
            <w:pPr>
              <w:pStyle w:val="Akapitzlist"/>
              <w:numPr>
                <w:ilvl w:val="0"/>
                <w:numId w:val="21"/>
              </w:numPr>
              <w:ind w:left="769" w:hanging="76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66CF">
              <w:rPr>
                <w:rFonts w:ascii="Times New Roman" w:hAnsi="Times New Roman"/>
                <w:color w:val="000000"/>
                <w:spacing w:val="-2"/>
              </w:rPr>
              <w:t>Związku Polskich Przetwórców Mleka;</w:t>
            </w:r>
          </w:p>
          <w:p w14:paraId="4D480D63" w14:textId="29E1095E" w:rsidR="00EF1A00" w:rsidRPr="007766CF" w:rsidRDefault="0004039E" w:rsidP="0004039E">
            <w:pPr>
              <w:pStyle w:val="Akapitzlist"/>
              <w:numPr>
                <w:ilvl w:val="0"/>
                <w:numId w:val="21"/>
              </w:numPr>
              <w:ind w:left="769" w:hanging="76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66CF">
              <w:rPr>
                <w:rFonts w:ascii="Times New Roman" w:hAnsi="Times New Roman"/>
                <w:color w:val="000000"/>
                <w:spacing w:val="-2"/>
              </w:rPr>
              <w:t>Polskiej Organizacji Handlu i Dystrybucji</w:t>
            </w:r>
            <w:r w:rsidR="007766C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46E248A" w14:textId="77777777" w:rsidR="00EF1A00" w:rsidRDefault="00EF1A00" w:rsidP="0004039E">
            <w:pPr>
              <w:spacing w:after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F125AB6" w14:textId="185767CB" w:rsidR="001A31D0" w:rsidRDefault="001A31D0" w:rsidP="0004039E">
            <w:pPr>
              <w:spacing w:after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AC83DC8" w14:textId="002CCFE7" w:rsidR="001A31D0" w:rsidRDefault="001A31D0" w:rsidP="0004039E">
            <w:pPr>
              <w:spacing w:after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31D0">
              <w:rPr>
                <w:rFonts w:ascii="Times New Roman" w:hAnsi="Times New Roman"/>
                <w:color w:val="000000"/>
                <w:spacing w:val="-2"/>
              </w:rPr>
              <w:lastRenderedPageBreak/>
              <w:t>Projekt rozporządzenia zostanie przesłany do zaopiniowania jednostce nadzorowanej przez Ministra Klimatu i Środowiska, której projekt ten dotyczy, tj. Instytutowi Ochrony Środowiska – Państwowemu Instytutowi Badawczemu</w:t>
            </w:r>
            <w:r w:rsidR="00F22227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2A6E2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1A31D0">
              <w:rPr>
                <w:rFonts w:ascii="Times New Roman" w:hAnsi="Times New Roman"/>
                <w:color w:val="000000"/>
                <w:spacing w:val="-2"/>
              </w:rPr>
              <w:t>w strukturach którego funkcjonuje Krajowy Ośrodek Bilansowania i Zarządzania Emisjami</w:t>
            </w:r>
            <w:r w:rsidR="00F2222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B1A0F35" w14:textId="77777777" w:rsidR="001D2699" w:rsidRPr="00C83A10" w:rsidRDefault="001D2699" w:rsidP="0004039E">
            <w:pPr>
              <w:spacing w:after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0A177B0" w14:textId="6F382F7E" w:rsidR="000465AE" w:rsidRPr="00C83A10" w:rsidRDefault="000465AE" w:rsidP="002B5FB1">
            <w:pPr>
              <w:spacing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color w:val="000000"/>
                <w:spacing w:val="-2"/>
              </w:rPr>
              <w:t>Projekt rozporządzenia zostanie zamieszczony w Biuletynie Informacji Publicznej Rządowego Centrum Legislacji w zakładce Rządowy Proces Legislacyjny, zgodnie z art. 5 ustawy z dnia 7 lipca 2005 r. o działalności lobbingowej w procesie stanowienia prawa (Dz. U. z 2017 r. poz. 248) oraz stosownie do § 52 uchwały nr 190 Rady Ministrów z dnia 29 października 2013 r. – Regulamin pracy Rady Ministrów (M. P. z 20</w:t>
            </w:r>
            <w:r w:rsidR="00CB689F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1269F4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Pr="00C83A10">
              <w:rPr>
                <w:rFonts w:ascii="Times New Roman" w:hAnsi="Times New Roman"/>
                <w:color w:val="000000"/>
                <w:spacing w:val="-2"/>
              </w:rPr>
              <w:t xml:space="preserve"> r. poz.</w:t>
            </w:r>
            <w:r w:rsidR="001269F4">
              <w:rPr>
                <w:rFonts w:ascii="Times New Roman" w:hAnsi="Times New Roman"/>
                <w:color w:val="000000"/>
                <w:spacing w:val="-2"/>
              </w:rPr>
              <w:t xml:space="preserve"> 348</w:t>
            </w:r>
            <w:r w:rsidRPr="00C83A10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  <w:p w14:paraId="3DC89FD2" w14:textId="5982ED1B" w:rsidR="000465AE" w:rsidRPr="00C83A10" w:rsidRDefault="000465AE" w:rsidP="002B5FB1">
            <w:pPr>
              <w:spacing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color w:val="000000"/>
                <w:spacing w:val="-2"/>
              </w:rPr>
              <w:t>Projekt nie dotyczy spraw, o których mowa w art. 1 ustawy z dnia 24 lipca 2015 r. o Radzie Dialogu Społecznego i innych instytucjach dialogu społecznego (Dz. U. z 2018 r. poz. 2232</w:t>
            </w:r>
            <w:r w:rsidR="001269F4">
              <w:rPr>
                <w:rFonts w:ascii="Times New Roman" w:hAnsi="Times New Roman"/>
                <w:color w:val="000000"/>
                <w:spacing w:val="-2"/>
              </w:rPr>
              <w:t xml:space="preserve"> oraz z 2020 r. poz. 568, 2157)</w:t>
            </w:r>
            <w:r w:rsidRPr="00C83A1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4A820D1" w14:textId="09727C50" w:rsidR="000465AE" w:rsidRPr="00C83A10" w:rsidRDefault="000465AE" w:rsidP="002B5FB1">
            <w:pPr>
              <w:spacing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color w:val="000000"/>
                <w:spacing w:val="-2"/>
              </w:rPr>
              <w:t>Z uwagi na zakres projektu</w:t>
            </w:r>
            <w:r w:rsidR="00DB07C4">
              <w:rPr>
                <w:rFonts w:ascii="Times New Roman" w:hAnsi="Times New Roman"/>
                <w:color w:val="000000"/>
                <w:spacing w:val="-2"/>
              </w:rPr>
              <w:t xml:space="preserve"> rozporządzenia</w:t>
            </w:r>
            <w:r w:rsidRPr="00C83A10">
              <w:rPr>
                <w:rFonts w:ascii="Times New Roman" w:hAnsi="Times New Roman"/>
                <w:color w:val="000000"/>
                <w:spacing w:val="-2"/>
              </w:rPr>
              <w:t xml:space="preserve">, który nie dotyczy problematyki samorządu terytorialnego, praw i interesów organizacji pracodawców i zadań związków zawodowych projekt nie podlega opiniowaniu przez Komisję Wspólną Rządu i Samorządu Terytorialnego, reprezentatywne organizacje pracodawców </w:t>
            </w:r>
            <w:r w:rsidR="00D04E9C">
              <w:rPr>
                <w:rFonts w:ascii="Times New Roman" w:hAnsi="Times New Roman"/>
                <w:color w:val="000000"/>
                <w:spacing w:val="-2"/>
              </w:rPr>
              <w:t>an</w:t>
            </w:r>
            <w:r w:rsidRPr="00C83A10">
              <w:rPr>
                <w:rFonts w:ascii="Times New Roman" w:hAnsi="Times New Roman"/>
                <w:color w:val="000000"/>
                <w:spacing w:val="-2"/>
              </w:rPr>
              <w:t>i reprezentatywne związki zawodowe.</w:t>
            </w:r>
          </w:p>
          <w:p w14:paraId="50FFD07C" w14:textId="77777777" w:rsidR="000465AE" w:rsidRPr="00C83A10" w:rsidRDefault="000465AE" w:rsidP="002B5FB1">
            <w:pPr>
              <w:spacing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color w:val="000000"/>
                <w:spacing w:val="-2"/>
              </w:rPr>
              <w:t xml:space="preserve">Projekt nie podlega także opiniowaniu, konsultacjom ani uzgodnieniom z organami i instytucjami Unii Europejskiej, w tym z Europejskim Bankiem Centralnym. </w:t>
            </w:r>
          </w:p>
          <w:p w14:paraId="13DB126C" w14:textId="70AB8D97" w:rsidR="000465AE" w:rsidRPr="00C83A10" w:rsidRDefault="000465AE" w:rsidP="002B5FB1">
            <w:pPr>
              <w:spacing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color w:val="000000"/>
                <w:spacing w:val="-2"/>
              </w:rPr>
              <w:t>Wyniki przeprowadzonych konsultacji publicznych i opiniowania zostaną omówione w raporcie z konsultacji publicznych</w:t>
            </w:r>
            <w:r w:rsidR="002B5FB1" w:rsidRPr="00C83A1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500249" w:rsidRPr="008B4FE6" w14:paraId="5815BC61" w14:textId="77777777" w:rsidTr="00140A80">
        <w:trPr>
          <w:trHeight w:val="363"/>
        </w:trPr>
        <w:tc>
          <w:tcPr>
            <w:tcW w:w="10094" w:type="dxa"/>
            <w:gridSpan w:val="9"/>
            <w:shd w:val="clear" w:color="auto" w:fill="99CCFF"/>
            <w:vAlign w:val="center"/>
          </w:tcPr>
          <w:p w14:paraId="03546790" w14:textId="77777777" w:rsidR="00500249" w:rsidRPr="00C83A10" w:rsidRDefault="00500249" w:rsidP="00500249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3A10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500249" w:rsidRPr="008B4FE6" w14:paraId="1B496365" w14:textId="77777777" w:rsidTr="00393CC0">
        <w:trPr>
          <w:trHeight w:val="612"/>
        </w:trPr>
        <w:tc>
          <w:tcPr>
            <w:tcW w:w="10094" w:type="dxa"/>
            <w:gridSpan w:val="9"/>
            <w:shd w:val="clear" w:color="auto" w:fill="FFFFFF"/>
            <w:vAlign w:val="center"/>
          </w:tcPr>
          <w:p w14:paraId="31A4D342" w14:textId="2615DEE4" w:rsidR="00500249" w:rsidRPr="00C83A10" w:rsidRDefault="00624390" w:rsidP="00BE4197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BE4197">
              <w:rPr>
                <w:rFonts w:ascii="Times New Roman" w:hAnsi="Times New Roman"/>
                <w:color w:val="000000"/>
                <w:spacing w:val="-2"/>
              </w:rPr>
              <w:t>Projektowana regulacja nie będzie miała wpływu na sektor finansów publicznych, w tym jednostki samorządu terytorialnego i budżet państwa.</w:t>
            </w:r>
          </w:p>
        </w:tc>
      </w:tr>
      <w:tr w:rsidR="00500249" w:rsidRPr="008B4FE6" w14:paraId="110775B6" w14:textId="77777777" w:rsidTr="00140A80">
        <w:trPr>
          <w:trHeight w:val="345"/>
        </w:trPr>
        <w:tc>
          <w:tcPr>
            <w:tcW w:w="10094" w:type="dxa"/>
            <w:gridSpan w:val="9"/>
            <w:shd w:val="clear" w:color="auto" w:fill="99CCFF"/>
          </w:tcPr>
          <w:p w14:paraId="0C681C04" w14:textId="77777777" w:rsidR="00500249" w:rsidRPr="00C83A10" w:rsidRDefault="00500249" w:rsidP="00500249">
            <w:pPr>
              <w:numPr>
                <w:ilvl w:val="0"/>
                <w:numId w:val="11"/>
              </w:numPr>
              <w:suppressAutoHyphens w:val="0"/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C83A10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500249" w:rsidRPr="008B4FE6" w14:paraId="12B86C72" w14:textId="77777777" w:rsidTr="00140A80">
        <w:trPr>
          <w:trHeight w:val="142"/>
        </w:trPr>
        <w:tc>
          <w:tcPr>
            <w:tcW w:w="10094" w:type="dxa"/>
            <w:gridSpan w:val="9"/>
            <w:shd w:val="clear" w:color="auto" w:fill="FFFFFF"/>
          </w:tcPr>
          <w:p w14:paraId="663B79B1" w14:textId="4EE04180" w:rsidR="00500249" w:rsidRPr="00C83A10" w:rsidRDefault="002B73FA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spacing w:val="-2"/>
              </w:rPr>
              <w:t xml:space="preserve">Projekt rozporządzenia nie będzie wywierał wpływu na konkurencyjność gospodarki, w tym warunki konkurowania przedsiębiorstw. </w:t>
            </w:r>
            <w:r w:rsidRPr="00C83A10">
              <w:rPr>
                <w:rFonts w:ascii="Times New Roman" w:hAnsi="Times New Roman"/>
                <w:color w:val="000000"/>
              </w:rPr>
              <w:t xml:space="preserve">Projekt nie generuje dodatkowych obowiązków </w:t>
            </w:r>
            <w:r w:rsidR="005E52B3">
              <w:rPr>
                <w:rFonts w:ascii="Times New Roman" w:hAnsi="Times New Roman"/>
                <w:color w:val="000000"/>
              </w:rPr>
              <w:t>dla</w:t>
            </w:r>
            <w:r w:rsidR="005E52B3" w:rsidRPr="00C83A10">
              <w:rPr>
                <w:rFonts w:ascii="Times New Roman" w:hAnsi="Times New Roman"/>
                <w:color w:val="000000"/>
              </w:rPr>
              <w:t xml:space="preserve"> </w:t>
            </w:r>
            <w:r w:rsidRPr="00C83A10">
              <w:rPr>
                <w:rFonts w:ascii="Times New Roman" w:hAnsi="Times New Roman"/>
                <w:color w:val="000000"/>
              </w:rPr>
              <w:t xml:space="preserve">obywateli, </w:t>
            </w:r>
            <w:r w:rsidR="005E52B3">
              <w:rPr>
                <w:rFonts w:ascii="Times New Roman" w:hAnsi="Times New Roman"/>
                <w:color w:val="000000"/>
              </w:rPr>
              <w:t xml:space="preserve">ani nie wywiera wpływu na </w:t>
            </w:r>
            <w:r w:rsidRPr="00C83A10">
              <w:rPr>
                <w:rFonts w:ascii="Times New Roman" w:hAnsi="Times New Roman"/>
                <w:color w:val="000000"/>
              </w:rPr>
              <w:t>rodzinę i gospodarstwa domowe, gdyż dotyczy</w:t>
            </w:r>
            <w:r w:rsidR="00D04E9C">
              <w:t xml:space="preserve"> </w:t>
            </w:r>
            <w:r w:rsidR="00D04E9C" w:rsidRPr="00D04E9C">
              <w:rPr>
                <w:rFonts w:ascii="Times New Roman" w:hAnsi="Times New Roman"/>
                <w:color w:val="000000"/>
              </w:rPr>
              <w:t>istniejącego już obecnie obowiązku, którego zakres nie ulega zmianie, a ma ułatwiać wykonywanie</w:t>
            </w:r>
            <w:r w:rsidRPr="00C83A10">
              <w:rPr>
                <w:rFonts w:ascii="Times New Roman" w:hAnsi="Times New Roman"/>
                <w:color w:val="000000"/>
              </w:rPr>
              <w:t xml:space="preserve"> czynności technicznych</w:t>
            </w:r>
            <w:r w:rsidR="00D04E9C">
              <w:rPr>
                <w:rFonts w:ascii="Times New Roman" w:hAnsi="Times New Roman"/>
                <w:color w:val="000000"/>
              </w:rPr>
              <w:t xml:space="preserve">  związanych z tym obowiązkiem</w:t>
            </w:r>
            <w:r w:rsidRPr="00C83A1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00249" w:rsidRPr="008B4FE6" w14:paraId="736514BA" w14:textId="77777777" w:rsidTr="00140A80">
        <w:trPr>
          <w:trHeight w:val="342"/>
        </w:trPr>
        <w:tc>
          <w:tcPr>
            <w:tcW w:w="10094" w:type="dxa"/>
            <w:gridSpan w:val="9"/>
            <w:shd w:val="clear" w:color="auto" w:fill="99CCFF"/>
            <w:vAlign w:val="center"/>
          </w:tcPr>
          <w:p w14:paraId="5225135F" w14:textId="77777777" w:rsidR="00500249" w:rsidRPr="00C83A10" w:rsidRDefault="00500249" w:rsidP="00500249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3A10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500249" w:rsidRPr="008B4FE6" w14:paraId="2D21F893" w14:textId="77777777" w:rsidTr="00140A80">
        <w:trPr>
          <w:trHeight w:val="151"/>
        </w:trPr>
        <w:tc>
          <w:tcPr>
            <w:tcW w:w="10094" w:type="dxa"/>
            <w:gridSpan w:val="9"/>
            <w:shd w:val="clear" w:color="auto" w:fill="FFFFFF"/>
          </w:tcPr>
          <w:p w14:paraId="07D90F05" w14:textId="096D42FA" w:rsidR="00500249" w:rsidRPr="00C83A10" w:rsidRDefault="00D04E9C" w:rsidP="006140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4931">
              <w:rPr>
                <w:rFonts w:ascii="Times New Roman" w:hAnsi="Times New Roman"/>
                <w:color w:val="000000"/>
              </w:rPr>
            </w:r>
            <w:r w:rsidR="00D5493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500249" w:rsidRPr="00C83A10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393CC0" w:rsidRPr="008B4FE6" w14:paraId="1E4F019D" w14:textId="77777777" w:rsidTr="00393CC0">
        <w:trPr>
          <w:trHeight w:val="946"/>
        </w:trPr>
        <w:tc>
          <w:tcPr>
            <w:tcW w:w="5322" w:type="dxa"/>
            <w:gridSpan w:val="5"/>
            <w:shd w:val="clear" w:color="auto" w:fill="FFFFFF"/>
          </w:tcPr>
          <w:p w14:paraId="0B49FD5E" w14:textId="77777777" w:rsidR="00500249" w:rsidRPr="00C83A10" w:rsidRDefault="00500249" w:rsidP="006140E7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C83A10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4772" w:type="dxa"/>
            <w:gridSpan w:val="4"/>
            <w:shd w:val="clear" w:color="auto" w:fill="FFFFFF"/>
          </w:tcPr>
          <w:p w14:paraId="3089AA15" w14:textId="77777777" w:rsidR="00500249" w:rsidRPr="00C83A10" w:rsidRDefault="00500249" w:rsidP="006140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3A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4931">
              <w:rPr>
                <w:rFonts w:ascii="Times New Roman" w:hAnsi="Times New Roman"/>
                <w:color w:val="000000"/>
              </w:rPr>
            </w:r>
            <w:r w:rsidR="00D54931">
              <w:rPr>
                <w:rFonts w:ascii="Times New Roman" w:hAnsi="Times New Roman"/>
                <w:color w:val="000000"/>
              </w:rPr>
              <w:fldChar w:fldCharType="separate"/>
            </w:r>
            <w:r w:rsidRPr="00C83A10">
              <w:rPr>
                <w:rFonts w:ascii="Times New Roman" w:hAnsi="Times New Roman"/>
                <w:color w:val="000000"/>
              </w:rPr>
              <w:fldChar w:fldCharType="end"/>
            </w:r>
            <w:r w:rsidRPr="00C83A10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C4EC48B" w14:textId="315CD928" w:rsidR="00500249" w:rsidRPr="00C83A10" w:rsidRDefault="00393CC0" w:rsidP="006140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3A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4931">
              <w:rPr>
                <w:rFonts w:ascii="Times New Roman" w:hAnsi="Times New Roman"/>
                <w:color w:val="000000"/>
              </w:rPr>
            </w:r>
            <w:r w:rsidR="00D54931">
              <w:rPr>
                <w:rFonts w:ascii="Times New Roman" w:hAnsi="Times New Roman"/>
                <w:color w:val="000000"/>
              </w:rPr>
              <w:fldChar w:fldCharType="separate"/>
            </w:r>
            <w:r w:rsidRPr="00C83A10">
              <w:rPr>
                <w:rFonts w:ascii="Times New Roman" w:hAnsi="Times New Roman"/>
                <w:color w:val="000000"/>
              </w:rPr>
              <w:fldChar w:fldCharType="end"/>
            </w:r>
            <w:r w:rsidR="00500249" w:rsidRPr="00C83A10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4D6C4F6" w14:textId="3FAF2F76" w:rsidR="00500249" w:rsidRPr="00C83A10" w:rsidRDefault="007F39E5" w:rsidP="006140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</w:instrText>
            </w:r>
            <w:bookmarkStart w:id="1" w:name="Wybór1"/>
            <w:r>
              <w:rPr>
                <w:rFonts w:ascii="Times New Roman" w:hAnsi="Times New Roman"/>
                <w:color w:val="000000"/>
              </w:rPr>
              <w:instrText xml:space="preserve">FORMCHECKBOX </w:instrText>
            </w:r>
            <w:r w:rsidR="00D54931">
              <w:rPr>
                <w:rFonts w:ascii="Times New Roman" w:hAnsi="Times New Roman"/>
                <w:color w:val="000000"/>
              </w:rPr>
            </w:r>
            <w:r w:rsidR="00D5493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bookmarkEnd w:id="1"/>
            <w:r w:rsidR="00500249" w:rsidRPr="00C83A10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93CC0" w:rsidRPr="008B4FE6" w14:paraId="75FF512B" w14:textId="77777777" w:rsidTr="00393CC0">
        <w:trPr>
          <w:trHeight w:val="1245"/>
        </w:trPr>
        <w:tc>
          <w:tcPr>
            <w:tcW w:w="5322" w:type="dxa"/>
            <w:gridSpan w:val="5"/>
            <w:shd w:val="clear" w:color="auto" w:fill="FFFFFF"/>
          </w:tcPr>
          <w:p w14:paraId="57FD9B42" w14:textId="3EBC9603" w:rsidR="00500249" w:rsidRPr="00C83A10" w:rsidRDefault="007F39E5" w:rsidP="006140E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4931">
              <w:rPr>
                <w:rFonts w:ascii="Times New Roman" w:hAnsi="Times New Roman"/>
                <w:color w:val="000000"/>
              </w:rPr>
            </w:r>
            <w:r w:rsidR="00D5493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500249" w:rsidRPr="00C83A10">
              <w:rPr>
                <w:rFonts w:ascii="Times New Roman" w:hAnsi="Times New Roman"/>
                <w:color w:val="000000"/>
              </w:rPr>
              <w:t xml:space="preserve"> </w:t>
            </w:r>
            <w:r w:rsidR="00500249" w:rsidRPr="00C83A10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373A07CC" w14:textId="63D3CA41" w:rsidR="00500249" w:rsidRPr="00C83A10" w:rsidRDefault="00D04E9C" w:rsidP="006140E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4931">
              <w:rPr>
                <w:rFonts w:ascii="Times New Roman" w:hAnsi="Times New Roman"/>
                <w:color w:val="000000"/>
              </w:rPr>
            </w:r>
            <w:r w:rsidR="00D5493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500249" w:rsidRPr="00C83A10">
              <w:rPr>
                <w:rFonts w:ascii="Times New Roman" w:hAnsi="Times New Roman"/>
                <w:color w:val="000000"/>
              </w:rPr>
              <w:t xml:space="preserve"> </w:t>
            </w:r>
            <w:r w:rsidR="00500249" w:rsidRPr="00C83A10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849E843" w14:textId="4F02FF4C" w:rsidR="00500249" w:rsidRPr="00C83A10" w:rsidRDefault="007F39E5" w:rsidP="006140E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4931">
              <w:rPr>
                <w:rFonts w:ascii="Times New Roman" w:hAnsi="Times New Roman"/>
                <w:color w:val="000000"/>
              </w:rPr>
            </w:r>
            <w:r w:rsidR="00D5493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500249" w:rsidRPr="00C83A10">
              <w:rPr>
                <w:rFonts w:ascii="Times New Roman" w:hAnsi="Times New Roman"/>
                <w:color w:val="000000"/>
              </w:rPr>
              <w:t xml:space="preserve"> </w:t>
            </w:r>
            <w:r w:rsidR="00500249" w:rsidRPr="00C83A10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5660334C" w14:textId="77777777" w:rsidR="00500249" w:rsidRPr="00C83A10" w:rsidRDefault="00500249" w:rsidP="006140E7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4931">
              <w:rPr>
                <w:rFonts w:ascii="Times New Roman" w:hAnsi="Times New Roman"/>
                <w:color w:val="000000"/>
              </w:rPr>
            </w:r>
            <w:r w:rsidR="00D54931">
              <w:rPr>
                <w:rFonts w:ascii="Times New Roman" w:hAnsi="Times New Roman"/>
                <w:color w:val="000000"/>
              </w:rPr>
              <w:fldChar w:fldCharType="separate"/>
            </w:r>
            <w:r w:rsidRPr="00C83A10">
              <w:rPr>
                <w:rFonts w:ascii="Times New Roman" w:hAnsi="Times New Roman"/>
                <w:color w:val="000000"/>
              </w:rPr>
              <w:fldChar w:fldCharType="end"/>
            </w:r>
            <w:r w:rsidRPr="00C83A10">
              <w:rPr>
                <w:rFonts w:ascii="Times New Roman" w:hAnsi="Times New Roman"/>
                <w:color w:val="000000"/>
              </w:rPr>
              <w:t xml:space="preserve"> </w:t>
            </w:r>
            <w:r w:rsidRPr="00C83A10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C83A10">
              <w:rPr>
                <w:rFonts w:ascii="Times New Roman" w:hAnsi="Times New Roman"/>
                <w:color w:val="000000"/>
              </w:rPr>
              <w:t xml:space="preserve"> </w:t>
            </w:r>
            <w:r w:rsidRPr="00C83A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83A10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83A10">
              <w:rPr>
                <w:rFonts w:ascii="Times New Roman" w:hAnsi="Times New Roman"/>
                <w:color w:val="000000"/>
              </w:rPr>
            </w:r>
            <w:r w:rsidRPr="00C83A10">
              <w:rPr>
                <w:rFonts w:ascii="Times New Roman" w:hAnsi="Times New Roman"/>
                <w:color w:val="000000"/>
              </w:rPr>
              <w:fldChar w:fldCharType="separate"/>
            </w:r>
            <w:r w:rsidRPr="00C83A10">
              <w:rPr>
                <w:rFonts w:ascii="Times New Roman"/>
                <w:noProof/>
                <w:color w:val="000000"/>
              </w:rPr>
              <w:t> </w:t>
            </w:r>
            <w:r w:rsidRPr="00C83A10">
              <w:rPr>
                <w:rFonts w:ascii="Times New Roman"/>
                <w:noProof/>
                <w:color w:val="000000"/>
              </w:rPr>
              <w:t> </w:t>
            </w:r>
            <w:r w:rsidRPr="00C83A10">
              <w:rPr>
                <w:rFonts w:ascii="Times New Roman"/>
                <w:noProof/>
                <w:color w:val="000000"/>
              </w:rPr>
              <w:t> </w:t>
            </w:r>
            <w:r w:rsidRPr="00C83A10">
              <w:rPr>
                <w:rFonts w:ascii="Times New Roman"/>
                <w:noProof/>
                <w:color w:val="000000"/>
              </w:rPr>
              <w:t> </w:t>
            </w:r>
            <w:r w:rsidRPr="00C83A10">
              <w:rPr>
                <w:rFonts w:ascii="Times New Roman"/>
                <w:noProof/>
                <w:color w:val="000000"/>
              </w:rPr>
              <w:t> </w:t>
            </w:r>
            <w:r w:rsidRPr="00C83A10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772" w:type="dxa"/>
            <w:gridSpan w:val="4"/>
            <w:shd w:val="clear" w:color="auto" w:fill="FFFFFF"/>
          </w:tcPr>
          <w:p w14:paraId="439CC619" w14:textId="77777777" w:rsidR="00500249" w:rsidRPr="00C83A10" w:rsidRDefault="00500249" w:rsidP="006140E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4931">
              <w:rPr>
                <w:rFonts w:ascii="Times New Roman" w:hAnsi="Times New Roman"/>
                <w:color w:val="000000"/>
              </w:rPr>
            </w:r>
            <w:r w:rsidR="00D54931">
              <w:rPr>
                <w:rFonts w:ascii="Times New Roman" w:hAnsi="Times New Roman"/>
                <w:color w:val="000000"/>
              </w:rPr>
              <w:fldChar w:fldCharType="separate"/>
            </w:r>
            <w:r w:rsidRPr="00C83A10">
              <w:rPr>
                <w:rFonts w:ascii="Times New Roman" w:hAnsi="Times New Roman"/>
                <w:color w:val="000000"/>
              </w:rPr>
              <w:fldChar w:fldCharType="end"/>
            </w:r>
            <w:r w:rsidRPr="00C83A10">
              <w:rPr>
                <w:rFonts w:ascii="Times New Roman" w:hAnsi="Times New Roman"/>
                <w:color w:val="000000"/>
              </w:rPr>
              <w:t xml:space="preserve"> </w:t>
            </w:r>
            <w:r w:rsidRPr="00C83A10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0687E9A" w14:textId="77777777" w:rsidR="00500249" w:rsidRPr="00C83A10" w:rsidRDefault="00500249" w:rsidP="006140E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4931">
              <w:rPr>
                <w:rFonts w:ascii="Times New Roman" w:hAnsi="Times New Roman"/>
                <w:color w:val="000000"/>
              </w:rPr>
            </w:r>
            <w:r w:rsidR="00D54931">
              <w:rPr>
                <w:rFonts w:ascii="Times New Roman" w:hAnsi="Times New Roman"/>
                <w:color w:val="000000"/>
              </w:rPr>
              <w:fldChar w:fldCharType="separate"/>
            </w:r>
            <w:r w:rsidRPr="00C83A10">
              <w:rPr>
                <w:rFonts w:ascii="Times New Roman" w:hAnsi="Times New Roman"/>
                <w:color w:val="000000"/>
              </w:rPr>
              <w:fldChar w:fldCharType="end"/>
            </w:r>
            <w:r w:rsidRPr="00C83A10">
              <w:rPr>
                <w:rFonts w:ascii="Times New Roman" w:hAnsi="Times New Roman"/>
                <w:color w:val="000000"/>
              </w:rPr>
              <w:t xml:space="preserve"> </w:t>
            </w:r>
            <w:r w:rsidRPr="00C83A10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3CDCBC2" w14:textId="77777777" w:rsidR="00500249" w:rsidRPr="00C83A10" w:rsidRDefault="00500249" w:rsidP="006140E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4931">
              <w:rPr>
                <w:rFonts w:ascii="Times New Roman" w:hAnsi="Times New Roman"/>
                <w:color w:val="000000"/>
              </w:rPr>
            </w:r>
            <w:r w:rsidR="00D54931">
              <w:rPr>
                <w:rFonts w:ascii="Times New Roman" w:hAnsi="Times New Roman"/>
                <w:color w:val="000000"/>
              </w:rPr>
              <w:fldChar w:fldCharType="separate"/>
            </w:r>
            <w:r w:rsidRPr="00C83A10">
              <w:rPr>
                <w:rFonts w:ascii="Times New Roman" w:hAnsi="Times New Roman"/>
                <w:color w:val="000000"/>
              </w:rPr>
              <w:fldChar w:fldCharType="end"/>
            </w:r>
            <w:r w:rsidRPr="00C83A10">
              <w:rPr>
                <w:rFonts w:ascii="Times New Roman" w:hAnsi="Times New Roman"/>
                <w:color w:val="000000"/>
              </w:rPr>
              <w:t xml:space="preserve"> </w:t>
            </w:r>
            <w:r w:rsidRPr="00C83A10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081057A7" w14:textId="4108DEBA" w:rsidR="00500249" w:rsidRPr="00C83A10" w:rsidRDefault="00393CC0" w:rsidP="006140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3A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4931">
              <w:rPr>
                <w:rFonts w:ascii="Times New Roman" w:hAnsi="Times New Roman"/>
                <w:color w:val="000000"/>
              </w:rPr>
            </w:r>
            <w:r w:rsidR="00D54931">
              <w:rPr>
                <w:rFonts w:ascii="Times New Roman" w:hAnsi="Times New Roman"/>
                <w:color w:val="000000"/>
              </w:rPr>
              <w:fldChar w:fldCharType="separate"/>
            </w:r>
            <w:r w:rsidRPr="00C83A10">
              <w:rPr>
                <w:rFonts w:ascii="Times New Roman" w:hAnsi="Times New Roman"/>
                <w:color w:val="000000"/>
              </w:rPr>
              <w:fldChar w:fldCharType="end"/>
            </w:r>
            <w:r w:rsidR="00500249" w:rsidRPr="00C83A10">
              <w:rPr>
                <w:rFonts w:ascii="Times New Roman" w:hAnsi="Times New Roman"/>
                <w:color w:val="000000"/>
              </w:rPr>
              <w:t xml:space="preserve"> </w:t>
            </w:r>
            <w:r w:rsidR="00500249" w:rsidRPr="00C83A10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500249" w:rsidRPr="00C83A10">
              <w:rPr>
                <w:rFonts w:ascii="Times New Roman" w:hAnsi="Times New Roman"/>
                <w:color w:val="000000"/>
              </w:rPr>
              <w:t xml:space="preserve"> rozszerzenie grupy podmiotów podlegających obowiązkom</w:t>
            </w:r>
          </w:p>
        </w:tc>
      </w:tr>
      <w:tr w:rsidR="00393CC0" w:rsidRPr="008B4FE6" w14:paraId="6A7E7830" w14:textId="77777777" w:rsidTr="00393CC0">
        <w:trPr>
          <w:trHeight w:val="870"/>
        </w:trPr>
        <w:tc>
          <w:tcPr>
            <w:tcW w:w="5322" w:type="dxa"/>
            <w:gridSpan w:val="5"/>
            <w:shd w:val="clear" w:color="auto" w:fill="FFFFFF"/>
          </w:tcPr>
          <w:p w14:paraId="5ED9E4F7" w14:textId="77777777" w:rsidR="00500249" w:rsidRPr="00C83A10" w:rsidRDefault="00500249" w:rsidP="006140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3A10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4772" w:type="dxa"/>
            <w:gridSpan w:val="4"/>
            <w:shd w:val="clear" w:color="auto" w:fill="FFFFFF"/>
          </w:tcPr>
          <w:p w14:paraId="6831CBCB" w14:textId="0C55506D" w:rsidR="00500249" w:rsidRPr="00C83A10" w:rsidRDefault="00340F23" w:rsidP="006140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4931">
              <w:rPr>
                <w:rFonts w:ascii="Times New Roman" w:hAnsi="Times New Roman"/>
                <w:color w:val="000000"/>
              </w:rPr>
            </w:r>
            <w:r w:rsidR="00D5493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500249" w:rsidRPr="00C83A10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9641272" w14:textId="77777777" w:rsidR="00500249" w:rsidRPr="00C83A10" w:rsidRDefault="00500249" w:rsidP="006140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3A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4931">
              <w:rPr>
                <w:rFonts w:ascii="Times New Roman" w:hAnsi="Times New Roman"/>
                <w:color w:val="000000"/>
              </w:rPr>
            </w:r>
            <w:r w:rsidR="00D54931">
              <w:rPr>
                <w:rFonts w:ascii="Times New Roman" w:hAnsi="Times New Roman"/>
                <w:color w:val="000000"/>
              </w:rPr>
              <w:fldChar w:fldCharType="separate"/>
            </w:r>
            <w:r w:rsidRPr="00C83A10">
              <w:rPr>
                <w:rFonts w:ascii="Times New Roman" w:hAnsi="Times New Roman"/>
                <w:color w:val="000000"/>
              </w:rPr>
              <w:fldChar w:fldCharType="end"/>
            </w:r>
            <w:r w:rsidRPr="00C83A10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78B6A6B" w14:textId="21A1412F" w:rsidR="00500249" w:rsidRPr="00C83A10" w:rsidRDefault="00340F23" w:rsidP="006140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4931">
              <w:rPr>
                <w:rFonts w:ascii="Times New Roman" w:hAnsi="Times New Roman"/>
                <w:color w:val="000000"/>
              </w:rPr>
            </w:r>
            <w:r w:rsidR="00D5493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500249" w:rsidRPr="00C83A10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500249" w:rsidRPr="008B4FE6" w14:paraId="29247D39" w14:textId="77777777" w:rsidTr="00140A80">
        <w:trPr>
          <w:trHeight w:val="630"/>
        </w:trPr>
        <w:tc>
          <w:tcPr>
            <w:tcW w:w="10094" w:type="dxa"/>
            <w:gridSpan w:val="9"/>
            <w:shd w:val="clear" w:color="auto" w:fill="FFFFFF"/>
          </w:tcPr>
          <w:p w14:paraId="10D5CA2B" w14:textId="77777777" w:rsidR="00500249" w:rsidRPr="00C83A10" w:rsidRDefault="00500249" w:rsidP="006140E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3A10">
              <w:rPr>
                <w:rFonts w:ascii="Times New Roman" w:hAnsi="Times New Roman"/>
                <w:color w:val="000000"/>
              </w:rPr>
              <w:t>Komentarz:</w:t>
            </w:r>
          </w:p>
          <w:p w14:paraId="0CD6D7E1" w14:textId="6B3BAE6D" w:rsidR="00500249" w:rsidRPr="00C83A10" w:rsidRDefault="00500249" w:rsidP="00A70A8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3A10">
              <w:rPr>
                <w:rFonts w:ascii="Times New Roman" w:hAnsi="Times New Roman"/>
              </w:rPr>
              <w:t xml:space="preserve"> </w:t>
            </w:r>
          </w:p>
        </w:tc>
      </w:tr>
      <w:tr w:rsidR="00500249" w:rsidRPr="008B4FE6" w14:paraId="1F9FE62E" w14:textId="77777777" w:rsidTr="00140A80">
        <w:trPr>
          <w:trHeight w:val="142"/>
        </w:trPr>
        <w:tc>
          <w:tcPr>
            <w:tcW w:w="10094" w:type="dxa"/>
            <w:gridSpan w:val="9"/>
            <w:shd w:val="clear" w:color="auto" w:fill="99CCFF"/>
          </w:tcPr>
          <w:p w14:paraId="77E4CD2B" w14:textId="77777777" w:rsidR="00500249" w:rsidRPr="00C83A10" w:rsidRDefault="00500249" w:rsidP="00500249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3A10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500249" w:rsidRPr="008B4FE6" w14:paraId="5823EE31" w14:textId="77777777" w:rsidTr="00140A80">
        <w:trPr>
          <w:trHeight w:val="142"/>
        </w:trPr>
        <w:tc>
          <w:tcPr>
            <w:tcW w:w="10094" w:type="dxa"/>
            <w:gridSpan w:val="9"/>
            <w:shd w:val="clear" w:color="auto" w:fill="auto"/>
          </w:tcPr>
          <w:p w14:paraId="544E3A6B" w14:textId="2CAFE8DD" w:rsidR="00500249" w:rsidRPr="00C83A10" w:rsidRDefault="000465AE" w:rsidP="006140E7">
            <w:pPr>
              <w:tabs>
                <w:tab w:val="left" w:pos="551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3A10">
              <w:rPr>
                <w:rFonts w:ascii="Times New Roman" w:hAnsi="Times New Roman"/>
                <w:color w:val="000000"/>
              </w:rPr>
              <w:t>Brak bezpośredniego wpływu</w:t>
            </w:r>
          </w:p>
        </w:tc>
      </w:tr>
      <w:tr w:rsidR="00500249" w:rsidRPr="008B4FE6" w14:paraId="3D961149" w14:textId="77777777" w:rsidTr="00140A80">
        <w:trPr>
          <w:trHeight w:val="142"/>
        </w:trPr>
        <w:tc>
          <w:tcPr>
            <w:tcW w:w="10094" w:type="dxa"/>
            <w:gridSpan w:val="9"/>
            <w:shd w:val="clear" w:color="auto" w:fill="99CCFF"/>
          </w:tcPr>
          <w:p w14:paraId="7575A70A" w14:textId="77777777" w:rsidR="00500249" w:rsidRPr="00C83A10" w:rsidRDefault="00500249" w:rsidP="00500249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3A10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500249" w:rsidRPr="008B4FE6" w14:paraId="63804346" w14:textId="77777777" w:rsidTr="00393CC0">
        <w:trPr>
          <w:trHeight w:val="1031"/>
        </w:trPr>
        <w:tc>
          <w:tcPr>
            <w:tcW w:w="3720" w:type="dxa"/>
            <w:gridSpan w:val="3"/>
            <w:shd w:val="clear" w:color="auto" w:fill="FFFFFF"/>
          </w:tcPr>
          <w:p w14:paraId="4121F1AA" w14:textId="77777777" w:rsidR="00500249" w:rsidRPr="00C83A10" w:rsidRDefault="00500249" w:rsidP="006140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E40DFEC" w14:textId="79A04BA2" w:rsidR="00500249" w:rsidRPr="00C83A10" w:rsidRDefault="00393CC0" w:rsidP="006140E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4931">
              <w:rPr>
                <w:rFonts w:ascii="Times New Roman" w:hAnsi="Times New Roman"/>
                <w:color w:val="000000"/>
              </w:rPr>
            </w:r>
            <w:r w:rsidR="00D54931">
              <w:rPr>
                <w:rFonts w:ascii="Times New Roman" w:hAnsi="Times New Roman"/>
                <w:color w:val="000000"/>
              </w:rPr>
              <w:fldChar w:fldCharType="separate"/>
            </w:r>
            <w:r w:rsidRPr="00C83A10">
              <w:rPr>
                <w:rFonts w:ascii="Times New Roman" w:hAnsi="Times New Roman"/>
                <w:color w:val="000000"/>
              </w:rPr>
              <w:fldChar w:fldCharType="end"/>
            </w:r>
            <w:r w:rsidR="00500249" w:rsidRPr="00C83A10">
              <w:rPr>
                <w:rFonts w:ascii="Times New Roman" w:hAnsi="Times New Roman"/>
                <w:color w:val="000000"/>
              </w:rPr>
              <w:t xml:space="preserve"> </w:t>
            </w:r>
            <w:r w:rsidR="00500249" w:rsidRPr="00C83A10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9DB406B" w14:textId="4CF8A66A" w:rsidR="00500249" w:rsidRPr="00C83A10" w:rsidRDefault="00393CC0" w:rsidP="006140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3A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4931">
              <w:rPr>
                <w:rFonts w:ascii="Times New Roman" w:hAnsi="Times New Roman"/>
                <w:color w:val="000000"/>
              </w:rPr>
            </w:r>
            <w:r w:rsidR="00D54931">
              <w:rPr>
                <w:rFonts w:ascii="Times New Roman" w:hAnsi="Times New Roman"/>
                <w:color w:val="000000"/>
              </w:rPr>
              <w:fldChar w:fldCharType="separate"/>
            </w:r>
            <w:r w:rsidRPr="00C83A10">
              <w:rPr>
                <w:rFonts w:ascii="Times New Roman" w:hAnsi="Times New Roman"/>
                <w:color w:val="000000"/>
              </w:rPr>
              <w:fldChar w:fldCharType="end"/>
            </w:r>
            <w:r w:rsidR="00500249" w:rsidRPr="00C83A10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5B4320FC" w14:textId="77777777" w:rsidR="00500249" w:rsidRPr="00C83A10" w:rsidRDefault="00500249" w:rsidP="006140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3A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4931">
              <w:rPr>
                <w:rFonts w:ascii="Times New Roman" w:hAnsi="Times New Roman"/>
                <w:color w:val="000000"/>
              </w:rPr>
            </w:r>
            <w:r w:rsidR="00D54931">
              <w:rPr>
                <w:rFonts w:ascii="Times New Roman" w:hAnsi="Times New Roman"/>
                <w:color w:val="000000"/>
              </w:rPr>
              <w:fldChar w:fldCharType="separate"/>
            </w:r>
            <w:r w:rsidRPr="00C83A10">
              <w:rPr>
                <w:rFonts w:ascii="Times New Roman" w:hAnsi="Times New Roman"/>
                <w:color w:val="000000"/>
              </w:rPr>
              <w:fldChar w:fldCharType="end"/>
            </w:r>
            <w:r w:rsidRPr="00C83A10">
              <w:rPr>
                <w:rFonts w:ascii="Times New Roman" w:hAnsi="Times New Roman"/>
                <w:color w:val="000000"/>
              </w:rPr>
              <w:t xml:space="preserve"> </w:t>
            </w:r>
            <w:r w:rsidRPr="00C83A10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395" w:type="dxa"/>
            <w:gridSpan w:val="4"/>
            <w:shd w:val="clear" w:color="auto" w:fill="FFFFFF"/>
          </w:tcPr>
          <w:p w14:paraId="395554C4" w14:textId="77777777" w:rsidR="00500249" w:rsidRPr="00C83A10" w:rsidRDefault="00500249" w:rsidP="006140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9A1A84A" w14:textId="77777777" w:rsidR="00500249" w:rsidRPr="00C83A10" w:rsidRDefault="00500249" w:rsidP="006140E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4931">
              <w:rPr>
                <w:rFonts w:ascii="Times New Roman" w:hAnsi="Times New Roman"/>
                <w:color w:val="000000"/>
              </w:rPr>
            </w:r>
            <w:r w:rsidR="00D54931">
              <w:rPr>
                <w:rFonts w:ascii="Times New Roman" w:hAnsi="Times New Roman"/>
                <w:color w:val="000000"/>
              </w:rPr>
              <w:fldChar w:fldCharType="separate"/>
            </w:r>
            <w:r w:rsidRPr="00C83A10">
              <w:rPr>
                <w:rFonts w:ascii="Times New Roman" w:hAnsi="Times New Roman"/>
                <w:color w:val="000000"/>
              </w:rPr>
              <w:fldChar w:fldCharType="end"/>
            </w:r>
            <w:r w:rsidRPr="00C83A10">
              <w:rPr>
                <w:rFonts w:ascii="Times New Roman" w:hAnsi="Times New Roman"/>
                <w:color w:val="000000"/>
              </w:rPr>
              <w:t xml:space="preserve"> </w:t>
            </w:r>
            <w:r w:rsidRPr="00C83A10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9C1E47D" w14:textId="77777777" w:rsidR="00500249" w:rsidRPr="00C83A10" w:rsidRDefault="00500249" w:rsidP="006140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3A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4931">
              <w:rPr>
                <w:rFonts w:ascii="Times New Roman" w:hAnsi="Times New Roman"/>
                <w:color w:val="000000"/>
              </w:rPr>
            </w:r>
            <w:r w:rsidR="00D54931">
              <w:rPr>
                <w:rFonts w:ascii="Times New Roman" w:hAnsi="Times New Roman"/>
                <w:color w:val="000000"/>
              </w:rPr>
              <w:fldChar w:fldCharType="separate"/>
            </w:r>
            <w:r w:rsidRPr="00C83A10">
              <w:rPr>
                <w:rFonts w:ascii="Times New Roman" w:hAnsi="Times New Roman"/>
                <w:color w:val="000000"/>
              </w:rPr>
              <w:fldChar w:fldCharType="end"/>
            </w:r>
            <w:r w:rsidRPr="00C83A10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4E6785CC" w14:textId="77777777" w:rsidR="00500249" w:rsidRPr="00C83A10" w:rsidRDefault="00500249" w:rsidP="006140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3A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4931">
              <w:rPr>
                <w:rFonts w:ascii="Times New Roman" w:hAnsi="Times New Roman"/>
                <w:color w:val="000000"/>
              </w:rPr>
            </w:r>
            <w:r w:rsidR="00D54931">
              <w:rPr>
                <w:rFonts w:ascii="Times New Roman" w:hAnsi="Times New Roman"/>
                <w:color w:val="000000"/>
              </w:rPr>
              <w:fldChar w:fldCharType="separate"/>
            </w:r>
            <w:r w:rsidRPr="00C83A10">
              <w:rPr>
                <w:rFonts w:ascii="Times New Roman" w:hAnsi="Times New Roman"/>
                <w:color w:val="000000"/>
              </w:rPr>
              <w:fldChar w:fldCharType="end"/>
            </w:r>
            <w:r w:rsidRPr="00C83A10">
              <w:rPr>
                <w:rFonts w:ascii="Times New Roman" w:hAnsi="Times New Roman"/>
                <w:color w:val="000000"/>
              </w:rPr>
              <w:t xml:space="preserve"> </w:t>
            </w:r>
            <w:r w:rsidRPr="00C83A10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C83A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83A10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83A10">
              <w:rPr>
                <w:rFonts w:ascii="Times New Roman" w:hAnsi="Times New Roman"/>
                <w:color w:val="000000"/>
              </w:rPr>
            </w:r>
            <w:r w:rsidRPr="00C83A10">
              <w:rPr>
                <w:rFonts w:ascii="Times New Roman" w:hAnsi="Times New Roman"/>
                <w:color w:val="000000"/>
              </w:rPr>
              <w:fldChar w:fldCharType="separate"/>
            </w:r>
            <w:r w:rsidRPr="00C83A10">
              <w:rPr>
                <w:rFonts w:ascii="Times New Roman"/>
                <w:noProof/>
                <w:color w:val="000000"/>
              </w:rPr>
              <w:t> </w:t>
            </w:r>
            <w:r w:rsidRPr="00C83A10">
              <w:rPr>
                <w:rFonts w:ascii="Times New Roman"/>
                <w:noProof/>
                <w:color w:val="000000"/>
              </w:rPr>
              <w:t> </w:t>
            </w:r>
            <w:r w:rsidRPr="00C83A10">
              <w:rPr>
                <w:rFonts w:ascii="Times New Roman"/>
                <w:noProof/>
                <w:color w:val="000000"/>
              </w:rPr>
              <w:t> </w:t>
            </w:r>
            <w:r w:rsidRPr="00C83A10">
              <w:rPr>
                <w:rFonts w:ascii="Times New Roman"/>
                <w:noProof/>
                <w:color w:val="000000"/>
              </w:rPr>
              <w:t> </w:t>
            </w:r>
            <w:r w:rsidRPr="00C83A10">
              <w:rPr>
                <w:rFonts w:ascii="Times New Roman"/>
                <w:noProof/>
                <w:color w:val="000000"/>
              </w:rPr>
              <w:t> </w:t>
            </w:r>
            <w:r w:rsidRPr="00C83A10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979" w:type="dxa"/>
            <w:gridSpan w:val="2"/>
            <w:shd w:val="clear" w:color="auto" w:fill="FFFFFF"/>
          </w:tcPr>
          <w:p w14:paraId="7484BCA5" w14:textId="77777777" w:rsidR="00500249" w:rsidRPr="00C83A10" w:rsidRDefault="00500249" w:rsidP="006140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3460878" w14:textId="113AE713" w:rsidR="00500249" w:rsidRPr="00C83A10" w:rsidRDefault="00393CC0" w:rsidP="006140E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3A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4931">
              <w:rPr>
                <w:rFonts w:ascii="Times New Roman" w:hAnsi="Times New Roman"/>
                <w:color w:val="000000"/>
              </w:rPr>
            </w:r>
            <w:r w:rsidR="00D54931">
              <w:rPr>
                <w:rFonts w:ascii="Times New Roman" w:hAnsi="Times New Roman"/>
                <w:color w:val="000000"/>
              </w:rPr>
              <w:fldChar w:fldCharType="separate"/>
            </w:r>
            <w:r w:rsidRPr="00C83A10">
              <w:rPr>
                <w:rFonts w:ascii="Times New Roman" w:hAnsi="Times New Roman"/>
                <w:color w:val="000000"/>
              </w:rPr>
              <w:fldChar w:fldCharType="end"/>
            </w:r>
            <w:r w:rsidR="00500249" w:rsidRPr="00C83A10">
              <w:rPr>
                <w:rFonts w:ascii="Times New Roman" w:hAnsi="Times New Roman"/>
                <w:color w:val="000000"/>
              </w:rPr>
              <w:t xml:space="preserve"> </w:t>
            </w:r>
            <w:r w:rsidR="00500249" w:rsidRPr="00C83A10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0BFA741" w14:textId="4B8C4632" w:rsidR="00500249" w:rsidRPr="00C83A10" w:rsidRDefault="00393CC0" w:rsidP="006140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3A10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4931">
              <w:rPr>
                <w:rFonts w:ascii="Times New Roman" w:hAnsi="Times New Roman"/>
                <w:color w:val="000000"/>
              </w:rPr>
            </w:r>
            <w:r w:rsidR="00D54931">
              <w:rPr>
                <w:rFonts w:ascii="Times New Roman" w:hAnsi="Times New Roman"/>
                <w:color w:val="000000"/>
              </w:rPr>
              <w:fldChar w:fldCharType="separate"/>
            </w:r>
            <w:r w:rsidRPr="00C83A10">
              <w:rPr>
                <w:rFonts w:ascii="Times New Roman" w:hAnsi="Times New Roman"/>
                <w:color w:val="000000"/>
              </w:rPr>
              <w:fldChar w:fldCharType="end"/>
            </w:r>
            <w:r w:rsidR="00500249" w:rsidRPr="00C83A10">
              <w:rPr>
                <w:rFonts w:ascii="Times New Roman" w:hAnsi="Times New Roman"/>
                <w:color w:val="000000"/>
              </w:rPr>
              <w:t xml:space="preserve"> </w:t>
            </w:r>
            <w:r w:rsidR="00500249" w:rsidRPr="00C83A1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393CC0" w:rsidRPr="008B4FE6" w14:paraId="28307C76" w14:textId="77777777" w:rsidTr="00393CC0">
        <w:trPr>
          <w:trHeight w:val="712"/>
        </w:trPr>
        <w:tc>
          <w:tcPr>
            <w:tcW w:w="2623" w:type="dxa"/>
            <w:shd w:val="clear" w:color="auto" w:fill="FFFFFF"/>
            <w:vAlign w:val="center"/>
          </w:tcPr>
          <w:p w14:paraId="4AA1CC64" w14:textId="77777777" w:rsidR="00500249" w:rsidRPr="00C83A10" w:rsidRDefault="00500249" w:rsidP="006140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3A10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7471" w:type="dxa"/>
            <w:gridSpan w:val="8"/>
            <w:shd w:val="clear" w:color="auto" w:fill="FFFFFF"/>
            <w:vAlign w:val="center"/>
          </w:tcPr>
          <w:p w14:paraId="557C9A18" w14:textId="0716B276" w:rsidR="00340F23" w:rsidRPr="00C83A10" w:rsidRDefault="00340F23" w:rsidP="00B43E84">
            <w:pPr>
              <w:spacing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Wejście w życie rozporządzenia wpisuje się w założenia Programu Zintegrowanej Informatyzacji Państwa, przyczyni się do redukcji kosztów papierowego obiegu dokumentów</w:t>
            </w:r>
            <w:r w:rsidRPr="00F5728C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</w:rPr>
              <w:t>skróci czas trwania procedur, poprawiając tym samym</w:t>
            </w:r>
            <w:r w:rsidRPr="00F5728C">
              <w:rPr>
                <w:rFonts w:ascii="Times New Roman" w:hAnsi="Times New Roman"/>
                <w:color w:val="000000"/>
                <w:spacing w:val="-2"/>
              </w:rPr>
              <w:t xml:space="preserve"> ja</w:t>
            </w:r>
            <w:r>
              <w:rPr>
                <w:rFonts w:ascii="Times New Roman" w:hAnsi="Times New Roman"/>
                <w:color w:val="000000"/>
                <w:spacing w:val="-2"/>
              </w:rPr>
              <w:t>kość usług</w:t>
            </w:r>
            <w:r w:rsidRPr="00F5728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500249" w:rsidRPr="008B4FE6" w14:paraId="59800745" w14:textId="77777777" w:rsidTr="00140A80">
        <w:trPr>
          <w:trHeight w:val="142"/>
        </w:trPr>
        <w:tc>
          <w:tcPr>
            <w:tcW w:w="10094" w:type="dxa"/>
            <w:gridSpan w:val="9"/>
            <w:shd w:val="clear" w:color="auto" w:fill="99CCFF"/>
          </w:tcPr>
          <w:p w14:paraId="67238A5D" w14:textId="77777777" w:rsidR="00500249" w:rsidRPr="00C83A10" w:rsidRDefault="00500249" w:rsidP="00500249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C83A10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500249" w:rsidRPr="008B4FE6" w14:paraId="6C184F27" w14:textId="77777777" w:rsidTr="00140A80">
        <w:trPr>
          <w:trHeight w:val="142"/>
        </w:trPr>
        <w:tc>
          <w:tcPr>
            <w:tcW w:w="10094" w:type="dxa"/>
            <w:gridSpan w:val="9"/>
            <w:shd w:val="clear" w:color="auto" w:fill="FFFFFF"/>
          </w:tcPr>
          <w:p w14:paraId="1FA3DB14" w14:textId="73FAC6DD" w:rsidR="00500249" w:rsidRPr="00C83A10" w:rsidRDefault="00A70A8C" w:rsidP="00B43E84">
            <w:pPr>
              <w:jc w:val="both"/>
              <w:rPr>
                <w:rFonts w:ascii="Times New Roman" w:hAnsi="Times New Roman"/>
                <w:spacing w:val="-2"/>
              </w:rPr>
            </w:pPr>
            <w:r w:rsidRPr="00C83A10">
              <w:rPr>
                <w:rFonts w:ascii="Times New Roman" w:hAnsi="Times New Roman"/>
                <w:spacing w:val="-2"/>
              </w:rPr>
              <w:t>Wejście w życie nowego rozporządzenia przewidziane jest na</w:t>
            </w:r>
            <w:r w:rsidR="00340F23">
              <w:rPr>
                <w:rFonts w:ascii="Times New Roman" w:hAnsi="Times New Roman"/>
                <w:spacing w:val="-2"/>
              </w:rPr>
              <w:t xml:space="preserve"> dzień</w:t>
            </w:r>
            <w:r w:rsidRPr="00C83A10">
              <w:rPr>
                <w:rFonts w:ascii="Times New Roman" w:hAnsi="Times New Roman"/>
                <w:spacing w:val="-2"/>
              </w:rPr>
              <w:t xml:space="preserve"> </w:t>
            </w:r>
            <w:r w:rsidR="00CC6AAF">
              <w:rPr>
                <w:rFonts w:ascii="Times New Roman" w:hAnsi="Times New Roman"/>
                <w:spacing w:val="-2"/>
              </w:rPr>
              <w:t>31</w:t>
            </w:r>
            <w:r w:rsidR="00290E52">
              <w:rPr>
                <w:rFonts w:ascii="Times New Roman" w:hAnsi="Times New Roman"/>
                <w:spacing w:val="-2"/>
              </w:rPr>
              <w:t xml:space="preserve"> </w:t>
            </w:r>
            <w:r w:rsidRPr="00C83A10">
              <w:rPr>
                <w:rFonts w:ascii="Times New Roman" w:hAnsi="Times New Roman"/>
                <w:spacing w:val="-2"/>
              </w:rPr>
              <w:t>października 2022 r.</w:t>
            </w:r>
            <w:r w:rsidR="00D972BE" w:rsidDel="00D972BE">
              <w:rPr>
                <w:rFonts w:ascii="Times New Roman" w:hAnsi="Times New Roman"/>
                <w:spacing w:val="-2"/>
              </w:rPr>
              <w:t xml:space="preserve"> </w:t>
            </w:r>
            <w:r w:rsidR="00983B07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500249" w:rsidRPr="008B4FE6" w14:paraId="7B677B8E" w14:textId="77777777" w:rsidTr="00140A80">
        <w:trPr>
          <w:trHeight w:val="142"/>
        </w:trPr>
        <w:tc>
          <w:tcPr>
            <w:tcW w:w="10094" w:type="dxa"/>
            <w:gridSpan w:val="9"/>
            <w:shd w:val="clear" w:color="auto" w:fill="99CCFF"/>
          </w:tcPr>
          <w:p w14:paraId="7BA1708B" w14:textId="77777777" w:rsidR="00500249" w:rsidRPr="00C83A10" w:rsidRDefault="00500249" w:rsidP="00500249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3A1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83A10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500249" w:rsidRPr="008B4FE6" w14:paraId="1A154DB4" w14:textId="77777777" w:rsidTr="00140A80">
        <w:trPr>
          <w:trHeight w:val="142"/>
        </w:trPr>
        <w:tc>
          <w:tcPr>
            <w:tcW w:w="10094" w:type="dxa"/>
            <w:gridSpan w:val="9"/>
            <w:shd w:val="clear" w:color="auto" w:fill="FFFFFF"/>
          </w:tcPr>
          <w:p w14:paraId="4BFBE88D" w14:textId="38B9EDA7" w:rsidR="00500249" w:rsidRPr="00C83A10" w:rsidRDefault="00A70A8C" w:rsidP="009845F8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color w:val="000000"/>
                <w:spacing w:val="-2"/>
              </w:rPr>
              <w:t>Ze względu na zakres i charakter regulacji projektu nie ma możliwości wskazania mierników ewaluacji. Efekty wdrożenia projektu będą monitorowane</w:t>
            </w:r>
            <w:r w:rsidR="006D365B">
              <w:rPr>
                <w:rFonts w:ascii="Times New Roman" w:hAnsi="Times New Roman"/>
                <w:color w:val="000000"/>
                <w:spacing w:val="-2"/>
              </w:rPr>
              <w:t xml:space="preserve"> poprzez ocenę liczby </w:t>
            </w:r>
            <w:r w:rsidR="00340F23">
              <w:rPr>
                <w:rFonts w:ascii="Times New Roman" w:hAnsi="Times New Roman"/>
                <w:color w:val="000000"/>
                <w:spacing w:val="-2"/>
              </w:rPr>
              <w:t xml:space="preserve"> podmiotów zarejestrowanych w systemie Krajowej bazy, </w:t>
            </w:r>
            <w:r w:rsidR="00340F23" w:rsidRPr="00183E25">
              <w:rPr>
                <w:rFonts w:ascii="Times New Roman" w:hAnsi="Times New Roman"/>
                <w:color w:val="000000"/>
                <w:spacing w:val="-2"/>
              </w:rPr>
              <w:t>liczby składanych raportów</w:t>
            </w:r>
            <w:r w:rsidR="00340F23">
              <w:rPr>
                <w:rFonts w:ascii="Times New Roman" w:hAnsi="Times New Roman"/>
                <w:color w:val="000000"/>
                <w:spacing w:val="-2"/>
              </w:rPr>
              <w:t xml:space="preserve"> oraz liczby formularzy aktualizacyjnych. Oczekiwanym efektem projektu jest wzrost liczby</w:t>
            </w:r>
            <w:r w:rsidR="00340F23">
              <w:t xml:space="preserve"> </w:t>
            </w:r>
            <w:r w:rsidR="00340F23" w:rsidRPr="00FD7BE8">
              <w:rPr>
                <w:rFonts w:ascii="Times New Roman" w:hAnsi="Times New Roman"/>
                <w:color w:val="000000"/>
                <w:spacing w:val="-2"/>
              </w:rPr>
              <w:t>podmi</w:t>
            </w:r>
            <w:r w:rsidR="00340F23">
              <w:rPr>
                <w:rFonts w:ascii="Times New Roman" w:hAnsi="Times New Roman"/>
                <w:color w:val="000000"/>
                <w:spacing w:val="-2"/>
              </w:rPr>
              <w:t xml:space="preserve">otów zarejestrowanych w Krajowej bazie i </w:t>
            </w:r>
            <w:r w:rsidR="00340F23" w:rsidRPr="00FD7BE8">
              <w:rPr>
                <w:rFonts w:ascii="Times New Roman" w:hAnsi="Times New Roman"/>
                <w:color w:val="000000"/>
                <w:spacing w:val="-2"/>
              </w:rPr>
              <w:t>liczby składanych raportów</w:t>
            </w:r>
            <w:r w:rsidR="00340F23">
              <w:rPr>
                <w:rFonts w:ascii="Times New Roman" w:hAnsi="Times New Roman"/>
                <w:color w:val="000000"/>
                <w:spacing w:val="-2"/>
              </w:rPr>
              <w:t xml:space="preserve"> oraz zmniejszenie liczby formularzy aktualizacyjnych</w:t>
            </w:r>
            <w:r w:rsidR="00340F23" w:rsidRPr="00C83A1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500249" w:rsidRPr="008B4FE6" w14:paraId="0707C0EA" w14:textId="77777777" w:rsidTr="00140A80">
        <w:trPr>
          <w:trHeight w:val="142"/>
        </w:trPr>
        <w:tc>
          <w:tcPr>
            <w:tcW w:w="10094" w:type="dxa"/>
            <w:gridSpan w:val="9"/>
            <w:shd w:val="clear" w:color="auto" w:fill="99CCFF"/>
          </w:tcPr>
          <w:p w14:paraId="3E52BC1F" w14:textId="77777777" w:rsidR="00500249" w:rsidRPr="00C83A10" w:rsidRDefault="00500249" w:rsidP="00500249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83A10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C83A10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C83A10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500249" w:rsidRPr="008B4FE6" w14:paraId="10E2F529" w14:textId="77777777" w:rsidTr="00140A80">
        <w:trPr>
          <w:trHeight w:val="142"/>
        </w:trPr>
        <w:tc>
          <w:tcPr>
            <w:tcW w:w="10094" w:type="dxa"/>
            <w:gridSpan w:val="9"/>
            <w:shd w:val="clear" w:color="auto" w:fill="FFFFFF"/>
          </w:tcPr>
          <w:p w14:paraId="4F8087B4" w14:textId="29634E91" w:rsidR="00A70A8C" w:rsidRPr="00C83A10" w:rsidRDefault="00A70A8C" w:rsidP="00C92DA4">
            <w:pPr>
              <w:pStyle w:val="Akapitzlist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6DE3E787" w14:textId="77777777" w:rsidR="00500249" w:rsidRPr="00522D94" w:rsidRDefault="00500249" w:rsidP="00500249">
      <w:pPr>
        <w:pStyle w:val="Nagwek1"/>
        <w:rPr>
          <w:rFonts w:ascii="Times New Roman" w:hAnsi="Times New Roman"/>
          <w:sz w:val="20"/>
          <w:szCs w:val="20"/>
        </w:rPr>
      </w:pPr>
    </w:p>
    <w:p w14:paraId="238EB91A" w14:textId="77777777" w:rsidR="006140E7" w:rsidRPr="00DC3AC0" w:rsidRDefault="006140E7" w:rsidP="00DC3AC0"/>
    <w:sectPr w:rsidR="006140E7" w:rsidRPr="00DC3AC0" w:rsidSect="006140E7"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4C02" w14:textId="77777777" w:rsidR="00D54931" w:rsidRDefault="00D54931">
      <w:pPr>
        <w:spacing w:after="0" w:line="240" w:lineRule="auto"/>
      </w:pPr>
      <w:r>
        <w:separator/>
      </w:r>
    </w:p>
  </w:endnote>
  <w:endnote w:type="continuationSeparator" w:id="0">
    <w:p w14:paraId="397B7D62" w14:textId="77777777" w:rsidR="00D54931" w:rsidRDefault="00D5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7237" w14:textId="3437DFFB" w:rsidR="006140E7" w:rsidRDefault="006140E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3DF3">
      <w:rPr>
        <w:noProof/>
      </w:rPr>
      <w:t>5</w:t>
    </w:r>
    <w:r>
      <w:fldChar w:fldCharType="end"/>
    </w:r>
  </w:p>
  <w:p w14:paraId="732C77ED" w14:textId="77777777" w:rsidR="006140E7" w:rsidRDefault="00614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7D2C" w14:textId="77777777" w:rsidR="006140E7" w:rsidRPr="000A3EFD" w:rsidRDefault="006140E7" w:rsidP="006140E7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  <w:r w:rsidRPr="000A3EFD">
      <w:rPr>
        <w:rFonts w:ascii="Times New Roman" w:hAnsi="Times New Roman" w:cs="Times New Roman"/>
        <w:sz w:val="20"/>
        <w:szCs w:val="20"/>
      </w:rPr>
      <w:t xml:space="preserve">ul. Wawelska 52/54,  00-922 Warszawa;  </w:t>
    </w:r>
    <w:r w:rsidRPr="00736003">
      <w:rPr>
        <w:rFonts w:ascii="Times New Roman" w:hAnsi="Times New Roman" w:cs="Times New Roman"/>
        <w:sz w:val="20"/>
        <w:szCs w:val="20"/>
      </w:rPr>
      <w:t xml:space="preserve">tel. </w:t>
    </w:r>
    <w:r w:rsidRPr="00970614">
      <w:rPr>
        <w:rFonts w:ascii="Times New Roman" w:hAnsi="Times New Roman" w:cs="Times New Roman"/>
        <w:sz w:val="20"/>
        <w:szCs w:val="20"/>
      </w:rPr>
      <w:t>(+48) 223-692-900</w:t>
    </w:r>
    <w:r w:rsidRPr="000A3EFD">
      <w:rPr>
        <w:rFonts w:ascii="Times New Roman" w:hAnsi="Times New Roman" w:cs="Times New Roman"/>
        <w:sz w:val="20"/>
        <w:szCs w:val="20"/>
      </w:rPr>
      <w:t>,  www.gov.pl/klimat</w:t>
    </w:r>
  </w:p>
  <w:p w14:paraId="754EFE7D" w14:textId="77777777" w:rsidR="006140E7" w:rsidRPr="000A3EFD" w:rsidRDefault="006140E7" w:rsidP="006140E7">
    <w:pPr>
      <w:pStyle w:val="Stopka"/>
      <w:spacing w:after="0"/>
      <w:jc w:val="center"/>
      <w:rPr>
        <w:rFonts w:ascii="Times New Roman" w:hAnsi="Times New Roman" w:cs="Times New Roman"/>
      </w:rPr>
    </w:pPr>
    <w:r w:rsidRPr="000A3EFD">
      <w:rPr>
        <w:rFonts w:ascii="Times New Roman" w:hAnsi="Times New Roman" w:cs="Times New Roman"/>
        <w:sz w:val="20"/>
        <w:szCs w:val="20"/>
      </w:rPr>
      <w:t>Działamy zgodnie z EMAS - zarządzając instytucją dbamy o środowisko</w:t>
    </w:r>
  </w:p>
  <w:p w14:paraId="7285E4D6" w14:textId="77777777" w:rsidR="006140E7" w:rsidRPr="000A3EFD" w:rsidRDefault="006140E7" w:rsidP="006140E7">
    <w:pPr>
      <w:pStyle w:val="Stopk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51BC" w14:textId="77777777" w:rsidR="00D54931" w:rsidRDefault="00D54931">
      <w:pPr>
        <w:spacing w:after="0" w:line="240" w:lineRule="auto"/>
      </w:pPr>
      <w:r>
        <w:separator/>
      </w:r>
    </w:p>
  </w:footnote>
  <w:footnote w:type="continuationSeparator" w:id="0">
    <w:p w14:paraId="4EF971D3" w14:textId="77777777" w:rsidR="00D54931" w:rsidRDefault="00D5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EB57" w14:textId="77777777" w:rsidR="006140E7" w:rsidRPr="00FE7408" w:rsidRDefault="006140E7" w:rsidP="006140E7">
    <w:pPr>
      <w:pStyle w:val="Nagwek"/>
      <w:tabs>
        <w:tab w:val="clear" w:pos="4536"/>
      </w:tabs>
      <w:rPr>
        <w:rFonts w:ascii="Times New Roman" w:hAnsi="Times New Roman" w:cs="Times New Roman"/>
        <w:color w:val="0D0D0D" w:themeColor="text1" w:themeTint="F2"/>
      </w:rPr>
    </w:pPr>
  </w:p>
  <w:p w14:paraId="003A39AF" w14:textId="77777777" w:rsidR="006140E7" w:rsidRPr="00FE7408" w:rsidRDefault="006140E7" w:rsidP="006140E7">
    <w:pPr>
      <w:pStyle w:val="Nagwek"/>
      <w:tabs>
        <w:tab w:val="clear" w:pos="4536"/>
      </w:tabs>
      <w:ind w:left="-142"/>
      <w:rPr>
        <w:rFonts w:ascii="Times New Roman" w:hAnsi="Times New Roman" w:cs="Times New Roman"/>
        <w:color w:val="0D0D0D" w:themeColor="text1" w:themeTint="F2"/>
        <w:sz w:val="16"/>
        <w:szCs w:val="16"/>
      </w:rPr>
    </w:pPr>
    <w:r>
      <w:rPr>
        <w:rFonts w:ascii="Times New Roman" w:hAnsi="Times New Roman" w:cs="Times New Roman"/>
        <w:color w:val="0D0D0D" w:themeColor="text1" w:themeTint="F2"/>
        <w:sz w:val="16"/>
        <w:szCs w:val="16"/>
      </w:rPr>
      <w:t xml:space="preserve">  </w:t>
    </w:r>
    <w:r>
      <w:rPr>
        <w:rFonts w:ascii="Times New Roman" w:hAnsi="Times New Roman" w:cs="Times New Roman"/>
        <w:noProof/>
        <w:color w:val="0D0D0D" w:themeColor="text1" w:themeTint="F2"/>
        <w:sz w:val="16"/>
        <w:szCs w:val="16"/>
        <w:lang w:eastAsia="pl-PL"/>
      </w:rPr>
      <w:drawing>
        <wp:inline distT="0" distB="0" distL="0" distR="0" wp14:anchorId="7045E790" wp14:editId="44D17746">
          <wp:extent cx="2515129" cy="4889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 Klimatu_B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217"/>
                  <a:stretch>
                    <a:fillRect/>
                  </a:stretch>
                </pic:blipFill>
                <pic:spPr bwMode="auto">
                  <a:xfrm>
                    <a:off x="0" y="0"/>
                    <a:ext cx="2522840" cy="4904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E01"/>
    <w:multiLevelType w:val="hybridMultilevel"/>
    <w:tmpl w:val="8D94EB68"/>
    <w:lvl w:ilvl="0" w:tplc="6BF2A444">
      <w:start w:val="1"/>
      <w:numFmt w:val="decimal"/>
      <w:lvlText w:val="%1."/>
      <w:lvlJc w:val="left"/>
      <w:pPr>
        <w:ind w:left="1440" w:hanging="360"/>
      </w:pPr>
    </w:lvl>
    <w:lvl w:ilvl="1" w:tplc="54CEFCC4" w:tentative="1">
      <w:start w:val="1"/>
      <w:numFmt w:val="lowerLetter"/>
      <w:lvlText w:val="%2."/>
      <w:lvlJc w:val="left"/>
      <w:pPr>
        <w:ind w:left="2160" w:hanging="360"/>
      </w:pPr>
    </w:lvl>
    <w:lvl w:ilvl="2" w:tplc="7004E51E" w:tentative="1">
      <w:start w:val="1"/>
      <w:numFmt w:val="lowerRoman"/>
      <w:lvlText w:val="%3."/>
      <w:lvlJc w:val="right"/>
      <w:pPr>
        <w:ind w:left="2880" w:hanging="180"/>
      </w:pPr>
    </w:lvl>
    <w:lvl w:ilvl="3" w:tplc="701C43C2" w:tentative="1">
      <w:start w:val="1"/>
      <w:numFmt w:val="decimal"/>
      <w:lvlText w:val="%4."/>
      <w:lvlJc w:val="left"/>
      <w:pPr>
        <w:ind w:left="3600" w:hanging="360"/>
      </w:pPr>
    </w:lvl>
    <w:lvl w:ilvl="4" w:tplc="F51CCCE8" w:tentative="1">
      <w:start w:val="1"/>
      <w:numFmt w:val="lowerLetter"/>
      <w:lvlText w:val="%5."/>
      <w:lvlJc w:val="left"/>
      <w:pPr>
        <w:ind w:left="4320" w:hanging="360"/>
      </w:pPr>
    </w:lvl>
    <w:lvl w:ilvl="5" w:tplc="7A186DAC" w:tentative="1">
      <w:start w:val="1"/>
      <w:numFmt w:val="lowerRoman"/>
      <w:lvlText w:val="%6."/>
      <w:lvlJc w:val="right"/>
      <w:pPr>
        <w:ind w:left="5040" w:hanging="180"/>
      </w:pPr>
    </w:lvl>
    <w:lvl w:ilvl="6" w:tplc="CF904F52" w:tentative="1">
      <w:start w:val="1"/>
      <w:numFmt w:val="decimal"/>
      <w:lvlText w:val="%7."/>
      <w:lvlJc w:val="left"/>
      <w:pPr>
        <w:ind w:left="5760" w:hanging="360"/>
      </w:pPr>
    </w:lvl>
    <w:lvl w:ilvl="7" w:tplc="65725D9C" w:tentative="1">
      <w:start w:val="1"/>
      <w:numFmt w:val="lowerLetter"/>
      <w:lvlText w:val="%8."/>
      <w:lvlJc w:val="left"/>
      <w:pPr>
        <w:ind w:left="6480" w:hanging="360"/>
      </w:pPr>
    </w:lvl>
    <w:lvl w:ilvl="8" w:tplc="9A4CFE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970969"/>
    <w:multiLevelType w:val="hybridMultilevel"/>
    <w:tmpl w:val="F372F13A"/>
    <w:lvl w:ilvl="0" w:tplc="641C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812"/>
    <w:multiLevelType w:val="hybridMultilevel"/>
    <w:tmpl w:val="963C0A2A"/>
    <w:lvl w:ilvl="0" w:tplc="220A4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981FF6" w:tentative="1">
      <w:start w:val="1"/>
      <w:numFmt w:val="lowerLetter"/>
      <w:lvlText w:val="%2."/>
      <w:lvlJc w:val="left"/>
      <w:pPr>
        <w:ind w:left="1440" w:hanging="360"/>
      </w:pPr>
    </w:lvl>
    <w:lvl w:ilvl="2" w:tplc="7E7E3804" w:tentative="1">
      <w:start w:val="1"/>
      <w:numFmt w:val="lowerRoman"/>
      <w:lvlText w:val="%3."/>
      <w:lvlJc w:val="right"/>
      <w:pPr>
        <w:ind w:left="2160" w:hanging="180"/>
      </w:pPr>
    </w:lvl>
    <w:lvl w:ilvl="3" w:tplc="4902340A" w:tentative="1">
      <w:start w:val="1"/>
      <w:numFmt w:val="decimal"/>
      <w:lvlText w:val="%4."/>
      <w:lvlJc w:val="left"/>
      <w:pPr>
        <w:ind w:left="2880" w:hanging="360"/>
      </w:pPr>
    </w:lvl>
    <w:lvl w:ilvl="4" w:tplc="D5AC9F54" w:tentative="1">
      <w:start w:val="1"/>
      <w:numFmt w:val="lowerLetter"/>
      <w:lvlText w:val="%5."/>
      <w:lvlJc w:val="left"/>
      <w:pPr>
        <w:ind w:left="3600" w:hanging="360"/>
      </w:pPr>
    </w:lvl>
    <w:lvl w:ilvl="5" w:tplc="D668FE7E" w:tentative="1">
      <w:start w:val="1"/>
      <w:numFmt w:val="lowerRoman"/>
      <w:lvlText w:val="%6."/>
      <w:lvlJc w:val="right"/>
      <w:pPr>
        <w:ind w:left="4320" w:hanging="180"/>
      </w:pPr>
    </w:lvl>
    <w:lvl w:ilvl="6" w:tplc="AA483A28" w:tentative="1">
      <w:start w:val="1"/>
      <w:numFmt w:val="decimal"/>
      <w:lvlText w:val="%7."/>
      <w:lvlJc w:val="left"/>
      <w:pPr>
        <w:ind w:left="5040" w:hanging="360"/>
      </w:pPr>
    </w:lvl>
    <w:lvl w:ilvl="7" w:tplc="7AEE85E4" w:tentative="1">
      <w:start w:val="1"/>
      <w:numFmt w:val="lowerLetter"/>
      <w:lvlText w:val="%8."/>
      <w:lvlJc w:val="left"/>
      <w:pPr>
        <w:ind w:left="5760" w:hanging="360"/>
      </w:pPr>
    </w:lvl>
    <w:lvl w:ilvl="8" w:tplc="02887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5010"/>
    <w:multiLevelType w:val="hybridMultilevel"/>
    <w:tmpl w:val="905A65B0"/>
    <w:lvl w:ilvl="0" w:tplc="738C22CE">
      <w:start w:val="1"/>
      <w:numFmt w:val="decimal"/>
      <w:lvlText w:val="%1."/>
      <w:lvlJc w:val="left"/>
      <w:pPr>
        <w:ind w:left="2421" w:hanging="360"/>
      </w:pPr>
    </w:lvl>
    <w:lvl w:ilvl="1" w:tplc="A1D88370" w:tentative="1">
      <w:start w:val="1"/>
      <w:numFmt w:val="lowerLetter"/>
      <w:lvlText w:val="%2."/>
      <w:lvlJc w:val="left"/>
      <w:pPr>
        <w:ind w:left="3141" w:hanging="360"/>
      </w:pPr>
    </w:lvl>
    <w:lvl w:ilvl="2" w:tplc="DFE04C16" w:tentative="1">
      <w:start w:val="1"/>
      <w:numFmt w:val="lowerRoman"/>
      <w:lvlText w:val="%3."/>
      <w:lvlJc w:val="right"/>
      <w:pPr>
        <w:ind w:left="3861" w:hanging="180"/>
      </w:pPr>
    </w:lvl>
    <w:lvl w:ilvl="3" w:tplc="37B0C2E2" w:tentative="1">
      <w:start w:val="1"/>
      <w:numFmt w:val="decimal"/>
      <w:lvlText w:val="%4."/>
      <w:lvlJc w:val="left"/>
      <w:pPr>
        <w:ind w:left="4581" w:hanging="360"/>
      </w:pPr>
    </w:lvl>
    <w:lvl w:ilvl="4" w:tplc="E4F408EC" w:tentative="1">
      <w:start w:val="1"/>
      <w:numFmt w:val="lowerLetter"/>
      <w:lvlText w:val="%5."/>
      <w:lvlJc w:val="left"/>
      <w:pPr>
        <w:ind w:left="5301" w:hanging="360"/>
      </w:pPr>
    </w:lvl>
    <w:lvl w:ilvl="5" w:tplc="9CFE67BE" w:tentative="1">
      <w:start w:val="1"/>
      <w:numFmt w:val="lowerRoman"/>
      <w:lvlText w:val="%6."/>
      <w:lvlJc w:val="right"/>
      <w:pPr>
        <w:ind w:left="6021" w:hanging="180"/>
      </w:pPr>
    </w:lvl>
    <w:lvl w:ilvl="6" w:tplc="81923038" w:tentative="1">
      <w:start w:val="1"/>
      <w:numFmt w:val="decimal"/>
      <w:lvlText w:val="%7."/>
      <w:lvlJc w:val="left"/>
      <w:pPr>
        <w:ind w:left="6741" w:hanging="360"/>
      </w:pPr>
    </w:lvl>
    <w:lvl w:ilvl="7" w:tplc="390A93D4" w:tentative="1">
      <w:start w:val="1"/>
      <w:numFmt w:val="lowerLetter"/>
      <w:lvlText w:val="%8."/>
      <w:lvlJc w:val="left"/>
      <w:pPr>
        <w:ind w:left="7461" w:hanging="360"/>
      </w:pPr>
    </w:lvl>
    <w:lvl w:ilvl="8" w:tplc="A380EABC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E14198E"/>
    <w:multiLevelType w:val="hybridMultilevel"/>
    <w:tmpl w:val="0876F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053C"/>
    <w:multiLevelType w:val="hybridMultilevel"/>
    <w:tmpl w:val="0E06476A"/>
    <w:lvl w:ilvl="0" w:tplc="52C81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C1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E69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0A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E7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02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86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AC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6A3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A38AF"/>
    <w:multiLevelType w:val="hybridMultilevel"/>
    <w:tmpl w:val="8A66E23E"/>
    <w:lvl w:ilvl="0" w:tplc="922E6B5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82B54"/>
    <w:multiLevelType w:val="hybridMultilevel"/>
    <w:tmpl w:val="FA68349E"/>
    <w:lvl w:ilvl="0" w:tplc="3F784A88">
      <w:start w:val="1"/>
      <w:numFmt w:val="decimal"/>
      <w:lvlText w:val="%1."/>
      <w:lvlJc w:val="left"/>
      <w:pPr>
        <w:ind w:left="720" w:hanging="360"/>
      </w:pPr>
    </w:lvl>
    <w:lvl w:ilvl="1" w:tplc="C94E36EE" w:tentative="1">
      <w:start w:val="1"/>
      <w:numFmt w:val="lowerLetter"/>
      <w:lvlText w:val="%2."/>
      <w:lvlJc w:val="left"/>
      <w:pPr>
        <w:ind w:left="1440" w:hanging="360"/>
      </w:pPr>
    </w:lvl>
    <w:lvl w:ilvl="2" w:tplc="8FB45700" w:tentative="1">
      <w:start w:val="1"/>
      <w:numFmt w:val="lowerRoman"/>
      <w:lvlText w:val="%3."/>
      <w:lvlJc w:val="right"/>
      <w:pPr>
        <w:ind w:left="2160" w:hanging="180"/>
      </w:pPr>
    </w:lvl>
    <w:lvl w:ilvl="3" w:tplc="1BBC7F9A" w:tentative="1">
      <w:start w:val="1"/>
      <w:numFmt w:val="decimal"/>
      <w:lvlText w:val="%4."/>
      <w:lvlJc w:val="left"/>
      <w:pPr>
        <w:ind w:left="2880" w:hanging="360"/>
      </w:pPr>
    </w:lvl>
    <w:lvl w:ilvl="4" w:tplc="96E2C88E" w:tentative="1">
      <w:start w:val="1"/>
      <w:numFmt w:val="lowerLetter"/>
      <w:lvlText w:val="%5."/>
      <w:lvlJc w:val="left"/>
      <w:pPr>
        <w:ind w:left="3600" w:hanging="360"/>
      </w:pPr>
    </w:lvl>
    <w:lvl w:ilvl="5" w:tplc="9D60FBCC" w:tentative="1">
      <w:start w:val="1"/>
      <w:numFmt w:val="lowerRoman"/>
      <w:lvlText w:val="%6."/>
      <w:lvlJc w:val="right"/>
      <w:pPr>
        <w:ind w:left="4320" w:hanging="180"/>
      </w:pPr>
    </w:lvl>
    <w:lvl w:ilvl="6" w:tplc="8E420BE4" w:tentative="1">
      <w:start w:val="1"/>
      <w:numFmt w:val="decimal"/>
      <w:lvlText w:val="%7."/>
      <w:lvlJc w:val="left"/>
      <w:pPr>
        <w:ind w:left="5040" w:hanging="360"/>
      </w:pPr>
    </w:lvl>
    <w:lvl w:ilvl="7" w:tplc="88827D4A" w:tentative="1">
      <w:start w:val="1"/>
      <w:numFmt w:val="lowerLetter"/>
      <w:lvlText w:val="%8."/>
      <w:lvlJc w:val="left"/>
      <w:pPr>
        <w:ind w:left="5760" w:hanging="360"/>
      </w:pPr>
    </w:lvl>
    <w:lvl w:ilvl="8" w:tplc="E9563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35B3D"/>
    <w:multiLevelType w:val="hybridMultilevel"/>
    <w:tmpl w:val="1D743876"/>
    <w:lvl w:ilvl="0" w:tplc="D2361528">
      <w:start w:val="1"/>
      <w:numFmt w:val="decimal"/>
      <w:lvlText w:val="%1."/>
      <w:lvlJc w:val="left"/>
      <w:pPr>
        <w:ind w:left="1440" w:hanging="360"/>
      </w:pPr>
    </w:lvl>
    <w:lvl w:ilvl="1" w:tplc="0C987000" w:tentative="1">
      <w:start w:val="1"/>
      <w:numFmt w:val="lowerLetter"/>
      <w:lvlText w:val="%2."/>
      <w:lvlJc w:val="left"/>
      <w:pPr>
        <w:ind w:left="2160" w:hanging="360"/>
      </w:pPr>
    </w:lvl>
    <w:lvl w:ilvl="2" w:tplc="275A1D84" w:tentative="1">
      <w:start w:val="1"/>
      <w:numFmt w:val="lowerRoman"/>
      <w:lvlText w:val="%3."/>
      <w:lvlJc w:val="right"/>
      <w:pPr>
        <w:ind w:left="2880" w:hanging="180"/>
      </w:pPr>
    </w:lvl>
    <w:lvl w:ilvl="3" w:tplc="B0985D5E" w:tentative="1">
      <w:start w:val="1"/>
      <w:numFmt w:val="decimal"/>
      <w:lvlText w:val="%4."/>
      <w:lvlJc w:val="left"/>
      <w:pPr>
        <w:ind w:left="3600" w:hanging="360"/>
      </w:pPr>
    </w:lvl>
    <w:lvl w:ilvl="4" w:tplc="434AF88A" w:tentative="1">
      <w:start w:val="1"/>
      <w:numFmt w:val="lowerLetter"/>
      <w:lvlText w:val="%5."/>
      <w:lvlJc w:val="left"/>
      <w:pPr>
        <w:ind w:left="4320" w:hanging="360"/>
      </w:pPr>
    </w:lvl>
    <w:lvl w:ilvl="5" w:tplc="85F68FFC" w:tentative="1">
      <w:start w:val="1"/>
      <w:numFmt w:val="lowerRoman"/>
      <w:lvlText w:val="%6."/>
      <w:lvlJc w:val="right"/>
      <w:pPr>
        <w:ind w:left="5040" w:hanging="180"/>
      </w:pPr>
    </w:lvl>
    <w:lvl w:ilvl="6" w:tplc="47CA8172" w:tentative="1">
      <w:start w:val="1"/>
      <w:numFmt w:val="decimal"/>
      <w:lvlText w:val="%7."/>
      <w:lvlJc w:val="left"/>
      <w:pPr>
        <w:ind w:left="5760" w:hanging="360"/>
      </w:pPr>
    </w:lvl>
    <w:lvl w:ilvl="7" w:tplc="97C25EEE" w:tentative="1">
      <w:start w:val="1"/>
      <w:numFmt w:val="lowerLetter"/>
      <w:lvlText w:val="%8."/>
      <w:lvlJc w:val="left"/>
      <w:pPr>
        <w:ind w:left="6480" w:hanging="360"/>
      </w:pPr>
    </w:lvl>
    <w:lvl w:ilvl="8" w:tplc="6308919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9769C5"/>
    <w:multiLevelType w:val="hybridMultilevel"/>
    <w:tmpl w:val="0DC0F97A"/>
    <w:lvl w:ilvl="0" w:tplc="AECEC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414D3"/>
    <w:multiLevelType w:val="hybridMultilevel"/>
    <w:tmpl w:val="0F80F3FE"/>
    <w:lvl w:ilvl="0" w:tplc="EAD232C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F2A42"/>
    <w:multiLevelType w:val="hybridMultilevel"/>
    <w:tmpl w:val="C6E26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9256E"/>
    <w:multiLevelType w:val="hybridMultilevel"/>
    <w:tmpl w:val="61626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91A47"/>
    <w:multiLevelType w:val="hybridMultilevel"/>
    <w:tmpl w:val="A8F67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E4A4E50"/>
    <w:multiLevelType w:val="hybridMultilevel"/>
    <w:tmpl w:val="B600D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17B42"/>
    <w:multiLevelType w:val="hybridMultilevel"/>
    <w:tmpl w:val="E70C6B58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7FC87C67"/>
    <w:multiLevelType w:val="hybridMultilevel"/>
    <w:tmpl w:val="98429E0E"/>
    <w:lvl w:ilvl="0" w:tplc="C206112A">
      <w:start w:val="1"/>
      <w:numFmt w:val="decimal"/>
      <w:lvlText w:val="%1."/>
      <w:lvlJc w:val="left"/>
      <w:pPr>
        <w:ind w:left="1440" w:hanging="360"/>
      </w:pPr>
    </w:lvl>
    <w:lvl w:ilvl="1" w:tplc="F8A2F5BC" w:tentative="1">
      <w:start w:val="1"/>
      <w:numFmt w:val="lowerLetter"/>
      <w:lvlText w:val="%2."/>
      <w:lvlJc w:val="left"/>
      <w:pPr>
        <w:ind w:left="2160" w:hanging="360"/>
      </w:pPr>
    </w:lvl>
    <w:lvl w:ilvl="2" w:tplc="D83E73BA" w:tentative="1">
      <w:start w:val="1"/>
      <w:numFmt w:val="lowerRoman"/>
      <w:lvlText w:val="%3."/>
      <w:lvlJc w:val="right"/>
      <w:pPr>
        <w:ind w:left="2880" w:hanging="180"/>
      </w:pPr>
    </w:lvl>
    <w:lvl w:ilvl="3" w:tplc="0B50499E" w:tentative="1">
      <w:start w:val="1"/>
      <w:numFmt w:val="decimal"/>
      <w:lvlText w:val="%4."/>
      <w:lvlJc w:val="left"/>
      <w:pPr>
        <w:ind w:left="3600" w:hanging="360"/>
      </w:pPr>
    </w:lvl>
    <w:lvl w:ilvl="4" w:tplc="99D64B50" w:tentative="1">
      <w:start w:val="1"/>
      <w:numFmt w:val="lowerLetter"/>
      <w:lvlText w:val="%5."/>
      <w:lvlJc w:val="left"/>
      <w:pPr>
        <w:ind w:left="4320" w:hanging="360"/>
      </w:pPr>
    </w:lvl>
    <w:lvl w:ilvl="5" w:tplc="BC5E0AEC" w:tentative="1">
      <w:start w:val="1"/>
      <w:numFmt w:val="lowerRoman"/>
      <w:lvlText w:val="%6."/>
      <w:lvlJc w:val="right"/>
      <w:pPr>
        <w:ind w:left="5040" w:hanging="180"/>
      </w:pPr>
    </w:lvl>
    <w:lvl w:ilvl="6" w:tplc="71A66ED2" w:tentative="1">
      <w:start w:val="1"/>
      <w:numFmt w:val="decimal"/>
      <w:lvlText w:val="%7."/>
      <w:lvlJc w:val="left"/>
      <w:pPr>
        <w:ind w:left="5760" w:hanging="360"/>
      </w:pPr>
    </w:lvl>
    <w:lvl w:ilvl="7" w:tplc="D9CCEA32" w:tentative="1">
      <w:start w:val="1"/>
      <w:numFmt w:val="lowerLetter"/>
      <w:lvlText w:val="%8."/>
      <w:lvlJc w:val="left"/>
      <w:pPr>
        <w:ind w:left="6480" w:hanging="360"/>
      </w:pPr>
    </w:lvl>
    <w:lvl w:ilvl="8" w:tplc="3AC05E60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5993310">
    <w:abstractNumId w:val="3"/>
  </w:num>
  <w:num w:numId="2" w16cid:durableId="1798835459">
    <w:abstractNumId w:val="7"/>
  </w:num>
  <w:num w:numId="3" w16cid:durableId="1779442472">
    <w:abstractNumId w:val="2"/>
  </w:num>
  <w:num w:numId="4" w16cid:durableId="1061900190">
    <w:abstractNumId w:val="5"/>
  </w:num>
  <w:num w:numId="5" w16cid:durableId="1097143317">
    <w:abstractNumId w:val="0"/>
  </w:num>
  <w:num w:numId="6" w16cid:durableId="1786268913">
    <w:abstractNumId w:val="9"/>
  </w:num>
  <w:num w:numId="7" w16cid:durableId="327831163">
    <w:abstractNumId w:val="18"/>
  </w:num>
  <w:num w:numId="8" w16cid:durableId="1873225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567240">
    <w:abstractNumId w:val="5"/>
  </w:num>
  <w:num w:numId="10" w16cid:durableId="510996477">
    <w:abstractNumId w:val="5"/>
  </w:num>
  <w:num w:numId="11" w16cid:durableId="459997586">
    <w:abstractNumId w:val="8"/>
  </w:num>
  <w:num w:numId="12" w16cid:durableId="971327187">
    <w:abstractNumId w:val="16"/>
  </w:num>
  <w:num w:numId="13" w16cid:durableId="309484036">
    <w:abstractNumId w:val="1"/>
  </w:num>
  <w:num w:numId="14" w16cid:durableId="1808739061">
    <w:abstractNumId w:val="17"/>
  </w:num>
  <w:num w:numId="15" w16cid:durableId="464588343">
    <w:abstractNumId w:val="10"/>
  </w:num>
  <w:num w:numId="16" w16cid:durableId="1893887814">
    <w:abstractNumId w:val="15"/>
  </w:num>
  <w:num w:numId="17" w16cid:durableId="1122992098">
    <w:abstractNumId w:val="13"/>
  </w:num>
  <w:num w:numId="18" w16cid:durableId="514617994">
    <w:abstractNumId w:val="12"/>
  </w:num>
  <w:num w:numId="19" w16cid:durableId="1472214408">
    <w:abstractNumId w:val="11"/>
  </w:num>
  <w:num w:numId="20" w16cid:durableId="134031167">
    <w:abstractNumId w:val="14"/>
  </w:num>
  <w:num w:numId="21" w16cid:durableId="432554282">
    <w:abstractNumId w:val="6"/>
  </w:num>
  <w:num w:numId="22" w16cid:durableId="994450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C0"/>
    <w:rsid w:val="00001DD7"/>
    <w:rsid w:val="00005913"/>
    <w:rsid w:val="00006E7C"/>
    <w:rsid w:val="0004039E"/>
    <w:rsid w:val="000465AE"/>
    <w:rsid w:val="00066A39"/>
    <w:rsid w:val="00073570"/>
    <w:rsid w:val="000B5931"/>
    <w:rsid w:val="000D1470"/>
    <w:rsid w:val="000E0F30"/>
    <w:rsid w:val="000F7D78"/>
    <w:rsid w:val="00103DF3"/>
    <w:rsid w:val="0012037C"/>
    <w:rsid w:val="001269F4"/>
    <w:rsid w:val="00140A80"/>
    <w:rsid w:val="00180D5D"/>
    <w:rsid w:val="00191C09"/>
    <w:rsid w:val="001A08BA"/>
    <w:rsid w:val="001A31D0"/>
    <w:rsid w:val="001A3D38"/>
    <w:rsid w:val="001D1486"/>
    <w:rsid w:val="001D2699"/>
    <w:rsid w:val="001E1667"/>
    <w:rsid w:val="001E23EF"/>
    <w:rsid w:val="001E67B7"/>
    <w:rsid w:val="001F5911"/>
    <w:rsid w:val="0020457E"/>
    <w:rsid w:val="0021065D"/>
    <w:rsid w:val="0021220F"/>
    <w:rsid w:val="00233124"/>
    <w:rsid w:val="00245A06"/>
    <w:rsid w:val="00290E52"/>
    <w:rsid w:val="002A6E20"/>
    <w:rsid w:val="002B5FB1"/>
    <w:rsid w:val="002B73FA"/>
    <w:rsid w:val="002E1F01"/>
    <w:rsid w:val="002E3D56"/>
    <w:rsid w:val="002F0879"/>
    <w:rsid w:val="002F2D0D"/>
    <w:rsid w:val="003013CB"/>
    <w:rsid w:val="00340F23"/>
    <w:rsid w:val="00371FF4"/>
    <w:rsid w:val="00374915"/>
    <w:rsid w:val="003878E8"/>
    <w:rsid w:val="00393CC0"/>
    <w:rsid w:val="00397777"/>
    <w:rsid w:val="003A2755"/>
    <w:rsid w:val="003D18D3"/>
    <w:rsid w:val="003E7313"/>
    <w:rsid w:val="003F18D8"/>
    <w:rsid w:val="00421B92"/>
    <w:rsid w:val="00421EBA"/>
    <w:rsid w:val="0042576D"/>
    <w:rsid w:val="00427274"/>
    <w:rsid w:val="004B0EF3"/>
    <w:rsid w:val="004C4F4C"/>
    <w:rsid w:val="004E721D"/>
    <w:rsid w:val="004F6423"/>
    <w:rsid w:val="00500249"/>
    <w:rsid w:val="00513397"/>
    <w:rsid w:val="00527694"/>
    <w:rsid w:val="00580CC0"/>
    <w:rsid w:val="00585E27"/>
    <w:rsid w:val="005B7F74"/>
    <w:rsid w:val="005C104E"/>
    <w:rsid w:val="005E52B3"/>
    <w:rsid w:val="005E6D2E"/>
    <w:rsid w:val="006140E7"/>
    <w:rsid w:val="00614FCF"/>
    <w:rsid w:val="00615E29"/>
    <w:rsid w:val="00616B15"/>
    <w:rsid w:val="00624390"/>
    <w:rsid w:val="006256AA"/>
    <w:rsid w:val="00652208"/>
    <w:rsid w:val="00654214"/>
    <w:rsid w:val="0066504D"/>
    <w:rsid w:val="00674A0F"/>
    <w:rsid w:val="00684087"/>
    <w:rsid w:val="0069096A"/>
    <w:rsid w:val="00694CB4"/>
    <w:rsid w:val="006D365B"/>
    <w:rsid w:val="006E2ECA"/>
    <w:rsid w:val="0070765E"/>
    <w:rsid w:val="0073321F"/>
    <w:rsid w:val="00750231"/>
    <w:rsid w:val="007647DA"/>
    <w:rsid w:val="00774A84"/>
    <w:rsid w:val="007766CF"/>
    <w:rsid w:val="00794A88"/>
    <w:rsid w:val="007C4638"/>
    <w:rsid w:val="007C6BD5"/>
    <w:rsid w:val="007C78C4"/>
    <w:rsid w:val="007F39E5"/>
    <w:rsid w:val="007F4173"/>
    <w:rsid w:val="008748C8"/>
    <w:rsid w:val="00881721"/>
    <w:rsid w:val="008845D7"/>
    <w:rsid w:val="008A1EA0"/>
    <w:rsid w:val="008A213E"/>
    <w:rsid w:val="008C492A"/>
    <w:rsid w:val="008E44C1"/>
    <w:rsid w:val="009319E2"/>
    <w:rsid w:val="00960418"/>
    <w:rsid w:val="00977226"/>
    <w:rsid w:val="00983B07"/>
    <w:rsid w:val="009845F8"/>
    <w:rsid w:val="00984AD7"/>
    <w:rsid w:val="00994671"/>
    <w:rsid w:val="009A771A"/>
    <w:rsid w:val="009C21BA"/>
    <w:rsid w:val="009D7EAC"/>
    <w:rsid w:val="009F3827"/>
    <w:rsid w:val="00A05689"/>
    <w:rsid w:val="00A21F42"/>
    <w:rsid w:val="00A26194"/>
    <w:rsid w:val="00A34A65"/>
    <w:rsid w:val="00A42A67"/>
    <w:rsid w:val="00A57652"/>
    <w:rsid w:val="00A70A8C"/>
    <w:rsid w:val="00A717A3"/>
    <w:rsid w:val="00A9021A"/>
    <w:rsid w:val="00AB167A"/>
    <w:rsid w:val="00B15644"/>
    <w:rsid w:val="00B43AD8"/>
    <w:rsid w:val="00B43E84"/>
    <w:rsid w:val="00B46D49"/>
    <w:rsid w:val="00B616B2"/>
    <w:rsid w:val="00B944EC"/>
    <w:rsid w:val="00B95DF5"/>
    <w:rsid w:val="00B96F0C"/>
    <w:rsid w:val="00B97EDE"/>
    <w:rsid w:val="00BA1A24"/>
    <w:rsid w:val="00BB1F3E"/>
    <w:rsid w:val="00BB54DD"/>
    <w:rsid w:val="00BC3699"/>
    <w:rsid w:val="00BE4197"/>
    <w:rsid w:val="00BE4DC9"/>
    <w:rsid w:val="00BF0EA1"/>
    <w:rsid w:val="00C11FCE"/>
    <w:rsid w:val="00C42F6D"/>
    <w:rsid w:val="00C452DF"/>
    <w:rsid w:val="00C478C9"/>
    <w:rsid w:val="00C712A7"/>
    <w:rsid w:val="00C83A10"/>
    <w:rsid w:val="00C92DA4"/>
    <w:rsid w:val="00CA3C05"/>
    <w:rsid w:val="00CB689F"/>
    <w:rsid w:val="00CC6AAF"/>
    <w:rsid w:val="00CD50DD"/>
    <w:rsid w:val="00D04E9C"/>
    <w:rsid w:val="00D141AA"/>
    <w:rsid w:val="00D214C4"/>
    <w:rsid w:val="00D303F2"/>
    <w:rsid w:val="00D41E5D"/>
    <w:rsid w:val="00D54931"/>
    <w:rsid w:val="00D654F0"/>
    <w:rsid w:val="00D972BE"/>
    <w:rsid w:val="00DB07C4"/>
    <w:rsid w:val="00DB4E40"/>
    <w:rsid w:val="00DC3AC0"/>
    <w:rsid w:val="00DC5932"/>
    <w:rsid w:val="00DD735B"/>
    <w:rsid w:val="00DE180D"/>
    <w:rsid w:val="00E0226E"/>
    <w:rsid w:val="00E04F05"/>
    <w:rsid w:val="00E05906"/>
    <w:rsid w:val="00E65883"/>
    <w:rsid w:val="00E82DC1"/>
    <w:rsid w:val="00E83538"/>
    <w:rsid w:val="00E878E5"/>
    <w:rsid w:val="00E97791"/>
    <w:rsid w:val="00EC1CBF"/>
    <w:rsid w:val="00EE6DD0"/>
    <w:rsid w:val="00EF1A00"/>
    <w:rsid w:val="00F22227"/>
    <w:rsid w:val="00F517EE"/>
    <w:rsid w:val="00F75D6C"/>
    <w:rsid w:val="00F832F0"/>
    <w:rsid w:val="00F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37F69"/>
  <w15:docId w15:val="{FB2CBC99-27DC-42A2-9917-D0588894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5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92638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95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,Akapit z list?"/>
    <w:basedOn w:val="Normalny"/>
    <w:link w:val="AkapitzlistZnak"/>
    <w:uiPriority w:val="34"/>
    <w:qFormat/>
    <w:rsid w:val="00500249"/>
    <w:pPr>
      <w:suppressAutoHyphens w:val="0"/>
      <w:spacing w:after="0"/>
      <w:ind w:left="720"/>
      <w:contextualSpacing/>
    </w:pPr>
    <w:rPr>
      <w:rFonts w:cs="Times New Roman"/>
      <w:lang w:val="x-none"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500249"/>
    <w:rPr>
      <w:rFonts w:ascii="Calibri" w:eastAsia="Calibri" w:hAnsi="Calibri"/>
      <w:sz w:val="22"/>
      <w:szCs w:val="22"/>
      <w:lang w:val="x-none" w:eastAsia="en-US"/>
    </w:rPr>
  </w:style>
  <w:style w:type="character" w:styleId="Odwoaniedokomentarza">
    <w:name w:val="annotation reference"/>
    <w:basedOn w:val="Domylnaczcionkaakapitu"/>
    <w:semiHidden/>
    <w:unhideWhenUsed/>
    <w:rsid w:val="00F517E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51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517EE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51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517EE"/>
    <w:rPr>
      <w:rFonts w:ascii="Calibri" w:eastAsia="Calibri" w:hAnsi="Calibri" w:cs="Calibri"/>
      <w:b/>
      <w:bCs/>
      <w:lang w:eastAsia="ar-SA"/>
    </w:rPr>
  </w:style>
  <w:style w:type="paragraph" w:styleId="Poprawka">
    <w:name w:val="Revision"/>
    <w:hidden/>
    <w:uiPriority w:val="99"/>
    <w:semiHidden/>
    <w:rsid w:val="00585E27"/>
    <w:rPr>
      <w:rFonts w:ascii="Calibri" w:eastAsia="Calibri" w:hAnsi="Calibri" w:cs="Calibri"/>
      <w:sz w:val="22"/>
      <w:szCs w:val="22"/>
      <w:lang w:eastAsia="ar-SA"/>
    </w:rPr>
  </w:style>
  <w:style w:type="character" w:customStyle="1" w:styleId="cf01">
    <w:name w:val="cf01"/>
    <w:basedOn w:val="Domylnaczcionkaakapitu"/>
    <w:rsid w:val="000E0F3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0E0F30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1289-8B1C-430B-9A0C-0138E66A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1766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ogólny</vt:lpstr>
    </vt:vector>
  </TitlesOfParts>
  <Company>Ministerstwo Klimatu i Środowiska</Company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ogólny</dc:title>
  <dc:creator>MICHAŁOWSKA Joanna</dc:creator>
  <cp:keywords>PL</cp:keywords>
  <dc:description>Wersja 4, dostępny od 23.07.2021</dc:description>
  <cp:lastModifiedBy>Czarzasty Piotr</cp:lastModifiedBy>
  <cp:revision>37</cp:revision>
  <cp:lastPrinted>2022-05-09T07:09:00Z</cp:lastPrinted>
  <dcterms:created xsi:type="dcterms:W3CDTF">2022-08-09T08:29:00Z</dcterms:created>
  <dcterms:modified xsi:type="dcterms:W3CDTF">2022-09-01T05:41:00Z</dcterms:modified>
  <cp:category>OGÓLNE</cp:category>
</cp:coreProperties>
</file>