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FAF2" w14:textId="39370DD7" w:rsidR="00434865" w:rsidRPr="00C517BB" w:rsidRDefault="00B34DCA" w:rsidP="00606D4F">
      <w:pPr>
        <w:spacing w:line="312" w:lineRule="auto"/>
        <w:jc w:val="center"/>
        <w:rPr>
          <w:rFonts w:eastAsiaTheme="minorEastAsia" w:cs="Arial"/>
          <w:b/>
          <w:bCs/>
        </w:rPr>
      </w:pPr>
      <w:r w:rsidRPr="00C517BB">
        <w:rPr>
          <w:rFonts w:eastAsiaTheme="minorEastAsia" w:cs="Arial"/>
          <w:b/>
          <w:bCs/>
        </w:rPr>
        <w:t>UZASADNIENIE</w:t>
      </w:r>
    </w:p>
    <w:p w14:paraId="101AD67D" w14:textId="77777777" w:rsidR="00BE2488" w:rsidRPr="00C517BB" w:rsidRDefault="00BE2488" w:rsidP="00606D4F">
      <w:pPr>
        <w:spacing w:line="312" w:lineRule="auto"/>
        <w:jc w:val="center"/>
        <w:rPr>
          <w:b/>
          <w:bCs/>
          <w:caps/>
          <w:kern w:val="24"/>
        </w:rPr>
      </w:pPr>
    </w:p>
    <w:p w14:paraId="4254C223" w14:textId="238320EB" w:rsidR="00A361AA" w:rsidRPr="00C517BB" w:rsidRDefault="00562957" w:rsidP="00606D4F">
      <w:pPr>
        <w:spacing w:line="312" w:lineRule="auto"/>
        <w:ind w:firstLine="425"/>
        <w:jc w:val="both"/>
        <w:rPr>
          <w:rFonts w:eastAsiaTheme="minorEastAsia"/>
        </w:rPr>
      </w:pPr>
      <w:r w:rsidRPr="00C517BB">
        <w:rPr>
          <w:rFonts w:eastAsiaTheme="minorEastAsia"/>
        </w:rPr>
        <w:t xml:space="preserve">Projekt rozporządzenia </w:t>
      </w:r>
      <w:r w:rsidR="005878DD" w:rsidRPr="00C517BB">
        <w:rPr>
          <w:rFonts w:eastAsiaTheme="minorEastAsia"/>
        </w:rPr>
        <w:t>zmieniającego rozporządzeni</w:t>
      </w:r>
      <w:r w:rsidR="009D2FCF" w:rsidRPr="00C517BB">
        <w:rPr>
          <w:rFonts w:eastAsiaTheme="minorEastAsia"/>
        </w:rPr>
        <w:t>e</w:t>
      </w:r>
      <w:r w:rsidR="005878DD" w:rsidRPr="00C517BB">
        <w:rPr>
          <w:rFonts w:eastAsiaTheme="minorEastAsia"/>
        </w:rPr>
        <w:t xml:space="preserve"> w sprawie szczegółowych zasad kształtowania i kalkulacji taryf oraz rozliczeń z tytułu zaopatrzenia w ciepło (zwany dalej „projektem rozporządzenia”) wprowadza zmiany </w:t>
      </w:r>
      <w:r w:rsidR="008B63B2" w:rsidRPr="00C517BB">
        <w:rPr>
          <w:rFonts w:eastAsiaTheme="minorEastAsia"/>
        </w:rPr>
        <w:t>w</w:t>
      </w:r>
      <w:r w:rsidR="005878DD" w:rsidRPr="00C517BB">
        <w:rPr>
          <w:rFonts w:eastAsiaTheme="minorEastAsia"/>
        </w:rPr>
        <w:t xml:space="preserve"> </w:t>
      </w:r>
      <w:r w:rsidR="00A42066" w:rsidRPr="00C517BB">
        <w:rPr>
          <w:rFonts w:eastAsiaTheme="minorEastAsia"/>
        </w:rPr>
        <w:t>rozporządzeni</w:t>
      </w:r>
      <w:r w:rsidR="008B63B2" w:rsidRPr="00C517BB">
        <w:rPr>
          <w:rFonts w:eastAsiaTheme="minorEastAsia"/>
        </w:rPr>
        <w:t>u</w:t>
      </w:r>
      <w:r w:rsidR="00A42066" w:rsidRPr="00C517BB">
        <w:rPr>
          <w:rFonts w:eastAsiaTheme="minorEastAsia"/>
        </w:rPr>
        <w:t xml:space="preserve"> </w:t>
      </w:r>
      <w:r w:rsidR="00F12754" w:rsidRPr="00C517BB">
        <w:rPr>
          <w:rFonts w:eastAsiaTheme="minorEastAsia"/>
        </w:rPr>
        <w:t xml:space="preserve">Ministra Klimatu z dnia 7 kwietnia 2020 r. w sprawie szczegółowych zasad kształtowania i kalkulacji taryf oraz rozliczeń z tytułu zaopatrzenia w ciepło (Dz. U. poz. 718, z </w:t>
      </w:r>
      <w:proofErr w:type="spellStart"/>
      <w:r w:rsidR="00F12754" w:rsidRPr="00C517BB">
        <w:rPr>
          <w:rFonts w:eastAsiaTheme="minorEastAsia"/>
        </w:rPr>
        <w:t>późn</w:t>
      </w:r>
      <w:proofErr w:type="spellEnd"/>
      <w:r w:rsidR="00F12754" w:rsidRPr="00C517BB">
        <w:rPr>
          <w:rFonts w:eastAsiaTheme="minorEastAsia"/>
        </w:rPr>
        <w:t>. zm.</w:t>
      </w:r>
      <w:r w:rsidR="005878DD" w:rsidRPr="00C517BB">
        <w:rPr>
          <w:rFonts w:eastAsiaTheme="minorEastAsia"/>
        </w:rPr>
        <w:t>,</w:t>
      </w:r>
      <w:r w:rsidR="00F12754" w:rsidRPr="00C517BB">
        <w:rPr>
          <w:rFonts w:eastAsiaTheme="minorEastAsia"/>
        </w:rPr>
        <w:t xml:space="preserve"> zwane dalej „zmienianym rozporządzeniem”)</w:t>
      </w:r>
      <w:r w:rsidR="007B7BA9" w:rsidRPr="00C517BB">
        <w:rPr>
          <w:rFonts w:eastAsiaTheme="minorEastAsia"/>
        </w:rPr>
        <w:t xml:space="preserve"> oraz</w:t>
      </w:r>
      <w:r w:rsidR="00F12754" w:rsidRPr="00C517BB">
        <w:rPr>
          <w:rFonts w:eastAsiaTheme="minorEastAsia"/>
        </w:rPr>
        <w:t xml:space="preserve"> </w:t>
      </w:r>
      <w:r w:rsidRPr="00C517BB">
        <w:rPr>
          <w:rFonts w:eastAsiaTheme="minorEastAsia"/>
        </w:rPr>
        <w:t xml:space="preserve">stanowi wykonanie </w:t>
      </w:r>
      <w:r w:rsidR="00FF6F5A" w:rsidRPr="00C517BB">
        <w:rPr>
          <w:rFonts w:eastAsiaTheme="minorEastAsia"/>
        </w:rPr>
        <w:t xml:space="preserve">upoważnienia ustawowego </w:t>
      </w:r>
      <w:r w:rsidRPr="00C517BB">
        <w:rPr>
          <w:rFonts w:eastAsiaTheme="minorEastAsia"/>
        </w:rPr>
        <w:t>zawarte</w:t>
      </w:r>
      <w:r w:rsidR="00DD755D" w:rsidRPr="00C517BB">
        <w:rPr>
          <w:rFonts w:eastAsiaTheme="minorEastAsia"/>
        </w:rPr>
        <w:t>go</w:t>
      </w:r>
      <w:r w:rsidRPr="00C517BB">
        <w:rPr>
          <w:rFonts w:eastAsiaTheme="minorEastAsia"/>
        </w:rPr>
        <w:t xml:space="preserve"> w art. 4</w:t>
      </w:r>
      <w:r w:rsidR="00017AF0" w:rsidRPr="00C517BB">
        <w:rPr>
          <w:rFonts w:eastAsiaTheme="minorEastAsia"/>
        </w:rPr>
        <w:t>6</w:t>
      </w:r>
      <w:r w:rsidRPr="00C517BB">
        <w:rPr>
          <w:rFonts w:eastAsiaTheme="minorEastAsia"/>
        </w:rPr>
        <w:t xml:space="preserve"> ust 5 i 6 ustawy z dnia 10 kwietnia 1997 r. – Prawo energetyczne (Dz. U. z</w:t>
      </w:r>
      <w:r w:rsidR="00A42066" w:rsidRPr="00C517BB">
        <w:rPr>
          <w:rFonts w:eastAsiaTheme="minorEastAsia"/>
        </w:rPr>
        <w:t xml:space="preserve"> 2022 </w:t>
      </w:r>
      <w:r w:rsidR="00DD755D" w:rsidRPr="00C517BB">
        <w:rPr>
          <w:rFonts w:eastAsiaTheme="minorEastAsia"/>
        </w:rPr>
        <w:t xml:space="preserve">r., </w:t>
      </w:r>
      <w:r w:rsidR="00A42066" w:rsidRPr="00C517BB">
        <w:rPr>
          <w:rFonts w:eastAsiaTheme="minorEastAsia"/>
        </w:rPr>
        <w:t>poz</w:t>
      </w:r>
      <w:r w:rsidRPr="00C517BB">
        <w:rPr>
          <w:rFonts w:eastAsiaTheme="minorEastAsia"/>
        </w:rPr>
        <w:t>.</w:t>
      </w:r>
      <w:r w:rsidR="00A42066" w:rsidRPr="00C517BB">
        <w:rPr>
          <w:rFonts w:eastAsiaTheme="minorEastAsia"/>
        </w:rPr>
        <w:t xml:space="preserve"> 1385, </w:t>
      </w:r>
      <w:r w:rsidR="00F12754" w:rsidRPr="00C517BB">
        <w:rPr>
          <w:rFonts w:eastAsiaTheme="minorEastAsia"/>
        </w:rPr>
        <w:t>zwanej</w:t>
      </w:r>
      <w:r w:rsidR="00A42066" w:rsidRPr="00C517BB">
        <w:rPr>
          <w:rFonts w:eastAsiaTheme="minorEastAsia"/>
        </w:rPr>
        <w:t xml:space="preserve"> dalej „</w:t>
      </w:r>
      <w:r w:rsidR="00F12754" w:rsidRPr="00C517BB">
        <w:rPr>
          <w:rFonts w:eastAsiaTheme="minorEastAsia"/>
        </w:rPr>
        <w:t>ustawa</w:t>
      </w:r>
      <w:r w:rsidR="00A42066" w:rsidRPr="00C517BB">
        <w:rPr>
          <w:rFonts w:eastAsiaTheme="minorEastAsia"/>
        </w:rPr>
        <w:t xml:space="preserve"> </w:t>
      </w:r>
      <w:bookmarkStart w:id="0" w:name="_Hlk109306309"/>
      <w:r w:rsidR="00A42066" w:rsidRPr="00C517BB">
        <w:rPr>
          <w:rFonts w:eastAsiaTheme="minorEastAsia"/>
        </w:rPr>
        <w:t>– Prawo energetyczne</w:t>
      </w:r>
      <w:bookmarkEnd w:id="0"/>
      <w:r w:rsidR="00A42066" w:rsidRPr="00C517BB">
        <w:rPr>
          <w:rFonts w:eastAsiaTheme="minorEastAsia"/>
        </w:rPr>
        <w:t>”</w:t>
      </w:r>
      <w:r w:rsidRPr="00C517BB">
        <w:rPr>
          <w:rFonts w:eastAsiaTheme="minorEastAsia"/>
        </w:rPr>
        <w:t>). Zgodnie</w:t>
      </w:r>
      <w:r w:rsidR="009D2FCF" w:rsidRPr="00C517BB">
        <w:rPr>
          <w:rFonts w:eastAsiaTheme="minorEastAsia"/>
        </w:rPr>
        <w:t xml:space="preserve"> z</w:t>
      </w:r>
      <w:r w:rsidRPr="00C517BB">
        <w:rPr>
          <w:rFonts w:eastAsiaTheme="minorEastAsia"/>
        </w:rPr>
        <w:t xml:space="preserve"> </w:t>
      </w:r>
      <w:r w:rsidR="0093285B" w:rsidRPr="00C517BB">
        <w:rPr>
          <w:rFonts w:eastAsiaTheme="minorEastAsia"/>
        </w:rPr>
        <w:t>art. 46 ust. 5</w:t>
      </w:r>
      <w:r w:rsidR="00DD755D" w:rsidRPr="00C517BB">
        <w:rPr>
          <w:rFonts w:eastAsiaTheme="minorEastAsia"/>
        </w:rPr>
        <w:t xml:space="preserve"> </w:t>
      </w:r>
      <w:r w:rsidRPr="00C517BB">
        <w:rPr>
          <w:rFonts w:eastAsiaTheme="minorEastAsia"/>
        </w:rPr>
        <w:t>ustawy</w:t>
      </w:r>
      <w:r w:rsidR="001735E2" w:rsidRPr="00C517BB">
        <w:rPr>
          <w:rFonts w:eastAsiaTheme="minorEastAsia"/>
        </w:rPr>
        <w:t xml:space="preserve"> – </w:t>
      </w:r>
      <w:r w:rsidRPr="00C517BB">
        <w:rPr>
          <w:rFonts w:eastAsiaTheme="minorEastAsia"/>
        </w:rPr>
        <w:t xml:space="preserve">Prawo energetyczne, minister właściwy do spraw energii, po zasięgnięciu opinii Prezesa Urzędu Regulacji Energetyki </w:t>
      </w:r>
      <w:r w:rsidR="0093285B" w:rsidRPr="00C517BB">
        <w:rPr>
          <w:rFonts w:eastAsiaTheme="minorEastAsia"/>
        </w:rPr>
        <w:t xml:space="preserve">(zwanego dalej: „Prezesem URE”) </w:t>
      </w:r>
      <w:r w:rsidRPr="00C517BB">
        <w:rPr>
          <w:rFonts w:eastAsiaTheme="minorEastAsia"/>
        </w:rPr>
        <w:t>określa, w drodze rozporządzenia, szczegółowe zasady kształtowania i kalkulacji taryf oraz rozliczeń z tytułu zaopatrzenia w ciepło.</w:t>
      </w:r>
    </w:p>
    <w:p w14:paraId="6E0CB416" w14:textId="737DE1BF" w:rsidR="005D4862" w:rsidRPr="00C517BB" w:rsidRDefault="005D4862" w:rsidP="00606D4F">
      <w:pPr>
        <w:spacing w:line="312" w:lineRule="auto"/>
        <w:ind w:firstLine="425"/>
        <w:jc w:val="both"/>
        <w:rPr>
          <w:rFonts w:eastAsiaTheme="minorEastAsia"/>
        </w:rPr>
      </w:pPr>
      <w:r w:rsidRPr="00C517BB">
        <w:rPr>
          <w:rFonts w:eastAsiaTheme="minorEastAsia"/>
        </w:rPr>
        <w:t>Konieczność wydania projekt</w:t>
      </w:r>
      <w:r w:rsidR="00DC4E63" w:rsidRPr="00C517BB">
        <w:rPr>
          <w:rFonts w:eastAsiaTheme="minorEastAsia"/>
        </w:rPr>
        <w:t>u</w:t>
      </w:r>
      <w:r w:rsidRPr="00C517BB">
        <w:rPr>
          <w:rFonts w:eastAsiaTheme="minorEastAsia"/>
        </w:rPr>
        <w:t xml:space="preserve"> rozporządzenia jest skutkiem bardzo trudnej sytuacji, w jakiej znajdują się przedsiębiorstwa energetyczne prowadzące działalność gospodarczą wytwarzania ciepła w kogeneracji. Wpłynęło na to przede wszystkim aktualne otoczenie makroekonomiczne, a w szczególności duże wzrosty cen uprawnień do emisji gazów cieplarnianych oraz cen paliw w 2021 i 2022 roku, które powodują, że koszty prowadzenia działalności gospodarczej wytwarzania ciepła w źródłach kogeneracyjnych w 2022 roku nie będą możliwe w pełni </w:t>
      </w:r>
      <w:r w:rsidR="006E1E14" w:rsidRPr="00C517BB">
        <w:rPr>
          <w:rFonts w:eastAsiaTheme="minorEastAsia"/>
        </w:rPr>
        <w:t xml:space="preserve">do pokrycia </w:t>
      </w:r>
      <w:r w:rsidRPr="00C517BB">
        <w:rPr>
          <w:rFonts w:eastAsiaTheme="minorEastAsia"/>
        </w:rPr>
        <w:t xml:space="preserve">przez przychody ustalone w oparciu o uproszczoną metodę kształtowania taryf dla kogeneracji na podstawie § 13 zmienianego rozporządzenia. </w:t>
      </w:r>
    </w:p>
    <w:p w14:paraId="78659CEF" w14:textId="22B63282" w:rsidR="005D4862" w:rsidRPr="00C517BB" w:rsidRDefault="005D4862" w:rsidP="00606D4F">
      <w:pPr>
        <w:spacing w:line="312" w:lineRule="auto"/>
        <w:ind w:firstLine="425"/>
        <w:jc w:val="both"/>
        <w:rPr>
          <w:rFonts w:eastAsiaTheme="minorEastAsia"/>
        </w:rPr>
      </w:pPr>
      <w:r w:rsidRPr="00C517BB">
        <w:rPr>
          <w:rFonts w:eastAsiaTheme="minorEastAsia"/>
        </w:rPr>
        <w:t>Dodatkowo aktualna sytuacja geopolityczna związana z wywołaną przez Federację Rosyjską wojną w Ukrainie w sposób istotny zwiększa niepewność w zakresie prowadzonej w Polsce działalności gospodarczej, w szczególności ze względu na ograniczenia w dostępności stosowanych paliw oraz znaczny wzrost ich kosztów. Ograniczenia w zakresie importu rosyjskich surowców energetycznych mogą w perspektywie krótkoterminowej doprowadzić do dalszego wzrostu cen paliw. Aby odpowiedzieć na te problemy, niezbędne jest odzwierciedleni</w:t>
      </w:r>
      <w:r w:rsidR="006E1E14" w:rsidRPr="00C517BB">
        <w:rPr>
          <w:rFonts w:eastAsiaTheme="minorEastAsia"/>
        </w:rPr>
        <w:t>e</w:t>
      </w:r>
      <w:r w:rsidRPr="00C517BB">
        <w:rPr>
          <w:rFonts w:eastAsiaTheme="minorEastAsia"/>
        </w:rPr>
        <w:t xml:space="preserve"> w obowiązujących taryfach zwiększonych już w roku poprzednim i odzwierciedlonych w opublikowanych wskaźnikach referencyjnych kosztów prowadzonej działalności wytwarzania ciepła w kogeneracji. Bez możliwości faktycznego wykorzystania wskaźników referencyjnych w taryfach dla ciepła w roku 2022, sytuacja sektora elektrociepłowni pogorszy </w:t>
      </w:r>
      <w:r w:rsidR="00D30255" w:rsidRPr="00C517BB">
        <w:rPr>
          <w:rFonts w:eastAsiaTheme="minorEastAsia"/>
        </w:rPr>
        <w:t xml:space="preserve">się </w:t>
      </w:r>
      <w:r w:rsidRPr="00C517BB">
        <w:rPr>
          <w:rFonts w:eastAsiaTheme="minorEastAsia"/>
        </w:rPr>
        <w:t xml:space="preserve">w stosunku do sytuacji aktualnej. Niezależnie od powyższego, uwzględnienie korekty wzrostowej zmian prowadzenia działalności gospodarczej przez Prezesa </w:t>
      </w:r>
      <w:r w:rsidR="00D30255" w:rsidRPr="00C517BB">
        <w:rPr>
          <w:rFonts w:eastAsiaTheme="minorEastAsia"/>
        </w:rPr>
        <w:t>URE</w:t>
      </w:r>
      <w:r w:rsidRPr="00C517BB">
        <w:rPr>
          <w:rFonts w:eastAsiaTheme="minorEastAsia"/>
        </w:rPr>
        <w:t xml:space="preserve"> w zmianie wskaźników referencyjnych na rok 2023 może spowodować podwójną stratę przedsiębiorstw energetycznych wytwarzających ciepło w </w:t>
      </w:r>
      <w:bookmarkStart w:id="1" w:name="_Hlk109635263"/>
      <w:r w:rsidRPr="00C517BB">
        <w:rPr>
          <w:rFonts w:eastAsiaTheme="minorEastAsia"/>
        </w:rPr>
        <w:t xml:space="preserve">jednostkach </w:t>
      </w:r>
      <w:bookmarkEnd w:id="1"/>
      <w:r w:rsidRPr="00C517BB">
        <w:rPr>
          <w:rFonts w:eastAsiaTheme="minorEastAsia"/>
        </w:rPr>
        <w:t>kogeneracji.</w:t>
      </w:r>
    </w:p>
    <w:p w14:paraId="17EA8BED" w14:textId="4FA6776C" w:rsidR="00050082" w:rsidRPr="00C517BB" w:rsidRDefault="00D30255">
      <w:pPr>
        <w:spacing w:line="312" w:lineRule="auto"/>
        <w:ind w:firstLine="425"/>
        <w:jc w:val="both"/>
        <w:rPr>
          <w:rFonts w:eastAsiaTheme="minorEastAsia"/>
        </w:rPr>
      </w:pPr>
      <w:r w:rsidRPr="00C517BB">
        <w:rPr>
          <w:rFonts w:eastAsiaTheme="minorEastAsia"/>
        </w:rPr>
        <w:t xml:space="preserve">W celu </w:t>
      </w:r>
      <w:r w:rsidR="005D4862" w:rsidRPr="00C517BB">
        <w:rPr>
          <w:rFonts w:eastAsiaTheme="minorEastAsia"/>
        </w:rPr>
        <w:t xml:space="preserve">wprowadzenia możliwości uzyskania przychodu pokrywającego koszty prowadzenia działalności gospodarczej wytwarzania ciepła w kogeneracji konieczna jest taka </w:t>
      </w:r>
      <w:r w:rsidR="005D4862" w:rsidRPr="00C517BB">
        <w:rPr>
          <w:rFonts w:eastAsiaTheme="minorEastAsia"/>
        </w:rPr>
        <w:lastRenderedPageBreak/>
        <w:t xml:space="preserve">zmiana </w:t>
      </w:r>
      <w:bookmarkStart w:id="2" w:name="_Hlk115075681"/>
      <w:r w:rsidR="005D4862" w:rsidRPr="00C517BB">
        <w:rPr>
          <w:rFonts w:eastAsiaTheme="minorEastAsia"/>
        </w:rPr>
        <w:t>§ 13 ust. 6 zmienianego rozporządzenia</w:t>
      </w:r>
      <w:bookmarkEnd w:id="2"/>
      <w:r w:rsidR="005D4862" w:rsidRPr="00C517BB">
        <w:rPr>
          <w:rFonts w:eastAsiaTheme="minorEastAsia"/>
        </w:rPr>
        <w:t xml:space="preserve">, która odzwierciedli możliwość zwiększenia wzrostu planowanego przychodu, zgodnie z publikowanym </w:t>
      </w:r>
      <w:r w:rsidR="00CE1F99" w:rsidRPr="00C517BB">
        <w:rPr>
          <w:rFonts w:eastAsiaTheme="minorEastAsia"/>
        </w:rPr>
        <w:t xml:space="preserve">na podstawie art. 47 ust. 2f ustawy – Prawo energetyczne </w:t>
      </w:r>
      <w:r w:rsidR="005D4862" w:rsidRPr="00C517BB">
        <w:rPr>
          <w:rFonts w:eastAsiaTheme="minorEastAsia"/>
        </w:rPr>
        <w:t>przez Prezesa URE wskaźnikiem referencyjnym</w:t>
      </w:r>
      <w:r w:rsidR="00050082" w:rsidRPr="00C517BB">
        <w:rPr>
          <w:rFonts w:eastAsiaTheme="minorEastAsia"/>
        </w:rPr>
        <w:t>, którego wartość ustalana jest na podstawie „wielkości k” – tj. zmiany kosztów obciążających jednostkę produkowanego ciepła w jednostkach kogeneracji wynikającą z istotnej zmiany warunków wykonywania działalności gospodarczej przez przedsiębiorstwa energetyczne w takim zakresie, w jakim koszty związane z prowadzeniem działalności gospodarczej będą obciążać produkcję ciepła w okresie obowiązywania wskaźnika referencyjnego, a nie obciążały jej w okresie poprzedzającym okres ustalania tego wskaźnika.</w:t>
      </w:r>
    </w:p>
    <w:p w14:paraId="00F90ECC" w14:textId="426EF10B" w:rsidR="003E532E" w:rsidRPr="00C517BB" w:rsidRDefault="00954591">
      <w:pPr>
        <w:spacing w:line="312" w:lineRule="auto"/>
        <w:ind w:firstLine="425"/>
        <w:jc w:val="both"/>
        <w:rPr>
          <w:rFonts w:eastAsiaTheme="minorEastAsia"/>
        </w:rPr>
      </w:pPr>
      <w:r w:rsidRPr="00C517BB">
        <w:rPr>
          <w:rFonts w:eastAsiaTheme="minorEastAsia"/>
        </w:rPr>
        <w:t xml:space="preserve">Aktualnie ust. 6 </w:t>
      </w:r>
      <w:r w:rsidR="007A0BDD" w:rsidRPr="00C517BB">
        <w:rPr>
          <w:rFonts w:eastAsiaTheme="minorEastAsia"/>
        </w:rPr>
        <w:t xml:space="preserve">w § 13 zmiennego rozporządzenia </w:t>
      </w:r>
      <w:r w:rsidRPr="00C517BB">
        <w:rPr>
          <w:rFonts w:eastAsiaTheme="minorEastAsia"/>
        </w:rPr>
        <w:t xml:space="preserve">ogranicza możliwość wzrostu planowanych przychodów ze sprzedaży ciepła do dynamiki średnich cen sprzedaży ciepła publikowanych przez Prezesa URE na podstawie art. 23 ust. 2 pkt 18 lit. c </w:t>
      </w:r>
      <w:r w:rsidR="007A0BDD" w:rsidRPr="00C517BB">
        <w:rPr>
          <w:rFonts w:eastAsiaTheme="minorEastAsia"/>
        </w:rPr>
        <w:t xml:space="preserve">ustawy – Prawo energetyczne </w:t>
      </w:r>
      <w:r w:rsidRPr="00C517BB">
        <w:rPr>
          <w:rFonts w:eastAsiaTheme="minorEastAsia"/>
        </w:rPr>
        <w:t xml:space="preserve">powiększonej o 2,25; 2,75 lub 3 punkty procentowe. Projektowana zmiana rozporządzenia pozwoli uwzględnić </w:t>
      </w:r>
      <w:r w:rsidR="00930F53" w:rsidRPr="00C517BB">
        <w:rPr>
          <w:rFonts w:eastAsiaTheme="minorEastAsia"/>
        </w:rPr>
        <w:t xml:space="preserve">istotną zmianę warunków wykonywania działalności gospodarczej w zakresie zmiany kosztów prowadzenia działalności gospodarczej obciążającej wytwarzanie ciepła w kogeneracji. </w:t>
      </w:r>
    </w:p>
    <w:p w14:paraId="508A46EE" w14:textId="4D6993B8" w:rsidR="00954591" w:rsidRPr="00C517BB" w:rsidRDefault="003E532E" w:rsidP="00606D4F">
      <w:pPr>
        <w:spacing w:line="312" w:lineRule="auto"/>
        <w:ind w:firstLine="425"/>
        <w:jc w:val="both"/>
        <w:rPr>
          <w:rFonts w:eastAsiaTheme="minorEastAsia"/>
        </w:rPr>
      </w:pPr>
      <w:r w:rsidRPr="00C517BB">
        <w:rPr>
          <w:rFonts w:eastAsiaTheme="minorEastAsia"/>
        </w:rPr>
        <w:t>Należy podkreślić, że z</w:t>
      </w:r>
      <w:r w:rsidR="00930F53" w:rsidRPr="00C517BB">
        <w:rPr>
          <w:rFonts w:eastAsiaTheme="minorEastAsia"/>
        </w:rPr>
        <w:t xml:space="preserve">miana przepisów </w:t>
      </w:r>
      <w:r w:rsidRPr="00C517BB">
        <w:rPr>
          <w:rFonts w:eastAsiaTheme="minorEastAsia"/>
        </w:rPr>
        <w:t xml:space="preserve">pozwoli </w:t>
      </w:r>
      <w:r w:rsidR="00930F53" w:rsidRPr="00C517BB">
        <w:rPr>
          <w:rFonts w:eastAsiaTheme="minorEastAsia"/>
        </w:rPr>
        <w:t>uwzględni</w:t>
      </w:r>
      <w:r w:rsidRPr="00C517BB">
        <w:rPr>
          <w:rFonts w:eastAsiaTheme="minorEastAsia"/>
        </w:rPr>
        <w:t>ć</w:t>
      </w:r>
      <w:r w:rsidR="00930F53" w:rsidRPr="00C517BB">
        <w:rPr>
          <w:rFonts w:eastAsiaTheme="minorEastAsia"/>
        </w:rPr>
        <w:t xml:space="preserve"> </w:t>
      </w:r>
      <w:r w:rsidRPr="00C517BB">
        <w:rPr>
          <w:rFonts w:eastAsiaTheme="minorEastAsia"/>
        </w:rPr>
        <w:t xml:space="preserve">obniżenie możliwości wzrostu planowanego przychodu przy </w:t>
      </w:r>
      <w:r w:rsidR="00930F53" w:rsidRPr="00C517BB">
        <w:rPr>
          <w:rFonts w:eastAsiaTheme="minorEastAsia"/>
        </w:rPr>
        <w:t>ewentualn</w:t>
      </w:r>
      <w:r w:rsidRPr="00C517BB">
        <w:rPr>
          <w:rFonts w:eastAsiaTheme="minorEastAsia"/>
        </w:rPr>
        <w:t>ym</w:t>
      </w:r>
      <w:r w:rsidR="00930F53" w:rsidRPr="00C517BB">
        <w:rPr>
          <w:rFonts w:eastAsiaTheme="minorEastAsia"/>
        </w:rPr>
        <w:t xml:space="preserve"> obniżeni</w:t>
      </w:r>
      <w:r w:rsidRPr="00C517BB">
        <w:rPr>
          <w:rFonts w:eastAsiaTheme="minorEastAsia"/>
        </w:rPr>
        <w:t>u</w:t>
      </w:r>
      <w:r w:rsidR="00930F53" w:rsidRPr="00C517BB">
        <w:rPr>
          <w:rFonts w:eastAsiaTheme="minorEastAsia"/>
        </w:rPr>
        <w:t xml:space="preserve"> k</w:t>
      </w:r>
      <w:r w:rsidRPr="00C517BB">
        <w:rPr>
          <w:rFonts w:eastAsiaTheme="minorEastAsia"/>
        </w:rPr>
        <w:t>osztów wytwarzania ciepła w kogeneracji.</w:t>
      </w:r>
    </w:p>
    <w:p w14:paraId="3020C63B" w14:textId="009ADE74" w:rsidR="005D4862" w:rsidRPr="00C517BB" w:rsidRDefault="005D4862" w:rsidP="00606D4F">
      <w:pPr>
        <w:spacing w:line="312" w:lineRule="auto"/>
        <w:ind w:firstLine="425"/>
        <w:jc w:val="both"/>
        <w:rPr>
          <w:rFonts w:eastAsiaTheme="minorEastAsia"/>
        </w:rPr>
      </w:pPr>
      <w:r w:rsidRPr="00C517BB">
        <w:rPr>
          <w:rFonts w:eastAsiaTheme="minorEastAsia"/>
        </w:rPr>
        <w:t xml:space="preserve">Jednocześnie </w:t>
      </w:r>
      <w:r w:rsidR="00D30255" w:rsidRPr="00C517BB">
        <w:rPr>
          <w:rFonts w:eastAsiaTheme="minorEastAsia"/>
        </w:rPr>
        <w:t xml:space="preserve">w </w:t>
      </w:r>
      <w:r w:rsidR="00416FFE" w:rsidRPr="00C517BB">
        <w:rPr>
          <w:rFonts w:eastAsiaTheme="minorEastAsia"/>
        </w:rPr>
        <w:t xml:space="preserve">§ 1 pkt 2 </w:t>
      </w:r>
      <w:r w:rsidR="00D30255" w:rsidRPr="00C517BB">
        <w:rPr>
          <w:rFonts w:eastAsiaTheme="minorEastAsia"/>
        </w:rPr>
        <w:t>projek</w:t>
      </w:r>
      <w:r w:rsidR="00416FFE" w:rsidRPr="00C517BB">
        <w:rPr>
          <w:rFonts w:eastAsiaTheme="minorEastAsia"/>
        </w:rPr>
        <w:t>tu</w:t>
      </w:r>
      <w:r w:rsidR="00D30255" w:rsidRPr="00C517BB">
        <w:rPr>
          <w:rFonts w:eastAsiaTheme="minorEastAsia"/>
        </w:rPr>
        <w:t xml:space="preserve"> rozporządzenia </w:t>
      </w:r>
      <w:r w:rsidRPr="00C517BB">
        <w:rPr>
          <w:rFonts w:eastAsiaTheme="minorEastAsia"/>
        </w:rPr>
        <w:t xml:space="preserve">proponuje się </w:t>
      </w:r>
      <w:r w:rsidR="00363F19" w:rsidRPr="00C517BB">
        <w:rPr>
          <w:rFonts w:eastAsiaTheme="minorEastAsia"/>
        </w:rPr>
        <w:t xml:space="preserve">uchylenie </w:t>
      </w:r>
      <w:r w:rsidRPr="00C517BB">
        <w:rPr>
          <w:rFonts w:eastAsiaTheme="minorEastAsia"/>
        </w:rPr>
        <w:t>§</w:t>
      </w:r>
      <w:r w:rsidR="00F12754" w:rsidRPr="00C517BB">
        <w:rPr>
          <w:rFonts w:eastAsiaTheme="minorEastAsia"/>
        </w:rPr>
        <w:t xml:space="preserve"> </w:t>
      </w:r>
      <w:r w:rsidRPr="00C517BB">
        <w:rPr>
          <w:rFonts w:eastAsiaTheme="minorEastAsia"/>
        </w:rPr>
        <w:t xml:space="preserve">13 ust. 7 </w:t>
      </w:r>
      <w:r w:rsidR="00F12754" w:rsidRPr="00C517BB">
        <w:rPr>
          <w:rFonts w:eastAsiaTheme="minorEastAsia"/>
        </w:rPr>
        <w:t xml:space="preserve">zmienianego rozporządzenia </w:t>
      </w:r>
      <w:r w:rsidRPr="00C517BB">
        <w:rPr>
          <w:rFonts w:eastAsiaTheme="minorEastAsia"/>
        </w:rPr>
        <w:t>stanowiącego, iż</w:t>
      </w:r>
      <w:r w:rsidR="00F12754" w:rsidRPr="00C517BB">
        <w:rPr>
          <w:rFonts w:eastAsiaTheme="minorEastAsia"/>
        </w:rPr>
        <w:t>:</w:t>
      </w:r>
      <w:r w:rsidRPr="00C517BB">
        <w:rPr>
          <w:rFonts w:eastAsiaTheme="minorEastAsia"/>
        </w:rPr>
        <w:t xml:space="preserve"> „</w:t>
      </w:r>
      <w:r w:rsidR="0093285B" w:rsidRPr="00C517BB">
        <w:rPr>
          <w:rFonts w:eastAsiaTheme="minorEastAsia"/>
        </w:rPr>
        <w:t>[w]</w:t>
      </w:r>
      <w:r w:rsidRPr="00C517BB">
        <w:rPr>
          <w:rFonts w:eastAsiaTheme="minorEastAsia"/>
        </w:rPr>
        <w:t xml:space="preserve"> przypadku gdy wartość wskaźnika wzrostu przychodów, o którym mowa w ust. 6, będzie niższa od 0, przyjmuje się wartość tego wskaźnika równą 0”</w:t>
      </w:r>
      <w:r w:rsidR="0093285B" w:rsidRPr="00C517BB">
        <w:rPr>
          <w:rFonts w:eastAsiaTheme="minorEastAsia"/>
        </w:rPr>
        <w:t>. W</w:t>
      </w:r>
      <w:r w:rsidRPr="00C517BB">
        <w:rPr>
          <w:rFonts w:eastAsiaTheme="minorEastAsia"/>
        </w:rPr>
        <w:t xml:space="preserve"> przypadku</w:t>
      </w:r>
      <w:r w:rsidR="00BE6EF8" w:rsidRPr="00C517BB">
        <w:rPr>
          <w:rFonts w:eastAsiaTheme="minorEastAsia"/>
        </w:rPr>
        <w:t xml:space="preserve"> spadku średnich cen sprzedaży ciepła lub</w:t>
      </w:r>
      <w:r w:rsidR="00D30255" w:rsidRPr="00C517BB">
        <w:rPr>
          <w:rFonts w:eastAsiaTheme="minorEastAsia"/>
        </w:rPr>
        <w:t xml:space="preserve"> </w:t>
      </w:r>
      <w:r w:rsidRPr="00C517BB">
        <w:rPr>
          <w:rFonts w:eastAsiaTheme="minorEastAsia"/>
        </w:rPr>
        <w:t>określenia przez Prezesa URE wskaźnika referencyjnego poniżej jedności</w:t>
      </w:r>
      <w:r w:rsidR="0093285B" w:rsidRPr="00C517BB">
        <w:rPr>
          <w:rFonts w:eastAsiaTheme="minorEastAsia"/>
        </w:rPr>
        <w:t xml:space="preserve"> umożliwi to</w:t>
      </w:r>
      <w:r w:rsidRPr="00C517BB">
        <w:rPr>
          <w:rFonts w:eastAsiaTheme="minorEastAsia"/>
        </w:rPr>
        <w:t xml:space="preserve"> zmniejszenie planowanych przychodów przedsiębiorstw energetycznych wytwarzających ciepło w kogeneracji, co przełoży się na zmniejszenie średnich cen ciepła z kogeneracji i zmniejszy obciążenie odbiorców ciepła.</w:t>
      </w:r>
    </w:p>
    <w:p w14:paraId="22818667" w14:textId="03DE203E" w:rsidR="005D4862" w:rsidRPr="00C517BB" w:rsidRDefault="0093285B" w:rsidP="00606D4F">
      <w:pPr>
        <w:spacing w:line="312" w:lineRule="auto"/>
        <w:ind w:firstLine="425"/>
        <w:jc w:val="both"/>
        <w:rPr>
          <w:rFonts w:eastAsiaTheme="minorEastAsia"/>
        </w:rPr>
      </w:pPr>
      <w:r w:rsidRPr="00C517BB">
        <w:rPr>
          <w:rFonts w:eastAsiaTheme="minorEastAsia"/>
        </w:rPr>
        <w:t xml:space="preserve">W konsekwencji </w:t>
      </w:r>
      <w:r w:rsidR="005D4862" w:rsidRPr="00C517BB">
        <w:rPr>
          <w:rFonts w:eastAsiaTheme="minorEastAsia"/>
        </w:rPr>
        <w:t>w § 13 ust. 6 zmienianego rozporządzenia sformułowanie „</w:t>
      </w:r>
      <w:r w:rsidRPr="00C517BB">
        <w:rPr>
          <w:rFonts w:eastAsiaTheme="minorEastAsia"/>
        </w:rPr>
        <w:t>[w</w:t>
      </w:r>
      <w:r w:rsidR="006E1E14" w:rsidRPr="00C517BB">
        <w:rPr>
          <w:rFonts w:eastAsiaTheme="minorEastAsia"/>
        </w:rPr>
        <w:t>]</w:t>
      </w:r>
      <w:proofErr w:type="spellStart"/>
      <w:r w:rsidR="00BE6EF8" w:rsidRPr="00C517BB">
        <w:rPr>
          <w:rFonts w:eastAsiaTheme="minorEastAsia"/>
        </w:rPr>
        <w:t>skaźnik</w:t>
      </w:r>
      <w:proofErr w:type="spellEnd"/>
      <w:r w:rsidR="00BE6EF8" w:rsidRPr="00C517BB">
        <w:rPr>
          <w:rFonts w:eastAsiaTheme="minorEastAsia"/>
        </w:rPr>
        <w:t xml:space="preserve"> w</w:t>
      </w:r>
      <w:r w:rsidR="005D4862" w:rsidRPr="00C517BB">
        <w:rPr>
          <w:rFonts w:eastAsiaTheme="minorEastAsia"/>
        </w:rPr>
        <w:t>zrost</w:t>
      </w:r>
      <w:r w:rsidR="00BE6EF8" w:rsidRPr="00C517BB">
        <w:rPr>
          <w:rFonts w:eastAsiaTheme="minorEastAsia"/>
        </w:rPr>
        <w:t>u</w:t>
      </w:r>
      <w:r w:rsidR="005D4862" w:rsidRPr="00C517BB">
        <w:rPr>
          <w:rFonts w:eastAsiaTheme="minorEastAsia"/>
        </w:rPr>
        <w:t xml:space="preserve"> planowanych przychodów” został</w:t>
      </w:r>
      <w:r w:rsidR="00BE6EF8" w:rsidRPr="00C517BB">
        <w:rPr>
          <w:rFonts w:eastAsiaTheme="minorEastAsia"/>
        </w:rPr>
        <w:t>o</w:t>
      </w:r>
      <w:r w:rsidR="005D4862" w:rsidRPr="00C517BB">
        <w:rPr>
          <w:rFonts w:eastAsiaTheme="minorEastAsia"/>
        </w:rPr>
        <w:t xml:space="preserve"> </w:t>
      </w:r>
      <w:r w:rsidR="00BE6EF8" w:rsidRPr="00C517BB">
        <w:rPr>
          <w:rFonts w:eastAsiaTheme="minorEastAsia"/>
        </w:rPr>
        <w:t>zmienione</w:t>
      </w:r>
      <w:r w:rsidR="005D4862" w:rsidRPr="00C517BB">
        <w:rPr>
          <w:rFonts w:eastAsiaTheme="minorEastAsia"/>
        </w:rPr>
        <w:t xml:space="preserve"> na „</w:t>
      </w:r>
      <w:r w:rsidR="00050082" w:rsidRPr="00C517BB">
        <w:rPr>
          <w:rFonts w:eastAsiaTheme="minorEastAsia"/>
        </w:rPr>
        <w:t>[w]</w:t>
      </w:r>
      <w:proofErr w:type="spellStart"/>
      <w:r w:rsidR="00BE6EF8" w:rsidRPr="00C517BB">
        <w:rPr>
          <w:rFonts w:eastAsiaTheme="minorEastAsia"/>
        </w:rPr>
        <w:t>skaźnik</w:t>
      </w:r>
      <w:proofErr w:type="spellEnd"/>
      <w:r w:rsidR="00BE6EF8" w:rsidRPr="00C517BB">
        <w:rPr>
          <w:rFonts w:eastAsiaTheme="minorEastAsia"/>
        </w:rPr>
        <w:t xml:space="preserve"> </w:t>
      </w:r>
      <w:r w:rsidR="005D4862" w:rsidRPr="00C517BB">
        <w:rPr>
          <w:rFonts w:eastAsiaTheme="minorEastAsia"/>
        </w:rPr>
        <w:t>zmian</w:t>
      </w:r>
      <w:r w:rsidR="00BE6EF8" w:rsidRPr="00C517BB">
        <w:rPr>
          <w:rFonts w:eastAsiaTheme="minorEastAsia"/>
        </w:rPr>
        <w:t>y</w:t>
      </w:r>
      <w:r w:rsidR="005D4862" w:rsidRPr="00C517BB">
        <w:rPr>
          <w:rFonts w:eastAsiaTheme="minorEastAsia"/>
        </w:rPr>
        <w:t xml:space="preserve"> planowanych przychodów”.</w:t>
      </w:r>
    </w:p>
    <w:p w14:paraId="7E774CFD" w14:textId="448A99A4" w:rsidR="00416FFE" w:rsidRPr="00C517BB" w:rsidRDefault="00416FFE" w:rsidP="00606D4F">
      <w:pPr>
        <w:spacing w:line="312" w:lineRule="auto"/>
        <w:ind w:firstLine="425"/>
        <w:jc w:val="both"/>
        <w:rPr>
          <w:rFonts w:eastAsiaTheme="minorEastAsia"/>
        </w:rPr>
      </w:pPr>
      <w:r w:rsidRPr="00C517BB">
        <w:rPr>
          <w:rFonts w:eastAsiaTheme="minorEastAsia"/>
        </w:rPr>
        <w:t xml:space="preserve">Z kolei w § 1 pkt 3 </w:t>
      </w:r>
      <w:r w:rsidR="003D2809" w:rsidRPr="00C517BB">
        <w:rPr>
          <w:rFonts w:eastAsiaTheme="minorEastAsia"/>
        </w:rPr>
        <w:t>projektu rozporządzenia</w:t>
      </w:r>
      <w:r w:rsidR="0090777B" w:rsidRPr="00C517BB">
        <w:rPr>
          <w:rFonts w:eastAsiaTheme="minorEastAsia"/>
        </w:rPr>
        <w:t xml:space="preserve"> zaproponowano nowe brzmienie przepisu przejściowego </w:t>
      </w:r>
      <w:r w:rsidR="0090777B" w:rsidRPr="00C517BB">
        <w:t>§ 45e zmienianego rozporządzenia</w:t>
      </w:r>
      <w:r w:rsidR="00CE1F99" w:rsidRPr="00C517BB">
        <w:t xml:space="preserve"> ze względu na konieczność umożliwienia zmiany zatwierdzonych i obowiązujących już taryf z ograniczeniem wynikającym z aktualnego brzmienia § 13 ust. 6</w:t>
      </w:r>
      <w:r w:rsidR="0090777B" w:rsidRPr="00C517BB">
        <w:t>.</w:t>
      </w:r>
      <w:r w:rsidR="00CE1F99" w:rsidRPr="00C517BB">
        <w:t xml:space="preserve"> Uwzględniona data końca kwartału 2022 r. umożliwi przedsiębiorstwom energetycznym wytwarzającym ciepło w kogeneracji przygotowanie wniosku o zmianę taryfy i złożenie tego wniosku w celu zatwierdzenia do Prezesa URE.</w:t>
      </w:r>
    </w:p>
    <w:p w14:paraId="79EECA87" w14:textId="67979C7A" w:rsidR="00805E9B" w:rsidRDefault="00805E9B" w:rsidP="00606D4F">
      <w:pPr>
        <w:spacing w:line="312" w:lineRule="auto"/>
        <w:ind w:firstLine="425"/>
        <w:jc w:val="both"/>
        <w:rPr>
          <w:rFonts w:eastAsiaTheme="minorEastAsia"/>
        </w:rPr>
      </w:pPr>
      <w:r w:rsidRPr="00C517BB">
        <w:rPr>
          <w:rFonts w:eastAsiaTheme="minorEastAsia"/>
        </w:rPr>
        <w:t xml:space="preserve">Zgodnie z przepisem </w:t>
      </w:r>
      <w:r w:rsidR="007A0BDD" w:rsidRPr="00C517BB">
        <w:rPr>
          <w:rFonts w:eastAsiaTheme="minorEastAsia"/>
        </w:rPr>
        <w:t>a</w:t>
      </w:r>
      <w:r w:rsidR="00CE1F99" w:rsidRPr="00C517BB">
        <w:rPr>
          <w:rFonts w:eastAsiaTheme="minorEastAsia"/>
        </w:rPr>
        <w:t>rt</w:t>
      </w:r>
      <w:r w:rsidRPr="00C517BB">
        <w:rPr>
          <w:rFonts w:eastAsiaTheme="minorEastAsia"/>
        </w:rPr>
        <w:t>. 46 ust. 5 ustawy</w:t>
      </w:r>
      <w:r w:rsidR="0093285B" w:rsidRPr="00C517BB">
        <w:rPr>
          <w:rFonts w:eastAsiaTheme="minorEastAsia"/>
        </w:rPr>
        <w:t xml:space="preserve"> – Prawo energetyczne</w:t>
      </w:r>
      <w:r w:rsidRPr="00C517BB">
        <w:rPr>
          <w:rFonts w:eastAsiaTheme="minorEastAsia"/>
        </w:rPr>
        <w:t>, projekt przedmiotowego rozporządzenia zostanie przekazany</w:t>
      </w:r>
      <w:r w:rsidR="00D1624F" w:rsidRPr="00C517BB">
        <w:rPr>
          <w:rFonts w:eastAsiaTheme="minorEastAsia"/>
        </w:rPr>
        <w:t xml:space="preserve"> Prezesowi </w:t>
      </w:r>
      <w:r w:rsidR="00416FFE" w:rsidRPr="00C517BB">
        <w:rPr>
          <w:rFonts w:eastAsiaTheme="minorEastAsia"/>
        </w:rPr>
        <w:t>URE</w:t>
      </w:r>
      <w:r w:rsidRPr="00C517BB">
        <w:rPr>
          <w:rFonts w:eastAsiaTheme="minorEastAsia"/>
        </w:rPr>
        <w:t>, w celu zasięgnięcia opinii</w:t>
      </w:r>
      <w:r w:rsidR="00D1624F" w:rsidRPr="00C517BB">
        <w:rPr>
          <w:rFonts w:eastAsiaTheme="minorEastAsia"/>
        </w:rPr>
        <w:t>.</w:t>
      </w:r>
    </w:p>
    <w:p w14:paraId="3E5AD01C" w14:textId="10E17632" w:rsidR="00080F3B" w:rsidRPr="00C517BB" w:rsidRDefault="00080F3B" w:rsidP="00606D4F">
      <w:pPr>
        <w:spacing w:line="312" w:lineRule="auto"/>
        <w:ind w:firstLine="425"/>
        <w:jc w:val="both"/>
        <w:rPr>
          <w:rFonts w:eastAsiaTheme="minorEastAsia"/>
        </w:rPr>
      </w:pPr>
      <w:r w:rsidRPr="00080F3B">
        <w:rPr>
          <w:rFonts w:eastAsiaTheme="minorEastAsia"/>
        </w:rPr>
        <w:lastRenderedPageBreak/>
        <w:t xml:space="preserve">Projekt rozporządzenia zostanie przekazany </w:t>
      </w:r>
      <w:r w:rsidR="00731F2D">
        <w:rPr>
          <w:rFonts w:eastAsiaTheme="minorEastAsia"/>
        </w:rPr>
        <w:t>do uzgodnień, opiniowania i</w:t>
      </w:r>
      <w:r w:rsidRPr="00080F3B">
        <w:rPr>
          <w:rFonts w:eastAsiaTheme="minorEastAsia"/>
        </w:rPr>
        <w:t xml:space="preserve"> konsultacji publicznych</w:t>
      </w:r>
      <w:r w:rsidR="00731F2D">
        <w:rPr>
          <w:rFonts w:eastAsiaTheme="minorEastAsia"/>
        </w:rPr>
        <w:t xml:space="preserve"> </w:t>
      </w:r>
      <w:r w:rsidR="00DD728C">
        <w:rPr>
          <w:rFonts w:eastAsiaTheme="minorEastAsia"/>
        </w:rPr>
        <w:t xml:space="preserve">na </w:t>
      </w:r>
      <w:r w:rsidR="00BC3FBE">
        <w:rPr>
          <w:rFonts w:eastAsiaTheme="minorEastAsia"/>
        </w:rPr>
        <w:t xml:space="preserve">okres </w:t>
      </w:r>
      <w:r w:rsidR="00731F2D" w:rsidRPr="00080F3B">
        <w:rPr>
          <w:rFonts w:eastAsiaTheme="minorEastAsia"/>
        </w:rPr>
        <w:t>3</w:t>
      </w:r>
      <w:r w:rsidR="00DD728C">
        <w:rPr>
          <w:rFonts w:eastAsiaTheme="minorEastAsia"/>
        </w:rPr>
        <w:t xml:space="preserve"> </w:t>
      </w:r>
      <w:r w:rsidR="00731F2D" w:rsidRPr="00080F3B">
        <w:rPr>
          <w:rFonts w:eastAsiaTheme="minorEastAsia"/>
        </w:rPr>
        <w:t>dni</w:t>
      </w:r>
      <w:r w:rsidR="00731F2D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731F2D">
        <w:rPr>
          <w:rFonts w:eastAsiaTheme="minorEastAsia"/>
        </w:rPr>
        <w:t>C</w:t>
      </w:r>
      <w:r w:rsidR="009B345A">
        <w:rPr>
          <w:rFonts w:eastAsiaTheme="minorEastAsia"/>
        </w:rPr>
        <w:t xml:space="preserve">zas </w:t>
      </w:r>
      <w:r w:rsidR="00731F2D">
        <w:rPr>
          <w:rFonts w:eastAsiaTheme="minorEastAsia"/>
        </w:rPr>
        <w:t xml:space="preserve">uzgodnień, opiniowania i konsultacji </w:t>
      </w:r>
      <w:r w:rsidR="009B345A">
        <w:rPr>
          <w:rFonts w:eastAsiaTheme="minorEastAsia"/>
        </w:rPr>
        <w:t xml:space="preserve">został </w:t>
      </w:r>
      <w:r>
        <w:rPr>
          <w:rFonts w:eastAsiaTheme="minorEastAsia"/>
        </w:rPr>
        <w:t>skrócon</w:t>
      </w:r>
      <w:r w:rsidR="009B345A">
        <w:rPr>
          <w:rFonts w:eastAsiaTheme="minorEastAsia"/>
        </w:rPr>
        <w:t>y</w:t>
      </w:r>
      <w:r w:rsidR="00DD728C">
        <w:rPr>
          <w:rFonts w:eastAsiaTheme="minorEastAsia"/>
        </w:rPr>
        <w:t xml:space="preserve"> do </w:t>
      </w:r>
      <w:r w:rsidR="00D06AD7">
        <w:rPr>
          <w:rFonts w:eastAsiaTheme="minorEastAsia"/>
        </w:rPr>
        <w:br/>
      </w:r>
      <w:r w:rsidR="00DD728C">
        <w:rPr>
          <w:rFonts w:eastAsiaTheme="minorEastAsia"/>
        </w:rPr>
        <w:t>3 dni</w:t>
      </w:r>
      <w:r>
        <w:rPr>
          <w:rFonts w:eastAsiaTheme="minorEastAsia"/>
        </w:rPr>
        <w:t xml:space="preserve"> ze względu na</w:t>
      </w:r>
      <w:r w:rsidRPr="00080F3B">
        <w:t xml:space="preserve"> </w:t>
      </w:r>
      <w:r w:rsidRPr="00080F3B">
        <w:rPr>
          <w:rFonts w:eastAsiaTheme="minorEastAsia"/>
        </w:rPr>
        <w:t>piln</w:t>
      </w:r>
      <w:r>
        <w:rPr>
          <w:rFonts w:eastAsiaTheme="minorEastAsia"/>
        </w:rPr>
        <w:t>ą potrzebę zmiany</w:t>
      </w:r>
      <w:r w:rsidRPr="00080F3B">
        <w:rPr>
          <w:rFonts w:eastAsiaTheme="minorEastAsia"/>
        </w:rPr>
        <w:t xml:space="preserve"> aktualne</w:t>
      </w:r>
      <w:r>
        <w:rPr>
          <w:rFonts w:eastAsiaTheme="minorEastAsia"/>
        </w:rPr>
        <w:t>go</w:t>
      </w:r>
      <w:r w:rsidRPr="00080F3B">
        <w:rPr>
          <w:rFonts w:eastAsiaTheme="minorEastAsia"/>
        </w:rPr>
        <w:t xml:space="preserve"> brzmieni</w:t>
      </w:r>
      <w:r>
        <w:rPr>
          <w:rFonts w:eastAsiaTheme="minorEastAsia"/>
        </w:rPr>
        <w:t>a przepisu dotyczącego</w:t>
      </w:r>
      <w:r w:rsidRPr="00080F3B">
        <w:rPr>
          <w:rFonts w:eastAsiaTheme="minorEastAsia"/>
        </w:rPr>
        <w:t xml:space="preserve"> ograniczeni</w:t>
      </w:r>
      <w:r>
        <w:rPr>
          <w:rFonts w:eastAsiaTheme="minorEastAsia"/>
        </w:rPr>
        <w:t>a</w:t>
      </w:r>
      <w:r w:rsidRPr="00080F3B">
        <w:rPr>
          <w:rFonts w:eastAsiaTheme="minorEastAsia"/>
        </w:rPr>
        <w:t xml:space="preserve"> limitu przychodów</w:t>
      </w:r>
      <w:r w:rsidR="00B9540C">
        <w:rPr>
          <w:rFonts w:eastAsiaTheme="minorEastAsia"/>
        </w:rPr>
        <w:t xml:space="preserve"> (</w:t>
      </w:r>
      <w:r w:rsidR="00B9540C" w:rsidRPr="00B9540C">
        <w:rPr>
          <w:rFonts w:eastAsiaTheme="minorEastAsia"/>
        </w:rPr>
        <w:t>§ 13 ust. 6 zmienianego rozporządzenia</w:t>
      </w:r>
      <w:r w:rsidR="00B9540C">
        <w:rPr>
          <w:rFonts w:eastAsiaTheme="minorEastAsia"/>
        </w:rPr>
        <w:t>)</w:t>
      </w:r>
      <w:r w:rsidR="00DD728C">
        <w:rPr>
          <w:rFonts w:eastAsiaTheme="minorEastAsia"/>
        </w:rPr>
        <w:t>. Obecne brzmienie tego przepisu wpływa</w:t>
      </w:r>
      <w:r>
        <w:rPr>
          <w:rFonts w:eastAsiaTheme="minorEastAsia"/>
        </w:rPr>
        <w:t xml:space="preserve"> na </w:t>
      </w:r>
      <w:r w:rsidRPr="00080F3B">
        <w:rPr>
          <w:rFonts w:eastAsiaTheme="minorEastAsia"/>
        </w:rPr>
        <w:t>pogłębi</w:t>
      </w:r>
      <w:r>
        <w:rPr>
          <w:rFonts w:eastAsiaTheme="minorEastAsia"/>
        </w:rPr>
        <w:t>a</w:t>
      </w:r>
      <w:r w:rsidRPr="00080F3B">
        <w:rPr>
          <w:rFonts w:eastAsiaTheme="minorEastAsia"/>
        </w:rPr>
        <w:t xml:space="preserve">nie </w:t>
      </w:r>
      <w:r w:rsidR="00731F2D">
        <w:rPr>
          <w:rFonts w:eastAsiaTheme="minorEastAsia"/>
        </w:rPr>
        <w:t xml:space="preserve">się </w:t>
      </w:r>
      <w:r w:rsidRPr="00080F3B">
        <w:rPr>
          <w:rFonts w:eastAsiaTheme="minorEastAsia"/>
        </w:rPr>
        <w:t xml:space="preserve">trwałej nierentowności </w:t>
      </w:r>
      <w:r>
        <w:rPr>
          <w:rFonts w:eastAsiaTheme="minorEastAsia"/>
        </w:rPr>
        <w:t xml:space="preserve">przedsiębiorstw energetycznych wytwarzających ciepło w kogeneracji </w:t>
      </w:r>
      <w:r w:rsidRPr="00080F3B">
        <w:rPr>
          <w:rFonts w:eastAsiaTheme="minorEastAsia"/>
        </w:rPr>
        <w:t xml:space="preserve">w okresie </w:t>
      </w:r>
      <w:r>
        <w:rPr>
          <w:rFonts w:eastAsiaTheme="minorEastAsia"/>
        </w:rPr>
        <w:t>siln</w:t>
      </w:r>
      <w:r w:rsidR="00731F2D">
        <w:rPr>
          <w:rFonts w:eastAsiaTheme="minorEastAsia"/>
        </w:rPr>
        <w:t>ego</w:t>
      </w:r>
      <w:r>
        <w:rPr>
          <w:rFonts w:eastAsiaTheme="minorEastAsia"/>
        </w:rPr>
        <w:t xml:space="preserve"> wzrostu i</w:t>
      </w:r>
      <w:r w:rsidR="009B345A">
        <w:rPr>
          <w:rFonts w:eastAsiaTheme="minorEastAsia"/>
        </w:rPr>
        <w:t xml:space="preserve"> rekordowych</w:t>
      </w:r>
      <w:r w:rsidRPr="00080F3B">
        <w:rPr>
          <w:rFonts w:eastAsiaTheme="minorEastAsia"/>
        </w:rPr>
        <w:t xml:space="preserve"> cen nośników energii.</w:t>
      </w:r>
    </w:p>
    <w:p w14:paraId="2894FF81" w14:textId="77777777" w:rsidR="005C4DAD" w:rsidRPr="00C517BB" w:rsidRDefault="00562957" w:rsidP="00606D4F">
      <w:pPr>
        <w:spacing w:line="312" w:lineRule="auto"/>
        <w:ind w:firstLine="425"/>
        <w:jc w:val="both"/>
        <w:rPr>
          <w:rFonts w:eastAsiaTheme="minorEastAsia"/>
        </w:rPr>
      </w:pPr>
      <w:r w:rsidRPr="00C517BB">
        <w:rPr>
          <w:rFonts w:eastAsiaTheme="minorEastAsia"/>
        </w:rPr>
        <w:t>Projekt rozporządzenia jest zgodny z przepisami Unii Europejskiej.</w:t>
      </w:r>
    </w:p>
    <w:p w14:paraId="2C443B69" w14:textId="191825A9" w:rsidR="005C4DAD" w:rsidRPr="00C517BB" w:rsidRDefault="009A0E26" w:rsidP="00606D4F">
      <w:pPr>
        <w:spacing w:line="312" w:lineRule="auto"/>
        <w:ind w:firstLine="425"/>
        <w:jc w:val="both"/>
        <w:rPr>
          <w:rFonts w:eastAsiaTheme="minorEastAsia"/>
        </w:rPr>
      </w:pPr>
      <w:r w:rsidRPr="00C517BB">
        <w:rPr>
          <w:rFonts w:eastAsiaTheme="minorEastAsia"/>
        </w:rPr>
        <w:t>P</w:t>
      </w:r>
      <w:r w:rsidR="00562957" w:rsidRPr="00C517BB">
        <w:rPr>
          <w:rFonts w:eastAsiaTheme="minorEastAsia"/>
        </w:rPr>
        <w:t xml:space="preserve">rojekt rozporządzenia nie podlega procedurze notyfikacji w rozumieniu przepisów rozporządzenia Rady Ministrów z dnia 23 grudnia 2002 r. w sprawie sposobu funkcjonowania krajowego systemu notyfikacji norm i aktów prawnych (Dz. U. </w:t>
      </w:r>
      <w:r w:rsidR="00B228AE" w:rsidRPr="00C517BB">
        <w:rPr>
          <w:rFonts w:eastAsiaTheme="minorEastAsia"/>
        </w:rPr>
        <w:t>Nr</w:t>
      </w:r>
      <w:r w:rsidR="00562957" w:rsidRPr="00C517BB">
        <w:rPr>
          <w:rFonts w:eastAsiaTheme="minorEastAsia"/>
        </w:rPr>
        <w:t xml:space="preserve"> 239</w:t>
      </w:r>
      <w:r w:rsidR="00B228AE" w:rsidRPr="00C517BB">
        <w:rPr>
          <w:rFonts w:eastAsiaTheme="minorEastAsia"/>
        </w:rPr>
        <w:t>, poz. 2039</w:t>
      </w:r>
      <w:r w:rsidR="00562957" w:rsidRPr="00C517BB">
        <w:rPr>
          <w:rFonts w:eastAsiaTheme="minorEastAsia"/>
        </w:rPr>
        <w:t xml:space="preserve"> oraz z 2004 r. </w:t>
      </w:r>
      <w:r w:rsidR="00B228AE" w:rsidRPr="00C517BB">
        <w:rPr>
          <w:rFonts w:eastAsiaTheme="minorEastAsia"/>
        </w:rPr>
        <w:t xml:space="preserve">Nr 65, </w:t>
      </w:r>
      <w:r w:rsidR="00562957" w:rsidRPr="00C517BB">
        <w:rPr>
          <w:rFonts w:eastAsiaTheme="minorEastAsia"/>
        </w:rPr>
        <w:t>poz. 597).</w:t>
      </w:r>
    </w:p>
    <w:sectPr w:rsidR="005C4DAD" w:rsidRPr="00C517BB" w:rsidSect="00B6770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5DAE" w14:textId="77777777" w:rsidR="002720B5" w:rsidRDefault="002720B5">
      <w:r>
        <w:separator/>
      </w:r>
    </w:p>
  </w:endnote>
  <w:endnote w:type="continuationSeparator" w:id="0">
    <w:p w14:paraId="44FB507F" w14:textId="77777777" w:rsidR="002720B5" w:rsidRDefault="0027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FDBF" w14:textId="77777777" w:rsidR="002720B5" w:rsidRDefault="002720B5">
      <w:r>
        <w:separator/>
      </w:r>
    </w:p>
  </w:footnote>
  <w:footnote w:type="continuationSeparator" w:id="0">
    <w:p w14:paraId="353519B2" w14:textId="77777777" w:rsidR="002720B5" w:rsidRDefault="00272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5F"/>
    <w:rsid w:val="0000796D"/>
    <w:rsid w:val="00017AF0"/>
    <w:rsid w:val="00023FF9"/>
    <w:rsid w:val="000407EC"/>
    <w:rsid w:val="00050082"/>
    <w:rsid w:val="00055F09"/>
    <w:rsid w:val="00065A6F"/>
    <w:rsid w:val="00080F3B"/>
    <w:rsid w:val="00085227"/>
    <w:rsid w:val="000913C3"/>
    <w:rsid w:val="000945E6"/>
    <w:rsid w:val="00095532"/>
    <w:rsid w:val="000A1BC9"/>
    <w:rsid w:val="000A4557"/>
    <w:rsid w:val="000B2063"/>
    <w:rsid w:val="001013F8"/>
    <w:rsid w:val="00101B77"/>
    <w:rsid w:val="001345FE"/>
    <w:rsid w:val="00172E2D"/>
    <w:rsid w:val="001735E2"/>
    <w:rsid w:val="00173CD0"/>
    <w:rsid w:val="001B3220"/>
    <w:rsid w:val="001C1B8F"/>
    <w:rsid w:val="001D1E0D"/>
    <w:rsid w:val="001E03AF"/>
    <w:rsid w:val="001F11CF"/>
    <w:rsid w:val="001F3BCE"/>
    <w:rsid w:val="001F5CA4"/>
    <w:rsid w:val="00263C0B"/>
    <w:rsid w:val="00264AEE"/>
    <w:rsid w:val="002720B5"/>
    <w:rsid w:val="0028322D"/>
    <w:rsid w:val="002A2D09"/>
    <w:rsid w:val="002A581A"/>
    <w:rsid w:val="002A5AE2"/>
    <w:rsid w:val="002A6CBB"/>
    <w:rsid w:val="002C1BB4"/>
    <w:rsid w:val="002C540D"/>
    <w:rsid w:val="002E06B6"/>
    <w:rsid w:val="002F0A65"/>
    <w:rsid w:val="0030143D"/>
    <w:rsid w:val="00311E34"/>
    <w:rsid w:val="00323D92"/>
    <w:rsid w:val="003274DC"/>
    <w:rsid w:val="0032758A"/>
    <w:rsid w:val="0032765F"/>
    <w:rsid w:val="00336379"/>
    <w:rsid w:val="003369DC"/>
    <w:rsid w:val="00346D10"/>
    <w:rsid w:val="00363F19"/>
    <w:rsid w:val="0037206B"/>
    <w:rsid w:val="00374A1F"/>
    <w:rsid w:val="00376663"/>
    <w:rsid w:val="00377CCB"/>
    <w:rsid w:val="003911AD"/>
    <w:rsid w:val="003A6680"/>
    <w:rsid w:val="003D2809"/>
    <w:rsid w:val="003D3185"/>
    <w:rsid w:val="003E532E"/>
    <w:rsid w:val="00404A50"/>
    <w:rsid w:val="0040742F"/>
    <w:rsid w:val="00412AFB"/>
    <w:rsid w:val="00416FFE"/>
    <w:rsid w:val="00434865"/>
    <w:rsid w:val="0044322E"/>
    <w:rsid w:val="00470DA8"/>
    <w:rsid w:val="00491F44"/>
    <w:rsid w:val="004A0991"/>
    <w:rsid w:val="004D1A27"/>
    <w:rsid w:val="004E06A3"/>
    <w:rsid w:val="004E6053"/>
    <w:rsid w:val="004F7320"/>
    <w:rsid w:val="005072F4"/>
    <w:rsid w:val="0051156D"/>
    <w:rsid w:val="005205F9"/>
    <w:rsid w:val="00531F0A"/>
    <w:rsid w:val="00553ED1"/>
    <w:rsid w:val="00562957"/>
    <w:rsid w:val="0056543A"/>
    <w:rsid w:val="00570565"/>
    <w:rsid w:val="005827B2"/>
    <w:rsid w:val="005868B7"/>
    <w:rsid w:val="005878DD"/>
    <w:rsid w:val="005A1281"/>
    <w:rsid w:val="005A32A6"/>
    <w:rsid w:val="005A3708"/>
    <w:rsid w:val="005A3E3C"/>
    <w:rsid w:val="005C4BDC"/>
    <w:rsid w:val="005C4DAD"/>
    <w:rsid w:val="005C78EB"/>
    <w:rsid w:val="005D0FC5"/>
    <w:rsid w:val="005D4862"/>
    <w:rsid w:val="005D57EB"/>
    <w:rsid w:val="005E2392"/>
    <w:rsid w:val="005F5416"/>
    <w:rsid w:val="00606D4F"/>
    <w:rsid w:val="0061483E"/>
    <w:rsid w:val="00615968"/>
    <w:rsid w:val="00622DD9"/>
    <w:rsid w:val="00631A2D"/>
    <w:rsid w:val="006423D6"/>
    <w:rsid w:val="00651A1D"/>
    <w:rsid w:val="00656E31"/>
    <w:rsid w:val="00657EC7"/>
    <w:rsid w:val="00667072"/>
    <w:rsid w:val="00671D8A"/>
    <w:rsid w:val="006828F0"/>
    <w:rsid w:val="006A177E"/>
    <w:rsid w:val="006A63BB"/>
    <w:rsid w:val="006B1654"/>
    <w:rsid w:val="006B4AB0"/>
    <w:rsid w:val="006C6CE3"/>
    <w:rsid w:val="006D0AEC"/>
    <w:rsid w:val="006E1E14"/>
    <w:rsid w:val="0071426A"/>
    <w:rsid w:val="00731F2D"/>
    <w:rsid w:val="00750036"/>
    <w:rsid w:val="007531C1"/>
    <w:rsid w:val="00775366"/>
    <w:rsid w:val="00791759"/>
    <w:rsid w:val="007958D6"/>
    <w:rsid w:val="007A0BDD"/>
    <w:rsid w:val="007A701F"/>
    <w:rsid w:val="007B2216"/>
    <w:rsid w:val="007B7BA9"/>
    <w:rsid w:val="007C3E08"/>
    <w:rsid w:val="007E5153"/>
    <w:rsid w:val="007F103A"/>
    <w:rsid w:val="008045EE"/>
    <w:rsid w:val="00805E9B"/>
    <w:rsid w:val="0081220F"/>
    <w:rsid w:val="008124D2"/>
    <w:rsid w:val="0081587A"/>
    <w:rsid w:val="00822FCC"/>
    <w:rsid w:val="00827950"/>
    <w:rsid w:val="00827E30"/>
    <w:rsid w:val="00830229"/>
    <w:rsid w:val="0084148D"/>
    <w:rsid w:val="0084477A"/>
    <w:rsid w:val="00860A3D"/>
    <w:rsid w:val="00870D20"/>
    <w:rsid w:val="008772A7"/>
    <w:rsid w:val="00892224"/>
    <w:rsid w:val="00893197"/>
    <w:rsid w:val="00896187"/>
    <w:rsid w:val="008A2652"/>
    <w:rsid w:val="008A4244"/>
    <w:rsid w:val="008A618D"/>
    <w:rsid w:val="008B63B2"/>
    <w:rsid w:val="008B6917"/>
    <w:rsid w:val="008C3C93"/>
    <w:rsid w:val="00905340"/>
    <w:rsid w:val="009076D1"/>
    <w:rsid w:val="0090777B"/>
    <w:rsid w:val="00910EF0"/>
    <w:rsid w:val="00917DBB"/>
    <w:rsid w:val="00921ED6"/>
    <w:rsid w:val="00930F53"/>
    <w:rsid w:val="0093285B"/>
    <w:rsid w:val="00936F26"/>
    <w:rsid w:val="00940AC7"/>
    <w:rsid w:val="00954591"/>
    <w:rsid w:val="00964CF6"/>
    <w:rsid w:val="00977076"/>
    <w:rsid w:val="00991771"/>
    <w:rsid w:val="0099655F"/>
    <w:rsid w:val="009A007F"/>
    <w:rsid w:val="009A0E26"/>
    <w:rsid w:val="009B0760"/>
    <w:rsid w:val="009B345A"/>
    <w:rsid w:val="009D2FCF"/>
    <w:rsid w:val="009D7DFE"/>
    <w:rsid w:val="009E3693"/>
    <w:rsid w:val="009F555E"/>
    <w:rsid w:val="00A06487"/>
    <w:rsid w:val="00A124A2"/>
    <w:rsid w:val="00A14164"/>
    <w:rsid w:val="00A361AA"/>
    <w:rsid w:val="00A42066"/>
    <w:rsid w:val="00A421E3"/>
    <w:rsid w:val="00A42C15"/>
    <w:rsid w:val="00A464D9"/>
    <w:rsid w:val="00A66DA7"/>
    <w:rsid w:val="00A678F8"/>
    <w:rsid w:val="00A70E45"/>
    <w:rsid w:val="00A77A6E"/>
    <w:rsid w:val="00A872D4"/>
    <w:rsid w:val="00A95271"/>
    <w:rsid w:val="00A96A1A"/>
    <w:rsid w:val="00AA4146"/>
    <w:rsid w:val="00AF2D3C"/>
    <w:rsid w:val="00AF4BA8"/>
    <w:rsid w:val="00AF6052"/>
    <w:rsid w:val="00AF697B"/>
    <w:rsid w:val="00B228AE"/>
    <w:rsid w:val="00B34DCA"/>
    <w:rsid w:val="00B67705"/>
    <w:rsid w:val="00B7392C"/>
    <w:rsid w:val="00B827C8"/>
    <w:rsid w:val="00B9540C"/>
    <w:rsid w:val="00BB0843"/>
    <w:rsid w:val="00BC3FBE"/>
    <w:rsid w:val="00BE2488"/>
    <w:rsid w:val="00BE6EF8"/>
    <w:rsid w:val="00BF3347"/>
    <w:rsid w:val="00C02081"/>
    <w:rsid w:val="00C27139"/>
    <w:rsid w:val="00C3226E"/>
    <w:rsid w:val="00C40808"/>
    <w:rsid w:val="00C517BB"/>
    <w:rsid w:val="00C6523D"/>
    <w:rsid w:val="00C82B22"/>
    <w:rsid w:val="00C85D4D"/>
    <w:rsid w:val="00C9125E"/>
    <w:rsid w:val="00CA7E43"/>
    <w:rsid w:val="00CB001A"/>
    <w:rsid w:val="00CC0482"/>
    <w:rsid w:val="00CD0C30"/>
    <w:rsid w:val="00CE1F99"/>
    <w:rsid w:val="00CF12CA"/>
    <w:rsid w:val="00CF67AE"/>
    <w:rsid w:val="00D06AD7"/>
    <w:rsid w:val="00D1624F"/>
    <w:rsid w:val="00D23B7D"/>
    <w:rsid w:val="00D27FB7"/>
    <w:rsid w:val="00D30255"/>
    <w:rsid w:val="00D374C9"/>
    <w:rsid w:val="00D42839"/>
    <w:rsid w:val="00D567C7"/>
    <w:rsid w:val="00D8462F"/>
    <w:rsid w:val="00D90347"/>
    <w:rsid w:val="00DB6845"/>
    <w:rsid w:val="00DC15E2"/>
    <w:rsid w:val="00DC4E63"/>
    <w:rsid w:val="00DD728C"/>
    <w:rsid w:val="00DD755D"/>
    <w:rsid w:val="00DE483E"/>
    <w:rsid w:val="00DF606A"/>
    <w:rsid w:val="00E14C6F"/>
    <w:rsid w:val="00E15400"/>
    <w:rsid w:val="00E26E57"/>
    <w:rsid w:val="00E32013"/>
    <w:rsid w:val="00E365F8"/>
    <w:rsid w:val="00E50A32"/>
    <w:rsid w:val="00E50D27"/>
    <w:rsid w:val="00E54D82"/>
    <w:rsid w:val="00E70CFA"/>
    <w:rsid w:val="00EC3BEC"/>
    <w:rsid w:val="00ED0E9A"/>
    <w:rsid w:val="00F12754"/>
    <w:rsid w:val="00F334E5"/>
    <w:rsid w:val="00F35304"/>
    <w:rsid w:val="00F427DE"/>
    <w:rsid w:val="00FA2946"/>
    <w:rsid w:val="00FE4EE3"/>
    <w:rsid w:val="00FE7EA9"/>
    <w:rsid w:val="00FF3572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914F"/>
  <w15:chartTrackingRefBased/>
  <w15:docId w15:val="{613C221E-E566-4C39-A175-DD75D1F3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32765F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2765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2765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32765F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32765F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32765F"/>
    <w:pPr>
      <w:ind w:left="1780"/>
    </w:pPr>
  </w:style>
  <w:style w:type="character" w:styleId="Odwoanieprzypisudolnego">
    <w:name w:val="footnote reference"/>
    <w:uiPriority w:val="99"/>
    <w:semiHidden/>
    <w:rsid w:val="0032765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2765F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2765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32765F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765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2765F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65F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2765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32765F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32765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32765F"/>
  </w:style>
  <w:style w:type="paragraph" w:styleId="Bezodstpw">
    <w:name w:val="No Spacing"/>
    <w:uiPriority w:val="99"/>
    <w:rsid w:val="0032765F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2765F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2765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2765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2765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2765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276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2765F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3"/>
    <w:qFormat/>
    <w:rsid w:val="0032765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2765F"/>
    <w:pPr>
      <w:ind w:left="0" w:firstLine="0"/>
    </w:pPr>
  </w:style>
  <w:style w:type="paragraph" w:customStyle="1" w:styleId="LITlitera">
    <w:name w:val="LIT – litera"/>
    <w:basedOn w:val="PKTpunkt"/>
    <w:link w:val="LITliteraZnak"/>
    <w:uiPriority w:val="14"/>
    <w:qFormat/>
    <w:rsid w:val="0032765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17"/>
    <w:qFormat/>
    <w:rsid w:val="0032765F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32765F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32765F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32765F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32765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32765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32765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32765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32765F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32765F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32765F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32765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32765F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32765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32765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32765F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32765F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32765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32765F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32765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32765F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32765F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32765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32765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32765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32765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32765F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32765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65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32765F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8"/>
    <w:qFormat/>
    <w:rsid w:val="0032765F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32765F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32765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32765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32765F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32765F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32765F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32765F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32765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32765F"/>
  </w:style>
  <w:style w:type="paragraph" w:customStyle="1" w:styleId="ZTIR2TIRzmpodwtirtiret">
    <w:name w:val="Z_TIR/2TIR – zm. podw. tir. tiret"/>
    <w:basedOn w:val="TIRtiret"/>
    <w:uiPriority w:val="78"/>
    <w:qFormat/>
    <w:rsid w:val="0032765F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32765F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32765F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32765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32765F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32765F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32765F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32765F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32765F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32765F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32765F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2765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32765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32765F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32765F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32765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32765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32765F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32765F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32765F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32765F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32765F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32765F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327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765F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65F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27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65F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32765F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32765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32765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32765F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32765F"/>
    <w:pPr>
      <w:ind w:left="2404"/>
    </w:pPr>
  </w:style>
  <w:style w:type="paragraph" w:customStyle="1" w:styleId="ODNONIKtreodnonika">
    <w:name w:val="ODNOŚNIK – treść odnośnika"/>
    <w:uiPriority w:val="19"/>
    <w:qFormat/>
    <w:rsid w:val="003276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32765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32765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link w:val="ZTIRFRAGMzmnpwprdowyliczeniatiretZnak"/>
    <w:uiPriority w:val="60"/>
    <w:qFormat/>
    <w:rsid w:val="0032765F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32765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32765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32765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32765F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32765F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32765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32765F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32765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32765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32765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32765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32765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32765F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32765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32765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32765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2765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32765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32765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32765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32765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32765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32765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32765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32765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32765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32765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32765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32765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32765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32765F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2765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32765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32765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32765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32765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32765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32765F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32765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32765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32765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32765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2765F"/>
  </w:style>
  <w:style w:type="paragraph" w:customStyle="1" w:styleId="ZZUSTzmianazmust">
    <w:name w:val="ZZ/UST(§) – zmiana zm. ust. (§)"/>
    <w:basedOn w:val="ZZARTzmianazmart"/>
    <w:uiPriority w:val="65"/>
    <w:qFormat/>
    <w:rsid w:val="0032765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32765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32765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32765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32765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32765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32765F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32765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32765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32765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32765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32765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32765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32765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32765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32765F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2765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2765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32765F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32765F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2765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2765F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32765F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32765F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32765F"/>
  </w:style>
  <w:style w:type="paragraph" w:customStyle="1" w:styleId="TEKSTZacznikido">
    <w:name w:val="TEKST&quot;Załącznik(i) do ...&quot;"/>
    <w:uiPriority w:val="28"/>
    <w:qFormat/>
    <w:rsid w:val="0032765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32765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32765F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32765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32765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32765F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32765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32765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32765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2765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2765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2765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2765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2765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2765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2765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32765F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32765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32765F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32765F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32765F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32765F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32765F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32765F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32765F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32765F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32765F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32765F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32765F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32765F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32765F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2765F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2765F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32765F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2765F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2765F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32765F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32765F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32765F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32765F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32765F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32765F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32765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32765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32765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32765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2765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32765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32765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32765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32765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2765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2765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32765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2765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32765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2765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32765F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32765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2765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32765F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32765F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32765F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32765F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32765F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2765F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32765F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2765F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32765F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32765F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32765F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32765F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32765F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32765F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32765F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32765F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32765F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link w:val="Z2TIRFRAGMzmnpwprdowyliczeniapodwjnymtiretZnak"/>
    <w:uiPriority w:val="89"/>
    <w:qFormat/>
    <w:rsid w:val="0032765F"/>
    <w:pPr>
      <w:ind w:left="1780"/>
    </w:pPr>
  </w:style>
  <w:style w:type="table" w:styleId="Tabela-Siatka">
    <w:name w:val="Table Grid"/>
    <w:basedOn w:val="Standardowy"/>
    <w:rsid w:val="0032765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2765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32765F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32765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32765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2765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6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6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65F"/>
    <w:rPr>
      <w:vertAlign w:val="superscript"/>
    </w:rPr>
  </w:style>
  <w:style w:type="paragraph" w:styleId="Poprawka">
    <w:name w:val="Revision"/>
    <w:hidden/>
    <w:uiPriority w:val="99"/>
    <w:semiHidden/>
    <w:rsid w:val="003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3"/>
    <w:rsid w:val="0032765F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basedOn w:val="PKTpunktZnak"/>
    <w:link w:val="LITlitera"/>
    <w:uiPriority w:val="14"/>
    <w:rsid w:val="0032765F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17"/>
    <w:rsid w:val="0032765F"/>
    <w:rPr>
      <w:rFonts w:ascii="Times" w:eastAsiaTheme="minorEastAsia" w:hAnsi="Times" w:cs="Arial"/>
      <w:bCs/>
      <w:sz w:val="24"/>
      <w:szCs w:val="24"/>
      <w:lang w:eastAsia="pl-PL"/>
    </w:r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8"/>
    <w:rsid w:val="0032765F"/>
    <w:rPr>
      <w:rFonts w:ascii="Times" w:eastAsiaTheme="minorEastAsia" w:hAnsi="Times" w:cs="Arial"/>
      <w:bCs/>
      <w:sz w:val="24"/>
      <w:szCs w:val="24"/>
      <w:lang w:eastAsia="pl-PL"/>
    </w:rPr>
  </w:style>
  <w:style w:type="character" w:customStyle="1" w:styleId="ZTIRFRAGMzmnpwprdowyliczeniatiretZnak">
    <w:name w:val="Z_TIR/FRAGM – zm. np. wpr. do wyliczenia tiret Znak"/>
    <w:basedOn w:val="ZTIRCZWSPPKTzmczciwsppkttiretZnak"/>
    <w:link w:val="ZTIRFRAGMzmnpwprdowyliczeniatiret"/>
    <w:uiPriority w:val="60"/>
    <w:rsid w:val="0032765F"/>
    <w:rPr>
      <w:rFonts w:ascii="Times New Roman" w:eastAsiaTheme="minorEastAsia" w:hAnsi="Times New Roman" w:cs="Arial"/>
      <w:bCs/>
      <w:sz w:val="24"/>
      <w:szCs w:val="24"/>
      <w:lang w:eastAsia="pl-PL"/>
    </w:rPr>
  </w:style>
  <w:style w:type="character" w:customStyle="1" w:styleId="Z2TIRFRAGMzmnpwprdowyliczeniapodwjnymtiretZnak">
    <w:name w:val="Z_2TIR/FRAGM – zm. np. wpr. do wyliczenia podwójnym tiret Znak"/>
    <w:basedOn w:val="ZTIRFRAGMzmnpwprdowyliczeniatiretZnak"/>
    <w:link w:val="Z2TIRFRAGMzmnpwprdowyliczeniapodwjnymtiret"/>
    <w:uiPriority w:val="89"/>
    <w:rsid w:val="0032765F"/>
    <w:rPr>
      <w:rFonts w:ascii="Times New Roman" w:eastAsiaTheme="minorEastAsia" w:hAnsi="Times New Roman" w:cs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65F"/>
    <w:rPr>
      <w:color w:val="0563C1" w:themeColor="hyperlink"/>
      <w:u w:val="single"/>
    </w:rPr>
  </w:style>
  <w:style w:type="paragraph" w:customStyle="1" w:styleId="Default">
    <w:name w:val="Default"/>
    <w:rsid w:val="00327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6BB8-5B21-46A0-8811-2D23CA8B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Kistowska Aleksandra</cp:lastModifiedBy>
  <cp:revision>21</cp:revision>
  <cp:lastPrinted>2019-04-25T08:01:00Z</cp:lastPrinted>
  <dcterms:created xsi:type="dcterms:W3CDTF">2022-07-26T10:15:00Z</dcterms:created>
  <dcterms:modified xsi:type="dcterms:W3CDTF">2022-09-26T07:21:00Z</dcterms:modified>
</cp:coreProperties>
</file>