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5A4C6" w14:textId="6E72537C" w:rsidR="00206957" w:rsidRPr="00206957" w:rsidRDefault="00206957" w:rsidP="00206957">
      <w:pPr>
        <w:pStyle w:val="TEKSTZacznikido"/>
      </w:pPr>
      <w:bookmarkStart w:id="0" w:name="_GoBack"/>
      <w:bookmarkEnd w:id="0"/>
      <w:r w:rsidRPr="00206957">
        <w:t xml:space="preserve">Załącznik do rozporządzenia Ministra </w:t>
      </w:r>
      <w:r>
        <w:t>Infrastruktury z dnia ………….</w:t>
      </w:r>
      <w:r w:rsidR="009F1A32">
        <w:t xml:space="preserve"> 2022 r</w:t>
      </w:r>
      <w:r>
        <w:t xml:space="preserve">. </w:t>
      </w:r>
      <w:r w:rsidRPr="00206957">
        <w:t>(poz. …)</w:t>
      </w:r>
    </w:p>
    <w:p w14:paraId="3E9EF966" w14:textId="77777777" w:rsidR="00206957" w:rsidRDefault="00206957" w:rsidP="003C3A30">
      <w:pPr>
        <w:pStyle w:val="ROZDZODDZOZNoznaczenierozdziauluboddziau"/>
      </w:pPr>
    </w:p>
    <w:p w14:paraId="73D2A41B" w14:textId="77777777" w:rsidR="00B442A3" w:rsidRDefault="003C3A30" w:rsidP="00B442A3">
      <w:pPr>
        <w:pStyle w:val="ROZDZODDZOZNoznaczenierozdziauluboddziau"/>
      </w:pPr>
      <w:r w:rsidRPr="003C3A30">
        <w:t>WYMAGANIA</w:t>
      </w:r>
      <w:r w:rsidR="00B442A3">
        <w:t xml:space="preserve"> ZDROWOTNE, FIZYCZNE I PSYCHICZNE JAKIE SĄ OBOWIĄZANI SPEŁNIAĆ PRACOWNICY ORAZ OSOBY PRZYJMOWANE DO PRACY NA STANOWISKACH KOLEJOWYCH</w:t>
      </w:r>
    </w:p>
    <w:p w14:paraId="72EE88C8" w14:textId="77777777" w:rsidR="003C3A30" w:rsidRPr="003C3A30" w:rsidRDefault="003C3A30" w:rsidP="003C3A30">
      <w:pPr>
        <w:rPr>
          <w:rFonts w:eastAsiaTheme="minorEastAsia"/>
        </w:rPr>
      </w:pPr>
    </w:p>
    <w:p w14:paraId="44024CED" w14:textId="25C65027" w:rsidR="003C3A30" w:rsidRPr="003C3A30" w:rsidRDefault="003C3A30" w:rsidP="003C3A30">
      <w:pPr>
        <w:pStyle w:val="ARTartustawynprozporzdzenia"/>
      </w:pPr>
      <w:r w:rsidRPr="003C3A30">
        <w:t>1.</w:t>
      </w:r>
      <w:r w:rsidR="000444B7">
        <w:t> </w:t>
      </w:r>
      <w:r w:rsidRPr="003C3A30">
        <w:t>Wymagania ogólne –</w:t>
      </w:r>
      <w:r w:rsidR="00B442A3">
        <w:t xml:space="preserve"> pracownik oraz osoba przyjmowana do pracy na stanowiskach, o</w:t>
      </w:r>
      <w:r w:rsidR="0096125E">
        <w:t> </w:t>
      </w:r>
      <w:r w:rsidR="00B442A3">
        <w:t>których</w:t>
      </w:r>
      <w:r w:rsidR="00B442A3" w:rsidRPr="00B442A3">
        <w:t xml:space="preserve"> mowa w art. 22d ust. 1 ustawy z dnia 28 marca 2003 r. o transporcie kolejowym</w:t>
      </w:r>
      <w:r w:rsidR="0027538A">
        <w:t xml:space="preserve"> (Dz. U</w:t>
      </w:r>
      <w:r w:rsidR="006318C4">
        <w:t>.</w:t>
      </w:r>
      <w:r w:rsidR="0027538A">
        <w:t xml:space="preserve"> z 2021 r. poz. 1984</w:t>
      </w:r>
      <w:r w:rsidR="006318C4">
        <w:t xml:space="preserve"> oraz z 2022 r. poz. 727</w:t>
      </w:r>
      <w:r w:rsidR="0096125E">
        <w:t xml:space="preserve"> i 1846</w:t>
      </w:r>
      <w:r w:rsidR="0027538A">
        <w:t>)</w:t>
      </w:r>
      <w:r w:rsidR="00B442A3">
        <w:t xml:space="preserve">, </w:t>
      </w:r>
      <w:r w:rsidRPr="003C3A30">
        <w:t>nie może cierpieć na żadne dolegliwości lub nie może przyjmować leków lub</w:t>
      </w:r>
      <w:r w:rsidR="008A6DBB">
        <w:t xml:space="preserve"> </w:t>
      </w:r>
      <w:r w:rsidRPr="003C3A30">
        <w:t>innych substancji, które mogą powodować:</w:t>
      </w:r>
    </w:p>
    <w:p w14:paraId="274E0C12" w14:textId="77777777" w:rsidR="003C3A30" w:rsidRPr="003C3A30" w:rsidRDefault="003C3A30" w:rsidP="003C3A30">
      <w:pPr>
        <w:pStyle w:val="PKTpunkt"/>
      </w:pPr>
      <w:r w:rsidRPr="003C3A30">
        <w:t>1)</w:t>
      </w:r>
      <w:r w:rsidRPr="003C3A30">
        <w:tab/>
        <w:t>nagłą utratę świadomości;</w:t>
      </w:r>
    </w:p>
    <w:p w14:paraId="7831DE8F" w14:textId="77777777" w:rsidR="003C3A30" w:rsidRPr="003C3A30" w:rsidRDefault="003C3A30" w:rsidP="003C3A30">
      <w:pPr>
        <w:pStyle w:val="PKTpunkt"/>
      </w:pPr>
      <w:r w:rsidRPr="003C3A30">
        <w:t>2)</w:t>
      </w:r>
      <w:r w:rsidRPr="003C3A30">
        <w:tab/>
        <w:t>osłabienie uwagi lub zmniejszenie zdolności koncentracji;</w:t>
      </w:r>
    </w:p>
    <w:p w14:paraId="2C3413DA" w14:textId="77777777" w:rsidR="003C3A30" w:rsidRPr="003C3A30" w:rsidRDefault="003C3A30" w:rsidP="003C3A30">
      <w:pPr>
        <w:pStyle w:val="PKTpunkt"/>
      </w:pPr>
      <w:r w:rsidRPr="003C3A30">
        <w:t>3)</w:t>
      </w:r>
      <w:r w:rsidRPr="003C3A30">
        <w:tab/>
        <w:t>nagłą utratę sprawności;</w:t>
      </w:r>
    </w:p>
    <w:p w14:paraId="64EA6E6E" w14:textId="77777777" w:rsidR="003C3A30" w:rsidRPr="003C3A30" w:rsidRDefault="003C3A30" w:rsidP="003C3A30">
      <w:pPr>
        <w:pStyle w:val="PKTpunkt"/>
      </w:pPr>
      <w:r w:rsidRPr="003C3A30">
        <w:t>4)</w:t>
      </w:r>
      <w:r w:rsidRPr="003C3A30">
        <w:tab/>
        <w:t>utratę równowagi lub koordynacji, zachowania patologiczne;</w:t>
      </w:r>
    </w:p>
    <w:p w14:paraId="109B62CE" w14:textId="77777777" w:rsidR="003C3A30" w:rsidRPr="003C3A30" w:rsidRDefault="003C3A30" w:rsidP="003C3A30">
      <w:pPr>
        <w:pStyle w:val="PKTpunkt"/>
      </w:pPr>
      <w:r w:rsidRPr="003C3A30">
        <w:t>5)</w:t>
      </w:r>
      <w:r w:rsidRPr="003C3A30">
        <w:tab/>
        <w:t>znaczące ograniczenie możliwości poruszania się.</w:t>
      </w:r>
    </w:p>
    <w:p w14:paraId="342A4171" w14:textId="31E95A7E" w:rsidR="003C3A30" w:rsidRPr="003C3A30" w:rsidRDefault="003C3A30" w:rsidP="003C3A30">
      <w:pPr>
        <w:pStyle w:val="ARTartustawynprozporzdzenia"/>
      </w:pPr>
      <w:r w:rsidRPr="003C3A30">
        <w:t>2.</w:t>
      </w:r>
      <w:r w:rsidR="000444B7">
        <w:t> </w:t>
      </w:r>
      <w:r w:rsidRPr="003C3A30">
        <w:t>Wzrok</w:t>
      </w:r>
    </w:p>
    <w:p w14:paraId="541D6643" w14:textId="68603488" w:rsidR="003C3A30" w:rsidRPr="003C3A30" w:rsidRDefault="003C3A30" w:rsidP="003C3A30">
      <w:pPr>
        <w:pStyle w:val="USTustnpkodeksu"/>
      </w:pPr>
      <w:r w:rsidRPr="003C3A30">
        <w:t>2.1.</w:t>
      </w:r>
      <w:r w:rsidR="000444B7">
        <w:t> </w:t>
      </w:r>
      <w:r w:rsidRPr="003C3A30">
        <w:t>Konieczne jest spełnienie następujących wym</w:t>
      </w:r>
      <w:r w:rsidR="00632671">
        <w:t xml:space="preserve">agań </w:t>
      </w:r>
      <w:r w:rsidRPr="003C3A30">
        <w:t>dotyczących wzroku:</w:t>
      </w:r>
    </w:p>
    <w:p w14:paraId="06E90CDB" w14:textId="77777777" w:rsidR="003C3A30" w:rsidRPr="003C3A30" w:rsidRDefault="003C3A30" w:rsidP="003C3A30">
      <w:pPr>
        <w:pStyle w:val="PKTpunkt"/>
      </w:pPr>
      <w:r w:rsidRPr="003C3A30">
        <w:t>1)</w:t>
      </w:r>
      <w:r w:rsidRPr="003C3A30">
        <w:tab/>
        <w:t>ostrość wzroku z korekcją lub bez: 1,0; nie mniej niż 0,5 dla oka gorzej widzącego;</w:t>
      </w:r>
    </w:p>
    <w:p w14:paraId="359EF258" w14:textId="767343F9" w:rsidR="003C3A30" w:rsidRPr="003C3A30" w:rsidRDefault="003C3A30" w:rsidP="003C3A30">
      <w:pPr>
        <w:pStyle w:val="PKTpunkt"/>
      </w:pPr>
      <w:r w:rsidRPr="003C3A30">
        <w:t>2)</w:t>
      </w:r>
      <w:r w:rsidRPr="003C3A30">
        <w:tab/>
        <w:t>dopuszczalna maksymalna korekcja soczewkami kontaktowymi lub szkłami:</w:t>
      </w:r>
      <w:r w:rsidR="00CD5326">
        <w:t xml:space="preserve"> </w:t>
      </w:r>
      <w:r w:rsidRPr="003C3A30">
        <w:t>nadwzroczność +5/krótkowzroczność</w:t>
      </w:r>
      <w:r w:rsidR="00D02BBE">
        <w:t xml:space="preserve"> </w:t>
      </w:r>
      <w:r w:rsidR="0001613F">
        <w:t>-</w:t>
      </w:r>
      <w:r w:rsidRPr="003C3A30">
        <w:t>8;</w:t>
      </w:r>
    </w:p>
    <w:p w14:paraId="2DC3EA12" w14:textId="77777777" w:rsidR="003C3A30" w:rsidRPr="003C3A30" w:rsidRDefault="003C3A30" w:rsidP="003C3A30">
      <w:pPr>
        <w:pStyle w:val="PKTpunkt"/>
      </w:pPr>
      <w:r w:rsidRPr="003C3A30">
        <w:t>3)</w:t>
      </w:r>
      <w:r w:rsidRPr="003C3A30">
        <w:tab/>
        <w:t>widzenie na odległości bliskie i pośrednie: wystarczające, z korekcją lub bez;</w:t>
      </w:r>
    </w:p>
    <w:p w14:paraId="4FF76EAF" w14:textId="77777777" w:rsidR="003C3A30" w:rsidRPr="003C3A30" w:rsidRDefault="003C3A30" w:rsidP="003C3A30">
      <w:pPr>
        <w:pStyle w:val="PKTpunkt"/>
      </w:pPr>
      <w:r w:rsidRPr="003C3A30">
        <w:t>4)</w:t>
      </w:r>
      <w:r w:rsidRPr="003C3A30">
        <w:tab/>
        <w:t>okresowe sprawdzanie wzroku przez specjalistę – w przypadku używania soczewek kontaktowych albo szkieł;</w:t>
      </w:r>
    </w:p>
    <w:p w14:paraId="625E079D" w14:textId="77777777" w:rsidR="003C3A30" w:rsidRPr="003C3A30" w:rsidRDefault="003C3A30" w:rsidP="003C3A30">
      <w:pPr>
        <w:pStyle w:val="PKTpunkt"/>
      </w:pPr>
      <w:r w:rsidRPr="003C3A30">
        <w:t>5)</w:t>
      </w:r>
      <w:r w:rsidRPr="003C3A30">
        <w:tab/>
        <w:t>normalne widzenie kolorów: wykorzystanie uznanego badania, takiego jak „test Ishihary” lub innego uznanego badania, jeżeli jest to wymagane;</w:t>
      </w:r>
    </w:p>
    <w:p w14:paraId="4C56FC48" w14:textId="77777777" w:rsidR="003C3A30" w:rsidRPr="003C3A30" w:rsidRDefault="003C3A30" w:rsidP="003C3A30">
      <w:pPr>
        <w:pStyle w:val="PKTpunkt"/>
      </w:pPr>
      <w:r w:rsidRPr="003C3A30">
        <w:t>6)</w:t>
      </w:r>
      <w:r w:rsidRPr="003C3A30">
        <w:tab/>
        <w:t>pole widzenia: prawidłowe;</w:t>
      </w:r>
    </w:p>
    <w:p w14:paraId="401945BA" w14:textId="77777777" w:rsidR="003C3A30" w:rsidRPr="003C3A30" w:rsidRDefault="003C3A30" w:rsidP="003C3A30">
      <w:pPr>
        <w:pStyle w:val="PKTpunkt"/>
      </w:pPr>
      <w:r w:rsidRPr="003C3A30">
        <w:t>7)</w:t>
      </w:r>
      <w:r w:rsidRPr="003C3A30">
        <w:tab/>
        <w:t>widzenie okiem lewym i prawym: efektywne;</w:t>
      </w:r>
    </w:p>
    <w:p w14:paraId="2494B5CE" w14:textId="77777777" w:rsidR="003C3A30" w:rsidRPr="003C3A30" w:rsidRDefault="003C3A30" w:rsidP="003C3A30">
      <w:pPr>
        <w:pStyle w:val="PKTpunkt"/>
      </w:pPr>
      <w:r w:rsidRPr="003C3A30">
        <w:t>8)</w:t>
      </w:r>
      <w:r w:rsidRPr="003C3A30">
        <w:tab/>
        <w:t>widzenie obuoczne: efektywne;</w:t>
      </w:r>
    </w:p>
    <w:p w14:paraId="780F7361" w14:textId="77777777" w:rsidR="003C3A30" w:rsidRPr="003C3A30" w:rsidRDefault="003C3A30" w:rsidP="003C3A30">
      <w:pPr>
        <w:pStyle w:val="PKTpunkt"/>
      </w:pPr>
      <w:r w:rsidRPr="003C3A30">
        <w:t>9)</w:t>
      </w:r>
      <w:r w:rsidRPr="003C3A30">
        <w:tab/>
        <w:t>rozpoznawanie sygnałów barwnych: test opiera się na rozpoznawaniu pojedynczych barw, a nie na różnicach względnych;</w:t>
      </w:r>
    </w:p>
    <w:p w14:paraId="03CA3E63" w14:textId="77777777" w:rsidR="003C3A30" w:rsidRPr="003C3A30" w:rsidRDefault="003C3A30" w:rsidP="003C3A30">
      <w:pPr>
        <w:pStyle w:val="PKTpunkt"/>
      </w:pPr>
      <w:r w:rsidRPr="003C3A30">
        <w:t>10)</w:t>
      </w:r>
      <w:r w:rsidRPr="003C3A30">
        <w:tab/>
        <w:t>wrażliwość na kontrast: dobra;</w:t>
      </w:r>
    </w:p>
    <w:p w14:paraId="00C8100B" w14:textId="77777777" w:rsidR="003C3A30" w:rsidRPr="003C3A30" w:rsidRDefault="003C3A30" w:rsidP="003C3A30">
      <w:pPr>
        <w:pStyle w:val="PKTpunkt"/>
      </w:pPr>
      <w:r w:rsidRPr="003C3A30">
        <w:lastRenderedPageBreak/>
        <w:t>11)</w:t>
      </w:r>
      <w:r w:rsidRPr="003C3A30">
        <w:tab/>
        <w:t>brak postępujących chorób oczu;</w:t>
      </w:r>
    </w:p>
    <w:p w14:paraId="161C32B1" w14:textId="77777777" w:rsidR="003C3A30" w:rsidRPr="003C3A30" w:rsidRDefault="003C3A30" w:rsidP="003C3A30">
      <w:pPr>
        <w:pStyle w:val="PKTpunkt"/>
      </w:pPr>
      <w:r w:rsidRPr="003C3A30">
        <w:t>12)</w:t>
      </w:r>
      <w:r w:rsidRPr="003C3A30">
        <w:tab/>
        <w:t>coroczne lub w odstępach ustalonych przez lekarza medycyny pracy kontrole wzroku – w przypadku posiadania implantów soczewek lub przeprowadzonych zabiegów keratotomii i keratektomii;</w:t>
      </w:r>
    </w:p>
    <w:p w14:paraId="52D168B9" w14:textId="54873863" w:rsidR="003C3A30" w:rsidRPr="003C3A30" w:rsidRDefault="003C3A30" w:rsidP="003C3A30">
      <w:pPr>
        <w:pStyle w:val="PKTpunkt"/>
      </w:pPr>
      <w:r w:rsidRPr="003C3A30">
        <w:t>13)</w:t>
      </w:r>
      <w:r w:rsidRPr="003C3A30">
        <w:tab/>
        <w:t>odporność na oślepienie – prawidłowa</w:t>
      </w:r>
      <w:r w:rsidR="007767BB">
        <w:t>.</w:t>
      </w:r>
    </w:p>
    <w:p w14:paraId="46AB5DEE" w14:textId="49534EFE" w:rsidR="003C3A30" w:rsidRPr="003C3A30" w:rsidRDefault="003C3A30" w:rsidP="003C3A30">
      <w:pPr>
        <w:pStyle w:val="USTustnpkodeksu"/>
      </w:pPr>
      <w:r w:rsidRPr="003C3A30">
        <w:t>2.2.</w:t>
      </w:r>
      <w:r w:rsidR="000444B7">
        <w:t> </w:t>
      </w:r>
      <w:r w:rsidRPr="003C3A30">
        <w:t>Kolorowe soczewki kontaktowe i soczewki fotochromatyczne nie są dozwolone.</w:t>
      </w:r>
    </w:p>
    <w:p w14:paraId="373F5804" w14:textId="4EC09BED" w:rsidR="003C3A30" w:rsidRPr="003C3A30" w:rsidRDefault="003C3A30" w:rsidP="003C3A30">
      <w:pPr>
        <w:pStyle w:val="USTustnpkodeksu"/>
      </w:pPr>
      <w:r w:rsidRPr="003C3A30">
        <w:t>2.3.</w:t>
      </w:r>
      <w:r w:rsidR="000444B7">
        <w:t> </w:t>
      </w:r>
      <w:r w:rsidRPr="003C3A30">
        <w:t>Szkła z</w:t>
      </w:r>
      <w:r w:rsidR="000444B7">
        <w:t xml:space="preserve"> </w:t>
      </w:r>
      <w:r w:rsidRPr="003C3A30">
        <w:t>filtrem UV są dozwolone.</w:t>
      </w:r>
    </w:p>
    <w:p w14:paraId="14206227" w14:textId="4E2AA19F" w:rsidR="003C3A30" w:rsidRPr="003C3A30" w:rsidRDefault="003C3A30" w:rsidP="003C3A30">
      <w:pPr>
        <w:pStyle w:val="ARTartustawynprozporzdzenia"/>
      </w:pPr>
      <w:r w:rsidRPr="003C3A30">
        <w:t>3.</w:t>
      </w:r>
      <w:r w:rsidR="000444B7">
        <w:t> </w:t>
      </w:r>
      <w:r w:rsidRPr="003C3A30">
        <w:t>Wymagania dotyczące słuchu, mowy i układu przedsionkowego – konieczne jest spełnienie następujących wymagań:</w:t>
      </w:r>
    </w:p>
    <w:p w14:paraId="39623DB2" w14:textId="77777777" w:rsidR="003C3A30" w:rsidRPr="003C3A30" w:rsidRDefault="003C3A30" w:rsidP="003C3A30">
      <w:pPr>
        <w:pStyle w:val="PKTpunkt"/>
      </w:pPr>
      <w:r w:rsidRPr="003C3A30">
        <w:t>1)</w:t>
      </w:r>
      <w:r w:rsidRPr="003C3A30">
        <w:tab/>
        <w:t>słuch wystarczający do prowadzenia rozmowy telefonicznej i do usłyszenia sygnałów ostrzegawczych i komunikatów radiowych;</w:t>
      </w:r>
    </w:p>
    <w:p w14:paraId="08E5B31A" w14:textId="77777777" w:rsidR="003C3A30" w:rsidRPr="003C3A30" w:rsidRDefault="003C3A30" w:rsidP="003C3A30">
      <w:pPr>
        <w:pStyle w:val="PKTpunkt"/>
      </w:pPr>
      <w:r w:rsidRPr="003C3A30">
        <w:t>2)</w:t>
      </w:r>
      <w:r w:rsidRPr="003C3A30">
        <w:tab/>
        <w:t>osoba badana słyszy szept każdym uchem oddzielnie z odległości 2 m;</w:t>
      </w:r>
    </w:p>
    <w:p w14:paraId="6F14B353" w14:textId="77777777" w:rsidR="003C3A30" w:rsidRPr="003C3A30" w:rsidRDefault="003C3A30" w:rsidP="003C3A30">
      <w:pPr>
        <w:pStyle w:val="PKTpunkt"/>
      </w:pPr>
      <w:r w:rsidRPr="003C3A30">
        <w:t>3)</w:t>
      </w:r>
      <w:r w:rsidRPr="003C3A30">
        <w:tab/>
        <w:t>niedosłuch dla ucha gorzej słyszącego na poziomie nie wyższym niż 40 dB przy częstotliwościach 500 i 1000 Hz;</w:t>
      </w:r>
    </w:p>
    <w:p w14:paraId="083070EA" w14:textId="77777777" w:rsidR="003C3A30" w:rsidRPr="003C3A30" w:rsidRDefault="003C3A30" w:rsidP="003C3A30">
      <w:pPr>
        <w:pStyle w:val="PKTpunkt"/>
      </w:pPr>
      <w:r w:rsidRPr="003C3A30">
        <w:t>4)</w:t>
      </w:r>
      <w:r w:rsidRPr="003C3A30">
        <w:tab/>
        <w:t>niedosłuch dla ucha gorzej słyszącego na poziomie nie wyższym niż 45 dB przy częstotliwości 2000 Hz;</w:t>
      </w:r>
    </w:p>
    <w:p w14:paraId="45687AED" w14:textId="77777777" w:rsidR="003C3A30" w:rsidRPr="003C3A30" w:rsidRDefault="003C3A30" w:rsidP="003C3A30">
      <w:pPr>
        <w:pStyle w:val="PKTpunkt"/>
      </w:pPr>
      <w:r w:rsidRPr="003C3A30">
        <w:t>5)</w:t>
      </w:r>
      <w:r w:rsidRPr="003C3A30">
        <w:tab/>
        <w:t>brak zaburzeń równowagi i układu przedsionkowego;</w:t>
      </w:r>
    </w:p>
    <w:p w14:paraId="5440BF99" w14:textId="77777777" w:rsidR="003C3A30" w:rsidRPr="003C3A30" w:rsidRDefault="003C3A30" w:rsidP="003C3A30">
      <w:pPr>
        <w:pStyle w:val="PKTpunkt"/>
      </w:pPr>
      <w:r w:rsidRPr="003C3A30">
        <w:t>6)</w:t>
      </w:r>
      <w:r w:rsidRPr="003C3A30">
        <w:tab/>
        <w:t>brak przewlekłych zaburzeń mowy przy uwzględnieniu konieczności przekazywania wiadomości w sposób głośny i wyraźny.</w:t>
      </w:r>
    </w:p>
    <w:p w14:paraId="530320D4" w14:textId="628B0FD2" w:rsidR="003C3A30" w:rsidRPr="003C3A30" w:rsidRDefault="003C3A30" w:rsidP="003C3A30">
      <w:pPr>
        <w:pStyle w:val="ARTartustawynprozporzdzenia"/>
      </w:pPr>
      <w:r w:rsidRPr="003C3A30">
        <w:t>4.</w:t>
      </w:r>
      <w:r w:rsidR="000444B7">
        <w:t> </w:t>
      </w:r>
      <w:r w:rsidRPr="003C3A30">
        <w:t>Wymagania dotyczące narządu ruchu – wystarczająca sprawność narządu ruchu w zakresie kończyn górnych, kończyn dolnych i kręgosłupa.</w:t>
      </w:r>
    </w:p>
    <w:p w14:paraId="3A0F5376" w14:textId="0BEACDAC" w:rsidR="003C3A30" w:rsidRPr="003C3A30" w:rsidRDefault="003C3A30" w:rsidP="003C3A30">
      <w:pPr>
        <w:pStyle w:val="ARTartustawynprozporzdzenia"/>
      </w:pPr>
      <w:r w:rsidRPr="003C3A30">
        <w:t>5.</w:t>
      </w:r>
      <w:r w:rsidR="000444B7">
        <w:t> </w:t>
      </w:r>
      <w:r w:rsidRPr="003C3A30">
        <w:t xml:space="preserve">Ciąża – w przypadku złej tolerancji lub występowania stanów patologicznych ciążę należy uznać za powód tymczasowego odsunięcia </w:t>
      </w:r>
      <w:r w:rsidR="00B442A3">
        <w:t xml:space="preserve">pracownika </w:t>
      </w:r>
      <w:r w:rsidRPr="003C3A30">
        <w:t>od obowiązków służbowych.</w:t>
      </w:r>
    </w:p>
    <w:p w14:paraId="7901A5AA" w14:textId="49E105EB" w:rsidR="003C3A30" w:rsidRPr="003C3A30" w:rsidRDefault="003C3A30" w:rsidP="003C3A30">
      <w:pPr>
        <w:pStyle w:val="ARTartustawynprozporzdzenia"/>
      </w:pPr>
      <w:r w:rsidRPr="003C3A30">
        <w:t>6.</w:t>
      </w:r>
      <w:r w:rsidR="000444B7">
        <w:t> </w:t>
      </w:r>
      <w:r w:rsidRPr="003C3A30">
        <w:t>Wymagania dotyczące psychologicznej przydatności zawodowej:</w:t>
      </w:r>
    </w:p>
    <w:p w14:paraId="4F3D55C1" w14:textId="77777777" w:rsidR="003C3A30" w:rsidRPr="003C3A30" w:rsidRDefault="003C3A30" w:rsidP="003C3A30">
      <w:pPr>
        <w:pStyle w:val="PKTpunkt"/>
      </w:pPr>
      <w:r w:rsidRPr="003C3A30">
        <w:t>1)</w:t>
      </w:r>
      <w:r w:rsidRPr="003C3A30">
        <w:tab/>
        <w:t>zdolności poznawcze – pamięć, uwaga i koncentracja, percepcja i rozumowanie,</w:t>
      </w:r>
    </w:p>
    <w:p w14:paraId="7F0FB5A2" w14:textId="77777777" w:rsidR="003C3A30" w:rsidRPr="003C3A30" w:rsidRDefault="003C3A30" w:rsidP="003C3A30">
      <w:pPr>
        <w:pStyle w:val="PKTpunkt"/>
      </w:pPr>
      <w:r w:rsidRPr="003C3A30">
        <w:t>2)</w:t>
      </w:r>
      <w:r w:rsidRPr="003C3A30">
        <w:tab/>
        <w:t>sprawność psychomotoryczna – czas reakcji i koordynacja rąk,</w:t>
      </w:r>
    </w:p>
    <w:p w14:paraId="18B816F8" w14:textId="77777777" w:rsidR="003C3A30" w:rsidRPr="003C3A30" w:rsidRDefault="003C3A30" w:rsidP="003C3A30">
      <w:pPr>
        <w:pStyle w:val="PKTpunkt"/>
      </w:pPr>
      <w:r w:rsidRPr="003C3A30">
        <w:t>3)</w:t>
      </w:r>
      <w:r w:rsidRPr="003C3A30">
        <w:tab/>
        <w:t>komunikowanie się i osobowość</w:t>
      </w:r>
    </w:p>
    <w:p w14:paraId="6955D92B" w14:textId="77777777" w:rsidR="003C3A30" w:rsidRPr="003C3A30" w:rsidRDefault="003C3A30" w:rsidP="003C3A30">
      <w:pPr>
        <w:pStyle w:val="CZWSPPKTczwsplnapunktw"/>
      </w:pPr>
      <w:r w:rsidRPr="003C3A30">
        <w:t xml:space="preserve">– umożliwiające bezpieczne wykonywanie obowiązków </w:t>
      </w:r>
      <w:r w:rsidR="00B442A3">
        <w:t>służbowych</w:t>
      </w:r>
      <w:r w:rsidRPr="003C3A30">
        <w:t>.</w:t>
      </w:r>
    </w:p>
    <w:p w14:paraId="1D7945DA" w14:textId="77777777" w:rsidR="003C3A30" w:rsidRPr="003C3A30" w:rsidRDefault="003C3A30" w:rsidP="003C3A30"/>
    <w:p w14:paraId="50798001" w14:textId="77777777" w:rsidR="003C3A30" w:rsidRPr="003C3A30" w:rsidRDefault="003C3A30" w:rsidP="003C3A30">
      <w:pPr>
        <w:pStyle w:val="CZWSPPKTczwsplnapunktw"/>
      </w:pPr>
    </w:p>
    <w:p w14:paraId="60308EF6" w14:textId="77777777" w:rsidR="00261A16" w:rsidRPr="00737F6A" w:rsidRDefault="00261A16" w:rsidP="00737F6A"/>
    <w:sectPr w:rsidR="00261A16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02EA" w14:textId="77777777" w:rsidR="00BE7940" w:rsidRDefault="00BE7940">
      <w:r>
        <w:separator/>
      </w:r>
    </w:p>
  </w:endnote>
  <w:endnote w:type="continuationSeparator" w:id="0">
    <w:p w14:paraId="53768F2D" w14:textId="77777777" w:rsidR="00BE7940" w:rsidRDefault="00B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7DC5" w14:textId="77777777" w:rsidR="00E34ADB" w:rsidRDefault="00E34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BC92" w14:textId="77777777" w:rsidR="00E34ADB" w:rsidRDefault="00E34A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6F84" w14:textId="77777777" w:rsidR="00E34ADB" w:rsidRDefault="00E34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86C6" w14:textId="77777777" w:rsidR="00BE7940" w:rsidRDefault="00BE7940">
      <w:r>
        <w:separator/>
      </w:r>
    </w:p>
  </w:footnote>
  <w:footnote w:type="continuationSeparator" w:id="0">
    <w:p w14:paraId="7C9E4C21" w14:textId="77777777" w:rsidR="00BE7940" w:rsidRDefault="00BE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74C43" w14:textId="77777777" w:rsidR="00E34ADB" w:rsidRDefault="00E34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4819" w14:textId="62F7596F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34AD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2350" w14:textId="77777777" w:rsidR="00E34ADB" w:rsidRDefault="00E34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0"/>
    <w:rsid w:val="000012DA"/>
    <w:rsid w:val="0000246E"/>
    <w:rsid w:val="00003862"/>
    <w:rsid w:val="000100A4"/>
    <w:rsid w:val="00012A35"/>
    <w:rsid w:val="00016099"/>
    <w:rsid w:val="0001613F"/>
    <w:rsid w:val="00017DC2"/>
    <w:rsid w:val="00021522"/>
    <w:rsid w:val="00023471"/>
    <w:rsid w:val="00023F13"/>
    <w:rsid w:val="00026D9D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4B7"/>
    <w:rsid w:val="00044AFD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526B"/>
    <w:rsid w:val="0009732D"/>
    <w:rsid w:val="000973F0"/>
    <w:rsid w:val="000A1296"/>
    <w:rsid w:val="000A1C27"/>
    <w:rsid w:val="000A1DAD"/>
    <w:rsid w:val="000A2649"/>
    <w:rsid w:val="000A323B"/>
    <w:rsid w:val="000A73AF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21B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957"/>
    <w:rsid w:val="002114EF"/>
    <w:rsid w:val="002166AD"/>
    <w:rsid w:val="00217871"/>
    <w:rsid w:val="00221ED8"/>
    <w:rsid w:val="002231EA"/>
    <w:rsid w:val="00223FDF"/>
    <w:rsid w:val="002279C0"/>
    <w:rsid w:val="00234118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268"/>
    <w:rsid w:val="00271013"/>
    <w:rsid w:val="00273FE4"/>
    <w:rsid w:val="0027538A"/>
    <w:rsid w:val="002765B4"/>
    <w:rsid w:val="00276A94"/>
    <w:rsid w:val="002934DB"/>
    <w:rsid w:val="0029405D"/>
    <w:rsid w:val="00294FA6"/>
    <w:rsid w:val="00295A6F"/>
    <w:rsid w:val="002A20C4"/>
    <w:rsid w:val="002A570F"/>
    <w:rsid w:val="002A6903"/>
    <w:rsid w:val="002A7292"/>
    <w:rsid w:val="002A7358"/>
    <w:rsid w:val="002A7563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45C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198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8EB"/>
    <w:rsid w:val="003C0AD9"/>
    <w:rsid w:val="003C0ED0"/>
    <w:rsid w:val="003C1D49"/>
    <w:rsid w:val="003C35C4"/>
    <w:rsid w:val="003C3A30"/>
    <w:rsid w:val="003C400F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0E9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D11"/>
    <w:rsid w:val="005A669D"/>
    <w:rsid w:val="005A75D8"/>
    <w:rsid w:val="005B6267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8C4"/>
    <w:rsid w:val="00632671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967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377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7BB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2699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43C"/>
    <w:rsid w:val="00817429"/>
    <w:rsid w:val="00821514"/>
    <w:rsid w:val="00821E35"/>
    <w:rsid w:val="00824591"/>
    <w:rsid w:val="00824AED"/>
    <w:rsid w:val="00827820"/>
    <w:rsid w:val="00831B8B"/>
    <w:rsid w:val="0083405D"/>
    <w:rsid w:val="008343DF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6BCC"/>
    <w:rsid w:val="008971B5"/>
    <w:rsid w:val="008A3110"/>
    <w:rsid w:val="008A5D26"/>
    <w:rsid w:val="008A6B13"/>
    <w:rsid w:val="008A6DBB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6C33"/>
    <w:rsid w:val="0092794E"/>
    <w:rsid w:val="00930D30"/>
    <w:rsid w:val="009332A2"/>
    <w:rsid w:val="00937598"/>
    <w:rsid w:val="0093790B"/>
    <w:rsid w:val="00943751"/>
    <w:rsid w:val="00945011"/>
    <w:rsid w:val="00946DD0"/>
    <w:rsid w:val="009509E6"/>
    <w:rsid w:val="00952018"/>
    <w:rsid w:val="00952800"/>
    <w:rsid w:val="0095300D"/>
    <w:rsid w:val="00956812"/>
    <w:rsid w:val="0095719A"/>
    <w:rsid w:val="0096125E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93C"/>
    <w:rsid w:val="009C79AD"/>
    <w:rsid w:val="009C7CA6"/>
    <w:rsid w:val="009D3316"/>
    <w:rsid w:val="009D55AA"/>
    <w:rsid w:val="009E3E77"/>
    <w:rsid w:val="009E3FAB"/>
    <w:rsid w:val="009E5B3F"/>
    <w:rsid w:val="009E7D90"/>
    <w:rsid w:val="009F0982"/>
    <w:rsid w:val="009F1A32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D7A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95D"/>
    <w:rsid w:val="00A9184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DE6"/>
    <w:rsid w:val="00B024C2"/>
    <w:rsid w:val="00B07700"/>
    <w:rsid w:val="00B13921"/>
    <w:rsid w:val="00B1528C"/>
    <w:rsid w:val="00B16ACD"/>
    <w:rsid w:val="00B21487"/>
    <w:rsid w:val="00B232D1"/>
    <w:rsid w:val="00B24694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2A3"/>
    <w:rsid w:val="00B45FBC"/>
    <w:rsid w:val="00B51A7D"/>
    <w:rsid w:val="00B535C2"/>
    <w:rsid w:val="00B55544"/>
    <w:rsid w:val="00B55ADA"/>
    <w:rsid w:val="00B642FC"/>
    <w:rsid w:val="00B64D26"/>
    <w:rsid w:val="00B64FBB"/>
    <w:rsid w:val="00B70E22"/>
    <w:rsid w:val="00B750A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54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646"/>
    <w:rsid w:val="00BD34AA"/>
    <w:rsid w:val="00BE0C44"/>
    <w:rsid w:val="00BE1B8B"/>
    <w:rsid w:val="00BE286F"/>
    <w:rsid w:val="00BE2A18"/>
    <w:rsid w:val="00BE2C01"/>
    <w:rsid w:val="00BE41EC"/>
    <w:rsid w:val="00BE56FB"/>
    <w:rsid w:val="00BE794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D1C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7AB"/>
    <w:rsid w:val="00CB59E9"/>
    <w:rsid w:val="00CC0D6A"/>
    <w:rsid w:val="00CC3831"/>
    <w:rsid w:val="00CC3E3D"/>
    <w:rsid w:val="00CC519B"/>
    <w:rsid w:val="00CD12C1"/>
    <w:rsid w:val="00CD214E"/>
    <w:rsid w:val="00CD46FA"/>
    <w:rsid w:val="00CD5326"/>
    <w:rsid w:val="00CD5973"/>
    <w:rsid w:val="00CE31A6"/>
    <w:rsid w:val="00CF09AA"/>
    <w:rsid w:val="00CF4813"/>
    <w:rsid w:val="00CF5233"/>
    <w:rsid w:val="00D029B8"/>
    <w:rsid w:val="00D02BBE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52"/>
    <w:rsid w:val="00DF3F7E"/>
    <w:rsid w:val="00DF7648"/>
    <w:rsid w:val="00E003B6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4ADB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B17"/>
    <w:rsid w:val="00E87441"/>
    <w:rsid w:val="00E91FAE"/>
    <w:rsid w:val="00E96E3F"/>
    <w:rsid w:val="00EA270C"/>
    <w:rsid w:val="00EA36AA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5B0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77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A30"/>
    <w:pPr>
      <w:spacing w:line="240" w:lineRule="auto"/>
    </w:pPr>
    <w:rPr>
      <w:rFonts w:ascii="Times New Roman" w:hAnsi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A3BDD-54FA-40C1-8849-945894E1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Manager/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2022-09-06T13:49:00Z</dcterms:created>
  <dcterms:modified xsi:type="dcterms:W3CDTF">2022-09-06T13:49:00Z</dcterms:modified>
  <cp:category/>
</cp:coreProperties>
</file>