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F3F6E" w:rsidP="00BF3F6E">
      <w:pPr>
        <w:pStyle w:val="OZNPROJEKTUwskazaniedatylubwersjiprojektu"/>
      </w:pPr>
      <w:r>
        <w:t>Projekt z dnia 25.10.2022 r.</w:t>
      </w:r>
    </w:p>
    <w:p w:rsidR="00BF3F6E" w:rsidP="00BF3F6E">
      <w:pPr>
        <w:pStyle w:val="OZNRODZAKTUtznustawalubrozporzdzenieiorganwydajcy"/>
      </w:pPr>
    </w:p>
    <w:p w:rsidR="00BF3F6E" w:rsidRPr="00D11469" w:rsidP="00BF3F6E">
      <w:pPr>
        <w:pStyle w:val="OZNRODZAKTUtznustawalubrozporzdzenieiorganwydajcy"/>
      </w:pPr>
      <w:r w:rsidRPr="00D11469">
        <w:t>Rozporządzenie</w:t>
      </w:r>
    </w:p>
    <w:p w:rsidR="00BF3F6E" w:rsidRPr="00D11469" w:rsidP="00BF3F6E">
      <w:pPr>
        <w:pStyle w:val="OZNRODZAKTUtznustawalubrozporzdzenieiorganwydajcy"/>
      </w:pPr>
      <w:r w:rsidRPr="00D11469">
        <w:t>Ministra aktywów państwowych</w:t>
      </w:r>
      <w:r>
        <w:rPr>
          <w:rStyle w:val="IGindeksgrny"/>
          <w:rFonts w:eastAsiaTheme="minorEastAsia"/>
          <w:b w:val="0"/>
        </w:rPr>
        <w:footnoteReference w:id="2"/>
      </w:r>
      <w:r w:rsidRPr="00EA1773">
        <w:rPr>
          <w:rStyle w:val="IGindeksgrny"/>
          <w:rFonts w:eastAsiaTheme="minorEastAsia"/>
          <w:b w:val="0"/>
        </w:rPr>
        <w:t>)</w:t>
      </w:r>
    </w:p>
    <w:p w:rsidR="00BF3F6E" w:rsidP="00BF3F6E">
      <w:pPr>
        <w:pStyle w:val="DATAAKTUdatauchwalenialubwydaniaaktu"/>
      </w:pPr>
      <w:r w:rsidRPr="00D11469">
        <w:t xml:space="preserve">z dnia </w:t>
      </w:r>
      <w:r>
        <w:t>……………………2022 r.</w:t>
      </w:r>
    </w:p>
    <w:p w:rsidR="00BF3F6E" w:rsidRPr="00B15FFB" w:rsidP="00BF3F6E">
      <w:pPr>
        <w:pStyle w:val="TYTUAKTUprzedmiotregulacjiustawylubrozporzdzenia"/>
      </w:pPr>
      <w:r>
        <w:t>w sprawie ilości</w:t>
      </w:r>
      <w:r w:rsidRPr="00163CD4">
        <w:t xml:space="preserve"> paliwa stałe</w:t>
      </w:r>
      <w:r>
        <w:t>go dostępnej</w:t>
      </w:r>
      <w:r w:rsidRPr="00163CD4">
        <w:t xml:space="preserve"> dla jednego gospodarstwa domowego</w:t>
      </w:r>
    </w:p>
    <w:p w:rsidR="00BF3F6E" w:rsidRPr="00467840" w:rsidP="00BF3F6E">
      <w:pPr>
        <w:pStyle w:val="NIEARTTEKSTtekstnieartykuowanynppodstprawnarozplubpreambua"/>
      </w:pPr>
      <w:r>
        <w:t xml:space="preserve">Na podstawie art. 8 ust. 2 ustawy z dnia 20 października 2022 </w:t>
      </w:r>
      <w:r w:rsidRPr="00D11469">
        <w:t xml:space="preserve">r. </w:t>
      </w:r>
      <w:r w:rsidRPr="00467840">
        <w:t xml:space="preserve">o zakupie preferencyjnym paliwa stałego przez gospodarstwa domowe </w:t>
      </w:r>
      <w:r>
        <w:t xml:space="preserve">(Dz. U. </w:t>
      </w:r>
      <w:r w:rsidRPr="00467840">
        <w:t>poz. …) zarządza się, co następuje:</w:t>
      </w:r>
    </w:p>
    <w:p w:rsidR="00BF3F6E" w:rsidRPr="00BF3F6E" w:rsidP="00BF3F6E">
      <w:pPr>
        <w:pStyle w:val="ARTartustawynprozporzdzenia"/>
        <w:rPr>
          <w:bCs/>
        </w:rPr>
      </w:pPr>
      <w:r w:rsidRPr="00BF3F6E">
        <w:rPr>
          <w:rStyle w:val="Ppogrubienie"/>
          <w:bCs/>
        </w:rPr>
        <w:t>§ 1.</w:t>
      </w:r>
      <w:r>
        <w:rPr>
          <w:bCs/>
        </w:rPr>
        <w:tab/>
      </w:r>
      <w:r w:rsidRPr="00BF3F6E">
        <w:rPr>
          <w:bCs/>
        </w:rPr>
        <w:t xml:space="preserve">Ustala się, że ilość paliwa stałego dostępna dla jednego gospodarstwa domowego </w:t>
      </w:r>
      <w:r w:rsidRPr="00BF3F6E">
        <w:rPr>
          <w:bCs/>
        </w:rPr>
        <w:br/>
        <w:t>w ramach zakupu preferencyjnego, wynosi:</w:t>
      </w:r>
    </w:p>
    <w:p w:rsidR="00BF3F6E" w:rsidRPr="00163CD4" w:rsidP="00BF3F6E">
      <w:pPr>
        <w:pStyle w:val="PKTpunkt"/>
      </w:pPr>
      <w:r w:rsidRPr="00163CD4">
        <w:t>1)</w:t>
      </w:r>
      <w:r w:rsidRPr="00163CD4">
        <w:tab/>
      </w:r>
      <w:r>
        <w:t xml:space="preserve">1500 kg – do dnia 31 </w:t>
      </w:r>
      <w:r w:rsidRPr="00BF3F6E">
        <w:t>grudnia</w:t>
      </w:r>
      <w:r>
        <w:t xml:space="preserve"> 2022 r.;</w:t>
      </w:r>
    </w:p>
    <w:p w:rsidR="00BF3F6E" w:rsidRPr="00163CD4" w:rsidP="00BF3F6E">
      <w:pPr>
        <w:pStyle w:val="PKTpunkt"/>
      </w:pPr>
      <w:r w:rsidRPr="00163CD4">
        <w:t>2)</w:t>
      </w:r>
      <w:r w:rsidRPr="00163CD4">
        <w:tab/>
      </w:r>
      <w:r>
        <w:t xml:space="preserve">1500 kg – </w:t>
      </w:r>
      <w:r w:rsidRPr="00163CD4">
        <w:t>od dnia 1 stycznia 2023 r</w:t>
      </w:r>
      <w:r>
        <w:t>.</w:t>
      </w:r>
    </w:p>
    <w:p w:rsidR="00BF3F6E" w:rsidRPr="00BF3F6E" w:rsidP="00BF3F6E">
      <w:pPr>
        <w:pStyle w:val="ARTartustawynprozporzdzenia"/>
      </w:pPr>
      <w:r w:rsidRPr="00BF3F6E">
        <w:rPr>
          <w:b/>
        </w:rPr>
        <w:t>§ 2.</w:t>
      </w:r>
      <w:r w:rsidRPr="00BF3F6E">
        <w:tab/>
        <w:t>Rozporządzenie wchodzi w życie z dniem następującym po dniu ogłoszenia.</w:t>
      </w:r>
    </w:p>
    <w:p w:rsidR="00BF3F6E" w:rsidP="00BF3F6E">
      <w:pPr>
        <w:pStyle w:val="NAZORGWYDnazwaorganuwydajcegoprojektowanyakt"/>
      </w:pPr>
    </w:p>
    <w:p w:rsidR="00BF3F6E" w:rsidP="00BF3F6E">
      <w:pPr>
        <w:pStyle w:val="NAZORGWYDnazwaorganuwydajcegoprojektowanyakt"/>
      </w:pPr>
      <w:r w:rsidRPr="00D11469">
        <w:t>MINISTER AKTYWÓW PAŃSTWOWYCH</w:t>
      </w:r>
    </w:p>
    <w:p w:rsidR="00C222AC" w:rsidP="00C222AC">
      <w:pPr>
        <w:pStyle w:val="ARTartustawynprozporzdzenia"/>
        <w:rPr>
          <w:highlight w:val="green"/>
        </w:rPr>
      </w:pPr>
    </w:p>
    <w:p w:rsidR="00BF3F6E" w:rsidP="00C222AC">
      <w:pPr>
        <w:pStyle w:val="ARTartustawynprozporzdzenia"/>
        <w:rPr>
          <w:highlight w:val="green"/>
        </w:rPr>
      </w:pPr>
    </w:p>
    <w:p w:rsidR="00BF3F6E" w:rsidRPr="008D3C78" w:rsidP="00BF3F6E">
      <w:pPr>
        <w:pStyle w:val="ARTartustawynprozporzdzenia"/>
        <w:ind w:firstLine="0"/>
        <w:rPr>
          <w:highlight w:val="green"/>
        </w:rPr>
      </w:pPr>
      <w:bookmarkStart w:id="0" w:name="_GoBack"/>
      <w:bookmarkEnd w:id="0"/>
    </w:p>
    <w:p w:rsidR="005A4E15" w:rsidP="00E01C5D"/>
    <w:tbl>
      <w:tblPr>
        <w:tblStyle w:val="GridTableLight"/>
        <w:tblW w:w="0" w:type="auto"/>
        <w:tblLook w:val="04A0"/>
      </w:tblPr>
      <w:tblGrid>
        <w:gridCol w:w="9044"/>
      </w:tblGrid>
      <w:tr w:rsidTr="00C46316">
        <w:tblPrEx>
          <w:tblW w:w="0" w:type="auto"/>
          <w:tblLook w:val="04A0"/>
        </w:tblPrEx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D" w:rsidP="00E01C5D">
            <w:pPr>
              <w:rPr>
                <w:rStyle w:val="Ppogrubienie"/>
              </w:rPr>
            </w:pPr>
            <w:bookmarkStart w:id="1" w:name="ezdPracownikAtrybut2"/>
            <w:r>
              <w:rPr>
                <w:rStyle w:val="Ppogrubienie"/>
              </w:rPr>
              <w:t>Za zgodność pod względem prawnym, legislacyjnym i redakcyjnym</w:t>
            </w:r>
            <w:bookmarkEnd w:id="1"/>
          </w:p>
          <w:p w:rsidR="00E01C5D" w:rsidRPr="00680742" w:rsidP="00E01C5D">
            <w:pPr>
              <w:rPr>
                <w:rStyle w:val="Ppogrubienie"/>
              </w:rPr>
            </w:pPr>
            <w:bookmarkStart w:id="2" w:name="ezdPracownikNazwa"/>
            <w:r w:rsidRPr="00680742">
              <w:rPr>
                <w:rStyle w:val="Ppogrubienie"/>
              </w:rPr>
              <w:t>Grzegorz Dostatni</w:t>
            </w:r>
            <w:bookmarkEnd w:id="2"/>
          </w:p>
          <w:p w:rsidR="00E01C5D" w:rsidRPr="00E01C5D" w:rsidP="00E01C5D">
            <w:r>
              <w:t xml:space="preserve">Dyrektor </w:t>
            </w:r>
            <w:r w:rsidR="00077E0C">
              <w:t>Departamentu</w:t>
            </w:r>
            <w:r>
              <w:t xml:space="preserve"> Prawnego</w:t>
            </w:r>
            <w:r>
              <w:t xml:space="preserve">, Ministerstwo </w:t>
            </w:r>
            <w:r w:rsidR="00A466E3">
              <w:t>Aktywów Państwowych</w:t>
            </w:r>
          </w:p>
          <w:p w:rsidR="00E01C5D" w:rsidRPr="00E01C5D" w:rsidP="00E01C5D">
            <w:pPr>
              <w:rPr>
                <w:rStyle w:val="Kkursywa"/>
              </w:rPr>
            </w:pPr>
            <w:bookmarkStart w:id="3" w:name="ezdPracownikWydzialAtrybut1"/>
            <w:r w:rsidRPr="00680742">
              <w:rPr>
                <w:rStyle w:val="Kkursywa"/>
              </w:rPr>
              <w:t>dokument podpisany elektronicznie</w:t>
            </w:r>
            <w:bookmarkEnd w:id="3"/>
            <w:r w:rsidRPr="00680742">
              <w:rPr>
                <w:rStyle w:val="Kkursywa"/>
              </w:rPr>
              <w:t xml:space="preserve"> </w:t>
            </w:r>
          </w:p>
          <w:p w:rsidR="00E01C5D" w:rsidP="00E01C5D">
            <w:pPr>
              <w:pStyle w:val="ODNONIKtreodnonika"/>
            </w:pPr>
            <w:bookmarkStart w:id="4" w:name="ezdIdentyfikatorDokumentuPDF"/>
            <w:bookmarkEnd w:id="4"/>
            <w:r>
              <w:t xml:space="preserve">, </w:t>
            </w:r>
            <w:bookmarkStart w:id="5" w:name="ezdDataPodpisu"/>
            <w:r>
              <w:t>25 października 2022</w:t>
            </w:r>
            <w:bookmarkEnd w:id="5"/>
            <w:r>
              <w:t xml:space="preserve"> </w:t>
            </w:r>
          </w:p>
        </w:tc>
      </w:tr>
    </w:tbl>
    <w:p w:rsidR="00261A16" w:rsidRPr="00737F6A" w:rsidP="00737F6A"/>
    <w:sectPr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135D">
      <w:r>
        <w:separator/>
      </w:r>
    </w:p>
  </w:footnote>
  <w:footnote w:type="continuationSeparator" w:id="1">
    <w:p w:rsidR="00B4135D">
      <w:r>
        <w:continuationSeparator/>
      </w:r>
    </w:p>
  </w:footnote>
  <w:footnote w:id="2">
    <w:p w:rsidR="00BF3F6E" w:rsidRPr="004F222A" w:rsidP="00BF3F6E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</w:r>
      <w:r w:rsidRPr="004F222A">
        <w:t xml:space="preserve">Minister Aktywów Państwowych kieruje działem administracji rządowej – </w:t>
      </w:r>
      <w:r>
        <w:t>aktywa państwowe, na podstawie § 1 ust. 2 pkt 1</w:t>
      </w:r>
      <w:r w:rsidRPr="004F222A">
        <w:t xml:space="preserve"> rozporządzenia Prezesa Rady Ministrów z dnia 18 listopada 2019 r. w sprawie szczegółowego zakresu działania Ministra Aktywów Państwowych (Dz. U. z 2021 r. poz. 943).</w:t>
      </w:r>
    </w:p>
    <w:p w:rsidR="00BF3F6E" w:rsidRPr="004F222A" w:rsidP="00BF3F6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15A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table" w:customStyle="1" w:styleId="GridTableLight">
    <w:name w:val="Grid Table Light"/>
    <w:basedOn w:val="TableNormal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0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Microsoft%20Office\Templates\Szablon%20aktu%20prawnego%204_0.dot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E629E-7EA6-4EB0-A4FD-39D6ACD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Lewandowski Robert</cp:lastModifiedBy>
  <cp:revision>7</cp:revision>
  <cp:lastPrinted>2012-04-23T06:39:00Z</cp:lastPrinted>
  <dcterms:created xsi:type="dcterms:W3CDTF">2020-01-24T09:11:00Z</dcterms:created>
  <dcterms:modified xsi:type="dcterms:W3CDTF">2022-10-25T13:19:00Z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