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375"/>
        <w:gridCol w:w="333"/>
        <w:gridCol w:w="709"/>
        <w:gridCol w:w="709"/>
        <w:gridCol w:w="142"/>
        <w:gridCol w:w="141"/>
        <w:gridCol w:w="426"/>
        <w:gridCol w:w="283"/>
        <w:gridCol w:w="425"/>
        <w:gridCol w:w="426"/>
        <w:gridCol w:w="283"/>
        <w:gridCol w:w="420"/>
        <w:gridCol w:w="92"/>
        <w:gridCol w:w="55"/>
        <w:gridCol w:w="142"/>
        <w:gridCol w:w="709"/>
        <w:gridCol w:w="708"/>
        <w:gridCol w:w="142"/>
        <w:gridCol w:w="567"/>
        <w:gridCol w:w="810"/>
        <w:gridCol w:w="41"/>
      </w:tblGrid>
      <w:tr w:rsidR="00E667A6" w:rsidRPr="005840B9" w14:paraId="1D771B56" w14:textId="77777777" w:rsidTr="000C554C">
        <w:trPr>
          <w:gridAfter w:val="1"/>
          <w:wAfter w:w="41" w:type="dxa"/>
          <w:trHeight w:val="1611"/>
          <w:jc w:val="center"/>
        </w:trPr>
        <w:tc>
          <w:tcPr>
            <w:tcW w:w="7742" w:type="dxa"/>
            <w:gridSpan w:val="15"/>
          </w:tcPr>
          <w:p w14:paraId="75C5CA97" w14:textId="77777777" w:rsidR="006A701A" w:rsidRPr="007C2ADE" w:rsidRDefault="006A701A" w:rsidP="005023F0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7C2ADE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86D7617" w14:textId="362CC9C2" w:rsidR="00972DAF" w:rsidRPr="007C2ADE" w:rsidRDefault="00A349B9" w:rsidP="005023F0">
            <w:pPr>
              <w:spacing w:line="240" w:lineRule="auto"/>
              <w:ind w:hanging="34"/>
              <w:jc w:val="both"/>
              <w:rPr>
                <w:rFonts w:ascii="Times New Roman" w:eastAsia="Arial" w:hAnsi="Times New Roman"/>
                <w:b/>
                <w:bCs/>
                <w:i/>
                <w:color w:val="FF0000"/>
              </w:rPr>
            </w:pPr>
            <w:r w:rsidRPr="007C2ADE">
              <w:rPr>
                <w:rFonts w:ascii="Times New Roman" w:hAnsi="Times New Roman"/>
              </w:rPr>
              <w:t>Pr</w:t>
            </w:r>
            <w:r w:rsidR="00B77022" w:rsidRPr="007C2ADE">
              <w:rPr>
                <w:rFonts w:ascii="Times New Roman" w:hAnsi="Times New Roman"/>
              </w:rPr>
              <w:t xml:space="preserve">ojekt </w:t>
            </w:r>
            <w:r w:rsidR="004A76C3">
              <w:rPr>
                <w:rFonts w:ascii="Times New Roman" w:hAnsi="Times New Roman"/>
              </w:rPr>
              <w:t xml:space="preserve">ustawy </w:t>
            </w:r>
            <w:r w:rsidR="004A76C3" w:rsidRPr="004A76C3">
              <w:rPr>
                <w:rFonts w:ascii="Times New Roman" w:hAnsi="Times New Roman"/>
              </w:rPr>
              <w:t>o zmianie ustawy - Kodeks postępowania administracyjnego</w:t>
            </w:r>
          </w:p>
          <w:p w14:paraId="70831AD2" w14:textId="77777777" w:rsidR="00283918" w:rsidRDefault="00283918" w:rsidP="005023F0">
            <w:pPr>
              <w:spacing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1561F485" w14:textId="143280C7" w:rsidR="006A701A" w:rsidRPr="007C2ADE" w:rsidRDefault="006A701A" w:rsidP="005023F0">
            <w:pPr>
              <w:spacing w:line="240" w:lineRule="auto"/>
              <w:ind w:hanging="34"/>
              <w:jc w:val="both"/>
              <w:rPr>
                <w:rFonts w:ascii="Times New Roman" w:eastAsia="Arial" w:hAnsi="Times New Roman"/>
                <w:b/>
                <w:bCs/>
                <w:i/>
                <w:color w:val="FF0000"/>
              </w:rPr>
            </w:pPr>
            <w:r w:rsidRPr="007C2ADE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69EE52FA" w14:textId="0F794C8E" w:rsidR="006A701A" w:rsidRPr="007C2ADE" w:rsidRDefault="00310F7C" w:rsidP="005023F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Ministerstwo Sprawiedliwości</w:t>
            </w:r>
            <w:r w:rsidR="006534A9" w:rsidRPr="007C2ADE">
              <w:rPr>
                <w:rFonts w:ascii="Times New Roman" w:hAnsi="Times New Roman"/>
                <w:color w:val="000000"/>
              </w:rPr>
              <w:t xml:space="preserve"> – ministerstwo wiodące</w:t>
            </w:r>
            <w:r w:rsidR="000D4ED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A897CD0" w14:textId="77777777" w:rsidR="00A640C0" w:rsidRDefault="00A640C0" w:rsidP="005023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54E0504" w14:textId="648600F7" w:rsidR="001B3460" w:rsidRDefault="001B3460" w:rsidP="005023F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2ADE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F66E73E" w14:textId="51CA777E" w:rsidR="005023F0" w:rsidRDefault="00A616BB" w:rsidP="00A616BB">
            <w:pPr>
              <w:spacing w:line="240" w:lineRule="auto"/>
              <w:rPr>
                <w:rFonts w:ascii="Times New Roman" w:hAnsi="Times New Roman"/>
              </w:rPr>
            </w:pPr>
            <w:r w:rsidRPr="00A616BB">
              <w:rPr>
                <w:rFonts w:ascii="Times New Roman" w:hAnsi="Times New Roman"/>
                <w:bCs/>
              </w:rPr>
              <w:t>Michał Woś</w:t>
            </w:r>
            <w:r>
              <w:rPr>
                <w:rFonts w:ascii="Times New Roman" w:hAnsi="Times New Roman"/>
              </w:rPr>
              <w:t xml:space="preserve"> - </w:t>
            </w:r>
            <w:r w:rsidR="00AD3B74">
              <w:rPr>
                <w:rFonts w:ascii="Times New Roman" w:hAnsi="Times New Roman"/>
              </w:rPr>
              <w:t>S</w:t>
            </w:r>
            <w:r w:rsidR="004A30C6" w:rsidRPr="004A30C6">
              <w:rPr>
                <w:rFonts w:ascii="Times New Roman" w:hAnsi="Times New Roman"/>
              </w:rPr>
              <w:t xml:space="preserve">ekretarz Stanu w Ministerstwie Sprawiedliwości </w:t>
            </w:r>
          </w:p>
          <w:p w14:paraId="5F56EF0B" w14:textId="77777777" w:rsidR="00A616BB" w:rsidRPr="00A616BB" w:rsidRDefault="00A616BB" w:rsidP="00A616BB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14:paraId="68E6A479" w14:textId="77777777" w:rsidR="00B22201" w:rsidRPr="007C2ADE" w:rsidRDefault="006A701A" w:rsidP="00B2220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7C2ADE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89F306A" w14:textId="299FD472" w:rsidR="006A701A" w:rsidRPr="007C2ADE" w:rsidRDefault="00A616BB" w:rsidP="00B2220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Karol Rzęsiewicz - Dyrektor</w:t>
            </w:r>
            <w:r w:rsidR="00520135">
              <w:rPr>
                <w:rFonts w:ascii="Times New Roman" w:hAnsi="Times New Roman"/>
                <w:color w:val="000000"/>
              </w:rPr>
              <w:t xml:space="preserve">, Departament </w:t>
            </w:r>
            <w:r w:rsidR="001F40ED">
              <w:rPr>
                <w:rFonts w:ascii="Times New Roman" w:hAnsi="Times New Roman"/>
                <w:color w:val="000000"/>
              </w:rPr>
              <w:t xml:space="preserve">Prawa </w:t>
            </w:r>
            <w:r w:rsidR="00EA69D3">
              <w:rPr>
                <w:rFonts w:ascii="Times New Roman" w:hAnsi="Times New Roman"/>
                <w:color w:val="000000"/>
              </w:rPr>
              <w:t>Europejskiego</w:t>
            </w:r>
            <w:r w:rsidR="001F40ED">
              <w:rPr>
                <w:rFonts w:ascii="Times New Roman" w:hAnsi="Times New Roman"/>
                <w:color w:val="000000"/>
              </w:rPr>
              <w:t>,</w:t>
            </w:r>
            <w:r w:rsidR="00520135">
              <w:rPr>
                <w:rFonts w:ascii="Times New Roman" w:hAnsi="Times New Roman"/>
                <w:color w:val="000000"/>
              </w:rPr>
              <w:t xml:space="preserve"> tel: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="00520135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="00520135">
              <w:rPr>
                <w:rFonts w:ascii="Times New Roman" w:hAnsi="Times New Roman"/>
                <w:color w:val="000000"/>
              </w:rPr>
              <w:t xml:space="preserve"> 52 12 </w:t>
            </w:r>
            <w:r w:rsidR="00EA69D3">
              <w:rPr>
                <w:rFonts w:ascii="Times New Roman" w:hAnsi="Times New Roman"/>
                <w:color w:val="000000"/>
              </w:rPr>
              <w:t>518</w:t>
            </w:r>
            <w:r w:rsidR="00520135">
              <w:rPr>
                <w:rFonts w:ascii="Times New Roman" w:hAnsi="Times New Roman"/>
                <w:color w:val="000000"/>
              </w:rPr>
              <w:t xml:space="preserve">, mail: </w:t>
            </w:r>
            <w:r>
              <w:rPr>
                <w:rFonts w:ascii="Times New Roman" w:hAnsi="Times New Roman"/>
                <w:color w:val="000000"/>
              </w:rPr>
              <w:t>karol.rzesiewicz</w:t>
            </w:r>
            <w:r w:rsidR="00520135">
              <w:rPr>
                <w:rFonts w:ascii="Times New Roman" w:hAnsi="Times New Roman"/>
                <w:color w:val="000000"/>
              </w:rPr>
              <w:t>@ms.gov.pl</w:t>
            </w:r>
          </w:p>
        </w:tc>
        <w:tc>
          <w:tcPr>
            <w:tcW w:w="3133" w:type="dxa"/>
            <w:gridSpan w:val="7"/>
            <w:shd w:val="clear" w:color="auto" w:fill="FFFFFF"/>
          </w:tcPr>
          <w:p w14:paraId="123C3C96" w14:textId="0DE9D265" w:rsidR="0001779C" w:rsidRPr="007C2ADE" w:rsidRDefault="001B3460" w:rsidP="005023F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2ADE">
              <w:rPr>
                <w:rFonts w:ascii="Times New Roman" w:hAnsi="Times New Roman"/>
                <w:b/>
              </w:rPr>
              <w:t>Data sporządzenia</w:t>
            </w:r>
            <w:r w:rsidRPr="007C2ADE">
              <w:rPr>
                <w:rFonts w:ascii="Times New Roman" w:hAnsi="Times New Roman"/>
                <w:b/>
              </w:rPr>
              <w:br/>
            </w:r>
            <w:r w:rsidR="00DC3925">
              <w:rPr>
                <w:rFonts w:ascii="Times New Roman" w:hAnsi="Times New Roman"/>
              </w:rPr>
              <w:t>22.09</w:t>
            </w:r>
            <w:r w:rsidR="00FF67BC">
              <w:rPr>
                <w:rFonts w:ascii="Times New Roman" w:hAnsi="Times New Roman"/>
              </w:rPr>
              <w:t>.2022</w:t>
            </w:r>
            <w:r w:rsidR="009B581C">
              <w:rPr>
                <w:rFonts w:ascii="Times New Roman" w:hAnsi="Times New Roman"/>
              </w:rPr>
              <w:t xml:space="preserve"> </w:t>
            </w:r>
          </w:p>
          <w:p w14:paraId="7395F832" w14:textId="77777777" w:rsidR="00F76884" w:rsidRPr="007C2ADE" w:rsidRDefault="00F76884" w:rsidP="005023F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2ADE">
              <w:rPr>
                <w:rFonts w:ascii="Times New Roman" w:hAnsi="Times New Roman"/>
                <w:b/>
              </w:rPr>
              <w:t xml:space="preserve">Źródło: </w:t>
            </w:r>
          </w:p>
          <w:p w14:paraId="4EB53D93" w14:textId="48D46238" w:rsidR="00344204" w:rsidRDefault="004A76C3" w:rsidP="005023F0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Inicjatywa własna</w:t>
            </w:r>
          </w:p>
          <w:p w14:paraId="40E5650D" w14:textId="77777777" w:rsidR="00344204" w:rsidRPr="007C2ADE" w:rsidRDefault="00344204" w:rsidP="005023F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561C453" w14:textId="177806C0" w:rsidR="00932929" w:rsidRDefault="006A701A" w:rsidP="005023F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2ADE">
              <w:rPr>
                <w:rFonts w:ascii="Times New Roman" w:hAnsi="Times New Roman"/>
                <w:b/>
              </w:rPr>
              <w:t xml:space="preserve">Nr </w:t>
            </w:r>
            <w:r w:rsidR="0057668E" w:rsidRPr="007C2ADE">
              <w:rPr>
                <w:rFonts w:ascii="Times New Roman" w:hAnsi="Times New Roman"/>
                <w:b/>
              </w:rPr>
              <w:t>w</w:t>
            </w:r>
            <w:r w:rsidRPr="007C2ADE">
              <w:rPr>
                <w:rFonts w:ascii="Times New Roman" w:hAnsi="Times New Roman"/>
                <w:b/>
              </w:rPr>
              <w:t xml:space="preserve"> wykaz</w:t>
            </w:r>
            <w:r w:rsidR="0057668E" w:rsidRPr="007C2ADE">
              <w:rPr>
                <w:rFonts w:ascii="Times New Roman" w:hAnsi="Times New Roman"/>
                <w:b/>
              </w:rPr>
              <w:t>ie</w:t>
            </w:r>
            <w:r w:rsidRPr="007C2ADE">
              <w:rPr>
                <w:rFonts w:ascii="Times New Roman" w:hAnsi="Times New Roman"/>
                <w:b/>
              </w:rPr>
              <w:t xml:space="preserve"> prac</w:t>
            </w:r>
          </w:p>
          <w:p w14:paraId="39C03326" w14:textId="3DF3AD13" w:rsidR="006A701A" w:rsidRPr="007C2ADE" w:rsidRDefault="006A701A" w:rsidP="0052013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A701A" w:rsidRPr="005840B9" w14:paraId="7B18FCBD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10875" w:type="dxa"/>
            <w:gridSpan w:val="22"/>
            <w:shd w:val="clear" w:color="auto" w:fill="99CCFF"/>
          </w:tcPr>
          <w:p w14:paraId="7D60869C" w14:textId="77777777" w:rsidR="006A701A" w:rsidRPr="007C2ADE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C2ADE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5840B9" w14:paraId="370F6128" w14:textId="77777777" w:rsidTr="000C554C">
        <w:trPr>
          <w:gridAfter w:val="1"/>
          <w:wAfter w:w="41" w:type="dxa"/>
          <w:trHeight w:val="333"/>
          <w:jc w:val="center"/>
        </w:trPr>
        <w:tc>
          <w:tcPr>
            <w:tcW w:w="10875" w:type="dxa"/>
            <w:gridSpan w:val="22"/>
            <w:shd w:val="clear" w:color="auto" w:fill="99CCFF"/>
            <w:vAlign w:val="center"/>
          </w:tcPr>
          <w:p w14:paraId="08A4D86C" w14:textId="77777777" w:rsidR="006A701A" w:rsidRPr="007C2ADE" w:rsidRDefault="003D12F6" w:rsidP="00074C8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2ADE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7C2ADE">
              <w:rPr>
                <w:rFonts w:ascii="Times New Roman" w:hAnsi="Times New Roman"/>
                <w:b/>
              </w:rPr>
              <w:t>rozwiązywany?</w:t>
            </w:r>
          </w:p>
        </w:tc>
      </w:tr>
      <w:tr w:rsidR="006A701A" w:rsidRPr="005840B9" w14:paraId="3D24F105" w14:textId="77777777" w:rsidTr="000C554C">
        <w:trPr>
          <w:gridAfter w:val="1"/>
          <w:wAfter w:w="41" w:type="dxa"/>
          <w:trHeight w:val="1406"/>
          <w:jc w:val="center"/>
        </w:trPr>
        <w:tc>
          <w:tcPr>
            <w:tcW w:w="10875" w:type="dxa"/>
            <w:gridSpan w:val="22"/>
            <w:shd w:val="clear" w:color="auto" w:fill="FFFFFF"/>
          </w:tcPr>
          <w:p w14:paraId="6B9EDBFB" w14:textId="7E0BC536" w:rsidR="005F0F47" w:rsidRPr="005F0F47" w:rsidRDefault="005F0F47" w:rsidP="00FE26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5F0F47">
              <w:rPr>
                <w:rFonts w:ascii="Times New Roman" w:hAnsi="Times New Roman"/>
              </w:rPr>
              <w:t>Wszelkie regulacje prawne, a w szczególności te rodzące obowiązki po stronie organów administracji publicznej w imię ochrony praw jednostki, cechować powinna jednoznaczność, precyzja i kompleksowość tak, by uniknąć luk czy wątpliwości interpretacyjnych zwłaszcza wówczas, gdy występujące w praktyce stosowanie odnośnych norm rozbieżności może godzić zarówno w bezpieczeństwo prawne adresatów podjętych decyzji, jak i interes publiczny wyrażający się w potrzebie ostatecznego i wiążącego ustalenia konsekwencji prawnych norm prawa administracyjnego</w:t>
            </w:r>
            <w:r>
              <w:rPr>
                <w:rFonts w:ascii="Times New Roman" w:hAnsi="Times New Roman"/>
              </w:rPr>
              <w:t>. W celu urzeczywistnienia tych zasad projektodawca proponuje szereg zmian porządkujących i doprecyzowujących istniejące regulacje.</w:t>
            </w:r>
          </w:p>
          <w:p w14:paraId="2AC89410" w14:textId="77777777" w:rsidR="005F0F47" w:rsidRDefault="005F0F47" w:rsidP="00FE26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  <w:p w14:paraId="7F66FB73" w14:textId="486A22DF" w:rsidR="008F7979" w:rsidRPr="008F7979" w:rsidRDefault="008F7979" w:rsidP="00FE26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8F7979">
              <w:rPr>
                <w:rFonts w:ascii="Times New Roman" w:hAnsi="Times New Roman"/>
                <w:b/>
                <w:bCs/>
                <w:lang w:eastAsia="pl-PL"/>
              </w:rPr>
              <w:t>Zmiana właściwości organu w toku postępowania</w:t>
            </w:r>
          </w:p>
          <w:p w14:paraId="6354DFBA" w14:textId="19E849E1" w:rsidR="00332752" w:rsidRDefault="00332752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Zmiana właściwości organu w toku wszczętego i prowadzonego postępowania nie została dotąd uregulowana w </w:t>
            </w:r>
            <w:r w:rsidRPr="00332752">
              <w:rPr>
                <w:rFonts w:ascii="Times New Roman" w:hAnsi="Times New Roman"/>
                <w:lang w:eastAsia="pl-PL"/>
              </w:rPr>
              <w:t>ustawie z dnia 14 czerwca 1960 r. - Kodeks postępowania administracyjnego (Dz. U. z 2020 r. poz. 256, 695 i 1298)</w:t>
            </w:r>
            <w:r>
              <w:rPr>
                <w:rFonts w:ascii="Times New Roman" w:hAnsi="Times New Roman"/>
                <w:lang w:eastAsia="pl-PL"/>
              </w:rPr>
              <w:t xml:space="preserve"> (dalej: k.p.a.).</w:t>
            </w:r>
            <w:r w:rsidR="004D4D5F">
              <w:rPr>
                <w:rFonts w:ascii="Times New Roman" w:hAnsi="Times New Roman"/>
                <w:lang w:eastAsia="pl-PL"/>
              </w:rPr>
              <w:t xml:space="preserve"> Wywołuje ona problemy w praktyce, zwłaszcza w postępowaniach z urzędu dotyczących określenia obowiązku albo cofnięcia uprawnienia.</w:t>
            </w:r>
            <w:r w:rsidR="004D4D5F">
              <w:rPr>
                <w:rStyle w:val="Odwoanieprzypisudolnego"/>
                <w:rFonts w:ascii="Times New Roman" w:hAnsi="Times New Roman"/>
                <w:lang w:eastAsia="pl-PL"/>
              </w:rPr>
              <w:footnoteReference w:id="2"/>
            </w:r>
            <w:r w:rsidR="004D4D5F">
              <w:rPr>
                <w:rFonts w:ascii="Times New Roman" w:hAnsi="Times New Roman"/>
                <w:lang w:eastAsia="pl-PL"/>
              </w:rPr>
              <w:t xml:space="preserve"> Kilkukrotnie w czasie postępowania mogą wystąpić zmiany determinujące właściwość organu wynikające z okoliczności faktycznych lub prawnych. W efekcie organ właściwy musi stale potwierdzać swoją właściwość, co może prowadzić do przewlekania prowadzonego postępowania. Problem dotyczy głównie właściwości miejscowej, gdyż zmiana właściwości rzeczowej z reguły wynika ze zmian ustawowych.</w:t>
            </w:r>
          </w:p>
          <w:p w14:paraId="3686D65F" w14:textId="5704D7E5" w:rsidR="00897A1D" w:rsidRDefault="00897A1D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6FDB4B46" w14:textId="132B9923" w:rsidR="007B336E" w:rsidRPr="007B336E" w:rsidRDefault="007B336E" w:rsidP="00FE26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7B336E">
              <w:rPr>
                <w:rFonts w:ascii="Times New Roman" w:hAnsi="Times New Roman"/>
                <w:b/>
                <w:bCs/>
                <w:lang w:eastAsia="pl-PL"/>
              </w:rPr>
              <w:t>Wyłączenie pracownika organu administracji publicznej lub organu administracji publicznej od załatwienia sprawy</w:t>
            </w:r>
          </w:p>
          <w:p w14:paraId="336D1C89" w14:textId="41251799" w:rsidR="00460C88" w:rsidRDefault="00897A1D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Jednym z kluczowych standardów sprawiedliwości proceduralnej jest bezstronność i obiektywizm. Wynikają z tego między innymi przepisy o wyłączeniu pracownika lub organu.</w:t>
            </w:r>
            <w:r w:rsidR="00460C88">
              <w:rPr>
                <w:rFonts w:ascii="Times New Roman" w:hAnsi="Times New Roman"/>
                <w:lang w:eastAsia="pl-PL"/>
              </w:rPr>
              <w:t xml:space="preserve"> Obecnie k.p.a. nie precyzuje czy czynności podjęte przez pracownika przed stwierdzeniem istnienia okoliczności uzasadniających wyłączeni</w:t>
            </w:r>
            <w:r w:rsidR="003050AF">
              <w:rPr>
                <w:rFonts w:ascii="Times New Roman" w:hAnsi="Times New Roman"/>
                <w:lang w:eastAsia="pl-PL"/>
              </w:rPr>
              <w:t>e pozostają ważne i skuteczne</w:t>
            </w:r>
            <w:r w:rsidR="00460C88">
              <w:rPr>
                <w:rFonts w:ascii="Times New Roman" w:hAnsi="Times New Roman"/>
                <w:lang w:eastAsia="pl-PL"/>
              </w:rPr>
              <w:t>. Może to prowadzić do wniosku, że wszystkie dotychczasowe czynności podjęte w sprawie stają się nieważne i postępowanie powinno się toczyć od początku.</w:t>
            </w:r>
            <w:r w:rsidR="000A0C01">
              <w:rPr>
                <w:rFonts w:ascii="Times New Roman" w:hAnsi="Times New Roman"/>
                <w:lang w:eastAsia="pl-PL"/>
              </w:rPr>
              <w:t xml:space="preserve"> Tymczasem prowadzenie postępowania przez pracownika, organ lub członka organu kolegialnego, który podlega wyłączeniu nie zawsze jednak będzie miało wpływ na sposób załatwienia sprawy.</w:t>
            </w:r>
            <w:r w:rsidR="00460C88">
              <w:rPr>
                <w:rFonts w:ascii="Times New Roman" w:hAnsi="Times New Roman"/>
                <w:lang w:eastAsia="pl-PL"/>
              </w:rPr>
              <w:t xml:space="preserve"> Konieczne jest więc </w:t>
            </w:r>
            <w:r w:rsidR="003050AF">
              <w:rPr>
                <w:rFonts w:ascii="Times New Roman" w:hAnsi="Times New Roman"/>
                <w:lang w:eastAsia="pl-PL"/>
              </w:rPr>
              <w:t xml:space="preserve">precyzyjne </w:t>
            </w:r>
            <w:r w:rsidR="00460C88">
              <w:rPr>
                <w:rFonts w:ascii="Times New Roman" w:hAnsi="Times New Roman"/>
                <w:lang w:eastAsia="pl-PL"/>
              </w:rPr>
              <w:t>uregulowanie kwestii skuteczności dotychczasowych czynności.</w:t>
            </w:r>
          </w:p>
          <w:p w14:paraId="3A77C892" w14:textId="77777777" w:rsidR="00CC63B3" w:rsidRDefault="00CC63B3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53A5593D" w14:textId="77777777" w:rsidR="00CC63B3" w:rsidRDefault="005D385F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Zgodnie z art. 26 § 2 k.p.a. w razie wyłączenia organu, kompetencję do załatwienia sprawy przejmuje organ wyższego stopnia, który może wyznaczyć do załatwienia sprawy podległy sobie organ. W literaturze postulowane jest, aby wyznaczenie organu nie naruszało ogólnych zasad właściwości rzeczowej</w:t>
            </w:r>
            <w:r>
              <w:rPr>
                <w:rStyle w:val="Odwoanieprzypisudolnego"/>
                <w:rFonts w:ascii="Times New Roman" w:hAnsi="Times New Roman"/>
                <w:lang w:eastAsia="pl-PL"/>
              </w:rPr>
              <w:footnoteReference w:id="3"/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  <w:p w14:paraId="5B828177" w14:textId="77777777" w:rsidR="005D385F" w:rsidRDefault="005D385F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2A985C2" w14:textId="58D67ADA" w:rsidR="002D77A3" w:rsidRDefault="00817715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Obecnie nie uregulowano czynności towarzyszących wyłączeniu organu w celu zapewnienia prawidłowego i sprawnego postępowania, ani poinformowania stron o fakcie wyłączenia lub braku podstaw do niego. Nie wiadomo co należy zrobić </w:t>
            </w:r>
            <w:r>
              <w:rPr>
                <w:rFonts w:ascii="Times New Roman" w:hAnsi="Times New Roman"/>
                <w:lang w:eastAsia="pl-PL"/>
              </w:rPr>
              <w:lastRenderedPageBreak/>
              <w:t xml:space="preserve">w razie błędnej oceny w zakresie podstaw wyłączenia. </w:t>
            </w:r>
            <w:r w:rsidR="00EB1812">
              <w:rPr>
                <w:rFonts w:ascii="Times New Roman" w:hAnsi="Times New Roman"/>
                <w:lang w:eastAsia="pl-PL"/>
              </w:rPr>
              <w:t>Podstawy wyłączenia organu mogą wystąpić lub zostać ujawnione na każdym etapie postępowania w miarę postępów w wyjaśnianiu sprawy.</w:t>
            </w:r>
            <w:r w:rsidR="00BF7E87">
              <w:rPr>
                <w:rFonts w:ascii="Times New Roman" w:hAnsi="Times New Roman"/>
                <w:lang w:eastAsia="pl-PL"/>
              </w:rPr>
              <w:t xml:space="preserve"> Z jednej strony wyłączenie organu </w:t>
            </w:r>
            <w:r w:rsidR="0007527A">
              <w:rPr>
                <w:rFonts w:ascii="Times New Roman" w:hAnsi="Times New Roman"/>
                <w:lang w:eastAsia="pl-PL"/>
              </w:rPr>
              <w:t>jest jednostkowym zdarzeniem następującym z mocy prawa i ma charakter nieodwracalny, powodując utratę kompetencji do rozstrzygnięcia sprawy. Z drugiej strony organ musi być właściwy w dniu wydania decyzji, co oznacza, że jeśli w toku sprawy podstawy do wyłączenia organu przestaną być aktualne, organ ponownie będzie właściwy w sprawie.</w:t>
            </w:r>
          </w:p>
          <w:p w14:paraId="3733EE0A" w14:textId="5E3FBE3D" w:rsidR="00C626A0" w:rsidRDefault="00C626A0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6DEAC3F9" w14:textId="0EFEAF6A" w:rsidR="0007527A" w:rsidRPr="00C626A0" w:rsidRDefault="00C626A0" w:rsidP="00FE26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Przeniesienie decyzji na inny podmiot</w:t>
            </w:r>
          </w:p>
          <w:p w14:paraId="58E0A9FD" w14:textId="50735B52" w:rsidR="0007527A" w:rsidRDefault="006B55E0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Obowiązujące przepisy dopuszczają, aby przenieść decyzję na rzecz innej osoby</w:t>
            </w:r>
            <w:r w:rsidR="003A6B3A">
              <w:rPr>
                <w:rFonts w:ascii="Times New Roman" w:hAnsi="Times New Roman"/>
                <w:lang w:eastAsia="pl-PL"/>
              </w:rPr>
              <w:t>,</w:t>
            </w:r>
            <w:r>
              <w:rPr>
                <w:rFonts w:ascii="Times New Roman" w:hAnsi="Times New Roman"/>
                <w:lang w:eastAsia="pl-PL"/>
              </w:rPr>
              <w:t xml:space="preserve"> niż na rzecz której decyzja została wydana. Powinno być to dopuszczalne, aby z woli strony, która o wydanie decyzji się ubiega, było możliwe następstwo procesowe już w toku postępowania. Jednak w przypadku niektórych postępowań administracyjnych jest to niemożliwe ze względu na ich charakter</w:t>
            </w:r>
            <w:r w:rsidR="003050AF">
              <w:rPr>
                <w:rFonts w:ascii="Times New Roman" w:hAnsi="Times New Roman"/>
                <w:lang w:eastAsia="pl-PL"/>
              </w:rPr>
              <w:t>, n</w:t>
            </w:r>
            <w:r>
              <w:rPr>
                <w:rFonts w:ascii="Times New Roman" w:hAnsi="Times New Roman"/>
                <w:lang w:eastAsia="pl-PL"/>
              </w:rPr>
              <w:t>a przykład w sprawach o wydanie dowodu osobistego lub paszportu.</w:t>
            </w:r>
          </w:p>
          <w:p w14:paraId="44336F9E" w14:textId="044DEA0D" w:rsidR="004D7CA2" w:rsidRDefault="004D7CA2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453E14A" w14:textId="21BC637F" w:rsidR="008E6F3A" w:rsidRPr="004D7CA2" w:rsidRDefault="004D7CA2" w:rsidP="00FE26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Doręczenia na skrytki pocztowe</w:t>
            </w:r>
          </w:p>
          <w:p w14:paraId="3581F825" w14:textId="54014296" w:rsidR="008E6F3A" w:rsidRDefault="00934BED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Nie istnieje podstawa prawna do doręczania przesyłek do skrytki pocztowej w postępowaniu administracyjnym. Utrudnia to dostęp do sądu osobom bezdomnym oraz osobom, które nie mogą odbierać przesyłek w miejscu zamieszkania. Doręczanie przesyłek do skrytki pocztowej jest możliwe w postępowaniu cywilnym i w karnym, nie wywołując przy tym problemów. Zasadnie wydaje się więc analogiczne </w:t>
            </w:r>
            <w:r w:rsidR="003050AF">
              <w:rPr>
                <w:rFonts w:ascii="Times New Roman" w:hAnsi="Times New Roman"/>
                <w:lang w:eastAsia="pl-PL"/>
              </w:rPr>
              <w:t>dopuszczenie</w:t>
            </w:r>
            <w:r>
              <w:rPr>
                <w:rFonts w:ascii="Times New Roman" w:hAnsi="Times New Roman"/>
                <w:lang w:eastAsia="pl-PL"/>
              </w:rPr>
              <w:t xml:space="preserve"> go w postępowaniu administracyjnym.</w:t>
            </w:r>
          </w:p>
          <w:p w14:paraId="6A9A516A" w14:textId="3D322CCB" w:rsidR="00FA232D" w:rsidRPr="00FA232D" w:rsidRDefault="00FA232D" w:rsidP="00FE26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  <w:p w14:paraId="48ED470E" w14:textId="6440DABE" w:rsidR="00FA232D" w:rsidRPr="00FA232D" w:rsidRDefault="00FA232D" w:rsidP="00FE26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FA232D">
              <w:rPr>
                <w:rFonts w:ascii="Times New Roman" w:hAnsi="Times New Roman"/>
                <w:b/>
                <w:bCs/>
                <w:lang w:eastAsia="pl-PL"/>
              </w:rPr>
              <w:t>Zapis audio lub audio-wideo z czynności organu administracyjnego</w:t>
            </w:r>
          </w:p>
          <w:p w14:paraId="35D02A84" w14:textId="566191D5" w:rsidR="000020D3" w:rsidRDefault="00934BED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 postępowaniu administracyjnym istnieją czynności techniczne</w:t>
            </w:r>
            <w:r w:rsidR="000020D3">
              <w:rPr>
                <w:rFonts w:ascii="Times New Roman" w:hAnsi="Times New Roman"/>
                <w:lang w:eastAsia="pl-PL"/>
              </w:rPr>
              <w:t xml:space="preserve">, które nie wywołują określonych skutków prawnych. Czynności te często nie są uregulowane przepisami, tylko są pozostawione praktyce działań poszczególnych organów administracji. Jedną z takich czynności jest sporządzenie protokołu, dzięki któremu nie powinno być wątpliwości co do przebiegu postępowania. Obecnie nie może </w:t>
            </w:r>
            <w:r w:rsidR="00290C0B">
              <w:rPr>
                <w:rFonts w:ascii="Times New Roman" w:hAnsi="Times New Roman"/>
                <w:lang w:eastAsia="pl-PL"/>
              </w:rPr>
              <w:t>sporządzić</w:t>
            </w:r>
            <w:r w:rsidR="000020D3">
              <w:rPr>
                <w:rFonts w:ascii="Times New Roman" w:hAnsi="Times New Roman"/>
                <w:lang w:eastAsia="pl-PL"/>
              </w:rPr>
              <w:t xml:space="preserve"> zapis</w:t>
            </w:r>
            <w:r w:rsidR="00290C0B">
              <w:rPr>
                <w:rFonts w:ascii="Times New Roman" w:hAnsi="Times New Roman"/>
                <w:lang w:eastAsia="pl-PL"/>
              </w:rPr>
              <w:t>u</w:t>
            </w:r>
            <w:r w:rsidR="000020D3">
              <w:rPr>
                <w:rFonts w:ascii="Times New Roman" w:hAnsi="Times New Roman"/>
                <w:lang w:eastAsia="pl-PL"/>
              </w:rPr>
              <w:t xml:space="preserve"> przebiegu danej czynności </w:t>
            </w:r>
            <w:r w:rsidR="00290C0B">
              <w:rPr>
                <w:rFonts w:ascii="Times New Roman" w:hAnsi="Times New Roman"/>
                <w:lang w:eastAsia="pl-PL"/>
              </w:rPr>
              <w:t>przy użyciu</w:t>
            </w:r>
            <w:r w:rsidR="000020D3">
              <w:rPr>
                <w:rFonts w:ascii="Times New Roman" w:hAnsi="Times New Roman"/>
                <w:lang w:eastAsia="pl-PL"/>
              </w:rPr>
              <w:t xml:space="preserve"> urządzenia rejestrujące</w:t>
            </w:r>
            <w:r w:rsidR="00290C0B">
              <w:rPr>
                <w:rFonts w:ascii="Times New Roman" w:hAnsi="Times New Roman"/>
                <w:lang w:eastAsia="pl-PL"/>
              </w:rPr>
              <w:t>go</w:t>
            </w:r>
            <w:r w:rsidR="000020D3">
              <w:rPr>
                <w:rFonts w:ascii="Times New Roman" w:hAnsi="Times New Roman"/>
                <w:lang w:eastAsia="pl-PL"/>
              </w:rPr>
              <w:t xml:space="preserve"> obraz lub dźwięk. Utrudnia to przeprowadzenie niektórych czynności, takich jak przesłuchanie świadka lub oględziny miejsca.</w:t>
            </w:r>
            <w:r w:rsidR="00A049C6">
              <w:rPr>
                <w:rFonts w:ascii="Times New Roman" w:hAnsi="Times New Roman"/>
                <w:lang w:eastAsia="pl-PL"/>
              </w:rPr>
              <w:t xml:space="preserve"> Dlatego proponuje się wprowadzenie możliwości rejestrowania zapisu dźwięku albo obrazu i dźwięku, tak aby zwiększyć gwarancje procesowe uczestników.</w:t>
            </w:r>
          </w:p>
          <w:p w14:paraId="1339561A" w14:textId="1A8E03BA" w:rsidR="00965920" w:rsidRDefault="00965920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5531ABD8" w14:textId="3CB0BF4C" w:rsidR="0092691A" w:rsidRPr="0092691A" w:rsidRDefault="0092691A" w:rsidP="00FE26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92691A">
              <w:rPr>
                <w:rFonts w:ascii="Times New Roman" w:hAnsi="Times New Roman"/>
                <w:b/>
                <w:bCs/>
                <w:lang w:eastAsia="pl-PL"/>
              </w:rPr>
              <w:t>Rozszerzenie podstaw obligatoryjnego zawieszenia postępowania administracyjnego</w:t>
            </w:r>
          </w:p>
          <w:p w14:paraId="3F83C515" w14:textId="77777777" w:rsidR="00965920" w:rsidRDefault="00002CD3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W czasie postępowania dochodzi w niektórych przypadkach do długotrwałych, ale przemijających przeszkód w jego prowadzeniu, nieobjętych </w:t>
            </w:r>
            <w:r w:rsidRPr="00002CD3">
              <w:rPr>
                <w:rFonts w:ascii="Times New Roman" w:hAnsi="Times New Roman"/>
                <w:lang w:eastAsia="pl-PL"/>
              </w:rPr>
              <w:t>art. 97 § 1 pkt 1-5 k.p.a.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833F6D">
              <w:rPr>
                <w:rFonts w:ascii="Times New Roman" w:hAnsi="Times New Roman"/>
                <w:lang w:eastAsia="pl-PL"/>
              </w:rPr>
              <w:t xml:space="preserve">Może to być na przykład stan zdrowia strony jednoznacznie wskazujący na chorobę psychiczną, choć postępowanie w sprawie ubezwłasnowolnienia wciąż jest w toku albo konieczność znalezienia przez organ biegłego w niszowej dziedzinie. </w:t>
            </w:r>
            <w:r>
              <w:rPr>
                <w:rFonts w:ascii="Times New Roman" w:hAnsi="Times New Roman"/>
                <w:lang w:eastAsia="pl-PL"/>
              </w:rPr>
              <w:t xml:space="preserve">Oznacza to, że brakuje regulacji prawnej umożliwiającej zawieszenie w takim przypadku postępowania. </w:t>
            </w:r>
          </w:p>
          <w:p w14:paraId="6F143B44" w14:textId="23EE6C15" w:rsidR="00DB0E12" w:rsidRDefault="00DB0E12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0CB532C8" w14:textId="2981195C" w:rsidR="008B6778" w:rsidRPr="008B6778" w:rsidRDefault="008B6778" w:rsidP="00FE26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8B6778">
              <w:rPr>
                <w:rFonts w:ascii="Times New Roman" w:hAnsi="Times New Roman"/>
                <w:b/>
                <w:bCs/>
                <w:lang w:eastAsia="pl-PL"/>
              </w:rPr>
              <w:t>Umorzenia postępowań administracyjnych z mocy prawa</w:t>
            </w:r>
          </w:p>
          <w:p w14:paraId="4EEECDEA" w14:textId="3E2DF06D" w:rsidR="00DB0E12" w:rsidRDefault="00DB0E12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Istnieją wątpliwości dotyczące art. 2. ust. 2 </w:t>
            </w:r>
            <w:r w:rsidRPr="00DB0E12">
              <w:rPr>
                <w:rFonts w:ascii="Times New Roman" w:hAnsi="Times New Roman"/>
                <w:lang w:eastAsia="pl-PL"/>
              </w:rPr>
              <w:t>ustawy z dnia 11 sierpnia 2021 r. o zmianie ustawy – Kodeks postępowania administracyjnego</w:t>
            </w:r>
            <w:r>
              <w:rPr>
                <w:rFonts w:ascii="Times New Roman" w:hAnsi="Times New Roman"/>
                <w:lang w:eastAsia="pl-PL"/>
              </w:rPr>
              <w:t>. Zgodnie z jednym stanowiskiem</w:t>
            </w:r>
            <w:r w:rsidR="003050AF">
              <w:rPr>
                <w:rFonts w:ascii="Times New Roman" w:hAnsi="Times New Roman"/>
                <w:lang w:eastAsia="pl-PL"/>
              </w:rPr>
              <w:t>,</w:t>
            </w:r>
            <w:r>
              <w:rPr>
                <w:rFonts w:ascii="Times New Roman" w:hAnsi="Times New Roman"/>
                <w:lang w:eastAsia="pl-PL"/>
              </w:rPr>
              <w:t xml:space="preserve"> zaprezentowanym w orzecznictwie</w:t>
            </w:r>
            <w:r>
              <w:rPr>
                <w:rStyle w:val="Odwoanieprzypisudolnego"/>
                <w:rFonts w:ascii="Times New Roman" w:hAnsi="Times New Roman"/>
                <w:lang w:eastAsia="pl-PL"/>
              </w:rPr>
              <w:footnoteReference w:id="4"/>
            </w:r>
            <w:r w:rsidR="003050AF">
              <w:rPr>
                <w:rFonts w:ascii="Times New Roman" w:hAnsi="Times New Roman"/>
                <w:lang w:eastAsia="pl-PL"/>
              </w:rPr>
              <w:t>,</w:t>
            </w:r>
            <w:r>
              <w:rPr>
                <w:rFonts w:ascii="Times New Roman" w:hAnsi="Times New Roman"/>
                <w:lang w:eastAsia="pl-PL"/>
              </w:rPr>
              <w:t xml:space="preserve"> organ ma obowiązek wydać decyzję, która będzie podlegać kontroli instancyjnej nawet w razie umorzenia postępowania z mocy prawa. Zgodnie z drugim stanowiskiem, w razie umorzenia z mocy prawa nie można wydać decyzji na podstawie art. 105 § 1 k.p.a. </w:t>
            </w:r>
            <w:r w:rsidR="008E13E3">
              <w:rPr>
                <w:rFonts w:ascii="Times New Roman" w:hAnsi="Times New Roman"/>
                <w:lang w:eastAsia="pl-PL"/>
              </w:rPr>
              <w:t xml:space="preserve">z powodu konstytutywnego charakteru decyzji umarzającej. </w:t>
            </w:r>
            <w:r w:rsidR="008B6778">
              <w:rPr>
                <w:rFonts w:ascii="Times New Roman" w:hAnsi="Times New Roman"/>
                <w:lang w:eastAsia="pl-PL"/>
              </w:rPr>
              <w:t xml:space="preserve">Nie </w:t>
            </w:r>
            <w:r w:rsidR="003050AF">
              <w:rPr>
                <w:rFonts w:ascii="Times New Roman" w:hAnsi="Times New Roman"/>
                <w:lang w:eastAsia="pl-PL"/>
              </w:rPr>
              <w:t>istnieją</w:t>
            </w:r>
            <w:r w:rsidR="008B6778">
              <w:rPr>
                <w:rFonts w:ascii="Times New Roman" w:hAnsi="Times New Roman"/>
                <w:lang w:eastAsia="pl-PL"/>
              </w:rPr>
              <w:t xml:space="preserve"> regulacj</w:t>
            </w:r>
            <w:r w:rsidR="003050AF">
              <w:rPr>
                <w:rFonts w:ascii="Times New Roman" w:hAnsi="Times New Roman"/>
                <w:lang w:eastAsia="pl-PL"/>
              </w:rPr>
              <w:t>e</w:t>
            </w:r>
            <w:r w:rsidR="008B6778">
              <w:rPr>
                <w:rFonts w:ascii="Times New Roman" w:hAnsi="Times New Roman"/>
                <w:lang w:eastAsia="pl-PL"/>
              </w:rPr>
              <w:t xml:space="preserve"> zobowiązujące organ do stwierdzenia skutku, w postaci umorzenia z mocy prawa.</w:t>
            </w:r>
          </w:p>
          <w:p w14:paraId="18E56E6C" w14:textId="3DBC991A" w:rsidR="00984EF2" w:rsidRDefault="00984EF2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550EEC23" w14:textId="70C0C703" w:rsidR="00DF2AFC" w:rsidRPr="00984EF2" w:rsidRDefault="00984EF2" w:rsidP="00FE26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984EF2">
              <w:rPr>
                <w:rFonts w:ascii="Times New Roman" w:hAnsi="Times New Roman"/>
                <w:b/>
                <w:bCs/>
                <w:lang w:eastAsia="pl-PL"/>
              </w:rPr>
              <w:t>Przekazanie akt sprawy</w:t>
            </w:r>
          </w:p>
          <w:p w14:paraId="2A3F2B7B" w14:textId="415CAD54" w:rsidR="00DF2AFC" w:rsidRDefault="00DF2AFC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Jeśli wydanie decyzji jest uzależnione od stanowiska innego organu, decyzję wydaje się po zajęciu stanowiska przez ten organ. Inicjatywę o zwrócenie się do innego organu ma organ załatwiający sprawę. Organ współdziałający musi znać okoliczności faktyczne sprawy w stopniu umożliwiającym zajęcie stanowiska. Podstawowym źródłem wiedzy jest dokumentacja przekazana przez organ załatwiający sprawę. Tymczasem brakuje przepisów regulujących obowiązek przekazania akt sprawy.</w:t>
            </w:r>
          </w:p>
          <w:p w14:paraId="1B724516" w14:textId="09D1211B" w:rsidR="00FB2059" w:rsidRDefault="00FB2059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58A1FEE4" w14:textId="387CF869" w:rsidR="00DF2AFC" w:rsidRPr="00FB2059" w:rsidRDefault="00FB2059" w:rsidP="00FE26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FB2059">
              <w:rPr>
                <w:rFonts w:ascii="Times New Roman" w:hAnsi="Times New Roman"/>
                <w:b/>
                <w:bCs/>
                <w:lang w:eastAsia="pl-PL"/>
              </w:rPr>
              <w:t>Zaskarżalność postanowienia w sprawie sprostowania lub wyjaśnienia niezaskarżalnych postanowień</w:t>
            </w:r>
          </w:p>
          <w:p w14:paraId="6719B714" w14:textId="2375B21A" w:rsidR="00ED0A39" w:rsidRDefault="00A45775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Na wydane w toku postępowania postanowienie przysługuje zażalenie, kiedy k.p.a. tak stanowi. Prowadzi to do wyróżnienia postanowień samoistnie niezaskarżalnych, co ma zapewniać szybkość i sprawność postępowania. Aby </w:t>
            </w:r>
            <w:r>
              <w:rPr>
                <w:rFonts w:ascii="Times New Roman" w:hAnsi="Times New Roman"/>
                <w:lang w:eastAsia="pl-PL"/>
              </w:rPr>
              <w:lastRenderedPageBreak/>
              <w:t>chronić interes prawny strony, może ona jednak zaskarżyć postanowienie, na które nie służy zażalenie, w odwołaniu od decyzji. Jednym z postanowień, na które przysługuje zażalenie jest postanowienie o sprostowaniu i o wyjaśnieniu decyzji lub postanowienia.  W efekcie dochodzi do sytuacji, gdy niemożliwe jest zażalenie na postanowienie dotyczące określonej kwestii procesowej, ale zaskarżalne jest postanowienie o sprostowaniu lub wyjaśnieniu tego postanowienia</w:t>
            </w:r>
            <w:r w:rsidR="008663DA">
              <w:rPr>
                <w:rFonts w:ascii="Times New Roman" w:hAnsi="Times New Roman"/>
                <w:lang w:eastAsia="pl-PL"/>
              </w:rPr>
              <w:t>, co mija się z celem wyłączenia zaskarżalności części postanowień.</w:t>
            </w:r>
          </w:p>
          <w:p w14:paraId="753E5A25" w14:textId="74154150" w:rsidR="005C16FE" w:rsidRDefault="005C16FE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2E6FAE3" w14:textId="0F2A8EB1" w:rsidR="006B7BA7" w:rsidRPr="005C16FE" w:rsidRDefault="005C16FE" w:rsidP="00FE26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5C16FE">
              <w:rPr>
                <w:rFonts w:ascii="Times New Roman" w:hAnsi="Times New Roman"/>
                <w:b/>
                <w:bCs/>
                <w:lang w:eastAsia="pl-PL"/>
              </w:rPr>
              <w:t>Ograniczenie orzeczeń o kasacyjnym charakterze (art. 138 § 2c k.p.a.)</w:t>
            </w:r>
          </w:p>
          <w:p w14:paraId="323A2A5C" w14:textId="43B20A2B" w:rsidR="006B7BA7" w:rsidRDefault="00FB150D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Zgodnie z kierunkiem zmian wynikającym z ustawy </w:t>
            </w:r>
            <w:r w:rsidRPr="00FB150D">
              <w:rPr>
                <w:rFonts w:ascii="Times New Roman" w:hAnsi="Times New Roman"/>
                <w:lang w:eastAsia="pl-PL"/>
              </w:rPr>
              <w:t>z dnia 7 kwietnia 2017 r. o zmianie ustawy - Kodeks postępowania administracyjnego oraz niektórych innych ustaw (Dz. U. poz. 935)</w:t>
            </w:r>
            <w:r>
              <w:rPr>
                <w:rFonts w:ascii="Times New Roman" w:hAnsi="Times New Roman"/>
                <w:lang w:eastAsia="pl-PL"/>
              </w:rPr>
              <w:t xml:space="preserve">, której celem było między innymi ograniczenie rozstrzygnięć kasacyjnych, należy dążyć do ograniczania przypadków, </w:t>
            </w:r>
            <w:r w:rsidRPr="00FB150D">
              <w:rPr>
                <w:rFonts w:ascii="Times New Roman" w:hAnsi="Times New Roman"/>
                <w:lang w:eastAsia="pl-PL"/>
              </w:rPr>
              <w:t>gdy rozstrzygnięcie organu drugiej instancji nie prowadzi bezpośrednio do rozstrzygnięcia o istocie sprawy</w:t>
            </w:r>
            <w:r>
              <w:rPr>
                <w:rFonts w:ascii="Times New Roman" w:hAnsi="Times New Roman"/>
                <w:lang w:eastAsia="pl-PL"/>
              </w:rPr>
              <w:t xml:space="preserve">. Wydanie decyzji ostatecznej z naruszeniem art. 25 k.p.a. niekoniecznie oznacza wadliwość zawartego w decyzji rozstrzygnięcia, gdyż nie zawsze wada będzie miała wpływ na sposób załatwienia sprawy. Dlatego </w:t>
            </w:r>
            <w:r w:rsidR="00B553DA">
              <w:rPr>
                <w:rFonts w:ascii="Times New Roman" w:hAnsi="Times New Roman"/>
                <w:lang w:eastAsia="pl-PL"/>
              </w:rPr>
              <w:t>ponowne rozpatrzenie sprawy w pierwszej instancji powinno mieć miejsce tylko wówczas, gdy prawdopodobne jest, iż ponowne rozpatrzenie sprawy bez naruszeń doprowadzi do rozstrzygnięcia sprawy w inny sposób.</w:t>
            </w:r>
            <w:r w:rsidR="00C01741">
              <w:rPr>
                <w:rFonts w:ascii="Times New Roman" w:hAnsi="Times New Roman"/>
                <w:lang w:eastAsia="pl-PL"/>
              </w:rPr>
              <w:t xml:space="preserve"> Wydanie decyzji przez organ, który podlega wyłączeniu, nie prowadzi do uchylenia decyzji, jeśli </w:t>
            </w:r>
            <w:r w:rsidR="00D838DE" w:rsidRPr="00D838DE">
              <w:rPr>
                <w:rFonts w:ascii="Times New Roman" w:hAnsi="Times New Roman"/>
                <w:lang w:eastAsia="pl-PL"/>
              </w:rPr>
              <w:t>nie miała wpływu na treść rozstrzygnięcia lub ich ponowienie przez pracownika niepodlegającego wyłączeniu nie mogłoby prowadzić do odmiennych ustaleń</w:t>
            </w:r>
            <w:r w:rsidR="00D838DE">
              <w:rPr>
                <w:rFonts w:ascii="Times New Roman" w:hAnsi="Times New Roman"/>
                <w:lang w:eastAsia="pl-PL"/>
              </w:rPr>
              <w:t>.</w:t>
            </w:r>
            <w:r w:rsidR="00E469F5">
              <w:rPr>
                <w:rFonts w:ascii="Times New Roman" w:hAnsi="Times New Roman"/>
                <w:lang w:eastAsia="pl-PL"/>
              </w:rPr>
              <w:t xml:space="preserve"> </w:t>
            </w:r>
            <w:r w:rsidR="00C01741">
              <w:rPr>
                <w:rFonts w:ascii="Times New Roman" w:hAnsi="Times New Roman"/>
                <w:lang w:eastAsia="pl-PL"/>
              </w:rPr>
              <w:t>Wymaga to jednak weryfikacji ustaleń w sprawie przez organ wolny od stronniczości.</w:t>
            </w:r>
          </w:p>
          <w:p w14:paraId="288AD8D4" w14:textId="71AD0000" w:rsidR="00AC7431" w:rsidRDefault="00AC7431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1A4AAA91" w14:textId="49C0EC10" w:rsidR="004E2195" w:rsidRPr="00AC7431" w:rsidRDefault="00AC7431" w:rsidP="00FE26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AC7431">
              <w:rPr>
                <w:rFonts w:ascii="Times New Roman" w:hAnsi="Times New Roman"/>
                <w:b/>
                <w:bCs/>
                <w:lang w:eastAsia="pl-PL"/>
              </w:rPr>
              <w:t>Sprzeciw od postanowień kończących postępowanie</w:t>
            </w:r>
          </w:p>
          <w:p w14:paraId="55ED803C" w14:textId="77777777" w:rsidR="004E2195" w:rsidRDefault="004E2195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 wzruszenia rozstrzygnięcia organu administracji może dojść w wyniku sprzeciwu, co stanowi wyjątek od zasady trwałości decyzji ostatecznych. Sprzeciw może być stosowany tylko wtedy, gdy taka możliwość wprost wynika z przepisów. </w:t>
            </w:r>
            <w:r w:rsidR="003D0850">
              <w:rPr>
                <w:rFonts w:ascii="Times New Roman" w:hAnsi="Times New Roman"/>
                <w:lang w:eastAsia="pl-PL"/>
              </w:rPr>
              <w:t>Prokurator ma prawo do wniesienia sprzeciwu jedynie od decyzji ostatecznej, co uzależnia jego możliwości w sprawie od formy zakończenia postępowania, co pozbawia go możliwości realizacji niektórych ustawowych celów, do których został powołany. Tymczasem w doktrynie istnieje stanowisko, zgodnie z którym o</w:t>
            </w:r>
            <w:r w:rsidR="003D0850" w:rsidRPr="003D0850">
              <w:rPr>
                <w:rFonts w:ascii="Times New Roman" w:hAnsi="Times New Roman"/>
                <w:lang w:eastAsia="pl-PL"/>
              </w:rPr>
              <w:t xml:space="preserve">chrona praworządności realizowana przez prokuratora powinna </w:t>
            </w:r>
            <w:r w:rsidR="001B377E">
              <w:rPr>
                <w:rFonts w:ascii="Times New Roman" w:hAnsi="Times New Roman"/>
                <w:lang w:eastAsia="pl-PL"/>
              </w:rPr>
              <w:t xml:space="preserve">również </w:t>
            </w:r>
            <w:r w:rsidR="003D0850" w:rsidRPr="003D0850">
              <w:rPr>
                <w:rFonts w:ascii="Times New Roman" w:hAnsi="Times New Roman"/>
                <w:lang w:eastAsia="pl-PL"/>
              </w:rPr>
              <w:t>służyć eliminowaniu z obrotu prawnego także dotkniętych</w:t>
            </w:r>
            <w:r w:rsidR="001B377E" w:rsidRPr="001B377E">
              <w:rPr>
                <w:rFonts w:ascii="Times New Roman" w:hAnsi="Times New Roman"/>
              </w:rPr>
              <w:t xml:space="preserve"> kwalifikowanymi wadami</w:t>
            </w:r>
            <w:r w:rsidR="003D0850" w:rsidRPr="003D0850">
              <w:rPr>
                <w:rFonts w:ascii="Times New Roman" w:hAnsi="Times New Roman"/>
                <w:lang w:eastAsia="pl-PL"/>
              </w:rPr>
              <w:t xml:space="preserve"> postanowień ostatecznych</w:t>
            </w:r>
            <w:r w:rsidR="003D0850">
              <w:rPr>
                <w:rStyle w:val="Odwoanieprzypisudolnego"/>
                <w:rFonts w:ascii="Times New Roman" w:hAnsi="Times New Roman"/>
                <w:lang w:eastAsia="pl-PL"/>
              </w:rPr>
              <w:footnoteReference w:id="5"/>
            </w:r>
            <w:r w:rsidR="003D0850">
              <w:rPr>
                <w:rFonts w:ascii="Times New Roman" w:hAnsi="Times New Roman"/>
                <w:lang w:eastAsia="pl-PL"/>
              </w:rPr>
              <w:t>.</w:t>
            </w:r>
          </w:p>
          <w:p w14:paraId="7E961E48" w14:textId="77777777" w:rsidR="00E469F5" w:rsidRDefault="00E469F5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6C6D4325" w14:textId="77777777" w:rsidR="00E469F5" w:rsidRDefault="00E469F5" w:rsidP="00FE266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E469F5">
              <w:rPr>
                <w:rFonts w:ascii="Times New Roman" w:hAnsi="Times New Roman"/>
                <w:b/>
                <w:bCs/>
                <w:lang w:eastAsia="pl-PL"/>
              </w:rPr>
              <w:t>Rozprawa zdalna</w:t>
            </w:r>
          </w:p>
          <w:p w14:paraId="4FFD2298" w14:textId="123043E0" w:rsidR="00E469F5" w:rsidRPr="00E469F5" w:rsidRDefault="00E469F5" w:rsidP="00FE266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 czasie stanu epidemicznego popularne stały się rozprawy odmiejscowione, zwane również zdalnymi, które często są bardziej dogodne zarówno dla uczestników postępowania, jak i dla pracowników organu administracji. Dzięki postępowi cyfryzacji, możliwe stało się wykorzystanie nowoczesnych technologii w organach administracji publicznej, a państwo powinno dostosować prawo do nowych, cyfrowych modeli działania.</w:t>
            </w:r>
          </w:p>
        </w:tc>
      </w:tr>
      <w:tr w:rsidR="006A701A" w:rsidRPr="005840B9" w14:paraId="078D514E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10875" w:type="dxa"/>
            <w:gridSpan w:val="22"/>
            <w:shd w:val="clear" w:color="auto" w:fill="99CCFF"/>
            <w:vAlign w:val="center"/>
          </w:tcPr>
          <w:p w14:paraId="4D3F1173" w14:textId="77777777" w:rsidR="006A701A" w:rsidRPr="007C2ADE" w:rsidRDefault="0013216E" w:rsidP="009833A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2ADE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6A701A" w:rsidRPr="005840B9" w14:paraId="4645944B" w14:textId="2DA413EB" w:rsidTr="000C554C">
        <w:trPr>
          <w:gridAfter w:val="1"/>
          <w:wAfter w:w="41" w:type="dxa"/>
          <w:trHeight w:val="1408"/>
          <w:jc w:val="center"/>
        </w:trPr>
        <w:tc>
          <w:tcPr>
            <w:tcW w:w="10875" w:type="dxa"/>
            <w:gridSpan w:val="22"/>
            <w:shd w:val="clear" w:color="auto" w:fill="auto"/>
          </w:tcPr>
          <w:p w14:paraId="5CFE86FF" w14:textId="77777777" w:rsidR="00A350C4" w:rsidRDefault="008F7979" w:rsidP="001B377E">
            <w:pPr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F7979">
              <w:rPr>
                <w:rFonts w:ascii="Times New Roman" w:eastAsia="Times New Roman" w:hAnsi="Times New Roman"/>
                <w:b/>
                <w:bCs/>
                <w:lang w:eastAsia="pl-PL"/>
              </w:rPr>
              <w:t>Zmiana właściwości organu w toku postępowania (art. 21 § 3 k.p.a.)</w:t>
            </w:r>
          </w:p>
          <w:p w14:paraId="2822D4A2" w14:textId="0A9E8C97" w:rsidR="008F7979" w:rsidRDefault="008F7979" w:rsidP="001B377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Projekt przewiduje dodanie art. 21 § 3 k.p.a., zgodnie z którym organ właściwy miejscowo w dniu wszczęcia postępowania pozostanie właściwy do końca postępowania, nawet jeśli w toku sprawy zmienią się podstawy właściwości miejscowej. Rozwiązanie jest wzorowane na </w:t>
            </w:r>
            <w:r w:rsidRPr="008F7979">
              <w:rPr>
                <w:rFonts w:ascii="Times New Roman" w:eastAsia="Times New Roman" w:hAnsi="Times New Roman"/>
                <w:lang w:eastAsia="pl-PL"/>
              </w:rPr>
              <w:t xml:space="preserve">art. 15 Kodeksu postępowania cywilnego, art. 14 Prawa o postępowaniu przed sądami administracyjnymi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oraz </w:t>
            </w:r>
            <w:r w:rsidRPr="008F7979">
              <w:rPr>
                <w:rFonts w:ascii="Times New Roman" w:eastAsia="Times New Roman" w:hAnsi="Times New Roman"/>
                <w:lang w:eastAsia="pl-PL"/>
              </w:rPr>
              <w:t>art. 18b Ordynacji podatkowej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7F842B28" w14:textId="77777777" w:rsidR="007B336E" w:rsidRDefault="007B336E" w:rsidP="001B377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679C804D" w14:textId="77777777" w:rsidR="008F7979" w:rsidRDefault="00FC26ED" w:rsidP="001B377E">
            <w:pPr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S</w:t>
            </w:r>
            <w:r w:rsidRPr="00FC26ED">
              <w:rPr>
                <w:rFonts w:ascii="Times New Roman" w:eastAsia="Times New Roman" w:hAnsi="Times New Roman"/>
                <w:b/>
                <w:bCs/>
                <w:lang w:eastAsia="pl-PL"/>
              </w:rPr>
              <w:t>kuteczność czynności podjętych przed wyłączeniem pracownika od załatwienia sprawy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(art. 24 § 5 i 6 k.p.a.)</w:t>
            </w:r>
          </w:p>
          <w:p w14:paraId="4564C030" w14:textId="093C9FCB" w:rsidR="006D25B2" w:rsidRDefault="00FC26ED" w:rsidP="001B377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Zgodnie z projektem, czynności dokonane przez pracownika podlegającego wyłączeniu na postawie § 1 lub 3 pozostają w mocy, jeśli były wykonane przed ujawnieniem okoliczności uzasadniających wyłączenie oraz do czasu wyznaczenia innego pracownika. Organ będzie mógł jednak ponowić wykonane czynności. Jeśli czynności naruszają § 4, pozostaną w mocy, jeśli rozpoznanie sprawy przez innego pracownika</w:t>
            </w:r>
            <w:r w:rsidR="00D804CC">
              <w:rPr>
                <w:rFonts w:ascii="Times New Roman" w:eastAsia="Times New Roman" w:hAnsi="Times New Roman"/>
                <w:lang w:eastAsia="pl-PL"/>
              </w:rPr>
              <w:t xml:space="preserve"> nie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mogłoby </w:t>
            </w:r>
            <w:r w:rsidR="00D804CC">
              <w:rPr>
                <w:rFonts w:ascii="Times New Roman" w:eastAsia="Times New Roman" w:hAnsi="Times New Roman"/>
                <w:lang w:eastAsia="pl-PL"/>
              </w:rPr>
              <w:t>doprowadzić do innych ustaleń</w:t>
            </w:r>
            <w:r w:rsidR="007B336E">
              <w:rPr>
                <w:rFonts w:ascii="Times New Roman" w:eastAsia="Times New Roman" w:hAnsi="Times New Roman"/>
                <w:lang w:eastAsia="pl-PL"/>
              </w:rPr>
              <w:t>.</w:t>
            </w:r>
            <w:r w:rsidR="00DA2405">
              <w:rPr>
                <w:rFonts w:ascii="Times New Roman" w:eastAsia="Times New Roman" w:hAnsi="Times New Roman"/>
                <w:lang w:eastAsia="pl-PL"/>
              </w:rPr>
              <w:t xml:space="preserve"> Rozwiązanie wynika z tego, że wyłączenie następuje nie wcześniej niż w momencie uzasadniających je okoliczności, a więc do tego momentu czynności nie są podejmowane przez wyłączonego pracownika. Naruszenie przepisów o wyłączeniu pracownika może mieć różny wpływ na sposób załatwienia sprawy. Stosowanie prawa może mieć charakter </w:t>
            </w:r>
            <w:r w:rsidR="006D25B2">
              <w:rPr>
                <w:rFonts w:ascii="Times New Roman" w:eastAsia="Times New Roman" w:hAnsi="Times New Roman"/>
                <w:lang w:eastAsia="pl-PL"/>
              </w:rPr>
              <w:t xml:space="preserve">uznaniowy, na przykład oparty na klauzulach generalnych, ale także sylogistyczny, więc możliwe są sytuacje, że inny pracownik, niepodlegający </w:t>
            </w:r>
            <w:r w:rsidR="006D25B2">
              <w:rPr>
                <w:rFonts w:ascii="Times New Roman" w:eastAsia="Times New Roman" w:hAnsi="Times New Roman"/>
                <w:lang w:eastAsia="pl-PL"/>
              </w:rPr>
              <w:lastRenderedPageBreak/>
              <w:t>wyłączeniu, musiałby podjąć taką samą decyzję jak pracownik wyłączony. Analogiczne regulacje będą dotyczyły wyłączenia organu.</w:t>
            </w:r>
          </w:p>
          <w:p w14:paraId="5DB67FDF" w14:textId="77777777" w:rsidR="001B377E" w:rsidRDefault="001B377E" w:rsidP="001B377E">
            <w:pPr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3B99EFD0" w14:textId="35FD9E81" w:rsidR="006D25B2" w:rsidRDefault="006D25B2" w:rsidP="001B377E">
            <w:pPr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</w:t>
            </w:r>
            <w:r w:rsidRPr="006D25B2">
              <w:rPr>
                <w:rFonts w:ascii="Times New Roman" w:eastAsia="Times New Roman" w:hAnsi="Times New Roman"/>
                <w:b/>
                <w:bCs/>
                <w:lang w:eastAsia="pl-PL"/>
              </w:rPr>
              <w:t>rgan wyznaczony do załatwienia sprawy (art. 26 § 2 k.p.a.)</w:t>
            </w:r>
          </w:p>
          <w:p w14:paraId="2055E9EF" w14:textId="02B7186D" w:rsidR="00616A43" w:rsidRDefault="00616A43" w:rsidP="001B377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art. 26 § 2 k.p.a. dodane zostanie odesłanie do art. 20 k.p.a. dzięki czemu wyznaczenie organu nie będzie naruszało właściwości rzeczowej.</w:t>
            </w:r>
          </w:p>
          <w:p w14:paraId="4530B4C9" w14:textId="77777777" w:rsidR="00616A43" w:rsidRDefault="00616A43" w:rsidP="001B377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6EB86CB9" w14:textId="77777777" w:rsidR="00616A43" w:rsidRDefault="00616A43" w:rsidP="001B377E">
            <w:pPr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C</w:t>
            </w:r>
            <w:r w:rsidRPr="00616A43">
              <w:rPr>
                <w:rFonts w:ascii="Times New Roman" w:eastAsia="Times New Roman" w:hAnsi="Times New Roman"/>
                <w:b/>
                <w:bCs/>
                <w:lang w:eastAsia="pl-PL"/>
              </w:rPr>
              <w:t>zynności towarzyszące wyłączeniu organu (art. 26 § 2a k.p.a.)</w:t>
            </w:r>
          </w:p>
          <w:p w14:paraId="0ECEDE25" w14:textId="77777777" w:rsidR="00616A43" w:rsidRDefault="00616A43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Zgodnie z projektowanym przepisem</w:t>
            </w:r>
            <w:r w:rsidR="00AB3B40">
              <w:rPr>
                <w:rFonts w:ascii="Times New Roman" w:eastAsia="Times New Roman" w:hAnsi="Times New Roman"/>
                <w:lang w:eastAsia="pl-PL"/>
              </w:rPr>
              <w:t xml:space="preserve">, organ załatwiający sprawę w razie wyłączenia niezwłocznie przekaże organowi wyższego rzędu akta sprawy wraz z wszystkimi posiadanymi dokumentami i materiałami wskazującymi na okoliczności wyłączenia. </w:t>
            </w:r>
            <w:r w:rsidR="00AB3B40">
              <w:rPr>
                <w:rFonts w:ascii="Times New Roman" w:eastAsia="Times New Roman" w:hAnsi="Times New Roman"/>
                <w:bCs/>
                <w:lang w:eastAsia="pl-PL"/>
              </w:rPr>
              <w:t>Będzie to czynność materialno-techniczna</w:t>
            </w:r>
            <w:r w:rsidR="00B32826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  <w:p w14:paraId="2322F3DD" w14:textId="77777777" w:rsidR="00B32826" w:rsidRDefault="00B32826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0721B180" w14:textId="77777777" w:rsidR="00B32826" w:rsidRDefault="00B32826" w:rsidP="001B377E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K</w:t>
            </w:r>
            <w:r w:rsidRPr="00B32826">
              <w:rPr>
                <w:rFonts w:ascii="Times New Roman" w:eastAsia="Times New Roman" w:hAnsi="Times New Roman"/>
                <w:b/>
                <w:lang w:eastAsia="pl-PL"/>
              </w:rPr>
              <w:t>onsekwencje zmiany podstaw wyłączenia organu w toku postępowania (art. 26 § 2b k.p.a.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)</w:t>
            </w:r>
          </w:p>
          <w:p w14:paraId="4B244A73" w14:textId="77777777" w:rsidR="00B32826" w:rsidRDefault="00B32826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Organ wyznaczony w wyniku wyłączenia innego organu pozostanie właściwy do czasu zakończenia sprawy w danej instancji, nawet jeśli doszło do zmiany stanowiska co do podstaw wyłączenia. Ma to sprzyjać stabilności i sprawności postępowania.</w:t>
            </w:r>
          </w:p>
          <w:p w14:paraId="6D9DAB11" w14:textId="77777777" w:rsidR="00B32826" w:rsidRDefault="00B32826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7B7D55B1" w14:textId="77777777" w:rsidR="00B32826" w:rsidRDefault="00B32826" w:rsidP="001B377E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B32826">
              <w:rPr>
                <w:rFonts w:ascii="Times New Roman" w:eastAsia="Times New Roman" w:hAnsi="Times New Roman"/>
                <w:b/>
                <w:lang w:eastAsia="pl-PL"/>
              </w:rPr>
              <w:t>Następstwo prawne będące skutkiem oświadczenia wnioskodawcy i osoby mającej wstąpić w jego miejsce (art. 30a k.p.a.)</w:t>
            </w:r>
          </w:p>
          <w:p w14:paraId="1A5423E0" w14:textId="77777777" w:rsidR="00B32826" w:rsidRDefault="00C626A0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Projekt zakłada, że na wniosek strony, która wystąpiła z żądaniem wszczęcia postępowania organ będzie mógł dopuścić inny podmiot do udziału w postępowaniu, jeśli podmiot ten wyrazi zgodę i nie sprzeciwia się temu charakter sprawy.. Przeniesienie decyzji na inny podmiot będzie dopuszczalne.</w:t>
            </w:r>
          </w:p>
          <w:p w14:paraId="3FB88ED8" w14:textId="77777777" w:rsidR="004D7CA2" w:rsidRDefault="004D7CA2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07C1331D" w14:textId="77777777" w:rsidR="004D7CA2" w:rsidRDefault="004D7CA2" w:rsidP="001B377E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4D7CA2">
              <w:rPr>
                <w:rFonts w:ascii="Times New Roman" w:eastAsia="Times New Roman" w:hAnsi="Times New Roman"/>
                <w:b/>
                <w:lang w:eastAsia="pl-PL"/>
              </w:rPr>
              <w:t>Doręczenia na skrytki pocztowe (art. 45a k.p.a.)</w:t>
            </w:r>
          </w:p>
          <w:p w14:paraId="3512BC0A" w14:textId="77777777" w:rsidR="004D7CA2" w:rsidRDefault="004D7CA2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Możliwe będzie doręczanie przesyłek na skrytki pocztowe na wniosek adresata. Pismo będzie pozostawiane w placówce pocztowej operatora, a zawiadomienie o tym zostanie umieszczone w skrytce pocztowej adresata. Adresat będzie miał obowiązek zawiadomić organ administracji publicznej o każdej zmianie adresu skrytki pocztowej.</w:t>
            </w:r>
          </w:p>
          <w:p w14:paraId="524404B3" w14:textId="77777777" w:rsidR="00FA232D" w:rsidRDefault="00FA232D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6011BB37" w14:textId="77777777" w:rsidR="00FA232D" w:rsidRDefault="00FA232D" w:rsidP="001B377E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FA232D">
              <w:rPr>
                <w:rFonts w:ascii="Times New Roman" w:eastAsia="Times New Roman" w:hAnsi="Times New Roman"/>
                <w:b/>
                <w:lang w:eastAsia="pl-PL"/>
              </w:rPr>
              <w:t>Zapis audio lub audio-wideo z czynności organu administracyjnego (art. 67 § 1 oraz 73 § 1c k.p.a.)</w:t>
            </w:r>
          </w:p>
          <w:p w14:paraId="56712B1B" w14:textId="2D3906D5" w:rsidR="00E51BDB" w:rsidRDefault="00CA28C3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Organy administracji publicznej będą mogły</w:t>
            </w:r>
            <w:r w:rsidR="00F56543">
              <w:rPr>
                <w:rFonts w:ascii="Times New Roman" w:eastAsia="Times New Roman" w:hAnsi="Times New Roman"/>
                <w:bCs/>
                <w:lang w:eastAsia="pl-PL"/>
              </w:rPr>
              <w:t xml:space="preserve"> fakultatywnie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290C0B">
              <w:rPr>
                <w:rFonts w:ascii="Times New Roman" w:eastAsia="Times New Roman" w:hAnsi="Times New Roman"/>
                <w:bCs/>
                <w:lang w:eastAsia="pl-PL"/>
              </w:rPr>
              <w:t>obok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protokołu </w:t>
            </w:r>
            <w:r w:rsidR="00290C0B">
              <w:rPr>
                <w:rFonts w:ascii="Times New Roman" w:eastAsia="Times New Roman" w:hAnsi="Times New Roman"/>
                <w:bCs/>
                <w:lang w:eastAsia="pl-PL"/>
              </w:rPr>
              <w:t xml:space="preserve">pisemnego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utrwalić przebieg czynności za pomocą urządzenia nagrywającego </w:t>
            </w:r>
            <w:r w:rsidR="00290C0B">
              <w:rPr>
                <w:rFonts w:ascii="Times New Roman" w:eastAsia="Times New Roman" w:hAnsi="Times New Roman"/>
                <w:bCs/>
                <w:lang w:eastAsia="pl-PL"/>
              </w:rPr>
              <w:t>dźwięk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lub</w:t>
            </w:r>
            <w:r w:rsidR="00290C0B">
              <w:rPr>
                <w:rFonts w:ascii="Times New Roman" w:eastAsia="Times New Roman" w:hAnsi="Times New Roman"/>
                <w:bCs/>
                <w:lang w:eastAsia="pl-PL"/>
              </w:rPr>
              <w:t xml:space="preserve"> obraz 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dźwięk. </w:t>
            </w:r>
            <w:r w:rsidR="00290C0B">
              <w:rPr>
                <w:rFonts w:ascii="Times New Roman" w:eastAsia="Times New Roman" w:hAnsi="Times New Roman"/>
                <w:bCs/>
                <w:lang w:eastAsia="pl-PL"/>
              </w:rPr>
              <w:t xml:space="preserve">W takim przypadku protokół pisemny będzie można ograniczyć do najważniejszych oświadczeń osób biorących udział w czynności.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Przed uruchomieniem urządzenia, konieczne będzie poinformowanie o tym osób biorących udział w czynności. Strona będzie miała prawo do otrzymania zapisu dźwięku lub obrazu.</w:t>
            </w:r>
            <w:r w:rsidR="00290C0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  <w:p w14:paraId="74593508" w14:textId="77777777" w:rsidR="0092691A" w:rsidRDefault="0092691A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6FD3570B" w14:textId="77777777" w:rsidR="0092691A" w:rsidRDefault="0092691A" w:rsidP="001B377E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2691A">
              <w:rPr>
                <w:rFonts w:ascii="Times New Roman" w:eastAsia="Times New Roman" w:hAnsi="Times New Roman"/>
                <w:b/>
                <w:lang w:eastAsia="pl-PL"/>
              </w:rPr>
              <w:t>Rozszerzenie podstaw obligatoryjnego zawieszenia postępowania administracyjnego (art. 97 § 1 pkt 6 k.p.a.)</w:t>
            </w:r>
          </w:p>
          <w:p w14:paraId="718EB920" w14:textId="1B0EB89C" w:rsidR="0092691A" w:rsidRDefault="0092691A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Projekt przewiduje dodanie </w:t>
            </w:r>
            <w:r w:rsidRPr="0092691A">
              <w:rPr>
                <w:rFonts w:ascii="Times New Roman" w:eastAsia="Times New Roman" w:hAnsi="Times New Roman"/>
                <w:bCs/>
                <w:lang w:eastAsia="pl-PL"/>
              </w:rPr>
              <w:t>art. 97 § 1 pkt 6 k.p.a.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zgodnie z którym organ administracji publicznej będzie mógł zawiesić postępowanie, jeśli wystąpi długotrwała przeszkoda uniemożliwiająca jego prowadzenie. </w:t>
            </w:r>
            <w:r w:rsidR="002C42FE">
              <w:rPr>
                <w:rFonts w:ascii="Times New Roman" w:eastAsia="Times New Roman" w:hAnsi="Times New Roman"/>
                <w:bCs/>
                <w:lang w:eastAsia="pl-PL"/>
              </w:rPr>
              <w:t xml:space="preserve">Katalog przyczyn umożliwiających zawieszenie stanie się otwarty, podlegać będzie jednak kontroli organu wyższego stopnia, zgodnie z </w:t>
            </w:r>
            <w:r w:rsidR="002C42FE" w:rsidRPr="002C42FE">
              <w:rPr>
                <w:rFonts w:ascii="Times New Roman" w:eastAsia="Times New Roman" w:hAnsi="Times New Roman"/>
                <w:bCs/>
                <w:lang w:eastAsia="pl-PL"/>
              </w:rPr>
              <w:t>art. 101 § 3 k.p.a.</w:t>
            </w:r>
          </w:p>
          <w:p w14:paraId="1ECD063A" w14:textId="77777777" w:rsidR="008B6778" w:rsidRDefault="008B6778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2523F6AA" w14:textId="77777777" w:rsidR="008B6778" w:rsidRDefault="008B6778" w:rsidP="001B377E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B6778">
              <w:rPr>
                <w:rFonts w:ascii="Times New Roman" w:eastAsia="Times New Roman" w:hAnsi="Times New Roman"/>
                <w:b/>
                <w:lang w:eastAsia="pl-PL"/>
              </w:rPr>
              <w:t>Umorzenia postępowań administracyjnych z mocy prawa (art. 105 § 3 k.p.a.)</w:t>
            </w:r>
          </w:p>
          <w:p w14:paraId="4F78E7EE" w14:textId="77777777" w:rsidR="008B6778" w:rsidRDefault="008B6778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Zgodnie z projektowaną regulacją, organ administracji publicznej będzie zobowiązany niezwłocznie zawiadomić strony o umorzeniu postępowania z mocy prawa, co ma usunąć wątpliwości dotyczące interpretacji umorzenia z mocy prawa.</w:t>
            </w:r>
          </w:p>
          <w:p w14:paraId="2FCE99E6" w14:textId="77777777" w:rsidR="006C3925" w:rsidRDefault="006C3925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1D83EA10" w14:textId="77777777" w:rsidR="006C3925" w:rsidRDefault="006C3925" w:rsidP="001B377E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6C3925">
              <w:rPr>
                <w:rFonts w:ascii="Times New Roman" w:eastAsia="Times New Roman" w:hAnsi="Times New Roman"/>
                <w:b/>
                <w:lang w:eastAsia="pl-PL"/>
              </w:rPr>
              <w:t>Przekazanie akt sprawy (art. 106 § 1a k.p.a.)</w:t>
            </w:r>
          </w:p>
          <w:p w14:paraId="631BE385" w14:textId="77777777" w:rsidR="005931BA" w:rsidRDefault="005931BA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Organ załatwiający sprawę będzie miał obowiązek przekazania akt sprawy organowi współdziałającemu bez wezwania z jego strony. Możliwe będzie przekazanie odpisów, by nie utrudniać przebiegu zasadniczego postępowania oraz biorąc pod uwagę, że przy jednym postępowaniu może współdziałać kilka organów jednocześnie.</w:t>
            </w:r>
          </w:p>
          <w:p w14:paraId="1B9A4281" w14:textId="77777777" w:rsidR="005931BA" w:rsidRDefault="005931BA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05FCF652" w14:textId="77777777" w:rsidR="005931BA" w:rsidRDefault="005931BA" w:rsidP="001B377E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FB2059">
              <w:rPr>
                <w:rFonts w:ascii="Times New Roman" w:eastAsia="Times New Roman" w:hAnsi="Times New Roman"/>
                <w:b/>
                <w:lang w:eastAsia="pl-PL"/>
              </w:rPr>
              <w:t>Zaskarżalność postanowienia w sprawie sprostowania lub wyjaśnienia niezaskarżalnych postanowień (art. 126 k.p.a.)</w:t>
            </w:r>
          </w:p>
          <w:p w14:paraId="3ABC2C0A" w14:textId="77777777" w:rsidR="005C16FE" w:rsidRDefault="005C16FE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Do art. 126 zostanie dodany § 2, zgodnie z którym zażalenie nie będzie przysługiwało na postanowienie w sprawie sprostowania i wyjaśnienia postanowienia, od którego nie przysługuje zażalenie.</w:t>
            </w:r>
          </w:p>
          <w:p w14:paraId="6DCE9FC0" w14:textId="77777777" w:rsidR="005C16FE" w:rsidRDefault="005C16FE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11CC23B3" w14:textId="77777777" w:rsidR="005C16FE" w:rsidRDefault="005C16FE" w:rsidP="001B377E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C16FE">
              <w:rPr>
                <w:rFonts w:ascii="Times New Roman" w:eastAsia="Times New Roman" w:hAnsi="Times New Roman"/>
                <w:b/>
                <w:lang w:eastAsia="pl-PL"/>
              </w:rPr>
              <w:t>Ograniczenie orzeczeń o kasacyjnym charakterze (art. 138 § 2c k.p.a.)</w:t>
            </w:r>
          </w:p>
          <w:p w14:paraId="0667F6D1" w14:textId="26752D0D" w:rsidR="005C16FE" w:rsidRDefault="005C16FE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Dodany zostanie </w:t>
            </w:r>
            <w:r w:rsidRPr="005C16FE">
              <w:rPr>
                <w:rFonts w:ascii="Times New Roman" w:eastAsia="Times New Roman" w:hAnsi="Times New Roman"/>
                <w:bCs/>
                <w:lang w:eastAsia="pl-PL"/>
              </w:rPr>
              <w:t>art. 138 § 2c k.p.a.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 zgodnie z którym decyzja wydana z naruszeniem</w:t>
            </w:r>
            <w:r w:rsidR="00AC7431">
              <w:rPr>
                <w:rFonts w:ascii="Times New Roman" w:eastAsia="Times New Roman" w:hAnsi="Times New Roman"/>
                <w:bCs/>
                <w:lang w:eastAsia="pl-PL"/>
              </w:rPr>
              <w:t xml:space="preserve"> art. 25 k.p.a. nie zostanie uchylona przez organ odwoławczy, jeśli powtórne rozpatrzenie mogłoby doprowadzić wyłącznie do wydania takiej samej w swej istocie decyzji.</w:t>
            </w:r>
          </w:p>
          <w:p w14:paraId="784E112E" w14:textId="77777777" w:rsidR="00AC7431" w:rsidRDefault="00AC7431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49BA796C" w14:textId="77777777" w:rsidR="00AC7431" w:rsidRDefault="00AC7431" w:rsidP="001B377E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AC7431">
              <w:rPr>
                <w:rFonts w:ascii="Times New Roman" w:eastAsia="Times New Roman" w:hAnsi="Times New Roman"/>
                <w:b/>
                <w:lang w:eastAsia="pl-PL"/>
              </w:rPr>
              <w:t>Sprzeciw od postanowień kończących postępowanie (art. 189</w:t>
            </w:r>
            <w:r w:rsidRPr="00AC7431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1</w:t>
            </w:r>
            <w:r w:rsidRPr="00AC7431">
              <w:rPr>
                <w:rFonts w:ascii="Times New Roman" w:eastAsia="Times New Roman" w:hAnsi="Times New Roman"/>
                <w:b/>
                <w:lang w:eastAsia="pl-PL"/>
              </w:rPr>
              <w:t xml:space="preserve"> k.p.a.)</w:t>
            </w:r>
          </w:p>
          <w:p w14:paraId="677B94E1" w14:textId="60A8ABBC" w:rsidR="00AC7431" w:rsidRDefault="00AC7431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Instytucja sprzeciwu zostanie rozszerzona na postanowienia kończące postępowanie lub rozstrzygające sprawę co do istoty. Termin do wniesienia sprzeciwu wynika z przepisów dotyczących trybów nadzwyczajnych. Sprzeciw nie jest dopuszczalny, gdy dowody okazały się fałszywe albo gdy decyzja została wydana w wyniku przestępstwa</w:t>
            </w:r>
            <w:r w:rsidR="00397BF5">
              <w:rPr>
                <w:rFonts w:ascii="Times New Roman" w:eastAsia="Times New Roman" w:hAnsi="Times New Roman"/>
                <w:bCs/>
                <w:lang w:eastAsia="pl-PL"/>
              </w:rPr>
              <w:t>, ale upłynęło 10 lat od doręczenia decyzji. Sprzeciw od decyzji ministra może wnieść wyłącznie Prokurator Generalny. W postępowaniu wywołanym wniesieniem sprzeciwu od ostatecznego postanowienia prokurator będzie miał prawa strony.</w:t>
            </w:r>
          </w:p>
          <w:p w14:paraId="41D13073" w14:textId="113C8DDD" w:rsidR="00E469F5" w:rsidRDefault="00E469F5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5B1B01D8" w14:textId="6AF50B21" w:rsidR="00E469F5" w:rsidRDefault="00E469F5" w:rsidP="001B377E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Rozprawa zdalna (</w:t>
            </w:r>
            <w:r w:rsidRPr="00E469F5">
              <w:rPr>
                <w:rFonts w:ascii="Times New Roman" w:eastAsia="Times New Roman" w:hAnsi="Times New Roman"/>
                <w:b/>
                <w:lang w:eastAsia="pl-PL"/>
              </w:rPr>
              <w:t>art. 89 § 3 k.p.a.)</w:t>
            </w:r>
          </w:p>
          <w:p w14:paraId="02F87391" w14:textId="21CDE3B9" w:rsidR="00E469F5" w:rsidRPr="00E469F5" w:rsidRDefault="00E469F5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Projektowana ustawa przewiduje możliwość rozprawy na odległość poprzez jednoczesną transmisję obrazu i dźwięku za pomocą odpowiednich urządzeń technicznych, jeśli strony się temu nie sprzeciwią. </w:t>
            </w:r>
            <w:r w:rsidR="00ED4CB7">
              <w:rPr>
                <w:rFonts w:ascii="Times New Roman" w:eastAsia="Times New Roman" w:hAnsi="Times New Roman"/>
                <w:bCs/>
                <w:lang w:eastAsia="pl-PL"/>
              </w:rPr>
              <w:t>Rozwiązanie to będzie miało charakter fakultatywny – organ będzie mógł zaproponować je stronom, jeśli będzie miał ku temu możliwości techniczno-organizacyjne i nie wpłynie to negatywnie na prawa stron.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  <w:p w14:paraId="54BBDE22" w14:textId="42EF0ABC" w:rsidR="000F53B3" w:rsidRPr="00AC7431" w:rsidRDefault="000F53B3" w:rsidP="001B377E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6A701A" w:rsidRPr="005840B9" w14:paraId="7F16B607" w14:textId="77777777" w:rsidTr="000C554C">
        <w:trPr>
          <w:gridAfter w:val="1"/>
          <w:wAfter w:w="41" w:type="dxa"/>
          <w:trHeight w:val="307"/>
          <w:jc w:val="center"/>
        </w:trPr>
        <w:tc>
          <w:tcPr>
            <w:tcW w:w="10875" w:type="dxa"/>
            <w:gridSpan w:val="22"/>
            <w:shd w:val="clear" w:color="auto" w:fill="99CCFF"/>
            <w:vAlign w:val="center"/>
          </w:tcPr>
          <w:p w14:paraId="7656E832" w14:textId="77777777" w:rsidR="006A701A" w:rsidRPr="007C2ADE" w:rsidRDefault="009E3C4B" w:rsidP="009833A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2ADE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7C2ADE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7C2ADE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5840B9" w14:paraId="5D586675" w14:textId="77777777" w:rsidTr="000C554C">
        <w:trPr>
          <w:gridAfter w:val="1"/>
          <w:wAfter w:w="41" w:type="dxa"/>
          <w:trHeight w:val="512"/>
          <w:jc w:val="center"/>
        </w:trPr>
        <w:tc>
          <w:tcPr>
            <w:tcW w:w="10875" w:type="dxa"/>
            <w:gridSpan w:val="22"/>
            <w:shd w:val="clear" w:color="auto" w:fill="auto"/>
          </w:tcPr>
          <w:p w14:paraId="25523217" w14:textId="7B539416" w:rsidR="00984EF2" w:rsidRPr="006C3925" w:rsidRDefault="00314A01" w:rsidP="004C731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314A01">
              <w:rPr>
                <w:rFonts w:ascii="Times New Roman" w:hAnsi="Times New Roman"/>
                <w:color w:val="000000"/>
                <w:lang w:eastAsia="pl-PL"/>
              </w:rPr>
              <w:t>Projektowana regulacja ze względu na stopień jej szczegółowości nie była poddawana analizie prawnoporównawczej.</w:t>
            </w:r>
          </w:p>
        </w:tc>
      </w:tr>
      <w:tr w:rsidR="006A701A" w:rsidRPr="005840B9" w14:paraId="23176718" w14:textId="77777777" w:rsidTr="000C554C">
        <w:trPr>
          <w:gridAfter w:val="1"/>
          <w:wAfter w:w="41" w:type="dxa"/>
          <w:trHeight w:val="359"/>
          <w:jc w:val="center"/>
        </w:trPr>
        <w:tc>
          <w:tcPr>
            <w:tcW w:w="10875" w:type="dxa"/>
            <w:gridSpan w:val="22"/>
            <w:shd w:val="clear" w:color="auto" w:fill="99CCFF"/>
            <w:vAlign w:val="center"/>
          </w:tcPr>
          <w:p w14:paraId="235F88FF" w14:textId="77777777" w:rsidR="006A701A" w:rsidRPr="007C2ADE" w:rsidRDefault="006A701A" w:rsidP="009833A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2ADE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6475AE" w:rsidRPr="005840B9" w14:paraId="56CF73A8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2269" w:type="dxa"/>
            <w:shd w:val="clear" w:color="auto" w:fill="auto"/>
          </w:tcPr>
          <w:p w14:paraId="53DACFFF" w14:textId="77777777" w:rsidR="00260F33" w:rsidRPr="007C2ADE" w:rsidRDefault="00260F33" w:rsidP="000C33F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2ADE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118" w:type="dxa"/>
            <w:gridSpan w:val="7"/>
            <w:shd w:val="clear" w:color="auto" w:fill="auto"/>
          </w:tcPr>
          <w:p w14:paraId="0C6A4008" w14:textId="77777777" w:rsidR="00260F33" w:rsidRPr="007C2ADE" w:rsidRDefault="00563199" w:rsidP="000C33F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2ADE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263" w:type="dxa"/>
            <w:gridSpan w:val="6"/>
            <w:shd w:val="clear" w:color="auto" w:fill="auto"/>
          </w:tcPr>
          <w:p w14:paraId="632736F0" w14:textId="77777777" w:rsidR="00260F33" w:rsidRPr="007C2ADE" w:rsidRDefault="00260F33" w:rsidP="000C33F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2ADE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7C2ADE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225" w:type="dxa"/>
            <w:gridSpan w:val="8"/>
            <w:shd w:val="clear" w:color="auto" w:fill="auto"/>
          </w:tcPr>
          <w:p w14:paraId="727392B1" w14:textId="77777777" w:rsidR="00260F33" w:rsidRPr="007C2ADE" w:rsidRDefault="00260F33" w:rsidP="000C33F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2ADE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A05BD6" w:rsidRPr="005840B9" w14:paraId="75D72EF0" w14:textId="77777777" w:rsidTr="000C554C">
        <w:trPr>
          <w:gridAfter w:val="1"/>
          <w:wAfter w:w="41" w:type="dxa"/>
          <w:trHeight w:val="699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F94C879" w14:textId="0E1B3016" w:rsidR="00A05BD6" w:rsidRPr="00D53AC6" w:rsidRDefault="00530602" w:rsidP="007E7741">
            <w:pPr>
              <w:spacing w:before="120" w:after="12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Obywatele RP</w:t>
            </w:r>
          </w:p>
        </w:tc>
        <w:tc>
          <w:tcPr>
            <w:tcW w:w="3118" w:type="dxa"/>
            <w:gridSpan w:val="7"/>
            <w:shd w:val="clear" w:color="auto" w:fill="auto"/>
            <w:vAlign w:val="center"/>
          </w:tcPr>
          <w:p w14:paraId="2A555BF9" w14:textId="190CC513" w:rsidR="00A05BD6" w:rsidRPr="005840B9" w:rsidRDefault="00331302" w:rsidP="00A05BD6">
            <w:pPr>
              <w:spacing w:before="120" w:after="120" w:line="240" w:lineRule="auto"/>
              <w:ind w:left="252"/>
              <w:contextualSpacing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38 116 tys. (dane z listopada 2021)</w:t>
            </w:r>
          </w:p>
        </w:tc>
        <w:tc>
          <w:tcPr>
            <w:tcW w:w="2263" w:type="dxa"/>
            <w:gridSpan w:val="6"/>
            <w:shd w:val="clear" w:color="auto" w:fill="auto"/>
            <w:vAlign w:val="center"/>
          </w:tcPr>
          <w:p w14:paraId="27B61FAC" w14:textId="142C181F" w:rsidR="00A05BD6" w:rsidRPr="005840B9" w:rsidRDefault="00331302" w:rsidP="007E774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GUS</w:t>
            </w:r>
          </w:p>
        </w:tc>
        <w:tc>
          <w:tcPr>
            <w:tcW w:w="3225" w:type="dxa"/>
            <w:gridSpan w:val="8"/>
            <w:shd w:val="clear" w:color="auto" w:fill="auto"/>
            <w:vAlign w:val="center"/>
          </w:tcPr>
          <w:p w14:paraId="0CC106B4" w14:textId="6BB6296E" w:rsidR="00A05BD6" w:rsidRDefault="00F65B59" w:rsidP="000E004A">
            <w:pPr>
              <w:pStyle w:val="Style6"/>
              <w:spacing w:before="120"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otrzymywania korespondencji w postępowaniu administracyjnym na adres skrytki pocztowej</w:t>
            </w:r>
            <w:r w:rsidR="000C554C">
              <w:rPr>
                <w:sz w:val="22"/>
                <w:szCs w:val="22"/>
              </w:rPr>
              <w:t>.</w:t>
            </w:r>
          </w:p>
          <w:p w14:paraId="0A4E3229" w14:textId="5079CCE4" w:rsidR="00F65B59" w:rsidRDefault="00F65B59" w:rsidP="000E004A">
            <w:pPr>
              <w:pStyle w:val="Style6"/>
              <w:spacing w:before="120"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dołączenia do postępowania administracyjnego na wniosek strony</w:t>
            </w:r>
            <w:r w:rsidR="001534DC">
              <w:rPr>
                <w:sz w:val="22"/>
                <w:szCs w:val="22"/>
              </w:rPr>
              <w:t>, która wystąpiła z żądaniem wszczęcia postępowania</w:t>
            </w:r>
            <w:r w:rsidR="000C554C">
              <w:rPr>
                <w:sz w:val="22"/>
                <w:szCs w:val="22"/>
              </w:rPr>
              <w:t>.</w:t>
            </w:r>
          </w:p>
          <w:p w14:paraId="7AB5D76A" w14:textId="77777777" w:rsidR="00D31EBC" w:rsidRDefault="00D31EBC" w:rsidP="000E004A">
            <w:pPr>
              <w:pStyle w:val="Style6"/>
              <w:spacing w:before="120"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Brak możliwości zażalenia </w:t>
            </w:r>
            <w:r w:rsidRPr="00D31EBC">
              <w:rPr>
                <w:sz w:val="22"/>
                <w:szCs w:val="22"/>
              </w:rPr>
              <w:t>na postanowienie w sprawie sprostowania i wyjaśnienia postanowienia, od którego nie przysługuje zażalenie</w:t>
            </w:r>
            <w:r w:rsidR="000C554C">
              <w:rPr>
                <w:sz w:val="22"/>
                <w:szCs w:val="22"/>
              </w:rPr>
              <w:t>.</w:t>
            </w:r>
          </w:p>
          <w:p w14:paraId="10E9D684" w14:textId="5EA69510" w:rsidR="000C554C" w:rsidRPr="005840B9" w:rsidRDefault="000C554C" w:rsidP="000E004A">
            <w:pPr>
              <w:pStyle w:val="Style6"/>
              <w:spacing w:before="120"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Wprowadzenie możliwości rozpraw zdalnych przed organami administracji.</w:t>
            </w:r>
          </w:p>
        </w:tc>
      </w:tr>
      <w:tr w:rsidR="00D514B2" w:rsidRPr="005840B9" w14:paraId="0A28FDD4" w14:textId="77777777" w:rsidTr="000C554C">
        <w:trPr>
          <w:gridAfter w:val="1"/>
          <w:wAfter w:w="41" w:type="dxa"/>
          <w:trHeight w:val="699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AC704DA" w14:textId="3C38109E" w:rsidR="00D514B2" w:rsidRDefault="00D514B2" w:rsidP="007E7741">
            <w:pPr>
              <w:spacing w:before="120" w:after="12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Organy administracji publicznej</w:t>
            </w:r>
          </w:p>
        </w:tc>
        <w:tc>
          <w:tcPr>
            <w:tcW w:w="3118" w:type="dxa"/>
            <w:gridSpan w:val="7"/>
            <w:shd w:val="clear" w:color="auto" w:fill="auto"/>
            <w:vAlign w:val="center"/>
          </w:tcPr>
          <w:p w14:paraId="0011FEBC" w14:textId="46E0576F" w:rsidR="00D514B2" w:rsidRPr="00A05BD6" w:rsidRDefault="00D514B2" w:rsidP="00A05BD6">
            <w:pPr>
              <w:spacing w:before="120" w:after="120" w:line="240" w:lineRule="auto"/>
              <w:ind w:left="252"/>
              <w:contextualSpacing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ok. 26 700 (dane z lutego 2022)</w:t>
            </w:r>
          </w:p>
        </w:tc>
        <w:tc>
          <w:tcPr>
            <w:tcW w:w="2263" w:type="dxa"/>
            <w:gridSpan w:val="6"/>
            <w:shd w:val="clear" w:color="auto" w:fill="auto"/>
            <w:vAlign w:val="center"/>
          </w:tcPr>
          <w:p w14:paraId="4D66161D" w14:textId="315D3CA8" w:rsidR="00D514B2" w:rsidRDefault="00D514B2" w:rsidP="0033130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31302">
              <w:rPr>
                <w:rFonts w:ascii="Times New Roman" w:eastAsia="Times New Roman" w:hAnsi="Times New Roman"/>
                <w:lang w:eastAsia="pl-PL"/>
              </w:rPr>
              <w:t>GUS - tablice REGON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31302">
              <w:rPr>
                <w:rFonts w:ascii="Times New Roman" w:eastAsia="Times New Roman" w:hAnsi="Times New Roman"/>
                <w:lang w:eastAsia="pl-PL"/>
              </w:rPr>
              <w:t>nt. podmiotów gospodarki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31302">
              <w:rPr>
                <w:rFonts w:ascii="Times New Roman" w:eastAsia="Times New Roman" w:hAnsi="Times New Roman"/>
                <w:lang w:eastAsia="pl-PL"/>
              </w:rPr>
              <w:t>narodowej (administracja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31302">
              <w:rPr>
                <w:rFonts w:ascii="Times New Roman" w:eastAsia="Times New Roman" w:hAnsi="Times New Roman"/>
                <w:lang w:eastAsia="pl-PL"/>
              </w:rPr>
              <w:t>publiczna)</w:t>
            </w:r>
          </w:p>
        </w:tc>
        <w:tc>
          <w:tcPr>
            <w:tcW w:w="3225" w:type="dxa"/>
            <w:gridSpan w:val="8"/>
            <w:shd w:val="clear" w:color="auto" w:fill="auto"/>
            <w:vAlign w:val="center"/>
          </w:tcPr>
          <w:p w14:paraId="66794C5B" w14:textId="77777777" w:rsidR="00F65B59" w:rsidRDefault="00F65B59" w:rsidP="000E004A">
            <w:pPr>
              <w:pStyle w:val="Style6"/>
              <w:spacing w:before="120"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zasad właściwości miejscowej organu w postępowaniu administracyjnym</w:t>
            </w:r>
          </w:p>
          <w:p w14:paraId="295AF6A9" w14:textId="12D90DCB" w:rsidR="00F65B59" w:rsidRDefault="00F65B59" w:rsidP="000E004A">
            <w:pPr>
              <w:pStyle w:val="Style6"/>
              <w:spacing w:before="120"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zasad wyłączenia pracownika lub organu</w:t>
            </w:r>
            <w:r w:rsidR="000C554C">
              <w:rPr>
                <w:sz w:val="22"/>
                <w:szCs w:val="22"/>
              </w:rPr>
              <w:t>.</w:t>
            </w:r>
          </w:p>
          <w:p w14:paraId="70EB1264" w14:textId="78593F29" w:rsidR="001534DC" w:rsidRDefault="001534DC" w:rsidP="000E004A">
            <w:pPr>
              <w:pStyle w:val="Style6"/>
              <w:spacing w:before="120" w:after="120" w:line="240" w:lineRule="auto"/>
              <w:ind w:firstLine="0"/>
              <w:rPr>
                <w:sz w:val="22"/>
                <w:szCs w:val="22"/>
              </w:rPr>
            </w:pPr>
            <w:r w:rsidRPr="001534DC">
              <w:rPr>
                <w:sz w:val="22"/>
                <w:szCs w:val="22"/>
              </w:rPr>
              <w:t xml:space="preserve">Możliwość </w:t>
            </w:r>
            <w:r>
              <w:rPr>
                <w:sz w:val="22"/>
                <w:szCs w:val="22"/>
              </w:rPr>
              <w:t>wysyłania</w:t>
            </w:r>
            <w:r w:rsidRPr="001534DC">
              <w:rPr>
                <w:sz w:val="22"/>
                <w:szCs w:val="22"/>
              </w:rPr>
              <w:t xml:space="preserve"> korespondencji w postępowaniu administracyjnym na adres skrytki pocztowej</w:t>
            </w:r>
            <w:r w:rsidR="000C554C">
              <w:rPr>
                <w:sz w:val="22"/>
                <w:szCs w:val="22"/>
              </w:rPr>
              <w:t>.</w:t>
            </w:r>
          </w:p>
          <w:p w14:paraId="1509D073" w14:textId="1DD7BC23" w:rsidR="001534DC" w:rsidRDefault="001534DC" w:rsidP="000E004A">
            <w:pPr>
              <w:pStyle w:val="Style6"/>
              <w:spacing w:before="120"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Obowiązek niezwłocznego przekazania akt organowi wyższego rzędu w razie wyłączenia oraz organowi współdziałającemu</w:t>
            </w:r>
            <w:r w:rsidR="000C554C">
              <w:rPr>
                <w:sz w:val="22"/>
                <w:szCs w:val="22"/>
              </w:rPr>
              <w:t>.</w:t>
            </w:r>
          </w:p>
          <w:p w14:paraId="3340B895" w14:textId="486D22AA" w:rsidR="001534DC" w:rsidRDefault="001534DC" w:rsidP="000E004A">
            <w:pPr>
              <w:pStyle w:val="Style6"/>
              <w:spacing w:before="120"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sporządzenia zapisu audio lub wideo z czynności organu zamiast protokołu</w:t>
            </w:r>
            <w:r w:rsidR="000C554C">
              <w:rPr>
                <w:sz w:val="22"/>
                <w:szCs w:val="22"/>
              </w:rPr>
              <w:t>.</w:t>
            </w:r>
          </w:p>
          <w:p w14:paraId="61AC8F9C" w14:textId="77777777" w:rsidR="00D31EBC" w:rsidRDefault="00D31EBC" w:rsidP="000E004A">
            <w:pPr>
              <w:pStyle w:val="Style6"/>
              <w:spacing w:before="120" w:after="120" w:line="240" w:lineRule="auto"/>
              <w:ind w:firstLine="0"/>
              <w:rPr>
                <w:sz w:val="22"/>
                <w:szCs w:val="22"/>
              </w:rPr>
            </w:pPr>
            <w:r w:rsidRPr="00D31EBC">
              <w:rPr>
                <w:sz w:val="22"/>
                <w:szCs w:val="22"/>
              </w:rPr>
              <w:t>Rozszerzenie podstaw obligatoryjnego zawieszenia postępowania administracyjnego</w:t>
            </w:r>
          </w:p>
          <w:p w14:paraId="22149F10" w14:textId="71F112DA" w:rsidR="00D31EBC" w:rsidRDefault="00D31EBC" w:rsidP="000E004A">
            <w:pPr>
              <w:pStyle w:val="Style6"/>
              <w:spacing w:before="120"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Obowiązek zawiadomienia </w:t>
            </w:r>
            <w:r w:rsidRPr="00D31EBC">
              <w:rPr>
                <w:sz w:val="22"/>
                <w:szCs w:val="22"/>
              </w:rPr>
              <w:t>stron o umorzeniu postępowania z mocy prawa</w:t>
            </w:r>
            <w:r w:rsidR="000C554C">
              <w:rPr>
                <w:sz w:val="22"/>
                <w:szCs w:val="22"/>
              </w:rPr>
              <w:t>.</w:t>
            </w:r>
          </w:p>
          <w:p w14:paraId="2C6CF8F2" w14:textId="380D5134" w:rsidR="00D31EBC" w:rsidRDefault="00D31EBC" w:rsidP="000E004A">
            <w:pPr>
              <w:pStyle w:val="Style6"/>
              <w:spacing w:before="120"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Zakaz uchylania decyzji wydanych niezgodnie z art. 25 k.p.a.</w:t>
            </w:r>
            <w:r w:rsidRPr="00D31EBC">
              <w:rPr>
                <w:sz w:val="22"/>
                <w:szCs w:val="22"/>
              </w:rPr>
              <w:t xml:space="preserve"> przez organ odwoławczy, jeśli powtórne rozpatrzenie mogłoby doprowadzić wyłącznie do wydania takiej samej w swej istocie decyzji</w:t>
            </w:r>
            <w:r w:rsidR="000C554C">
              <w:rPr>
                <w:sz w:val="22"/>
                <w:szCs w:val="22"/>
              </w:rPr>
              <w:t>.</w:t>
            </w:r>
          </w:p>
          <w:p w14:paraId="606B29A1" w14:textId="408B38C2" w:rsidR="000C554C" w:rsidRDefault="000C554C" w:rsidP="000E004A">
            <w:pPr>
              <w:pStyle w:val="Style6"/>
              <w:spacing w:before="120" w:after="120" w:line="240" w:lineRule="auto"/>
              <w:ind w:firstLine="0"/>
              <w:rPr>
                <w:sz w:val="22"/>
                <w:szCs w:val="22"/>
              </w:rPr>
            </w:pPr>
            <w:r w:rsidRPr="000C554C">
              <w:rPr>
                <w:sz w:val="22"/>
                <w:szCs w:val="22"/>
              </w:rPr>
              <w:t>Wprowadzenie możliwości rozpraw zdalnych przed organami administracji.</w:t>
            </w:r>
          </w:p>
        </w:tc>
      </w:tr>
      <w:tr w:rsidR="00D514B2" w:rsidRPr="005840B9" w14:paraId="4BC7CF78" w14:textId="77777777" w:rsidTr="000C554C">
        <w:trPr>
          <w:gridAfter w:val="1"/>
          <w:wAfter w:w="41" w:type="dxa"/>
          <w:trHeight w:val="699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DCC10C5" w14:textId="0AD0B8BE" w:rsidR="00D514B2" w:rsidRDefault="00D514B2" w:rsidP="007E7741">
            <w:pPr>
              <w:spacing w:before="120" w:after="12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Prokuratury</w:t>
            </w:r>
          </w:p>
        </w:tc>
        <w:tc>
          <w:tcPr>
            <w:tcW w:w="3118" w:type="dxa"/>
            <w:gridSpan w:val="7"/>
            <w:shd w:val="clear" w:color="auto" w:fill="auto"/>
            <w:vAlign w:val="center"/>
          </w:tcPr>
          <w:p w14:paraId="540936D1" w14:textId="77777777" w:rsidR="00D514B2" w:rsidRDefault="00793027" w:rsidP="00A05BD6">
            <w:pPr>
              <w:spacing w:before="120" w:after="120" w:line="240" w:lineRule="auto"/>
              <w:ind w:left="252"/>
              <w:contextualSpacing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11 prokuratur regionalnych</w:t>
            </w:r>
          </w:p>
          <w:p w14:paraId="79131990" w14:textId="77777777" w:rsidR="00793027" w:rsidRDefault="00793027" w:rsidP="00A05BD6">
            <w:pPr>
              <w:spacing w:before="120" w:after="120" w:line="240" w:lineRule="auto"/>
              <w:ind w:left="252"/>
              <w:contextualSpacing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45 prokuratur okręgowych</w:t>
            </w:r>
          </w:p>
          <w:p w14:paraId="38AC2032" w14:textId="1BF95170" w:rsidR="00793027" w:rsidRDefault="00793027" w:rsidP="00A05BD6">
            <w:pPr>
              <w:spacing w:before="120" w:after="120" w:line="240" w:lineRule="auto"/>
              <w:ind w:left="252"/>
              <w:contextualSpacing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357 prokuratur rejonowych</w:t>
            </w:r>
          </w:p>
        </w:tc>
        <w:tc>
          <w:tcPr>
            <w:tcW w:w="2263" w:type="dxa"/>
            <w:gridSpan w:val="6"/>
            <w:shd w:val="clear" w:color="auto" w:fill="auto"/>
            <w:vAlign w:val="center"/>
          </w:tcPr>
          <w:p w14:paraId="3E5BF4B5" w14:textId="63F204FD" w:rsidR="00D514B2" w:rsidRDefault="00D31EBC" w:rsidP="0033130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Ministerstwo Sprawiedliwości</w:t>
            </w:r>
          </w:p>
        </w:tc>
        <w:tc>
          <w:tcPr>
            <w:tcW w:w="3225" w:type="dxa"/>
            <w:gridSpan w:val="8"/>
            <w:shd w:val="clear" w:color="auto" w:fill="auto"/>
            <w:vAlign w:val="center"/>
          </w:tcPr>
          <w:p w14:paraId="03DDF21A" w14:textId="2BF2EF00" w:rsidR="00532841" w:rsidRDefault="00532841" w:rsidP="000E004A">
            <w:pPr>
              <w:pStyle w:val="Style6"/>
              <w:spacing w:before="120" w:after="120" w:line="240" w:lineRule="auto"/>
              <w:ind w:firstLine="0"/>
              <w:rPr>
                <w:sz w:val="22"/>
                <w:szCs w:val="22"/>
              </w:rPr>
            </w:pPr>
            <w:r w:rsidRPr="00532841">
              <w:rPr>
                <w:sz w:val="22"/>
                <w:szCs w:val="22"/>
              </w:rPr>
              <w:t>Rozszerz</w:t>
            </w:r>
            <w:r>
              <w:rPr>
                <w:sz w:val="22"/>
                <w:szCs w:val="22"/>
              </w:rPr>
              <w:t>enie instytucji sprzeciwu</w:t>
            </w:r>
            <w:r w:rsidRPr="00532841">
              <w:rPr>
                <w:sz w:val="22"/>
                <w:szCs w:val="22"/>
              </w:rPr>
              <w:t xml:space="preserve"> na postanowienia kończące postępowanie lub rozstrzygające sprawę co do istoty</w:t>
            </w:r>
            <w:r w:rsidR="000C554C">
              <w:rPr>
                <w:sz w:val="22"/>
                <w:szCs w:val="22"/>
              </w:rPr>
              <w:t>.</w:t>
            </w:r>
          </w:p>
          <w:p w14:paraId="68C795B9" w14:textId="21C7AD11" w:rsidR="00D514B2" w:rsidRDefault="00D31EBC" w:rsidP="000E004A">
            <w:pPr>
              <w:pStyle w:val="Style6"/>
              <w:spacing w:before="120"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Nadanie praw strony prokuratorom w</w:t>
            </w:r>
            <w:r w:rsidRPr="00D31EBC">
              <w:rPr>
                <w:sz w:val="22"/>
                <w:szCs w:val="22"/>
              </w:rPr>
              <w:t xml:space="preserve"> postępowaniu wywołanym wniesieniem sprzeciwu od ostatecznego postanowienia</w:t>
            </w:r>
            <w:r w:rsidR="000C554C">
              <w:rPr>
                <w:sz w:val="22"/>
                <w:szCs w:val="22"/>
              </w:rPr>
              <w:t>.</w:t>
            </w:r>
          </w:p>
        </w:tc>
      </w:tr>
      <w:tr w:rsidR="00D514B2" w:rsidRPr="005840B9" w14:paraId="4E835AEF" w14:textId="77777777" w:rsidTr="000C554C">
        <w:trPr>
          <w:gridAfter w:val="1"/>
          <w:wAfter w:w="41" w:type="dxa"/>
          <w:trHeight w:val="699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BDB5F4E" w14:textId="2DF754D6" w:rsidR="00D514B2" w:rsidRDefault="00D514B2" w:rsidP="007E7741">
            <w:pPr>
              <w:spacing w:before="120" w:after="12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Prokurator Generalny</w:t>
            </w:r>
          </w:p>
        </w:tc>
        <w:tc>
          <w:tcPr>
            <w:tcW w:w="3118" w:type="dxa"/>
            <w:gridSpan w:val="7"/>
            <w:shd w:val="clear" w:color="auto" w:fill="auto"/>
            <w:vAlign w:val="center"/>
          </w:tcPr>
          <w:p w14:paraId="19E40948" w14:textId="047E5510" w:rsidR="00D514B2" w:rsidRDefault="00D514B2" w:rsidP="00A05BD6">
            <w:pPr>
              <w:spacing w:before="120" w:after="120" w:line="240" w:lineRule="auto"/>
              <w:ind w:left="252"/>
              <w:contextualSpacing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263" w:type="dxa"/>
            <w:gridSpan w:val="6"/>
            <w:shd w:val="clear" w:color="auto" w:fill="auto"/>
            <w:vAlign w:val="center"/>
          </w:tcPr>
          <w:p w14:paraId="5C44CFBE" w14:textId="229394FF" w:rsidR="00D514B2" w:rsidRDefault="00D514B2" w:rsidP="0033130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Informacja ogólnodostępna</w:t>
            </w:r>
          </w:p>
        </w:tc>
        <w:tc>
          <w:tcPr>
            <w:tcW w:w="3225" w:type="dxa"/>
            <w:gridSpan w:val="8"/>
            <w:shd w:val="clear" w:color="auto" w:fill="auto"/>
            <w:vAlign w:val="center"/>
          </w:tcPr>
          <w:p w14:paraId="56E29BE4" w14:textId="04472565" w:rsidR="00D514B2" w:rsidRDefault="00D31EBC" w:rsidP="000E004A">
            <w:pPr>
              <w:pStyle w:val="Style6"/>
              <w:spacing w:before="120"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wniesienia sprzeciwu od decyzji ministra</w:t>
            </w:r>
            <w:r w:rsidR="00532841">
              <w:rPr>
                <w:sz w:val="22"/>
                <w:szCs w:val="22"/>
              </w:rPr>
              <w:t xml:space="preserve"> </w:t>
            </w:r>
            <w:r w:rsidR="00532841" w:rsidRPr="00532841">
              <w:rPr>
                <w:sz w:val="22"/>
                <w:szCs w:val="22"/>
              </w:rPr>
              <w:t>kończące</w:t>
            </w:r>
            <w:r w:rsidR="00532841">
              <w:rPr>
                <w:sz w:val="22"/>
                <w:szCs w:val="22"/>
              </w:rPr>
              <w:t>j</w:t>
            </w:r>
            <w:r w:rsidR="00532841" w:rsidRPr="00532841">
              <w:rPr>
                <w:sz w:val="22"/>
                <w:szCs w:val="22"/>
              </w:rPr>
              <w:t xml:space="preserve"> </w:t>
            </w:r>
            <w:r w:rsidR="00532841" w:rsidRPr="00532841">
              <w:rPr>
                <w:sz w:val="22"/>
                <w:szCs w:val="22"/>
              </w:rPr>
              <w:lastRenderedPageBreak/>
              <w:t>postępowanie lub rozstrzygające</w:t>
            </w:r>
            <w:r w:rsidR="00532841">
              <w:rPr>
                <w:sz w:val="22"/>
                <w:szCs w:val="22"/>
              </w:rPr>
              <w:t>j</w:t>
            </w:r>
            <w:r w:rsidR="00532841" w:rsidRPr="00532841">
              <w:rPr>
                <w:sz w:val="22"/>
                <w:szCs w:val="22"/>
              </w:rPr>
              <w:t xml:space="preserve"> sprawę co do istoty</w:t>
            </w:r>
            <w:r w:rsidR="000C554C">
              <w:rPr>
                <w:sz w:val="22"/>
                <w:szCs w:val="22"/>
              </w:rPr>
              <w:t>.</w:t>
            </w:r>
          </w:p>
        </w:tc>
      </w:tr>
      <w:tr w:rsidR="0036159B" w:rsidRPr="005840B9" w14:paraId="750132EE" w14:textId="77777777" w:rsidTr="000C554C">
        <w:trPr>
          <w:gridAfter w:val="1"/>
          <w:wAfter w:w="41" w:type="dxa"/>
          <w:trHeight w:val="302"/>
          <w:jc w:val="center"/>
        </w:trPr>
        <w:tc>
          <w:tcPr>
            <w:tcW w:w="10875" w:type="dxa"/>
            <w:gridSpan w:val="22"/>
            <w:shd w:val="clear" w:color="auto" w:fill="99CCFF"/>
            <w:vAlign w:val="center"/>
          </w:tcPr>
          <w:p w14:paraId="50C01C0E" w14:textId="77777777" w:rsidR="0036159B" w:rsidRPr="007C2ADE" w:rsidRDefault="0036159B" w:rsidP="009833A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2ADE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36159B" w:rsidRPr="005840B9" w14:paraId="094D843E" w14:textId="77777777" w:rsidTr="000C554C">
        <w:trPr>
          <w:gridAfter w:val="1"/>
          <w:wAfter w:w="41" w:type="dxa"/>
          <w:trHeight w:val="342"/>
          <w:jc w:val="center"/>
        </w:trPr>
        <w:tc>
          <w:tcPr>
            <w:tcW w:w="10875" w:type="dxa"/>
            <w:gridSpan w:val="22"/>
            <w:shd w:val="clear" w:color="auto" w:fill="FFFFFF"/>
          </w:tcPr>
          <w:p w14:paraId="3ECE3ED7" w14:textId="511D6958" w:rsidR="00821CB8" w:rsidRPr="005840B9" w:rsidRDefault="008B4D1F" w:rsidP="00B512A7">
            <w:pPr>
              <w:pStyle w:val="ARTartustawynprozporzdzenia"/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AC6">
              <w:rPr>
                <w:rFonts w:ascii="Times New Roman" w:hAnsi="Times New Roman" w:cs="Times New Roman"/>
                <w:sz w:val="22"/>
                <w:szCs w:val="22"/>
              </w:rPr>
              <w:t>Projekt</w:t>
            </w:r>
            <w:r w:rsidR="004E4CAD" w:rsidRPr="00D53A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53DE">
              <w:rPr>
                <w:rFonts w:ascii="Times New Roman" w:hAnsi="Times New Roman" w:cs="Times New Roman"/>
                <w:sz w:val="22"/>
                <w:szCs w:val="22"/>
              </w:rPr>
              <w:t>ustawy</w:t>
            </w:r>
            <w:r w:rsidR="000E00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0B9">
              <w:rPr>
                <w:rFonts w:ascii="Times New Roman" w:hAnsi="Times New Roman" w:cs="Times New Roman"/>
                <w:sz w:val="22"/>
                <w:szCs w:val="22"/>
              </w:rPr>
              <w:t>zostanie udostępniony w Biuletynie Informacji Publicznej na stronie podmiotowej Rządowego Centrum Legislacji w serwisie Rządowy Proces Legislacyjny, oraz w Biuletynie Informacji Publicznej Ministerstwa Sprawiedliwości w zakładce „Projekty aktów prawnych”, zgodnie z art. 5 ustawy z dnia 7 lipca 2005 r. o działalności lobbingowej w procesie stanowienia prawa (Dz. U. z 2017 r. poz. 248) i § 4 uchwały Rady Ministrów z dnia 29 października 2013 r. – Regulamin pracy Rady Ministrów (M.</w:t>
            </w:r>
            <w:r w:rsidR="001F1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0B9">
              <w:rPr>
                <w:rFonts w:ascii="Times New Roman" w:hAnsi="Times New Roman" w:cs="Times New Roman"/>
                <w:sz w:val="22"/>
                <w:szCs w:val="22"/>
              </w:rPr>
              <w:t>P. z 2016 r. poz. 1006, z późn. zm.).</w:t>
            </w:r>
            <w:r w:rsidR="00A049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49C6" w:rsidRPr="00A049C6">
              <w:rPr>
                <w:rFonts w:ascii="Times New Roman" w:hAnsi="Times New Roman" w:cs="Times New Roman"/>
                <w:sz w:val="22"/>
                <w:szCs w:val="22"/>
              </w:rPr>
              <w:t>Opinie o proponowanych zmianach zebrane zostaną od przedstawicieli organów administracji publicznej oraz przedstawicieli stron postępowań administracyjnych, m.in organizacji pozarządowych, organizacji przedsiębiorców w trakcie konsultacji publicznych, których długość przewiduje się na 21 dni</w:t>
            </w:r>
            <w:r w:rsidR="00A049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6159B" w:rsidRPr="005840B9" w14:paraId="3A25BAA3" w14:textId="77777777" w:rsidTr="000C554C">
        <w:trPr>
          <w:gridAfter w:val="1"/>
          <w:wAfter w:w="41" w:type="dxa"/>
          <w:trHeight w:val="363"/>
          <w:jc w:val="center"/>
        </w:trPr>
        <w:tc>
          <w:tcPr>
            <w:tcW w:w="10875" w:type="dxa"/>
            <w:gridSpan w:val="22"/>
            <w:shd w:val="clear" w:color="auto" w:fill="99CCFF"/>
            <w:vAlign w:val="center"/>
          </w:tcPr>
          <w:p w14:paraId="7DD6F298" w14:textId="77777777" w:rsidR="0036159B" w:rsidRPr="00D53AC6" w:rsidRDefault="0036159B" w:rsidP="009833A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53AC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36159B" w:rsidRPr="005840B9" w14:paraId="29C16F6F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2269" w:type="dxa"/>
            <w:vMerge w:val="restart"/>
            <w:shd w:val="clear" w:color="auto" w:fill="FFFFFF"/>
            <w:vAlign w:val="center"/>
          </w:tcPr>
          <w:p w14:paraId="5475DE26" w14:textId="2ECC9DAB" w:rsidR="0036159B" w:rsidRPr="007C2ADE" w:rsidRDefault="0036159B" w:rsidP="00C9142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 xml:space="preserve">(ceny stałe z </w:t>
            </w:r>
            <w:r w:rsidR="005840B9">
              <w:rPr>
                <w:rFonts w:ascii="Times New Roman" w:hAnsi="Times New Roman"/>
                <w:color w:val="000000"/>
              </w:rPr>
              <w:t>202</w:t>
            </w:r>
            <w:r w:rsidR="00D57415">
              <w:rPr>
                <w:rFonts w:ascii="Times New Roman" w:hAnsi="Times New Roman"/>
                <w:color w:val="000000"/>
              </w:rPr>
              <w:t>2</w:t>
            </w:r>
            <w:r w:rsidR="005840B9"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Pr="007C2ADE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8606" w:type="dxa"/>
            <w:gridSpan w:val="21"/>
            <w:shd w:val="clear" w:color="auto" w:fill="FFFFFF"/>
            <w:vAlign w:val="center"/>
          </w:tcPr>
          <w:p w14:paraId="48D836F7" w14:textId="77777777" w:rsidR="0036159B" w:rsidRPr="007C2ADE" w:rsidRDefault="0036159B" w:rsidP="000C33F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C2ADE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0C554C" w:rsidRPr="005840B9" w14:paraId="0877FD8D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2269" w:type="dxa"/>
            <w:vMerge/>
            <w:shd w:val="clear" w:color="auto" w:fill="FFFFFF"/>
            <w:vAlign w:val="center"/>
          </w:tcPr>
          <w:p w14:paraId="7CDCB6A9" w14:textId="77777777" w:rsidR="0036159B" w:rsidRPr="007C2ADE" w:rsidRDefault="0036159B" w:rsidP="000C33FA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585A38" w14:textId="77777777" w:rsidR="0036159B" w:rsidRPr="007C2ADE" w:rsidRDefault="0036159B" w:rsidP="00042D2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89F4AD" w14:textId="77777777" w:rsidR="0036159B" w:rsidRPr="007C2ADE" w:rsidRDefault="0036159B" w:rsidP="00042D2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7C84FC" w14:textId="77777777" w:rsidR="0036159B" w:rsidRPr="007C2ADE" w:rsidRDefault="0036159B" w:rsidP="00042D2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06A637" w14:textId="77777777" w:rsidR="0036159B" w:rsidRPr="007C2ADE" w:rsidRDefault="0036159B" w:rsidP="00042D2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2370B0" w14:textId="77777777" w:rsidR="0036159B" w:rsidRPr="007C2ADE" w:rsidRDefault="0036159B" w:rsidP="00042D2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A6C836" w14:textId="77777777" w:rsidR="0036159B" w:rsidRPr="007C2ADE" w:rsidRDefault="0036159B" w:rsidP="00042D2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5B82E6" w14:textId="77777777" w:rsidR="0036159B" w:rsidRPr="007C2ADE" w:rsidRDefault="0036159B" w:rsidP="00042D2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B9B61A" w14:textId="77777777" w:rsidR="0036159B" w:rsidRPr="007C2ADE" w:rsidRDefault="0036159B" w:rsidP="00042D2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8BE9B9" w14:textId="77777777" w:rsidR="0036159B" w:rsidRPr="007C2ADE" w:rsidRDefault="0036159B" w:rsidP="00042D2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9235B9" w14:textId="77777777" w:rsidR="0036159B" w:rsidRPr="007C2ADE" w:rsidRDefault="0036159B" w:rsidP="00042D2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23DA0A" w14:textId="77777777" w:rsidR="0036159B" w:rsidRPr="007C2ADE" w:rsidRDefault="0036159B" w:rsidP="00042D2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7097AF" w14:textId="77777777" w:rsidR="0036159B" w:rsidRPr="007C2ADE" w:rsidRDefault="0036159B" w:rsidP="00042D2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C2ADE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0C554C" w:rsidRPr="005840B9" w14:paraId="739719C5" w14:textId="77777777" w:rsidTr="000C554C">
        <w:trPr>
          <w:gridAfter w:val="1"/>
          <w:wAfter w:w="41" w:type="dxa"/>
          <w:trHeight w:val="321"/>
          <w:jc w:val="center"/>
        </w:trPr>
        <w:tc>
          <w:tcPr>
            <w:tcW w:w="2269" w:type="dxa"/>
            <w:shd w:val="clear" w:color="auto" w:fill="FFFFFF"/>
            <w:vAlign w:val="center"/>
          </w:tcPr>
          <w:p w14:paraId="7E46D00D" w14:textId="77777777" w:rsidR="00CD54F0" w:rsidRPr="007C2ADE" w:rsidRDefault="00CD54F0" w:rsidP="00CD54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8E03" w14:textId="6AC3372F" w:rsidR="00CD54F0" w:rsidRPr="007C2AD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FCB4" w14:textId="0250A47E" w:rsidR="00CD54F0" w:rsidRPr="007C2AD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69B7" w14:textId="7E9702BA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9A00" w14:textId="02332174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CA0A" w14:textId="7E865335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CBE3" w14:textId="7F0BB0B0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664F" w14:textId="508AFCA9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A9EF" w14:textId="1686E850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205F" w14:textId="30A3C9F1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C197" w14:textId="14879675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98F9" w14:textId="1F0817D9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3724" w14:textId="439750EB" w:rsidR="00CD54F0" w:rsidRPr="007C2AD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554C" w:rsidRPr="005840B9" w14:paraId="6271B719" w14:textId="77777777" w:rsidTr="000C554C">
        <w:trPr>
          <w:gridAfter w:val="1"/>
          <w:wAfter w:w="41" w:type="dxa"/>
          <w:trHeight w:val="321"/>
          <w:jc w:val="center"/>
        </w:trPr>
        <w:tc>
          <w:tcPr>
            <w:tcW w:w="2269" w:type="dxa"/>
            <w:shd w:val="clear" w:color="auto" w:fill="FFFFFF"/>
            <w:vAlign w:val="center"/>
          </w:tcPr>
          <w:p w14:paraId="06C49587" w14:textId="77777777" w:rsidR="00CD54F0" w:rsidRPr="007C2ADE" w:rsidRDefault="00CD54F0" w:rsidP="00CD54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125E" w14:textId="5582D462" w:rsidR="00CD54F0" w:rsidRPr="007C2AD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6E12" w14:textId="6289A4C4" w:rsidR="00CD54F0" w:rsidRPr="007C2AD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A525" w14:textId="45D39F0E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58FB" w14:textId="3729489E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552B" w14:textId="22371B91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5779" w14:textId="11B32FA2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7261" w14:textId="789BF281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E0A2" w14:textId="5EA4F01A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882F" w14:textId="268F3304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4B0A" w14:textId="4CDBC7DC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A1E9" w14:textId="646D36CA" w:rsidR="00CD54F0" w:rsidRPr="00547CE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5B55" w14:textId="5E28F5DE" w:rsidR="00CD54F0" w:rsidRPr="007C2ADE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554C" w:rsidRPr="005840B9" w14:paraId="111E6DD2" w14:textId="77777777" w:rsidTr="000C554C">
        <w:trPr>
          <w:gridAfter w:val="1"/>
          <w:wAfter w:w="41" w:type="dxa"/>
          <w:trHeight w:val="344"/>
          <w:jc w:val="center"/>
        </w:trPr>
        <w:tc>
          <w:tcPr>
            <w:tcW w:w="2269" w:type="dxa"/>
            <w:shd w:val="clear" w:color="auto" w:fill="FFFFFF"/>
            <w:vAlign w:val="center"/>
          </w:tcPr>
          <w:p w14:paraId="3F8A3796" w14:textId="77777777" w:rsidR="00721285" w:rsidRPr="007C2ADE" w:rsidRDefault="00721285" w:rsidP="0072128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58D9" w14:textId="41A57296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5121" w14:textId="02B700C7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1FBB" w14:textId="7A434B91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FA02" w14:textId="51927299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1DF5" w14:textId="1445B737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03F7" w14:textId="3450A138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EAE6" w14:textId="116A411D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8766" w14:textId="75AD38D5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01B0" w14:textId="490F93FD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882A" w14:textId="793388AF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9B2F" w14:textId="741232CB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3184" w14:textId="171AA3FF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554C" w:rsidRPr="005840B9" w14:paraId="343085DF" w14:textId="77777777" w:rsidTr="000C554C">
        <w:trPr>
          <w:gridAfter w:val="1"/>
          <w:wAfter w:w="41" w:type="dxa"/>
          <w:trHeight w:val="330"/>
          <w:jc w:val="center"/>
        </w:trPr>
        <w:tc>
          <w:tcPr>
            <w:tcW w:w="2269" w:type="dxa"/>
            <w:shd w:val="clear" w:color="auto" w:fill="FFFFFF"/>
            <w:vAlign w:val="center"/>
          </w:tcPr>
          <w:p w14:paraId="5767D519" w14:textId="77777777" w:rsidR="009F0274" w:rsidRPr="007C2ADE" w:rsidRDefault="009F0274" w:rsidP="009F02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08AF" w14:textId="74F6BD42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EAEE" w14:textId="07A8E21A" w:rsidR="009F0274" w:rsidRPr="007C2ADE" w:rsidRDefault="009F0274" w:rsidP="009F02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7FA2" w14:textId="39EE57BE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3528" w14:textId="2CA7BC44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0810" w14:textId="6FD07F12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210F" w14:textId="77C586C7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0EB9" w14:textId="299943AA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939E" w14:textId="346F36E2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E805" w14:textId="02027C82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D692" w14:textId="236C04D7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4ED8" w14:textId="751E388A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89F7" w14:textId="0329C95A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554C" w:rsidRPr="005840B9" w14:paraId="31976A39" w14:textId="77777777" w:rsidTr="000C554C">
        <w:trPr>
          <w:gridAfter w:val="1"/>
          <w:wAfter w:w="41" w:type="dxa"/>
          <w:trHeight w:val="330"/>
          <w:jc w:val="center"/>
        </w:trPr>
        <w:tc>
          <w:tcPr>
            <w:tcW w:w="2269" w:type="dxa"/>
            <w:shd w:val="clear" w:color="auto" w:fill="FFFFFF"/>
            <w:vAlign w:val="center"/>
          </w:tcPr>
          <w:p w14:paraId="448C9E3E" w14:textId="77777777" w:rsidR="009F0274" w:rsidRPr="007C2ADE" w:rsidRDefault="009F0274" w:rsidP="009F02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9AE2" w14:textId="540C3234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B6E7" w14:textId="4AC3C93E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9DD9" w14:textId="1376AC7C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772F" w14:textId="06700B85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0863" w14:textId="0E484AF3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8E49" w14:textId="4BD6E627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7BEF" w14:textId="6715D69B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4B80" w14:textId="60ACFA93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58DF" w14:textId="65ED6E4A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4805" w14:textId="2A6E5631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9598" w14:textId="59A85915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E7BF" w14:textId="38C7878F" w:rsidR="009F0274" w:rsidRPr="007C2ADE" w:rsidRDefault="009F0274" w:rsidP="009F02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554C" w:rsidRPr="005840B9" w14:paraId="0BB31339" w14:textId="77777777" w:rsidTr="000C554C">
        <w:trPr>
          <w:gridAfter w:val="1"/>
          <w:wAfter w:w="41" w:type="dxa"/>
          <w:trHeight w:val="351"/>
          <w:jc w:val="center"/>
        </w:trPr>
        <w:tc>
          <w:tcPr>
            <w:tcW w:w="2269" w:type="dxa"/>
            <w:shd w:val="clear" w:color="auto" w:fill="FFFFFF"/>
            <w:vAlign w:val="center"/>
          </w:tcPr>
          <w:p w14:paraId="18D2CC66" w14:textId="77777777" w:rsidR="00721285" w:rsidRPr="007C2ADE" w:rsidRDefault="00721285" w:rsidP="0072128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27AA" w14:textId="6039478D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90F4" w14:textId="770A4656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C592" w14:textId="58A2C271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3F4A" w14:textId="02036E15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DE23" w14:textId="3ABD0F5E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C00D" w14:textId="0F9AA51D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9CAC" w14:textId="1AD24480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4654" w14:textId="229DCD1B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E82B" w14:textId="432CA409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A9CA" w14:textId="738EAA6A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8113" w14:textId="4FC27EFE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95CF" w14:textId="72EED732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554C" w:rsidRPr="005840B9" w14:paraId="73533FC5" w14:textId="77777777" w:rsidTr="000C554C">
        <w:trPr>
          <w:gridAfter w:val="1"/>
          <w:wAfter w:w="41" w:type="dxa"/>
          <w:trHeight w:val="360"/>
          <w:jc w:val="center"/>
        </w:trPr>
        <w:tc>
          <w:tcPr>
            <w:tcW w:w="2269" w:type="dxa"/>
            <w:shd w:val="clear" w:color="auto" w:fill="FFFFFF"/>
            <w:vAlign w:val="center"/>
          </w:tcPr>
          <w:p w14:paraId="6FF53032" w14:textId="77777777" w:rsidR="00CD54F0" w:rsidRPr="007C2ADE" w:rsidRDefault="00CD54F0" w:rsidP="00CD54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DABD" w14:textId="4BCC87CD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3FC8" w14:textId="2E569CDD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9B32" w14:textId="0A27A7A2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A835" w14:textId="48309096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A0F7" w14:textId="16E0C69F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07E9" w14:textId="30C87FEF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49DD" w14:textId="1D85CAF9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836B" w14:textId="099E6B44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7B6F" w14:textId="6E81EE43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29D1" w14:textId="32CFF1F4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FE43" w14:textId="55B8EFAF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00D2" w14:textId="107AE53C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0C554C" w:rsidRPr="005840B9" w14:paraId="6498BBFE" w14:textId="77777777" w:rsidTr="000C554C">
        <w:trPr>
          <w:gridAfter w:val="1"/>
          <w:wAfter w:w="41" w:type="dxa"/>
          <w:trHeight w:val="360"/>
          <w:jc w:val="center"/>
        </w:trPr>
        <w:tc>
          <w:tcPr>
            <w:tcW w:w="2269" w:type="dxa"/>
            <w:shd w:val="clear" w:color="auto" w:fill="FFFFFF"/>
            <w:vAlign w:val="center"/>
          </w:tcPr>
          <w:p w14:paraId="5BC24D58" w14:textId="77777777" w:rsidR="00CD54F0" w:rsidRPr="007C2ADE" w:rsidRDefault="00CD54F0" w:rsidP="00CD54F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0EA5" w14:textId="0F1C7B10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BC70" w14:textId="1C9EB1EC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EF20" w14:textId="289FFC4C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81AE" w14:textId="6EA41AAB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CEFF" w14:textId="339ED026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DDDC" w14:textId="4D7C4639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16DD" w14:textId="7F5DD333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033C" w14:textId="1AD1D825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04D1" w14:textId="22F136D9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8E9C" w14:textId="19170395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B17E" w14:textId="2E94AF54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F8CE" w14:textId="0082A230" w:rsidR="00CD54F0" w:rsidRPr="00715608" w:rsidRDefault="00CD54F0" w:rsidP="00CD54F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0C554C" w:rsidRPr="005840B9" w14:paraId="20E22751" w14:textId="77777777" w:rsidTr="000C554C">
        <w:trPr>
          <w:gridAfter w:val="1"/>
          <w:wAfter w:w="41" w:type="dxa"/>
          <w:trHeight w:val="357"/>
          <w:jc w:val="center"/>
        </w:trPr>
        <w:tc>
          <w:tcPr>
            <w:tcW w:w="2269" w:type="dxa"/>
            <w:shd w:val="clear" w:color="auto" w:fill="FFFFFF"/>
            <w:vAlign w:val="center"/>
          </w:tcPr>
          <w:p w14:paraId="5270F236" w14:textId="77777777" w:rsidR="00721285" w:rsidRPr="007C2ADE" w:rsidRDefault="00721285" w:rsidP="0072128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F3E2" w14:textId="722FE66E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FF04" w14:textId="32729E4E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1518" w14:textId="7AFC0C59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0EFC" w14:textId="0F48E814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CE83" w14:textId="4CDB2C8C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3FE5" w14:textId="7BE9A13A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8E5" w14:textId="466716FC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E7D3" w14:textId="504D73FA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734C" w14:textId="4A08D7D9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2F28" w14:textId="6F9BE0B8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F7D0" w14:textId="54D7A32D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97B7" w14:textId="52A9BD7F" w:rsidR="00721285" w:rsidRPr="007C2ADE" w:rsidRDefault="00721285" w:rsidP="0072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A0DC2" w:rsidRPr="005840B9" w14:paraId="7B0F026B" w14:textId="77777777" w:rsidTr="000C554C">
        <w:trPr>
          <w:gridAfter w:val="1"/>
          <w:wAfter w:w="41" w:type="dxa"/>
          <w:trHeight w:val="590"/>
          <w:jc w:val="center"/>
        </w:trPr>
        <w:tc>
          <w:tcPr>
            <w:tcW w:w="2269" w:type="dxa"/>
            <w:shd w:val="clear" w:color="auto" w:fill="FFFFFF"/>
            <w:vAlign w:val="center"/>
          </w:tcPr>
          <w:p w14:paraId="1F0B0E1E" w14:textId="77777777" w:rsidR="009A0DC2" w:rsidRPr="007C2ADE" w:rsidRDefault="009A0DC2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06" w:type="dxa"/>
            <w:gridSpan w:val="2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295783" w14:textId="4754BB46" w:rsidR="00633B85" w:rsidRPr="00B70F9D" w:rsidRDefault="00B13231" w:rsidP="005A69FC">
            <w:pPr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Projektowana regulacja nie wywoła skutków finansowych dla budżetu państwa.</w:t>
            </w:r>
          </w:p>
        </w:tc>
      </w:tr>
      <w:tr w:rsidR="009A0DC2" w:rsidRPr="005840B9" w14:paraId="5B0C27E2" w14:textId="77777777" w:rsidTr="000C554C">
        <w:trPr>
          <w:gridAfter w:val="1"/>
          <w:wAfter w:w="41" w:type="dxa"/>
          <w:trHeight w:val="274"/>
          <w:jc w:val="center"/>
        </w:trPr>
        <w:tc>
          <w:tcPr>
            <w:tcW w:w="2269" w:type="dxa"/>
            <w:shd w:val="clear" w:color="auto" w:fill="FFFFFF"/>
          </w:tcPr>
          <w:p w14:paraId="09DCCE2B" w14:textId="77777777" w:rsidR="009A0DC2" w:rsidRPr="007C2ADE" w:rsidRDefault="009A0DC2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 xml:space="preserve">Dodatkowe informacje, </w:t>
            </w:r>
            <w:r w:rsidRPr="007C2ADE">
              <w:rPr>
                <w:rFonts w:ascii="Times New Roman" w:hAnsi="Times New Roman"/>
                <w:color w:val="000000"/>
              </w:rPr>
              <w:br/>
              <w:t>w tym wskazanie źródeł danych i przyjętych do obliczeń założeń</w:t>
            </w:r>
          </w:p>
        </w:tc>
        <w:tc>
          <w:tcPr>
            <w:tcW w:w="8606" w:type="dxa"/>
            <w:gridSpan w:val="21"/>
            <w:shd w:val="clear" w:color="auto" w:fill="FFFFFF"/>
          </w:tcPr>
          <w:p w14:paraId="45B20F92" w14:textId="5C092512" w:rsidR="00DE7B76" w:rsidRPr="00B70F9D" w:rsidRDefault="00DE7B76" w:rsidP="00B1323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A0DC2" w:rsidRPr="005840B9" w14:paraId="7A219847" w14:textId="77777777" w:rsidTr="000C554C">
        <w:trPr>
          <w:gridAfter w:val="1"/>
          <w:wAfter w:w="41" w:type="dxa"/>
          <w:trHeight w:val="345"/>
          <w:jc w:val="center"/>
        </w:trPr>
        <w:tc>
          <w:tcPr>
            <w:tcW w:w="10875" w:type="dxa"/>
            <w:gridSpan w:val="22"/>
            <w:shd w:val="clear" w:color="auto" w:fill="99CCFF"/>
          </w:tcPr>
          <w:p w14:paraId="7C62ECC1" w14:textId="77777777" w:rsidR="009A0DC2" w:rsidRPr="007C2ADE" w:rsidRDefault="009A0DC2" w:rsidP="009833A5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C2ADE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7C2ADE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A0DC2" w:rsidRPr="005840B9" w14:paraId="0E1ADCD2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10875" w:type="dxa"/>
            <w:gridSpan w:val="22"/>
            <w:shd w:val="clear" w:color="auto" w:fill="FFFFFF"/>
          </w:tcPr>
          <w:p w14:paraId="75DBD8D8" w14:textId="77777777" w:rsidR="009A0DC2" w:rsidRPr="007C2ADE" w:rsidRDefault="009A0DC2" w:rsidP="009A0DC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2ADE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0C554C" w:rsidRPr="005840B9" w14:paraId="1BD7AB72" w14:textId="77777777" w:rsidTr="000C554C">
        <w:trPr>
          <w:trHeight w:val="142"/>
          <w:jc w:val="center"/>
        </w:trPr>
        <w:tc>
          <w:tcPr>
            <w:tcW w:w="4395" w:type="dxa"/>
            <w:gridSpan w:val="5"/>
            <w:shd w:val="clear" w:color="auto" w:fill="FFFFFF"/>
          </w:tcPr>
          <w:p w14:paraId="37960BA1" w14:textId="77777777" w:rsidR="009A0DC2" w:rsidRPr="007C2ADE" w:rsidRDefault="009A0DC2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1248E0D4" w14:textId="77777777" w:rsidR="009A0DC2" w:rsidRPr="007C2ADE" w:rsidRDefault="009A0DC2" w:rsidP="009A0DC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10E5E77B" w14:textId="77777777" w:rsidR="009A0DC2" w:rsidRPr="007C2ADE" w:rsidRDefault="009A0DC2" w:rsidP="009A0DC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EEE1194" w14:textId="77777777" w:rsidR="009A0DC2" w:rsidRPr="007C2ADE" w:rsidRDefault="009A0DC2" w:rsidP="009A0DC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6E2547EF" w14:textId="77777777" w:rsidR="009A0DC2" w:rsidRPr="007C2ADE" w:rsidRDefault="009A0DC2" w:rsidP="009A0DC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7458E9E" w14:textId="77777777" w:rsidR="009A0DC2" w:rsidRPr="007C2ADE" w:rsidRDefault="009A0DC2" w:rsidP="009A0DC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27D015E" w14:textId="77777777" w:rsidR="009A0DC2" w:rsidRPr="007C2ADE" w:rsidRDefault="009A0DC2" w:rsidP="009A0DC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8" w:type="dxa"/>
            <w:gridSpan w:val="3"/>
            <w:shd w:val="clear" w:color="auto" w:fill="FFFFFF"/>
          </w:tcPr>
          <w:p w14:paraId="00AA2EF2" w14:textId="77777777" w:rsidR="009A0DC2" w:rsidRPr="007C2ADE" w:rsidRDefault="009A0DC2" w:rsidP="009A0DC2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C2ADE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7C2ADE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7C2ADE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0C554C" w:rsidRPr="005840B9" w14:paraId="10DE6367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2269" w:type="dxa"/>
            <w:vMerge w:val="restart"/>
            <w:shd w:val="clear" w:color="auto" w:fill="FFFFFF"/>
          </w:tcPr>
          <w:p w14:paraId="3BD8EA5D" w14:textId="77777777" w:rsidR="0098128B" w:rsidRPr="007C2ADE" w:rsidRDefault="0098128B" w:rsidP="0098128B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0BA3CEBD" w14:textId="77777777" w:rsidR="0098128B" w:rsidRPr="007C2ADE" w:rsidRDefault="0098128B" w:rsidP="0098128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C2ADE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263ED578" w14:textId="13F1F3FF" w:rsidR="0098128B" w:rsidRPr="007C2ADE" w:rsidRDefault="0098128B" w:rsidP="009812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spacing w:val="-2"/>
              </w:rPr>
              <w:lastRenderedPageBreak/>
              <w:t xml:space="preserve">ceny stałe z </w:t>
            </w:r>
            <w:r>
              <w:rPr>
                <w:rFonts w:ascii="Times New Roman" w:hAnsi="Times New Roman"/>
                <w:spacing w:val="-2"/>
              </w:rPr>
              <w:t>2022</w:t>
            </w:r>
            <w:r w:rsidRPr="007C2ADE">
              <w:rPr>
                <w:rFonts w:ascii="Times New Roman" w:hAnsi="Times New Roman"/>
                <w:spacing w:val="-2"/>
              </w:rPr>
              <w:t xml:space="preserve"> r.)</w:t>
            </w:r>
          </w:p>
        </w:tc>
        <w:tc>
          <w:tcPr>
            <w:tcW w:w="2126" w:type="dxa"/>
            <w:gridSpan w:val="4"/>
            <w:shd w:val="clear" w:color="auto" w:fill="FFFFFF"/>
          </w:tcPr>
          <w:p w14:paraId="539027E5" w14:textId="77777777" w:rsidR="0098128B" w:rsidRPr="007C2ADE" w:rsidRDefault="0098128B" w:rsidP="0098128B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lastRenderedPageBreak/>
              <w:t>duże przedsiębiorstwa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  <w:vAlign w:val="center"/>
          </w:tcPr>
          <w:p w14:paraId="5C576B15" w14:textId="1D210136" w:rsidR="0098128B" w:rsidRPr="007C2ADE" w:rsidRDefault="0098128B" w:rsidP="0098128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FFFFFF"/>
            <w:vAlign w:val="center"/>
          </w:tcPr>
          <w:p w14:paraId="20B3FE3D" w14:textId="7542C232" w:rsidR="0098128B" w:rsidRPr="007C2ADE" w:rsidRDefault="0098128B" w:rsidP="0098128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FFFFF"/>
            <w:vAlign w:val="center"/>
          </w:tcPr>
          <w:p w14:paraId="342D3C6F" w14:textId="77117F04" w:rsidR="0098128B" w:rsidRPr="007C2ADE" w:rsidRDefault="0098128B" w:rsidP="0098128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FFFFFF"/>
            <w:vAlign w:val="center"/>
          </w:tcPr>
          <w:p w14:paraId="467432BC" w14:textId="4D7405DB" w:rsidR="0098128B" w:rsidRPr="007C2ADE" w:rsidRDefault="0098128B" w:rsidP="0098128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FFFFF"/>
            <w:vAlign w:val="center"/>
          </w:tcPr>
          <w:p w14:paraId="72CB29EA" w14:textId="10D81A42" w:rsidR="0098128B" w:rsidRPr="007C2ADE" w:rsidRDefault="0098128B" w:rsidP="0098128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/>
            <w:vAlign w:val="center"/>
          </w:tcPr>
          <w:p w14:paraId="7713EB1E" w14:textId="6B1E9F74" w:rsidR="0098128B" w:rsidRPr="007C2ADE" w:rsidRDefault="0098128B" w:rsidP="0098128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7" w:type="dxa"/>
            <w:gridSpan w:val="2"/>
            <w:vMerge w:val="restart"/>
            <w:shd w:val="clear" w:color="auto" w:fill="FFFFFF"/>
            <w:vAlign w:val="center"/>
          </w:tcPr>
          <w:p w14:paraId="522FDA81" w14:textId="0715D1CF" w:rsidR="0098128B" w:rsidRPr="007C2ADE" w:rsidRDefault="0098128B" w:rsidP="0098128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C554C" w:rsidRPr="005840B9" w14:paraId="32D3A021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2269" w:type="dxa"/>
            <w:vMerge/>
            <w:shd w:val="clear" w:color="auto" w:fill="FFFFFF"/>
          </w:tcPr>
          <w:p w14:paraId="3E982668" w14:textId="77777777" w:rsidR="00547CEE" w:rsidRPr="007C2ADE" w:rsidRDefault="00547CEE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FFFFFF"/>
          </w:tcPr>
          <w:p w14:paraId="6E064243" w14:textId="77777777" w:rsidR="00547CEE" w:rsidRPr="007C2ADE" w:rsidRDefault="00547CEE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0129066B" w14:textId="77777777" w:rsidR="00547CEE" w:rsidRPr="007C2ADE" w:rsidRDefault="00547CEE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1DE7F6F0" w14:textId="77777777" w:rsidR="00547CEE" w:rsidRPr="007C2ADE" w:rsidRDefault="00547CEE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66F91447" w14:textId="77777777" w:rsidR="00547CEE" w:rsidRPr="007C2ADE" w:rsidRDefault="00547CEE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14:paraId="7C8BCAE2" w14:textId="77777777" w:rsidR="00547CEE" w:rsidRPr="007C2ADE" w:rsidRDefault="00547CEE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9F33597" w14:textId="77777777" w:rsidR="00547CEE" w:rsidRPr="007C2ADE" w:rsidRDefault="00547CEE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225BB481" w14:textId="77777777" w:rsidR="00547CEE" w:rsidRPr="007C2ADE" w:rsidRDefault="00547CEE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332879C1" w14:textId="77777777" w:rsidR="00547CEE" w:rsidRPr="007C2ADE" w:rsidRDefault="00547CEE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C554C" w:rsidRPr="005840B9" w14:paraId="16178962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2269" w:type="dxa"/>
            <w:vMerge/>
            <w:shd w:val="clear" w:color="auto" w:fill="FFFFFF"/>
          </w:tcPr>
          <w:p w14:paraId="7BB2E29C" w14:textId="77777777" w:rsidR="009A0DC2" w:rsidRPr="007C2ADE" w:rsidRDefault="009A0DC2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FFFFFF"/>
          </w:tcPr>
          <w:p w14:paraId="18AC6599" w14:textId="77777777" w:rsidR="009A0DC2" w:rsidRPr="007C2ADE" w:rsidRDefault="009A0DC2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</w:rPr>
              <w:t>rodzina, obywatele oraz gospodarstwa domowe, w szczególności osoby niepełnosprawne i starsze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259DA" w14:textId="640199FD" w:rsidR="009A0DC2" w:rsidRPr="007C2ADE" w:rsidRDefault="009A0DC2" w:rsidP="009A0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DCDAC" w14:textId="38BA7404" w:rsidR="009A0DC2" w:rsidRPr="007C2ADE" w:rsidRDefault="009A0DC2" w:rsidP="009A0D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81248" w14:textId="488BDD6D" w:rsidR="009A0DC2" w:rsidRPr="007C2ADE" w:rsidRDefault="009A0DC2" w:rsidP="009A0D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222FC" w14:textId="57ADFB3B" w:rsidR="009A0DC2" w:rsidRPr="007C2ADE" w:rsidRDefault="009A0DC2" w:rsidP="009A0D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D451" w14:textId="258E1AFC" w:rsidR="009A0DC2" w:rsidRPr="007C2ADE" w:rsidRDefault="009A0DC2" w:rsidP="009A0D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21F29" w14:textId="693EB40C" w:rsidR="009A0DC2" w:rsidRPr="007C2ADE" w:rsidRDefault="009A0DC2" w:rsidP="009A0D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4BED" w14:textId="710F0BA5" w:rsidR="009A0DC2" w:rsidRPr="007C2ADE" w:rsidRDefault="009A0DC2" w:rsidP="009A0DC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12A6E" w:rsidRPr="005840B9" w14:paraId="7DC46B66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2269" w:type="dxa"/>
            <w:vMerge w:val="restart"/>
            <w:shd w:val="clear" w:color="auto" w:fill="FFFFFF"/>
          </w:tcPr>
          <w:p w14:paraId="1FFE369E" w14:textId="77777777" w:rsidR="00112A6E" w:rsidRPr="007C2ADE" w:rsidRDefault="00112A6E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126" w:type="dxa"/>
            <w:gridSpan w:val="4"/>
            <w:shd w:val="clear" w:color="auto" w:fill="FFFFFF"/>
          </w:tcPr>
          <w:p w14:paraId="7681FFD8" w14:textId="77777777" w:rsidR="00112A6E" w:rsidRPr="007C2ADE" w:rsidRDefault="00112A6E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480" w:type="dxa"/>
            <w:gridSpan w:val="17"/>
            <w:tcBorders>
              <w:top w:val="single" w:sz="4" w:space="0" w:color="auto"/>
            </w:tcBorders>
            <w:shd w:val="clear" w:color="auto" w:fill="FFFFFF"/>
          </w:tcPr>
          <w:p w14:paraId="7441075D" w14:textId="399B1645" w:rsidR="009C7211" w:rsidRPr="005D4AEA" w:rsidRDefault="001B2AB7" w:rsidP="009A0DC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5D4AEA">
              <w:rPr>
                <w:rFonts w:ascii="Times New Roman" w:hAnsi="Times New Roman"/>
              </w:rPr>
              <w:t xml:space="preserve"> </w:t>
            </w:r>
            <w:r w:rsidR="009039FE">
              <w:rPr>
                <w:rFonts w:ascii="Times New Roman" w:hAnsi="Times New Roman"/>
              </w:rPr>
              <w:t>Brak wpływu.</w:t>
            </w:r>
          </w:p>
        </w:tc>
      </w:tr>
      <w:tr w:rsidR="00112A6E" w:rsidRPr="005840B9" w14:paraId="003F1F77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2269" w:type="dxa"/>
            <w:vMerge/>
            <w:shd w:val="clear" w:color="auto" w:fill="FFFFFF"/>
          </w:tcPr>
          <w:p w14:paraId="7359288E" w14:textId="77777777" w:rsidR="00112A6E" w:rsidRPr="007C2ADE" w:rsidRDefault="00112A6E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FFFFFF"/>
          </w:tcPr>
          <w:p w14:paraId="3E75BD35" w14:textId="77777777" w:rsidR="00112A6E" w:rsidRPr="007C2ADE" w:rsidRDefault="00112A6E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480" w:type="dxa"/>
            <w:gridSpan w:val="17"/>
            <w:shd w:val="clear" w:color="auto" w:fill="FFFFFF"/>
          </w:tcPr>
          <w:p w14:paraId="45E86A34" w14:textId="42A47E8F" w:rsidR="00112A6E" w:rsidRPr="007C2ADE" w:rsidRDefault="009039FE" w:rsidP="009A0DC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682B">
              <w:rPr>
                <w:rFonts w:ascii="Times New Roman" w:hAnsi="Times New Roman"/>
                <w:color w:val="000000"/>
                <w:spacing w:val="-2"/>
              </w:rPr>
              <w:t>Przedmiotowy projekt nie określa zasad podejmowania, wykonywania lub zakończenia działalności gospodarczej, w związku z czym odstąpiono od analiz i oceny przewidywanych skutków społeczno-gospodarczych, wskazanych w art. 66 ust. 1 ustawy z dnia 6 marca 2018 r. – Prawo przedsiębiorców (Dz. U. poz. 1292, z późn. zm.).</w:t>
            </w:r>
          </w:p>
        </w:tc>
      </w:tr>
      <w:tr w:rsidR="009A0DC2" w:rsidRPr="005840B9" w14:paraId="70DD52B3" w14:textId="77777777" w:rsidTr="000C554C">
        <w:trPr>
          <w:gridAfter w:val="1"/>
          <w:wAfter w:w="41" w:type="dxa"/>
          <w:trHeight w:val="596"/>
          <w:jc w:val="center"/>
        </w:trPr>
        <w:tc>
          <w:tcPr>
            <w:tcW w:w="2269" w:type="dxa"/>
            <w:vMerge/>
            <w:shd w:val="clear" w:color="auto" w:fill="FFFFFF"/>
          </w:tcPr>
          <w:p w14:paraId="10A6D227" w14:textId="77777777" w:rsidR="009A0DC2" w:rsidRPr="007C2ADE" w:rsidRDefault="009A0DC2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FFFFFF"/>
          </w:tcPr>
          <w:p w14:paraId="6AD8E54E" w14:textId="77777777" w:rsidR="009A0DC2" w:rsidRPr="007C2ADE" w:rsidRDefault="009A0DC2" w:rsidP="009A0DC2">
            <w:pPr>
              <w:tabs>
                <w:tab w:val="right" w:pos="1936"/>
              </w:tabs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</w:rPr>
              <w:t>rodzina, obywatele oraz gospodarstwa domowe,</w:t>
            </w:r>
            <w:r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Pr="007C2ADE">
              <w:rPr>
                <w:rFonts w:ascii="Times New Roman" w:hAnsi="Times New Roman"/>
              </w:rPr>
              <w:t>w szczególności osoby niepełnosprawne i starsze</w:t>
            </w:r>
          </w:p>
        </w:tc>
        <w:tc>
          <w:tcPr>
            <w:tcW w:w="6480" w:type="dxa"/>
            <w:gridSpan w:val="17"/>
            <w:shd w:val="clear" w:color="auto" w:fill="FFFFFF"/>
          </w:tcPr>
          <w:p w14:paraId="1DE1BFF4" w14:textId="6C75BDCE" w:rsidR="009A0DC2" w:rsidRPr="007C2ADE" w:rsidRDefault="009A0DC2" w:rsidP="009A0DC2">
            <w:pPr>
              <w:pStyle w:val="Style6"/>
              <w:widowControl/>
              <w:spacing w:before="120" w:after="120" w:line="240" w:lineRule="auto"/>
              <w:ind w:firstLine="0"/>
              <w:jc w:val="left"/>
              <w:rPr>
                <w:rStyle w:val="FontStyle15"/>
                <w:i w:val="0"/>
                <w:sz w:val="22"/>
                <w:szCs w:val="22"/>
              </w:rPr>
            </w:pPr>
            <w:r w:rsidRPr="007C2ADE">
              <w:rPr>
                <w:rStyle w:val="FontStyle15"/>
                <w:i w:val="0"/>
                <w:sz w:val="22"/>
                <w:szCs w:val="22"/>
              </w:rPr>
              <w:t>Brak wpływu</w:t>
            </w:r>
            <w:r w:rsidR="00A350C4">
              <w:rPr>
                <w:rStyle w:val="FontStyle15"/>
                <w:i w:val="0"/>
                <w:sz w:val="22"/>
                <w:szCs w:val="22"/>
              </w:rPr>
              <w:t>.</w:t>
            </w:r>
          </w:p>
          <w:p w14:paraId="788DBECA" w14:textId="77777777" w:rsidR="009A0DC2" w:rsidRPr="007C2ADE" w:rsidRDefault="009A0DC2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A0DC2" w:rsidRPr="005840B9" w14:paraId="307853D1" w14:textId="77777777" w:rsidTr="000C554C">
        <w:trPr>
          <w:gridAfter w:val="1"/>
          <w:wAfter w:w="41" w:type="dxa"/>
          <w:trHeight w:val="550"/>
          <w:jc w:val="center"/>
        </w:trPr>
        <w:tc>
          <w:tcPr>
            <w:tcW w:w="2269" w:type="dxa"/>
            <w:shd w:val="clear" w:color="auto" w:fill="FFFFFF"/>
          </w:tcPr>
          <w:p w14:paraId="75BA9F06" w14:textId="77777777" w:rsidR="009A0DC2" w:rsidRPr="007C2ADE" w:rsidRDefault="009A0DC2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126" w:type="dxa"/>
            <w:gridSpan w:val="4"/>
            <w:shd w:val="clear" w:color="auto" w:fill="FFFFFF"/>
          </w:tcPr>
          <w:p w14:paraId="1373AF14" w14:textId="77777777" w:rsidR="009A0DC2" w:rsidRPr="007C2ADE" w:rsidRDefault="009A0DC2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</w:rPr>
              <w:t>rodzina, obywatele oraz gospodarstwa domowe, w szczególności osoby niepełnosprawne i starsze</w:t>
            </w:r>
          </w:p>
        </w:tc>
        <w:tc>
          <w:tcPr>
            <w:tcW w:w="6480" w:type="dxa"/>
            <w:gridSpan w:val="17"/>
            <w:shd w:val="clear" w:color="auto" w:fill="FFFFFF"/>
          </w:tcPr>
          <w:p w14:paraId="2B4BF59F" w14:textId="629CFA3A" w:rsidR="0001456C" w:rsidRPr="007C2ADE" w:rsidRDefault="00EB53DE" w:rsidP="00EB53DE">
            <w:pPr>
              <w:pStyle w:val="Style6"/>
              <w:spacing w:before="120" w:after="120" w:line="240" w:lineRule="auto"/>
              <w:ind w:firstLine="0"/>
              <w:rPr>
                <w:rStyle w:val="FontStyle15"/>
                <w:i w:val="0"/>
                <w:sz w:val="22"/>
                <w:szCs w:val="22"/>
              </w:rPr>
            </w:pPr>
            <w:r>
              <w:rPr>
                <w:rStyle w:val="FontStyle15"/>
                <w:i w:val="0"/>
                <w:sz w:val="22"/>
                <w:szCs w:val="22"/>
              </w:rPr>
              <w:t>Projekt przewiduje ułatwienie obywatelom kontaktu z organami  administracji poprzez umożliwienie przesyłania korespondencji w postępowaniu administracyjnym na adres skrytki pocztowej</w:t>
            </w:r>
            <w:r w:rsidR="000C554C">
              <w:rPr>
                <w:rStyle w:val="FontStyle15"/>
                <w:i w:val="0"/>
                <w:sz w:val="22"/>
                <w:szCs w:val="22"/>
              </w:rPr>
              <w:t xml:space="preserve"> oraz w</w:t>
            </w:r>
            <w:r w:rsidR="000C554C" w:rsidRPr="000C554C">
              <w:rPr>
                <w:rStyle w:val="FontStyle15"/>
                <w:i w:val="0"/>
                <w:sz w:val="22"/>
                <w:szCs w:val="22"/>
              </w:rPr>
              <w:t>prowadzenie możliwości rozpraw zdalnych</w:t>
            </w:r>
            <w:r w:rsidR="000C554C">
              <w:rPr>
                <w:rStyle w:val="FontStyle15"/>
                <w:i w:val="0"/>
                <w:sz w:val="22"/>
                <w:szCs w:val="22"/>
              </w:rPr>
              <w:t xml:space="preserve">. </w:t>
            </w:r>
            <w:r>
              <w:rPr>
                <w:rStyle w:val="FontStyle15"/>
                <w:i w:val="0"/>
                <w:sz w:val="22"/>
                <w:szCs w:val="22"/>
              </w:rPr>
              <w:t xml:space="preserve">Projekt również umożliwia </w:t>
            </w:r>
            <w:r w:rsidRPr="00EB53DE">
              <w:rPr>
                <w:rStyle w:val="FontStyle15"/>
                <w:i w:val="0"/>
                <w:sz w:val="22"/>
                <w:szCs w:val="22"/>
              </w:rPr>
              <w:t>dołączeni</w:t>
            </w:r>
            <w:r>
              <w:rPr>
                <w:rStyle w:val="FontStyle15"/>
                <w:i w:val="0"/>
                <w:sz w:val="22"/>
                <w:szCs w:val="22"/>
              </w:rPr>
              <w:t>e</w:t>
            </w:r>
            <w:r w:rsidRPr="00EB53DE">
              <w:rPr>
                <w:rStyle w:val="FontStyle15"/>
                <w:i w:val="0"/>
                <w:sz w:val="22"/>
                <w:szCs w:val="22"/>
              </w:rPr>
              <w:t xml:space="preserve"> do postępowania administracyjnego na wniosek strony, która wystąpiła z żądaniem wszczęcia postępowania</w:t>
            </w:r>
            <w:r>
              <w:rPr>
                <w:rStyle w:val="FontStyle15"/>
                <w:i w:val="0"/>
                <w:sz w:val="22"/>
                <w:szCs w:val="22"/>
              </w:rPr>
              <w:t xml:space="preserve">, a jednocześnie znosi </w:t>
            </w:r>
            <w:r w:rsidRPr="00EB53DE">
              <w:rPr>
                <w:rStyle w:val="FontStyle15"/>
                <w:i w:val="0"/>
                <w:sz w:val="22"/>
                <w:szCs w:val="22"/>
              </w:rPr>
              <w:t>możliwoś</w:t>
            </w:r>
            <w:r>
              <w:rPr>
                <w:rStyle w:val="FontStyle15"/>
                <w:i w:val="0"/>
                <w:sz w:val="22"/>
                <w:szCs w:val="22"/>
              </w:rPr>
              <w:t>ć</w:t>
            </w:r>
            <w:r w:rsidRPr="00EB53DE">
              <w:rPr>
                <w:rStyle w:val="FontStyle15"/>
                <w:i w:val="0"/>
                <w:sz w:val="22"/>
                <w:szCs w:val="22"/>
              </w:rPr>
              <w:t xml:space="preserve"> zażalenia na postanowienie w sprawie sprostowania i wyjaśnienia postanowienia, od którego nie przysługuje zażalenie</w:t>
            </w:r>
            <w:r w:rsidR="0001456C">
              <w:rPr>
                <w:rStyle w:val="FontStyle15"/>
                <w:i w:val="0"/>
                <w:sz w:val="22"/>
                <w:szCs w:val="22"/>
              </w:rPr>
              <w:t>.</w:t>
            </w:r>
          </w:p>
          <w:p w14:paraId="06BA3462" w14:textId="77777777" w:rsidR="009A0DC2" w:rsidRPr="007C2ADE" w:rsidRDefault="009A0DC2" w:rsidP="009A0DC2">
            <w:pPr>
              <w:pStyle w:val="Style6"/>
              <w:widowControl/>
              <w:spacing w:before="120" w:after="120" w:line="240" w:lineRule="auto"/>
              <w:ind w:firstLine="0"/>
              <w:rPr>
                <w:iCs/>
                <w:sz w:val="22"/>
                <w:szCs w:val="22"/>
              </w:rPr>
            </w:pPr>
          </w:p>
        </w:tc>
      </w:tr>
      <w:tr w:rsidR="009A0DC2" w:rsidRPr="005840B9" w14:paraId="76378175" w14:textId="77777777" w:rsidTr="000C554C">
        <w:trPr>
          <w:gridAfter w:val="1"/>
          <w:wAfter w:w="41" w:type="dxa"/>
          <w:trHeight w:val="266"/>
          <w:jc w:val="center"/>
        </w:trPr>
        <w:tc>
          <w:tcPr>
            <w:tcW w:w="2269" w:type="dxa"/>
            <w:shd w:val="clear" w:color="auto" w:fill="FFFFFF"/>
          </w:tcPr>
          <w:p w14:paraId="133445F5" w14:textId="77777777" w:rsidR="009A0DC2" w:rsidRPr="007C2ADE" w:rsidRDefault="009A0DC2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06" w:type="dxa"/>
            <w:gridSpan w:val="21"/>
            <w:shd w:val="clear" w:color="auto" w:fill="FFFFFF"/>
            <w:vAlign w:val="center"/>
          </w:tcPr>
          <w:p w14:paraId="576C70FD" w14:textId="0DB21FB3" w:rsidR="00763406" w:rsidRPr="00763406" w:rsidRDefault="00763406" w:rsidP="00763406">
            <w:pPr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0DC2" w:rsidRPr="005840B9" w14:paraId="0868E0B2" w14:textId="77777777" w:rsidTr="000C554C">
        <w:trPr>
          <w:gridAfter w:val="1"/>
          <w:wAfter w:w="41" w:type="dxa"/>
          <w:trHeight w:val="342"/>
          <w:jc w:val="center"/>
        </w:trPr>
        <w:tc>
          <w:tcPr>
            <w:tcW w:w="10875" w:type="dxa"/>
            <w:gridSpan w:val="22"/>
            <w:shd w:val="clear" w:color="auto" w:fill="99CCFF"/>
            <w:vAlign w:val="center"/>
          </w:tcPr>
          <w:p w14:paraId="4A6E66C1" w14:textId="77777777" w:rsidR="009A0DC2" w:rsidRPr="007C2ADE" w:rsidRDefault="009A0DC2" w:rsidP="009833A5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2ADE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9A0DC2" w:rsidRPr="005840B9" w14:paraId="766C6CDD" w14:textId="77777777" w:rsidTr="000C554C">
        <w:trPr>
          <w:gridAfter w:val="1"/>
          <w:wAfter w:w="41" w:type="dxa"/>
          <w:trHeight w:val="151"/>
          <w:jc w:val="center"/>
        </w:trPr>
        <w:tc>
          <w:tcPr>
            <w:tcW w:w="10875" w:type="dxa"/>
            <w:gridSpan w:val="22"/>
            <w:shd w:val="clear" w:color="auto" w:fill="FFFFFF"/>
          </w:tcPr>
          <w:p w14:paraId="3A80B354" w14:textId="6D69BD8B" w:rsidR="009A0DC2" w:rsidRPr="007C2ADE" w:rsidRDefault="009039FE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A0DC2"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="009A0DC2" w:rsidRPr="007C2ADE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A0DC2" w:rsidRPr="005840B9" w14:paraId="50F351C1" w14:textId="77777777" w:rsidTr="000C554C">
        <w:trPr>
          <w:gridAfter w:val="1"/>
          <w:wAfter w:w="41" w:type="dxa"/>
          <w:trHeight w:val="946"/>
          <w:jc w:val="center"/>
        </w:trPr>
        <w:tc>
          <w:tcPr>
            <w:tcW w:w="6521" w:type="dxa"/>
            <w:gridSpan w:val="11"/>
            <w:shd w:val="clear" w:color="auto" w:fill="FFFFFF"/>
            <w:vAlign w:val="center"/>
          </w:tcPr>
          <w:p w14:paraId="389941D6" w14:textId="77777777" w:rsidR="009A0DC2" w:rsidRPr="007C2ADE" w:rsidRDefault="009A0DC2" w:rsidP="009A0D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2ADE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7C2ADE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4354" w:type="dxa"/>
            <w:gridSpan w:val="11"/>
            <w:shd w:val="clear" w:color="auto" w:fill="FFFFFF"/>
            <w:vAlign w:val="center"/>
          </w:tcPr>
          <w:p w14:paraId="6A7F89C7" w14:textId="40405368" w:rsidR="009A0DC2" w:rsidRPr="007C2ADE" w:rsidRDefault="009039FE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A0DC2" w:rsidRPr="007C2ADE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9D58BBB" w14:textId="4B67214E" w:rsidR="009A0DC2" w:rsidRPr="007C2ADE" w:rsidRDefault="002E167E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A0DC2" w:rsidRPr="007C2ADE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05E691D" w14:textId="4DC6EAD8" w:rsidR="009A0DC2" w:rsidRPr="007C2ADE" w:rsidRDefault="009039FE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A0DC2" w:rsidRPr="007C2AD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A0DC2" w:rsidRPr="005840B9" w14:paraId="11572DC1" w14:textId="77777777" w:rsidTr="000C554C">
        <w:trPr>
          <w:gridAfter w:val="1"/>
          <w:wAfter w:w="41" w:type="dxa"/>
          <w:trHeight w:val="1245"/>
          <w:jc w:val="center"/>
        </w:trPr>
        <w:tc>
          <w:tcPr>
            <w:tcW w:w="6521" w:type="dxa"/>
            <w:gridSpan w:val="11"/>
            <w:shd w:val="clear" w:color="auto" w:fill="FFFFFF"/>
            <w:vAlign w:val="center"/>
          </w:tcPr>
          <w:p w14:paraId="21943940" w14:textId="30FC690B" w:rsidR="009A0DC2" w:rsidRPr="007C2ADE" w:rsidRDefault="00520135" w:rsidP="009A0D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A0DC2"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="009A0DC2" w:rsidRPr="007C2ADE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4E650173" w14:textId="2694C3A6" w:rsidR="009A0DC2" w:rsidRPr="007C2ADE" w:rsidRDefault="00520135" w:rsidP="009A0D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A0DC2"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="009A0DC2" w:rsidRPr="007C2ADE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3F57145" w14:textId="3DBD9CA1" w:rsidR="009A0DC2" w:rsidRPr="007C2ADE" w:rsidRDefault="00520135" w:rsidP="009A0D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A0DC2"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="009A0DC2" w:rsidRPr="007C2ADE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4A072B66" w14:textId="77777777" w:rsidR="009A0DC2" w:rsidRPr="007C2ADE" w:rsidRDefault="009A0DC2" w:rsidP="009A0DC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C2A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C2ADE">
              <w:rPr>
                <w:rFonts w:ascii="Times New Roman" w:hAnsi="Times New Roman"/>
                <w:color w:val="000000"/>
              </w:rPr>
              <w:fldChar w:fldCharType="end"/>
            </w:r>
            <w:r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Pr="007C2AD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Pr="007C2A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C2AD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7C2ADE">
              <w:rPr>
                <w:rFonts w:ascii="Times New Roman" w:hAnsi="Times New Roman"/>
                <w:color w:val="000000"/>
              </w:rPr>
            </w:r>
            <w:r w:rsidRPr="007C2ADE">
              <w:rPr>
                <w:rFonts w:ascii="Times New Roman" w:hAnsi="Times New Roman"/>
                <w:color w:val="000000"/>
              </w:rPr>
              <w:fldChar w:fldCharType="separate"/>
            </w:r>
            <w:r w:rsidRPr="007C2AD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2AD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2AD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2AD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2AD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2AD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354" w:type="dxa"/>
            <w:gridSpan w:val="11"/>
            <w:shd w:val="clear" w:color="auto" w:fill="FFFFFF"/>
            <w:vAlign w:val="center"/>
          </w:tcPr>
          <w:p w14:paraId="1018BEE6" w14:textId="26FA8B22" w:rsidR="009A0DC2" w:rsidRPr="007C2ADE" w:rsidRDefault="00311981" w:rsidP="009A0D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A0DC2"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="009A0DC2" w:rsidRPr="007C2ADE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060450A" w14:textId="716A8CC2" w:rsidR="009A0DC2" w:rsidRPr="007C2ADE" w:rsidRDefault="004D0CF8" w:rsidP="009A0D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A0DC2"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="009A0DC2" w:rsidRPr="007C2ADE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8454F0D" w14:textId="77777777" w:rsidR="009A0DC2" w:rsidRPr="007C2ADE" w:rsidRDefault="009A0DC2" w:rsidP="009A0D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2A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C2ADE">
              <w:rPr>
                <w:rFonts w:ascii="Times New Roman" w:hAnsi="Times New Roman"/>
                <w:color w:val="000000"/>
              </w:rPr>
              <w:fldChar w:fldCharType="end"/>
            </w:r>
            <w:r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Pr="007C2ADE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05F664F7" w14:textId="77777777" w:rsidR="009A0DC2" w:rsidRPr="007C2ADE" w:rsidRDefault="009A0DC2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C2ADE">
              <w:rPr>
                <w:rFonts w:ascii="Times New Roman" w:hAnsi="Times New Roman"/>
                <w:color w:val="000000"/>
              </w:rPr>
              <w:fldChar w:fldCharType="end"/>
            </w:r>
            <w:r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Pr="007C2AD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Pr="007C2A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C2AD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7C2ADE">
              <w:rPr>
                <w:rFonts w:ascii="Times New Roman" w:hAnsi="Times New Roman"/>
                <w:color w:val="000000"/>
              </w:rPr>
            </w:r>
            <w:r w:rsidRPr="007C2ADE">
              <w:rPr>
                <w:rFonts w:ascii="Times New Roman" w:hAnsi="Times New Roman"/>
                <w:color w:val="000000"/>
              </w:rPr>
              <w:fldChar w:fldCharType="separate"/>
            </w:r>
            <w:r w:rsidRPr="007C2AD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2AD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2AD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2AD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2AD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2ADE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88C16E5" w14:textId="77777777" w:rsidR="009A0DC2" w:rsidRPr="007C2ADE" w:rsidRDefault="009A0DC2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0DC2" w:rsidRPr="005840B9" w14:paraId="29C94885" w14:textId="77777777" w:rsidTr="000C554C">
        <w:trPr>
          <w:gridAfter w:val="1"/>
          <w:wAfter w:w="41" w:type="dxa"/>
          <w:trHeight w:val="870"/>
          <w:jc w:val="center"/>
        </w:trPr>
        <w:tc>
          <w:tcPr>
            <w:tcW w:w="6521" w:type="dxa"/>
            <w:gridSpan w:val="11"/>
            <w:shd w:val="clear" w:color="auto" w:fill="FFFFFF"/>
            <w:vAlign w:val="center"/>
          </w:tcPr>
          <w:p w14:paraId="5883016E" w14:textId="77777777" w:rsidR="009A0DC2" w:rsidRPr="007C2ADE" w:rsidRDefault="009A0DC2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4354" w:type="dxa"/>
            <w:gridSpan w:val="11"/>
            <w:shd w:val="clear" w:color="auto" w:fill="FFFFFF"/>
            <w:vAlign w:val="center"/>
          </w:tcPr>
          <w:p w14:paraId="34DABB45" w14:textId="2EBE1DDA" w:rsidR="009A0DC2" w:rsidRPr="007C2ADE" w:rsidRDefault="00520135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A0DC2" w:rsidRPr="007C2ADE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64F0588" w14:textId="77777777" w:rsidR="009A0DC2" w:rsidRPr="007C2ADE" w:rsidRDefault="009A0DC2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C2ADE">
              <w:rPr>
                <w:rFonts w:ascii="Times New Roman" w:hAnsi="Times New Roman"/>
                <w:color w:val="000000"/>
              </w:rPr>
              <w:fldChar w:fldCharType="end"/>
            </w:r>
            <w:r w:rsidRPr="007C2ADE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0940679" w14:textId="2D9FFB3B" w:rsidR="009A0DC2" w:rsidRPr="007C2ADE" w:rsidRDefault="00520135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9A0DC2" w:rsidRPr="007C2AD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A0DC2" w:rsidRPr="005840B9" w14:paraId="709B9137" w14:textId="77777777" w:rsidTr="000C554C">
        <w:trPr>
          <w:gridAfter w:val="1"/>
          <w:wAfter w:w="41" w:type="dxa"/>
          <w:trHeight w:val="408"/>
          <w:jc w:val="center"/>
        </w:trPr>
        <w:tc>
          <w:tcPr>
            <w:tcW w:w="10875" w:type="dxa"/>
            <w:gridSpan w:val="22"/>
            <w:shd w:val="clear" w:color="auto" w:fill="FFFFFF"/>
            <w:vAlign w:val="center"/>
          </w:tcPr>
          <w:p w14:paraId="29EFD3C2" w14:textId="550B6363" w:rsidR="00311981" w:rsidRPr="007C2ADE" w:rsidRDefault="009A0DC2" w:rsidP="0087588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 xml:space="preserve">Komentarz: </w:t>
            </w:r>
            <w:r w:rsidR="00311981">
              <w:rPr>
                <w:rFonts w:ascii="Times New Roman" w:hAnsi="Times New Roman"/>
                <w:color w:val="000000"/>
              </w:rPr>
              <w:t xml:space="preserve">Projekt przewiduje wprowadzenie </w:t>
            </w:r>
            <w:r w:rsidR="00875889">
              <w:rPr>
                <w:rFonts w:ascii="Times New Roman" w:hAnsi="Times New Roman"/>
                <w:color w:val="000000"/>
              </w:rPr>
              <w:t>nowego dokumentu w formie zawiadomienia strony o umorzeniu postępowania z mocy prawa.</w:t>
            </w:r>
          </w:p>
        </w:tc>
      </w:tr>
      <w:tr w:rsidR="009A0DC2" w:rsidRPr="005840B9" w14:paraId="0A796FB0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10875" w:type="dxa"/>
            <w:gridSpan w:val="22"/>
            <w:shd w:val="clear" w:color="auto" w:fill="99CCFF"/>
          </w:tcPr>
          <w:p w14:paraId="1B1EDFB9" w14:textId="77777777" w:rsidR="009A0DC2" w:rsidRPr="007C2ADE" w:rsidRDefault="009A0DC2" w:rsidP="009833A5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2ADE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9A0DC2" w:rsidRPr="005840B9" w14:paraId="75327046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10875" w:type="dxa"/>
            <w:gridSpan w:val="22"/>
            <w:shd w:val="clear" w:color="auto" w:fill="auto"/>
          </w:tcPr>
          <w:p w14:paraId="6FBE5E3E" w14:textId="77777777" w:rsidR="009A0DC2" w:rsidRPr="007C2ADE" w:rsidRDefault="009A0DC2" w:rsidP="009A0DC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Projektowana regulacja nie będzie miała wpływu na rynek pracy.</w:t>
            </w:r>
          </w:p>
        </w:tc>
      </w:tr>
      <w:tr w:rsidR="009A0DC2" w:rsidRPr="005840B9" w14:paraId="3ECAC584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10875" w:type="dxa"/>
            <w:gridSpan w:val="22"/>
            <w:shd w:val="clear" w:color="auto" w:fill="99CCFF"/>
          </w:tcPr>
          <w:p w14:paraId="2B0A2218" w14:textId="77777777" w:rsidR="009A0DC2" w:rsidRPr="007C2ADE" w:rsidRDefault="009A0DC2" w:rsidP="009833A5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2ADE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9A0DC2" w:rsidRPr="005840B9" w14:paraId="0F42B533" w14:textId="77777777" w:rsidTr="000C554C">
        <w:trPr>
          <w:gridAfter w:val="1"/>
          <w:wAfter w:w="41" w:type="dxa"/>
          <w:trHeight w:val="1031"/>
          <w:jc w:val="center"/>
        </w:trPr>
        <w:tc>
          <w:tcPr>
            <w:tcW w:w="4395" w:type="dxa"/>
            <w:gridSpan w:val="5"/>
            <w:shd w:val="clear" w:color="auto" w:fill="FFFFFF"/>
          </w:tcPr>
          <w:p w14:paraId="040827C8" w14:textId="77777777" w:rsidR="009A0DC2" w:rsidRPr="007C2ADE" w:rsidRDefault="009A0DC2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7EADA6E" w14:textId="77777777" w:rsidR="009A0DC2" w:rsidRPr="007C2ADE" w:rsidRDefault="009A0DC2" w:rsidP="009A0D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2A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C2ADE">
              <w:rPr>
                <w:rFonts w:ascii="Times New Roman" w:hAnsi="Times New Roman"/>
                <w:color w:val="000000"/>
              </w:rPr>
              <w:fldChar w:fldCharType="end"/>
            </w:r>
            <w:r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Pr="007C2ADE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7CA7F56" w14:textId="77777777" w:rsidR="009A0DC2" w:rsidRPr="007C2ADE" w:rsidRDefault="009A0DC2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C2ADE">
              <w:rPr>
                <w:rFonts w:ascii="Times New Roman" w:hAnsi="Times New Roman"/>
                <w:color w:val="000000"/>
              </w:rPr>
              <w:fldChar w:fldCharType="end"/>
            </w:r>
            <w:r w:rsidRPr="007C2ADE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4E83C3C2" w14:textId="23443C0D" w:rsidR="00721285" w:rsidRPr="007C2ADE" w:rsidRDefault="000F53B3" w:rsidP="009A0D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="00721285" w:rsidRPr="007212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Start w:id="0" w:name="_Hlk88562467"/>
            <w:r w:rsidR="00721285" w:rsidRPr="00721285">
              <w:rPr>
                <w:rFonts w:ascii="Times New Roman" w:hAnsi="Times New Roman"/>
                <w:spacing w:val="-2"/>
              </w:rPr>
              <w:t>sądy powszechne, administracyjne lub wojskowe</w:t>
            </w:r>
            <w:bookmarkEnd w:id="0"/>
          </w:p>
        </w:tc>
        <w:tc>
          <w:tcPr>
            <w:tcW w:w="3255" w:type="dxa"/>
            <w:gridSpan w:val="9"/>
            <w:shd w:val="clear" w:color="auto" w:fill="FFFFFF"/>
          </w:tcPr>
          <w:p w14:paraId="2FF9C830" w14:textId="77777777" w:rsidR="009A0DC2" w:rsidRPr="007C2ADE" w:rsidRDefault="009A0DC2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C81A3B2" w14:textId="77777777" w:rsidR="009A0DC2" w:rsidRPr="007C2ADE" w:rsidRDefault="009A0DC2" w:rsidP="009A0D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2A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C2ADE">
              <w:rPr>
                <w:rFonts w:ascii="Times New Roman" w:hAnsi="Times New Roman"/>
                <w:color w:val="000000"/>
              </w:rPr>
              <w:fldChar w:fldCharType="end"/>
            </w:r>
            <w:r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Pr="007C2ADE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2CD312C" w14:textId="77777777" w:rsidR="009A0DC2" w:rsidRDefault="009A0DC2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C2ADE">
              <w:rPr>
                <w:rFonts w:ascii="Times New Roman" w:hAnsi="Times New Roman"/>
                <w:color w:val="000000"/>
              </w:rPr>
              <w:fldChar w:fldCharType="end"/>
            </w:r>
            <w:r w:rsidRPr="007C2ADE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095CE159" w14:textId="77777777" w:rsidR="00721285" w:rsidRDefault="00721285" w:rsidP="0072128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C2ADE">
              <w:rPr>
                <w:rFonts w:ascii="Times New Roman" w:hAnsi="Times New Roman"/>
                <w:color w:val="000000"/>
              </w:rPr>
              <w:fldChar w:fldCharType="end"/>
            </w:r>
            <w:r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Pr="007C2ADE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7C2A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C2AD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7C2ADE">
              <w:rPr>
                <w:rFonts w:ascii="Times New Roman" w:hAnsi="Times New Roman"/>
                <w:color w:val="000000"/>
              </w:rPr>
            </w:r>
            <w:r w:rsidRPr="007C2ADE">
              <w:rPr>
                <w:rFonts w:ascii="Times New Roman" w:hAnsi="Times New Roman"/>
                <w:color w:val="000000"/>
              </w:rPr>
              <w:fldChar w:fldCharType="separate"/>
            </w:r>
            <w:r w:rsidRPr="007C2AD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2AD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2AD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2AD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2AD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2ADE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3471975E" w14:textId="6403D9F3" w:rsidR="00721285" w:rsidRPr="007C2ADE" w:rsidRDefault="00721285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25" w:type="dxa"/>
            <w:gridSpan w:val="8"/>
            <w:shd w:val="clear" w:color="auto" w:fill="FFFFFF"/>
          </w:tcPr>
          <w:p w14:paraId="04C8B15E" w14:textId="77777777" w:rsidR="009A0DC2" w:rsidRPr="007C2ADE" w:rsidRDefault="009A0DC2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24909D0" w14:textId="0D23487D" w:rsidR="009A0DC2" w:rsidRPr="007C2ADE" w:rsidRDefault="000C554C" w:rsidP="009A0D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x </w:t>
            </w:r>
            <w:r w:rsidR="009A0DC2" w:rsidRPr="007C2ADE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70A3FE9" w14:textId="77777777" w:rsidR="009A0DC2" w:rsidRPr="007C2ADE" w:rsidRDefault="009A0DC2" w:rsidP="009A0D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D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C2ADE">
              <w:rPr>
                <w:rFonts w:ascii="Times New Roman" w:hAnsi="Times New Roman"/>
                <w:color w:val="000000"/>
              </w:rPr>
              <w:fldChar w:fldCharType="end"/>
            </w:r>
            <w:r w:rsidRPr="007C2ADE">
              <w:rPr>
                <w:rFonts w:ascii="Times New Roman" w:hAnsi="Times New Roman"/>
                <w:color w:val="000000"/>
              </w:rPr>
              <w:t xml:space="preserve"> </w:t>
            </w:r>
            <w:r w:rsidRPr="007C2ADE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9A0DC2" w:rsidRPr="005840B9" w14:paraId="6C14B620" w14:textId="77777777" w:rsidTr="000C554C">
        <w:trPr>
          <w:gridAfter w:val="1"/>
          <w:wAfter w:w="41" w:type="dxa"/>
          <w:trHeight w:val="492"/>
          <w:jc w:val="center"/>
        </w:trPr>
        <w:tc>
          <w:tcPr>
            <w:tcW w:w="3353" w:type="dxa"/>
            <w:gridSpan w:val="3"/>
            <w:shd w:val="clear" w:color="auto" w:fill="FFFFFF"/>
            <w:vAlign w:val="center"/>
          </w:tcPr>
          <w:p w14:paraId="0D2E1A0E" w14:textId="77777777" w:rsidR="009A0DC2" w:rsidRPr="007C2ADE" w:rsidRDefault="009A0DC2" w:rsidP="009A0DC2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7C2ADE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522" w:type="dxa"/>
            <w:gridSpan w:val="19"/>
            <w:shd w:val="clear" w:color="auto" w:fill="FFFFFF"/>
            <w:vAlign w:val="center"/>
          </w:tcPr>
          <w:p w14:paraId="367E407B" w14:textId="77777777" w:rsidR="009A0DC2" w:rsidRDefault="000F53B3" w:rsidP="00B13231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Wpływ na sądy został omówiony w pkt 2 i 4 OSR.</w:t>
            </w:r>
          </w:p>
          <w:p w14:paraId="3CAA4B3A" w14:textId="08CCEE7E" w:rsidR="000C554C" w:rsidRPr="007C2ADE" w:rsidRDefault="000C554C" w:rsidP="00B13231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 wpłynie na informatyzację poprzez w</w:t>
            </w:r>
            <w:r w:rsidRPr="000C554C">
              <w:rPr>
                <w:rFonts w:ascii="Times New Roman" w:hAnsi="Times New Roman"/>
                <w:spacing w:val="-2"/>
              </w:rPr>
              <w:t>prowadzenie możliwości rozpraw zdalnych przed organami administracji.</w:t>
            </w:r>
          </w:p>
        </w:tc>
      </w:tr>
      <w:tr w:rsidR="009A0DC2" w:rsidRPr="005840B9" w14:paraId="0471E6D6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10875" w:type="dxa"/>
            <w:gridSpan w:val="22"/>
            <w:shd w:val="clear" w:color="auto" w:fill="99CCFF"/>
          </w:tcPr>
          <w:p w14:paraId="719BE375" w14:textId="77777777" w:rsidR="009A0DC2" w:rsidRPr="007C2ADE" w:rsidRDefault="009A0DC2" w:rsidP="009833A5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7C2ADE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9A0DC2" w:rsidRPr="005840B9" w14:paraId="4ADB7F28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10875" w:type="dxa"/>
            <w:gridSpan w:val="22"/>
            <w:shd w:val="clear" w:color="auto" w:fill="FFFFFF"/>
          </w:tcPr>
          <w:p w14:paraId="20B13F70" w14:textId="07560809" w:rsidR="009A0DC2" w:rsidRPr="005840B9" w:rsidRDefault="00EB53DE" w:rsidP="00A52B22">
            <w:pPr>
              <w:pStyle w:val="ARTartustawynprozporzdzenia"/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53DE">
              <w:rPr>
                <w:rStyle w:val="FontStyle13"/>
              </w:rPr>
              <w:t>Ustawa wchodzi w życie po upływie 14 dni od dnia ogłoszenia.</w:t>
            </w:r>
          </w:p>
        </w:tc>
      </w:tr>
      <w:tr w:rsidR="009A0DC2" w:rsidRPr="005840B9" w14:paraId="531CE62A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10875" w:type="dxa"/>
            <w:gridSpan w:val="22"/>
            <w:shd w:val="clear" w:color="auto" w:fill="99CCFF"/>
          </w:tcPr>
          <w:p w14:paraId="61AA08B5" w14:textId="77777777" w:rsidR="009A0DC2" w:rsidRPr="007C2ADE" w:rsidRDefault="009A0DC2" w:rsidP="009833A5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2AD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C2ADE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9A0DC2" w:rsidRPr="005840B9" w14:paraId="793E208B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10875" w:type="dxa"/>
            <w:gridSpan w:val="22"/>
            <w:shd w:val="clear" w:color="auto" w:fill="FFFFFF"/>
          </w:tcPr>
          <w:p w14:paraId="16B6AE01" w14:textId="77777777" w:rsidR="009A0DC2" w:rsidRPr="005840B9" w:rsidRDefault="009A0DC2" w:rsidP="009A0DC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53AC6">
              <w:rPr>
                <w:rFonts w:ascii="Times New Roman" w:hAnsi="Times New Roman"/>
                <w:color w:val="000000"/>
                <w:spacing w:val="-2"/>
              </w:rPr>
              <w:t xml:space="preserve">Efekty wejścia w życie projektowanych rozwiązań będą natychmiastowe i nie </w:t>
            </w:r>
            <w:r w:rsidRPr="005840B9">
              <w:rPr>
                <w:rFonts w:ascii="Times New Roman" w:hAnsi="Times New Roman"/>
                <w:color w:val="000000"/>
                <w:spacing w:val="-2"/>
              </w:rPr>
              <w:t>wymagają pomiaru.</w:t>
            </w:r>
          </w:p>
        </w:tc>
      </w:tr>
      <w:tr w:rsidR="009A0DC2" w:rsidRPr="005840B9" w14:paraId="6CFFF55F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10875" w:type="dxa"/>
            <w:gridSpan w:val="22"/>
            <w:shd w:val="clear" w:color="auto" w:fill="99CCFF"/>
          </w:tcPr>
          <w:p w14:paraId="5F737FF0" w14:textId="77777777" w:rsidR="009A0DC2" w:rsidRPr="007C2ADE" w:rsidRDefault="009A0DC2" w:rsidP="009833A5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C2ADE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7C2ADE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7C2ADE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A0DC2" w:rsidRPr="005840B9" w14:paraId="5720C367" w14:textId="77777777" w:rsidTr="000C554C">
        <w:trPr>
          <w:gridAfter w:val="1"/>
          <w:wAfter w:w="41" w:type="dxa"/>
          <w:trHeight w:val="142"/>
          <w:jc w:val="center"/>
        </w:trPr>
        <w:tc>
          <w:tcPr>
            <w:tcW w:w="10875" w:type="dxa"/>
            <w:gridSpan w:val="22"/>
            <w:shd w:val="clear" w:color="auto" w:fill="FFFFFF"/>
          </w:tcPr>
          <w:p w14:paraId="32753FE3" w14:textId="77777777" w:rsidR="009A0DC2" w:rsidRPr="005840B9" w:rsidRDefault="009A0DC2" w:rsidP="009A0DC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53AC6"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1EF51B64" w14:textId="6E544111" w:rsidR="000F73B1" w:rsidRPr="007C2ADE" w:rsidRDefault="000F73B1" w:rsidP="005518EA">
      <w:pPr>
        <w:pStyle w:val="Nagwek1"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</w:p>
    <w:sectPr w:rsidR="000F73B1" w:rsidRPr="007C2ADE" w:rsidSect="005D4AEA">
      <w:headerReference w:type="default" r:id="rId8"/>
      <w:footerReference w:type="default" r:id="rId9"/>
      <w:pgSz w:w="11906" w:h="16838"/>
      <w:pgMar w:top="568" w:right="707" w:bottom="1985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8085" w14:textId="77777777" w:rsidR="00285A27" w:rsidRDefault="00285A27" w:rsidP="00044739">
      <w:pPr>
        <w:spacing w:line="240" w:lineRule="auto"/>
      </w:pPr>
      <w:r>
        <w:separator/>
      </w:r>
    </w:p>
  </w:endnote>
  <w:endnote w:type="continuationSeparator" w:id="0">
    <w:p w14:paraId="2585BAFE" w14:textId="77777777" w:rsidR="00285A27" w:rsidRDefault="00285A27" w:rsidP="00044739">
      <w:pPr>
        <w:spacing w:line="240" w:lineRule="auto"/>
      </w:pPr>
      <w:r>
        <w:continuationSeparator/>
      </w:r>
    </w:p>
  </w:endnote>
  <w:endnote w:type="continuationNotice" w:id="1">
    <w:p w14:paraId="00F39DD7" w14:textId="77777777" w:rsidR="00285A27" w:rsidRDefault="00285A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CFB6" w14:textId="77777777" w:rsidR="00314A01" w:rsidRDefault="00314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2BD3" w14:textId="77777777" w:rsidR="00285A27" w:rsidRDefault="00285A27" w:rsidP="00044739">
      <w:pPr>
        <w:spacing w:line="240" w:lineRule="auto"/>
      </w:pPr>
      <w:r>
        <w:separator/>
      </w:r>
    </w:p>
  </w:footnote>
  <w:footnote w:type="continuationSeparator" w:id="0">
    <w:p w14:paraId="02D4CB16" w14:textId="77777777" w:rsidR="00285A27" w:rsidRDefault="00285A27" w:rsidP="00044739">
      <w:pPr>
        <w:spacing w:line="240" w:lineRule="auto"/>
      </w:pPr>
      <w:r>
        <w:continuationSeparator/>
      </w:r>
    </w:p>
  </w:footnote>
  <w:footnote w:type="continuationNotice" w:id="1">
    <w:p w14:paraId="18DA4657" w14:textId="77777777" w:rsidR="00285A27" w:rsidRDefault="00285A27">
      <w:pPr>
        <w:spacing w:line="240" w:lineRule="auto"/>
      </w:pPr>
    </w:p>
  </w:footnote>
  <w:footnote w:id="2">
    <w:p w14:paraId="15D11458" w14:textId="34D7DB5E" w:rsidR="004D4D5F" w:rsidRPr="00DF4266" w:rsidRDefault="004D4D5F" w:rsidP="00DF4266">
      <w:pPr>
        <w:pStyle w:val="Tekstprzypisudolnego"/>
        <w:jc w:val="both"/>
        <w:rPr>
          <w:rFonts w:ascii="Times New Roman" w:hAnsi="Times New Roman"/>
        </w:rPr>
      </w:pPr>
      <w:r w:rsidRPr="00DF4266">
        <w:rPr>
          <w:rStyle w:val="Odwoanieprzypisudolnego"/>
          <w:rFonts w:ascii="Times New Roman" w:hAnsi="Times New Roman"/>
        </w:rPr>
        <w:footnoteRef/>
      </w:r>
      <w:r w:rsidRPr="00DF4266">
        <w:rPr>
          <w:rFonts w:ascii="Times New Roman" w:hAnsi="Times New Roman"/>
        </w:rPr>
        <w:t xml:space="preserve"> M. Jaśkowska, Kodeks postępowania administracyjnego w perspektywie przystąpienia Rzeczypospolitej Polskiej do Unii Europejskiej, /w:/ Procedura administracyjna wobec wyzwań współczesności, Łódź 2004, s. 162</w:t>
      </w:r>
    </w:p>
  </w:footnote>
  <w:footnote w:id="3">
    <w:p w14:paraId="0284830C" w14:textId="6EB900B7" w:rsidR="005D385F" w:rsidRDefault="005D385F" w:rsidP="00DF4266">
      <w:pPr>
        <w:pStyle w:val="Tekstprzypisudolnego"/>
        <w:jc w:val="both"/>
      </w:pPr>
      <w:r w:rsidRPr="00DF4266">
        <w:rPr>
          <w:rStyle w:val="Odwoanieprzypisudolnego"/>
          <w:rFonts w:ascii="Times New Roman" w:hAnsi="Times New Roman"/>
        </w:rPr>
        <w:footnoteRef/>
      </w:r>
      <w:r w:rsidRPr="00DF4266">
        <w:rPr>
          <w:rFonts w:ascii="Times New Roman" w:hAnsi="Times New Roman"/>
        </w:rPr>
        <w:t xml:space="preserve"> J. Borkowski, B. Adamiak /w:/ B. Adamiak, J. Borkowski, Kodeks postępowania administracyjnego. Komentarz, Warszawa 2019, s. 231</w:t>
      </w:r>
    </w:p>
  </w:footnote>
  <w:footnote w:id="4">
    <w:p w14:paraId="48D9C681" w14:textId="7B9A8809" w:rsidR="00DB0E12" w:rsidRPr="00DF4266" w:rsidRDefault="00DB0E12" w:rsidP="00DF4266">
      <w:pPr>
        <w:pStyle w:val="Tekstprzypisudolnego"/>
        <w:jc w:val="both"/>
        <w:rPr>
          <w:rFonts w:ascii="Times New Roman" w:hAnsi="Times New Roman"/>
        </w:rPr>
      </w:pPr>
      <w:r w:rsidRPr="00DF4266">
        <w:rPr>
          <w:rStyle w:val="Odwoanieprzypisudolnego"/>
          <w:rFonts w:ascii="Times New Roman" w:hAnsi="Times New Roman"/>
        </w:rPr>
        <w:footnoteRef/>
      </w:r>
      <w:r w:rsidRPr="00DF4266">
        <w:rPr>
          <w:rFonts w:ascii="Times New Roman" w:hAnsi="Times New Roman"/>
        </w:rPr>
        <w:t xml:space="preserve"> </w:t>
      </w:r>
      <w:r w:rsidR="001B377E" w:rsidRPr="00DF4266">
        <w:rPr>
          <w:rFonts w:ascii="Times New Roman" w:hAnsi="Times New Roman"/>
        </w:rPr>
        <w:t>W</w:t>
      </w:r>
      <w:r w:rsidRPr="00DF4266">
        <w:rPr>
          <w:rFonts w:ascii="Times New Roman" w:hAnsi="Times New Roman"/>
        </w:rPr>
        <w:t>yrok Wojewódzkiego Sądu Administracyjnego w Warszawie z dnia 18 października 2021 r., sygn. akt I SAB/Wa 250/21</w:t>
      </w:r>
    </w:p>
  </w:footnote>
  <w:footnote w:id="5">
    <w:p w14:paraId="5AE7D67B" w14:textId="4F29C58C" w:rsidR="003D0850" w:rsidRPr="00DF4266" w:rsidRDefault="003D0850" w:rsidP="00DF4266">
      <w:pPr>
        <w:pStyle w:val="Tekstprzypisudolnego"/>
        <w:jc w:val="both"/>
        <w:rPr>
          <w:rFonts w:ascii="Times New Roman" w:hAnsi="Times New Roman"/>
        </w:rPr>
      </w:pPr>
      <w:r w:rsidRPr="00DF4266">
        <w:rPr>
          <w:rStyle w:val="Odwoanieprzypisudolnego"/>
          <w:rFonts w:ascii="Times New Roman" w:hAnsi="Times New Roman"/>
        </w:rPr>
        <w:footnoteRef/>
      </w:r>
      <w:r w:rsidRPr="00DF4266">
        <w:rPr>
          <w:rFonts w:ascii="Times New Roman" w:hAnsi="Times New Roman"/>
        </w:rPr>
        <w:t xml:space="preserve"> J. Wegner, Art. 184. Prawo wniesienia sprzeciwu od decyzji ostatecznej. Przesłanki i warunki wniesienia [w:] W. Chróścielewski, Z. Kmieciak, Kodeks postępowania administracyjnego. Komentarz,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66AA" w14:textId="77777777" w:rsidR="00314A01" w:rsidRDefault="00314A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7CE"/>
    <w:multiLevelType w:val="hybridMultilevel"/>
    <w:tmpl w:val="4F304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AD3"/>
    <w:multiLevelType w:val="hybridMultilevel"/>
    <w:tmpl w:val="237240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695376"/>
    <w:multiLevelType w:val="hybridMultilevel"/>
    <w:tmpl w:val="7D08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A3E"/>
    <w:multiLevelType w:val="hybridMultilevel"/>
    <w:tmpl w:val="086A23AE"/>
    <w:lvl w:ilvl="0" w:tplc="1660D06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2F7861"/>
    <w:multiLevelType w:val="hybridMultilevel"/>
    <w:tmpl w:val="C62AA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7690"/>
    <w:multiLevelType w:val="hybridMultilevel"/>
    <w:tmpl w:val="3792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3969"/>
    <w:multiLevelType w:val="hybridMultilevel"/>
    <w:tmpl w:val="DED08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220B"/>
    <w:multiLevelType w:val="hybridMultilevel"/>
    <w:tmpl w:val="815A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0073E"/>
    <w:multiLevelType w:val="hybridMultilevel"/>
    <w:tmpl w:val="2206A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35C4"/>
    <w:multiLevelType w:val="hybridMultilevel"/>
    <w:tmpl w:val="BB068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F0D70"/>
    <w:multiLevelType w:val="hybridMultilevel"/>
    <w:tmpl w:val="949A7538"/>
    <w:lvl w:ilvl="0" w:tplc="787CCC42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3737781A"/>
    <w:multiLevelType w:val="hybridMultilevel"/>
    <w:tmpl w:val="8DF09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A41E7"/>
    <w:multiLevelType w:val="hybridMultilevel"/>
    <w:tmpl w:val="AB14A218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C4808"/>
    <w:multiLevelType w:val="hybridMultilevel"/>
    <w:tmpl w:val="2E942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C3505"/>
    <w:multiLevelType w:val="hybridMultilevel"/>
    <w:tmpl w:val="6674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1316"/>
    <w:multiLevelType w:val="hybridMultilevel"/>
    <w:tmpl w:val="C70EF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D5B41"/>
    <w:multiLevelType w:val="hybridMultilevel"/>
    <w:tmpl w:val="533A3A42"/>
    <w:lvl w:ilvl="0" w:tplc="6526E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D56E0"/>
    <w:multiLevelType w:val="hybridMultilevel"/>
    <w:tmpl w:val="4F40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A073C"/>
    <w:multiLevelType w:val="hybridMultilevel"/>
    <w:tmpl w:val="6A0CA7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ECD19F5"/>
    <w:multiLevelType w:val="hybridMultilevel"/>
    <w:tmpl w:val="56AC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46EFF"/>
    <w:multiLevelType w:val="hybridMultilevel"/>
    <w:tmpl w:val="4272A482"/>
    <w:lvl w:ilvl="0" w:tplc="4AD09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24E6C"/>
    <w:multiLevelType w:val="hybridMultilevel"/>
    <w:tmpl w:val="60004B52"/>
    <w:lvl w:ilvl="0" w:tplc="3AE6F6E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A9B07D6"/>
    <w:multiLevelType w:val="hybridMultilevel"/>
    <w:tmpl w:val="95067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63C93"/>
    <w:multiLevelType w:val="hybridMultilevel"/>
    <w:tmpl w:val="8562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E5C64"/>
    <w:multiLevelType w:val="hybridMultilevel"/>
    <w:tmpl w:val="859E7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6220B"/>
    <w:multiLevelType w:val="hybridMultilevel"/>
    <w:tmpl w:val="4D5E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C6E03"/>
    <w:multiLevelType w:val="hybridMultilevel"/>
    <w:tmpl w:val="9580C302"/>
    <w:lvl w:ilvl="0" w:tplc="6526E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30562">
    <w:abstractNumId w:val="12"/>
  </w:num>
  <w:num w:numId="2" w16cid:durableId="59790027">
    <w:abstractNumId w:val="13"/>
  </w:num>
  <w:num w:numId="3" w16cid:durableId="1133988050">
    <w:abstractNumId w:val="0"/>
  </w:num>
  <w:num w:numId="4" w16cid:durableId="509030965">
    <w:abstractNumId w:val="22"/>
  </w:num>
  <w:num w:numId="5" w16cid:durableId="1991640504">
    <w:abstractNumId w:val="25"/>
  </w:num>
  <w:num w:numId="6" w16cid:durableId="66805761">
    <w:abstractNumId w:val="10"/>
  </w:num>
  <w:num w:numId="7" w16cid:durableId="1211067803">
    <w:abstractNumId w:val="11"/>
  </w:num>
  <w:num w:numId="8" w16cid:durableId="1320184400">
    <w:abstractNumId w:val="7"/>
  </w:num>
  <w:num w:numId="9" w16cid:durableId="899556727">
    <w:abstractNumId w:val="3"/>
  </w:num>
  <w:num w:numId="10" w16cid:durableId="458035996">
    <w:abstractNumId w:val="23"/>
  </w:num>
  <w:num w:numId="11" w16cid:durableId="2014532857">
    <w:abstractNumId w:val="20"/>
  </w:num>
  <w:num w:numId="12" w16cid:durableId="45299372">
    <w:abstractNumId w:val="1"/>
  </w:num>
  <w:num w:numId="13" w16cid:durableId="1476143789">
    <w:abstractNumId w:val="9"/>
  </w:num>
  <w:num w:numId="14" w16cid:durableId="1815874019">
    <w:abstractNumId w:val="5"/>
  </w:num>
  <w:num w:numId="15" w16cid:durableId="1579899871">
    <w:abstractNumId w:val="15"/>
  </w:num>
  <w:num w:numId="16" w16cid:durableId="2031254786">
    <w:abstractNumId w:val="14"/>
  </w:num>
  <w:num w:numId="17" w16cid:durableId="1832287105">
    <w:abstractNumId w:val="4"/>
  </w:num>
  <w:num w:numId="18" w16cid:durableId="322709612">
    <w:abstractNumId w:val="18"/>
  </w:num>
  <w:num w:numId="19" w16cid:durableId="2009475656">
    <w:abstractNumId w:val="21"/>
  </w:num>
  <w:num w:numId="20" w16cid:durableId="935526966">
    <w:abstractNumId w:val="17"/>
  </w:num>
  <w:num w:numId="21" w16cid:durableId="932860641">
    <w:abstractNumId w:val="8"/>
  </w:num>
  <w:num w:numId="22" w16cid:durableId="976035792">
    <w:abstractNumId w:val="24"/>
  </w:num>
  <w:num w:numId="23" w16cid:durableId="810290768">
    <w:abstractNumId w:val="6"/>
  </w:num>
  <w:num w:numId="24" w16cid:durableId="1625189407">
    <w:abstractNumId w:val="2"/>
  </w:num>
  <w:num w:numId="25" w16cid:durableId="739644504">
    <w:abstractNumId w:val="19"/>
  </w:num>
  <w:num w:numId="26" w16cid:durableId="1892570881">
    <w:abstractNumId w:val="16"/>
  </w:num>
  <w:num w:numId="27" w16cid:durableId="168284958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0BBC"/>
    <w:rsid w:val="000015EE"/>
    <w:rsid w:val="000020D3"/>
    <w:rsid w:val="000022D5"/>
    <w:rsid w:val="00002CD3"/>
    <w:rsid w:val="0000307B"/>
    <w:rsid w:val="000039FA"/>
    <w:rsid w:val="00004A1D"/>
    <w:rsid w:val="00004C6A"/>
    <w:rsid w:val="0000510E"/>
    <w:rsid w:val="00007449"/>
    <w:rsid w:val="00007E54"/>
    <w:rsid w:val="0001011D"/>
    <w:rsid w:val="00010767"/>
    <w:rsid w:val="000110B0"/>
    <w:rsid w:val="0001123B"/>
    <w:rsid w:val="00011371"/>
    <w:rsid w:val="000114A9"/>
    <w:rsid w:val="0001154C"/>
    <w:rsid w:val="00012A24"/>
    <w:rsid w:val="00012C28"/>
    <w:rsid w:val="00012D11"/>
    <w:rsid w:val="00013EB5"/>
    <w:rsid w:val="00013FA6"/>
    <w:rsid w:val="0001456C"/>
    <w:rsid w:val="00014E82"/>
    <w:rsid w:val="0001531D"/>
    <w:rsid w:val="00015D89"/>
    <w:rsid w:val="0001779C"/>
    <w:rsid w:val="000206CD"/>
    <w:rsid w:val="0002298D"/>
    <w:rsid w:val="00022FCC"/>
    <w:rsid w:val="00023836"/>
    <w:rsid w:val="0002386F"/>
    <w:rsid w:val="00023BF7"/>
    <w:rsid w:val="000246C4"/>
    <w:rsid w:val="00025966"/>
    <w:rsid w:val="0002622B"/>
    <w:rsid w:val="00026950"/>
    <w:rsid w:val="00027793"/>
    <w:rsid w:val="00030917"/>
    <w:rsid w:val="00030E94"/>
    <w:rsid w:val="0003161C"/>
    <w:rsid w:val="0003379C"/>
    <w:rsid w:val="00033937"/>
    <w:rsid w:val="00034C1C"/>
    <w:rsid w:val="000356A9"/>
    <w:rsid w:val="00035C7A"/>
    <w:rsid w:val="00036D7B"/>
    <w:rsid w:val="00040C2F"/>
    <w:rsid w:val="00042A99"/>
    <w:rsid w:val="00042D24"/>
    <w:rsid w:val="00044138"/>
    <w:rsid w:val="00044739"/>
    <w:rsid w:val="0004667F"/>
    <w:rsid w:val="00046C67"/>
    <w:rsid w:val="00046E5C"/>
    <w:rsid w:val="000514CF"/>
    <w:rsid w:val="00051637"/>
    <w:rsid w:val="000516C6"/>
    <w:rsid w:val="000517AC"/>
    <w:rsid w:val="00054239"/>
    <w:rsid w:val="00054CAC"/>
    <w:rsid w:val="0005570B"/>
    <w:rsid w:val="000561DC"/>
    <w:rsid w:val="00056681"/>
    <w:rsid w:val="00056E64"/>
    <w:rsid w:val="00057534"/>
    <w:rsid w:val="0005781D"/>
    <w:rsid w:val="0006016B"/>
    <w:rsid w:val="0006016C"/>
    <w:rsid w:val="000601AC"/>
    <w:rsid w:val="000606AD"/>
    <w:rsid w:val="00060BE7"/>
    <w:rsid w:val="0006332B"/>
    <w:rsid w:val="00063766"/>
    <w:rsid w:val="000648A7"/>
    <w:rsid w:val="00064A16"/>
    <w:rsid w:val="00064B31"/>
    <w:rsid w:val="00064E20"/>
    <w:rsid w:val="000653EB"/>
    <w:rsid w:val="0006618B"/>
    <w:rsid w:val="000670C0"/>
    <w:rsid w:val="0007081E"/>
    <w:rsid w:val="00071B99"/>
    <w:rsid w:val="000721D8"/>
    <w:rsid w:val="0007292A"/>
    <w:rsid w:val="00073A32"/>
    <w:rsid w:val="000749FA"/>
    <w:rsid w:val="00074C81"/>
    <w:rsid w:val="0007527A"/>
    <w:rsid w:val="000756E5"/>
    <w:rsid w:val="0007623D"/>
    <w:rsid w:val="0007704E"/>
    <w:rsid w:val="000776B7"/>
    <w:rsid w:val="00080982"/>
    <w:rsid w:val="00080EC8"/>
    <w:rsid w:val="00081332"/>
    <w:rsid w:val="000821D7"/>
    <w:rsid w:val="00082241"/>
    <w:rsid w:val="00082F5A"/>
    <w:rsid w:val="000836F2"/>
    <w:rsid w:val="00083B91"/>
    <w:rsid w:val="00086611"/>
    <w:rsid w:val="00086D33"/>
    <w:rsid w:val="00087428"/>
    <w:rsid w:val="0009116C"/>
    <w:rsid w:val="000919D8"/>
    <w:rsid w:val="0009254F"/>
    <w:rsid w:val="00093D3A"/>
    <w:rsid w:val="000944AC"/>
    <w:rsid w:val="00094CB9"/>
    <w:rsid w:val="00094D4F"/>
    <w:rsid w:val="00094FE6"/>
    <w:rsid w:val="00095464"/>
    <w:rsid w:val="000956B2"/>
    <w:rsid w:val="00095F51"/>
    <w:rsid w:val="000969E7"/>
    <w:rsid w:val="00096A48"/>
    <w:rsid w:val="000A0C01"/>
    <w:rsid w:val="000A11BF"/>
    <w:rsid w:val="000A1234"/>
    <w:rsid w:val="000A1696"/>
    <w:rsid w:val="000A16B9"/>
    <w:rsid w:val="000A1ED8"/>
    <w:rsid w:val="000A23DE"/>
    <w:rsid w:val="000A4020"/>
    <w:rsid w:val="000A48EA"/>
    <w:rsid w:val="000A63AE"/>
    <w:rsid w:val="000A783E"/>
    <w:rsid w:val="000B21E5"/>
    <w:rsid w:val="000B4E22"/>
    <w:rsid w:val="000B54FB"/>
    <w:rsid w:val="000B5A18"/>
    <w:rsid w:val="000B60A9"/>
    <w:rsid w:val="000B7452"/>
    <w:rsid w:val="000B7616"/>
    <w:rsid w:val="000B7B28"/>
    <w:rsid w:val="000C0989"/>
    <w:rsid w:val="000C0DE9"/>
    <w:rsid w:val="000C1048"/>
    <w:rsid w:val="000C20E6"/>
    <w:rsid w:val="000C29B0"/>
    <w:rsid w:val="000C29EC"/>
    <w:rsid w:val="000C2B81"/>
    <w:rsid w:val="000C33FA"/>
    <w:rsid w:val="000C3FE2"/>
    <w:rsid w:val="000C45AD"/>
    <w:rsid w:val="000C4F56"/>
    <w:rsid w:val="000C554C"/>
    <w:rsid w:val="000C65FE"/>
    <w:rsid w:val="000C6E5C"/>
    <w:rsid w:val="000C7135"/>
    <w:rsid w:val="000C76FC"/>
    <w:rsid w:val="000C7B79"/>
    <w:rsid w:val="000C7ECF"/>
    <w:rsid w:val="000D2249"/>
    <w:rsid w:val="000D278B"/>
    <w:rsid w:val="000D3309"/>
    <w:rsid w:val="000D383B"/>
    <w:rsid w:val="000D38FC"/>
    <w:rsid w:val="000D3AB4"/>
    <w:rsid w:val="000D40B2"/>
    <w:rsid w:val="000D4D90"/>
    <w:rsid w:val="000D4ED9"/>
    <w:rsid w:val="000D6391"/>
    <w:rsid w:val="000D6516"/>
    <w:rsid w:val="000D6AAB"/>
    <w:rsid w:val="000E004A"/>
    <w:rsid w:val="000E0B2C"/>
    <w:rsid w:val="000E2D10"/>
    <w:rsid w:val="000E3FF7"/>
    <w:rsid w:val="000E5087"/>
    <w:rsid w:val="000F0C65"/>
    <w:rsid w:val="000F0E1D"/>
    <w:rsid w:val="000F0E65"/>
    <w:rsid w:val="000F1F0D"/>
    <w:rsid w:val="000F3204"/>
    <w:rsid w:val="000F3587"/>
    <w:rsid w:val="000F392A"/>
    <w:rsid w:val="000F53B3"/>
    <w:rsid w:val="000F64E6"/>
    <w:rsid w:val="000F6708"/>
    <w:rsid w:val="000F73B1"/>
    <w:rsid w:val="000F7E73"/>
    <w:rsid w:val="00100457"/>
    <w:rsid w:val="0010045F"/>
    <w:rsid w:val="001035FF"/>
    <w:rsid w:val="0010484E"/>
    <w:rsid w:val="0010548B"/>
    <w:rsid w:val="00105720"/>
    <w:rsid w:val="00105E9A"/>
    <w:rsid w:val="0010627C"/>
    <w:rsid w:val="00106632"/>
    <w:rsid w:val="001072D1"/>
    <w:rsid w:val="001102A0"/>
    <w:rsid w:val="00111086"/>
    <w:rsid w:val="0011115F"/>
    <w:rsid w:val="001117AD"/>
    <w:rsid w:val="001118DF"/>
    <w:rsid w:val="00112A6E"/>
    <w:rsid w:val="00114010"/>
    <w:rsid w:val="001154DC"/>
    <w:rsid w:val="001167C8"/>
    <w:rsid w:val="00116974"/>
    <w:rsid w:val="00116E74"/>
    <w:rsid w:val="00117017"/>
    <w:rsid w:val="0011749E"/>
    <w:rsid w:val="00117972"/>
    <w:rsid w:val="0012306F"/>
    <w:rsid w:val="00123C4A"/>
    <w:rsid w:val="00124D5A"/>
    <w:rsid w:val="00126B80"/>
    <w:rsid w:val="00126E25"/>
    <w:rsid w:val="0012708E"/>
    <w:rsid w:val="001271B1"/>
    <w:rsid w:val="00127A1B"/>
    <w:rsid w:val="00130E8E"/>
    <w:rsid w:val="0013216E"/>
    <w:rsid w:val="00132AEC"/>
    <w:rsid w:val="00134194"/>
    <w:rsid w:val="001344D0"/>
    <w:rsid w:val="0013515A"/>
    <w:rsid w:val="00135651"/>
    <w:rsid w:val="00135F9C"/>
    <w:rsid w:val="00136294"/>
    <w:rsid w:val="0013681F"/>
    <w:rsid w:val="00137531"/>
    <w:rsid w:val="00137612"/>
    <w:rsid w:val="001401B5"/>
    <w:rsid w:val="0014104E"/>
    <w:rsid w:val="0014158A"/>
    <w:rsid w:val="00141925"/>
    <w:rsid w:val="00141E48"/>
    <w:rsid w:val="001422B9"/>
    <w:rsid w:val="001441AF"/>
    <w:rsid w:val="00144793"/>
    <w:rsid w:val="00145B6F"/>
    <w:rsid w:val="0014602D"/>
    <w:rsid w:val="00146367"/>
    <w:rsid w:val="0014665F"/>
    <w:rsid w:val="00147057"/>
    <w:rsid w:val="001470D6"/>
    <w:rsid w:val="0014718B"/>
    <w:rsid w:val="001508EC"/>
    <w:rsid w:val="00152E35"/>
    <w:rsid w:val="00153464"/>
    <w:rsid w:val="001534DC"/>
    <w:rsid w:val="001541A0"/>
    <w:rsid w:val="001541B3"/>
    <w:rsid w:val="00155B15"/>
    <w:rsid w:val="001566EF"/>
    <w:rsid w:val="001569C6"/>
    <w:rsid w:val="001576E1"/>
    <w:rsid w:val="00157863"/>
    <w:rsid w:val="0016059A"/>
    <w:rsid w:val="001607C5"/>
    <w:rsid w:val="001625BE"/>
    <w:rsid w:val="0016274F"/>
    <w:rsid w:val="001628A7"/>
    <w:rsid w:val="001643A4"/>
    <w:rsid w:val="00165302"/>
    <w:rsid w:val="001658DE"/>
    <w:rsid w:val="00165D92"/>
    <w:rsid w:val="001677E5"/>
    <w:rsid w:val="00172146"/>
    <w:rsid w:val="001725E2"/>
    <w:rsid w:val="001727BB"/>
    <w:rsid w:val="00172B11"/>
    <w:rsid w:val="0017313C"/>
    <w:rsid w:val="00174F57"/>
    <w:rsid w:val="0017561B"/>
    <w:rsid w:val="00180D25"/>
    <w:rsid w:val="00181955"/>
    <w:rsid w:val="00183147"/>
    <w:rsid w:val="0018318D"/>
    <w:rsid w:val="0018352B"/>
    <w:rsid w:val="001838D8"/>
    <w:rsid w:val="0018572C"/>
    <w:rsid w:val="00186B2A"/>
    <w:rsid w:val="00186BEE"/>
    <w:rsid w:val="00187E79"/>
    <w:rsid w:val="00187F0D"/>
    <w:rsid w:val="00191454"/>
    <w:rsid w:val="00192335"/>
    <w:rsid w:val="00192895"/>
    <w:rsid w:val="00192CC5"/>
    <w:rsid w:val="00192F35"/>
    <w:rsid w:val="001933CB"/>
    <w:rsid w:val="0019451F"/>
    <w:rsid w:val="001956A7"/>
    <w:rsid w:val="001967D0"/>
    <w:rsid w:val="00196EA8"/>
    <w:rsid w:val="001974C1"/>
    <w:rsid w:val="001A0B59"/>
    <w:rsid w:val="001A118A"/>
    <w:rsid w:val="001A160B"/>
    <w:rsid w:val="001A1D7C"/>
    <w:rsid w:val="001A2409"/>
    <w:rsid w:val="001A27F4"/>
    <w:rsid w:val="001A2D1D"/>
    <w:rsid w:val="001A2D95"/>
    <w:rsid w:val="001A3532"/>
    <w:rsid w:val="001A5DE4"/>
    <w:rsid w:val="001A666F"/>
    <w:rsid w:val="001A73FE"/>
    <w:rsid w:val="001A7ECF"/>
    <w:rsid w:val="001B15B9"/>
    <w:rsid w:val="001B1E48"/>
    <w:rsid w:val="001B29A6"/>
    <w:rsid w:val="001B2AB7"/>
    <w:rsid w:val="001B3460"/>
    <w:rsid w:val="001B377E"/>
    <w:rsid w:val="001B46D2"/>
    <w:rsid w:val="001B4CA1"/>
    <w:rsid w:val="001B6018"/>
    <w:rsid w:val="001B6760"/>
    <w:rsid w:val="001B67EB"/>
    <w:rsid w:val="001B7335"/>
    <w:rsid w:val="001B7529"/>
    <w:rsid w:val="001B75D8"/>
    <w:rsid w:val="001C0424"/>
    <w:rsid w:val="001C1060"/>
    <w:rsid w:val="001C2C27"/>
    <w:rsid w:val="001C2E98"/>
    <w:rsid w:val="001C3C63"/>
    <w:rsid w:val="001C5A48"/>
    <w:rsid w:val="001C5F53"/>
    <w:rsid w:val="001C5FE7"/>
    <w:rsid w:val="001C6024"/>
    <w:rsid w:val="001C6365"/>
    <w:rsid w:val="001D1E76"/>
    <w:rsid w:val="001D24C8"/>
    <w:rsid w:val="001D2D45"/>
    <w:rsid w:val="001D4732"/>
    <w:rsid w:val="001D5527"/>
    <w:rsid w:val="001D5FEE"/>
    <w:rsid w:val="001D6A3C"/>
    <w:rsid w:val="001D6D51"/>
    <w:rsid w:val="001D7481"/>
    <w:rsid w:val="001D7532"/>
    <w:rsid w:val="001D7878"/>
    <w:rsid w:val="001D788C"/>
    <w:rsid w:val="001E1341"/>
    <w:rsid w:val="001E1378"/>
    <w:rsid w:val="001E31CB"/>
    <w:rsid w:val="001E66D0"/>
    <w:rsid w:val="001E7AFD"/>
    <w:rsid w:val="001F1CE6"/>
    <w:rsid w:val="001F202F"/>
    <w:rsid w:val="001F2A78"/>
    <w:rsid w:val="001F40ED"/>
    <w:rsid w:val="001F4A7F"/>
    <w:rsid w:val="001F54F8"/>
    <w:rsid w:val="001F653A"/>
    <w:rsid w:val="001F66AC"/>
    <w:rsid w:val="001F6979"/>
    <w:rsid w:val="00200EC6"/>
    <w:rsid w:val="00200EEE"/>
    <w:rsid w:val="002013F6"/>
    <w:rsid w:val="002013FF"/>
    <w:rsid w:val="00201F15"/>
    <w:rsid w:val="0020292C"/>
    <w:rsid w:val="00202BC6"/>
    <w:rsid w:val="00202FA1"/>
    <w:rsid w:val="0020328D"/>
    <w:rsid w:val="00203A9B"/>
    <w:rsid w:val="00204516"/>
    <w:rsid w:val="00204E6A"/>
    <w:rsid w:val="00205141"/>
    <w:rsid w:val="0020516B"/>
    <w:rsid w:val="00205A52"/>
    <w:rsid w:val="00205D92"/>
    <w:rsid w:val="00205DEC"/>
    <w:rsid w:val="00207025"/>
    <w:rsid w:val="002076D9"/>
    <w:rsid w:val="00207C65"/>
    <w:rsid w:val="00210091"/>
    <w:rsid w:val="00213559"/>
    <w:rsid w:val="00213EFD"/>
    <w:rsid w:val="00214CA6"/>
    <w:rsid w:val="0021563E"/>
    <w:rsid w:val="00217143"/>
    <w:rsid w:val="00217286"/>
    <w:rsid w:val="002172F1"/>
    <w:rsid w:val="002173F2"/>
    <w:rsid w:val="002178D0"/>
    <w:rsid w:val="002200B2"/>
    <w:rsid w:val="00220961"/>
    <w:rsid w:val="00220F00"/>
    <w:rsid w:val="00221555"/>
    <w:rsid w:val="00223244"/>
    <w:rsid w:val="00223C7B"/>
    <w:rsid w:val="00223EF5"/>
    <w:rsid w:val="00224312"/>
    <w:rsid w:val="00224AB1"/>
    <w:rsid w:val="00225908"/>
    <w:rsid w:val="0022687A"/>
    <w:rsid w:val="002270D4"/>
    <w:rsid w:val="00227629"/>
    <w:rsid w:val="00227F5A"/>
    <w:rsid w:val="00230339"/>
    <w:rsid w:val="00230728"/>
    <w:rsid w:val="0023099A"/>
    <w:rsid w:val="00230F13"/>
    <w:rsid w:val="002317D9"/>
    <w:rsid w:val="00231DD9"/>
    <w:rsid w:val="00234040"/>
    <w:rsid w:val="002356CE"/>
    <w:rsid w:val="00235781"/>
    <w:rsid w:val="00235CD2"/>
    <w:rsid w:val="00236202"/>
    <w:rsid w:val="00236517"/>
    <w:rsid w:val="00237B45"/>
    <w:rsid w:val="00240382"/>
    <w:rsid w:val="002403B3"/>
    <w:rsid w:val="0024070D"/>
    <w:rsid w:val="002413F6"/>
    <w:rsid w:val="00241FEC"/>
    <w:rsid w:val="00242C0A"/>
    <w:rsid w:val="00244885"/>
    <w:rsid w:val="00244A70"/>
    <w:rsid w:val="002455EA"/>
    <w:rsid w:val="00245E84"/>
    <w:rsid w:val="00250EAF"/>
    <w:rsid w:val="00250F96"/>
    <w:rsid w:val="00252707"/>
    <w:rsid w:val="002530C4"/>
    <w:rsid w:val="002536D1"/>
    <w:rsid w:val="00254DED"/>
    <w:rsid w:val="00255619"/>
    <w:rsid w:val="00255DAD"/>
    <w:rsid w:val="00256108"/>
    <w:rsid w:val="00256717"/>
    <w:rsid w:val="00256E17"/>
    <w:rsid w:val="00257794"/>
    <w:rsid w:val="002606C6"/>
    <w:rsid w:val="00260F33"/>
    <w:rsid w:val="002613BD"/>
    <w:rsid w:val="0026184B"/>
    <w:rsid w:val="002618BD"/>
    <w:rsid w:val="002624F1"/>
    <w:rsid w:val="002626CA"/>
    <w:rsid w:val="00262A1B"/>
    <w:rsid w:val="002638D2"/>
    <w:rsid w:val="00263CDE"/>
    <w:rsid w:val="002657C2"/>
    <w:rsid w:val="00267D45"/>
    <w:rsid w:val="00270C81"/>
    <w:rsid w:val="00270F1F"/>
    <w:rsid w:val="00271558"/>
    <w:rsid w:val="00271AA0"/>
    <w:rsid w:val="00271DFF"/>
    <w:rsid w:val="00272086"/>
    <w:rsid w:val="00273375"/>
    <w:rsid w:val="00273E23"/>
    <w:rsid w:val="00274862"/>
    <w:rsid w:val="00275A61"/>
    <w:rsid w:val="002764D6"/>
    <w:rsid w:val="00277A17"/>
    <w:rsid w:val="002803DB"/>
    <w:rsid w:val="00280F52"/>
    <w:rsid w:val="00281292"/>
    <w:rsid w:val="00281BAF"/>
    <w:rsid w:val="00282D72"/>
    <w:rsid w:val="002831D9"/>
    <w:rsid w:val="00283402"/>
    <w:rsid w:val="002836C9"/>
    <w:rsid w:val="00283918"/>
    <w:rsid w:val="00285A27"/>
    <w:rsid w:val="002865EF"/>
    <w:rsid w:val="0028753F"/>
    <w:rsid w:val="00290C0B"/>
    <w:rsid w:val="00290FD6"/>
    <w:rsid w:val="0029336B"/>
    <w:rsid w:val="00294259"/>
    <w:rsid w:val="00294661"/>
    <w:rsid w:val="002952A9"/>
    <w:rsid w:val="002955F8"/>
    <w:rsid w:val="002A015E"/>
    <w:rsid w:val="002A0495"/>
    <w:rsid w:val="002A0DB2"/>
    <w:rsid w:val="002A0FF5"/>
    <w:rsid w:val="002A1839"/>
    <w:rsid w:val="002A1EB7"/>
    <w:rsid w:val="002A2829"/>
    <w:rsid w:val="002A2C81"/>
    <w:rsid w:val="002A2C9C"/>
    <w:rsid w:val="002A457B"/>
    <w:rsid w:val="002A48BD"/>
    <w:rsid w:val="002A6223"/>
    <w:rsid w:val="002A6F1C"/>
    <w:rsid w:val="002A7428"/>
    <w:rsid w:val="002A75CA"/>
    <w:rsid w:val="002B0049"/>
    <w:rsid w:val="002B0404"/>
    <w:rsid w:val="002B08C1"/>
    <w:rsid w:val="002B126C"/>
    <w:rsid w:val="002B3D1A"/>
    <w:rsid w:val="002B4603"/>
    <w:rsid w:val="002B5740"/>
    <w:rsid w:val="002B5CB5"/>
    <w:rsid w:val="002B604E"/>
    <w:rsid w:val="002B63DE"/>
    <w:rsid w:val="002B6E58"/>
    <w:rsid w:val="002B7148"/>
    <w:rsid w:val="002C0579"/>
    <w:rsid w:val="002C228C"/>
    <w:rsid w:val="002C27D0"/>
    <w:rsid w:val="002C2C9B"/>
    <w:rsid w:val="002C2E00"/>
    <w:rsid w:val="002C2EF5"/>
    <w:rsid w:val="002C2F86"/>
    <w:rsid w:val="002C42FE"/>
    <w:rsid w:val="002C43BD"/>
    <w:rsid w:val="002C43EF"/>
    <w:rsid w:val="002C51E2"/>
    <w:rsid w:val="002C58A7"/>
    <w:rsid w:val="002C5D33"/>
    <w:rsid w:val="002C61B2"/>
    <w:rsid w:val="002C6FB2"/>
    <w:rsid w:val="002C7112"/>
    <w:rsid w:val="002C7436"/>
    <w:rsid w:val="002C7DBF"/>
    <w:rsid w:val="002D07DB"/>
    <w:rsid w:val="002D17D6"/>
    <w:rsid w:val="002D18D7"/>
    <w:rsid w:val="002D21CE"/>
    <w:rsid w:val="002D655B"/>
    <w:rsid w:val="002D7129"/>
    <w:rsid w:val="002D77A3"/>
    <w:rsid w:val="002D7F57"/>
    <w:rsid w:val="002E167E"/>
    <w:rsid w:val="002E1C15"/>
    <w:rsid w:val="002E3DA3"/>
    <w:rsid w:val="002E450F"/>
    <w:rsid w:val="002E4BF5"/>
    <w:rsid w:val="002E4E81"/>
    <w:rsid w:val="002E501F"/>
    <w:rsid w:val="002E67A1"/>
    <w:rsid w:val="002E6B38"/>
    <w:rsid w:val="002E6D63"/>
    <w:rsid w:val="002E6E2B"/>
    <w:rsid w:val="002E77FA"/>
    <w:rsid w:val="002E7FE4"/>
    <w:rsid w:val="002F0A38"/>
    <w:rsid w:val="002F1059"/>
    <w:rsid w:val="002F143B"/>
    <w:rsid w:val="002F2664"/>
    <w:rsid w:val="002F3AE9"/>
    <w:rsid w:val="002F4398"/>
    <w:rsid w:val="002F500B"/>
    <w:rsid w:val="002F7537"/>
    <w:rsid w:val="002F75CE"/>
    <w:rsid w:val="002F7CD2"/>
    <w:rsid w:val="00300991"/>
    <w:rsid w:val="00300D4F"/>
    <w:rsid w:val="003012E0"/>
    <w:rsid w:val="00301959"/>
    <w:rsid w:val="003050AF"/>
    <w:rsid w:val="0030558E"/>
    <w:rsid w:val="00305B8A"/>
    <w:rsid w:val="00305D58"/>
    <w:rsid w:val="00305EF8"/>
    <w:rsid w:val="00307D72"/>
    <w:rsid w:val="00307EA9"/>
    <w:rsid w:val="003101C8"/>
    <w:rsid w:val="00310F7C"/>
    <w:rsid w:val="003110F2"/>
    <w:rsid w:val="00311981"/>
    <w:rsid w:val="00311B1C"/>
    <w:rsid w:val="0031201E"/>
    <w:rsid w:val="00312157"/>
    <w:rsid w:val="003138BC"/>
    <w:rsid w:val="003142CB"/>
    <w:rsid w:val="00314A01"/>
    <w:rsid w:val="00314E5E"/>
    <w:rsid w:val="0031534C"/>
    <w:rsid w:val="00316BD8"/>
    <w:rsid w:val="00316E50"/>
    <w:rsid w:val="0032000C"/>
    <w:rsid w:val="00321031"/>
    <w:rsid w:val="0032139C"/>
    <w:rsid w:val="003223CF"/>
    <w:rsid w:val="00322563"/>
    <w:rsid w:val="003232CC"/>
    <w:rsid w:val="00324EFF"/>
    <w:rsid w:val="00325862"/>
    <w:rsid w:val="003259BD"/>
    <w:rsid w:val="00325F31"/>
    <w:rsid w:val="00326398"/>
    <w:rsid w:val="003263BA"/>
    <w:rsid w:val="003273AB"/>
    <w:rsid w:val="00331302"/>
    <w:rsid w:val="00331BF9"/>
    <w:rsid w:val="00332752"/>
    <w:rsid w:val="00332BFC"/>
    <w:rsid w:val="00333204"/>
    <w:rsid w:val="0033495E"/>
    <w:rsid w:val="00334A79"/>
    <w:rsid w:val="00334B33"/>
    <w:rsid w:val="00334D8D"/>
    <w:rsid w:val="00334EAB"/>
    <w:rsid w:val="00336577"/>
    <w:rsid w:val="003369C1"/>
    <w:rsid w:val="003372E1"/>
    <w:rsid w:val="00337345"/>
    <w:rsid w:val="0033752F"/>
    <w:rsid w:val="00337DD2"/>
    <w:rsid w:val="003402A8"/>
    <w:rsid w:val="003404D1"/>
    <w:rsid w:val="00341402"/>
    <w:rsid w:val="00341C60"/>
    <w:rsid w:val="003423B0"/>
    <w:rsid w:val="00342602"/>
    <w:rsid w:val="00343E46"/>
    <w:rsid w:val="00344204"/>
    <w:rsid w:val="003443FF"/>
    <w:rsid w:val="0034517B"/>
    <w:rsid w:val="0034607F"/>
    <w:rsid w:val="00346096"/>
    <w:rsid w:val="00346516"/>
    <w:rsid w:val="00346A1B"/>
    <w:rsid w:val="00347091"/>
    <w:rsid w:val="00347397"/>
    <w:rsid w:val="00347A20"/>
    <w:rsid w:val="00347E96"/>
    <w:rsid w:val="00350D9C"/>
    <w:rsid w:val="00353235"/>
    <w:rsid w:val="00355808"/>
    <w:rsid w:val="0035619E"/>
    <w:rsid w:val="00356982"/>
    <w:rsid w:val="003574A1"/>
    <w:rsid w:val="0036049A"/>
    <w:rsid w:val="0036075A"/>
    <w:rsid w:val="0036159B"/>
    <w:rsid w:val="003616F8"/>
    <w:rsid w:val="00361891"/>
    <w:rsid w:val="00361FC5"/>
    <w:rsid w:val="00362A85"/>
    <w:rsid w:val="00362C7E"/>
    <w:rsid w:val="003631B9"/>
    <w:rsid w:val="00363309"/>
    <w:rsid w:val="00363601"/>
    <w:rsid w:val="0036375F"/>
    <w:rsid w:val="00363817"/>
    <w:rsid w:val="00363D08"/>
    <w:rsid w:val="0036464F"/>
    <w:rsid w:val="00364B48"/>
    <w:rsid w:val="00364B97"/>
    <w:rsid w:val="00365419"/>
    <w:rsid w:val="0036585C"/>
    <w:rsid w:val="00365FBC"/>
    <w:rsid w:val="0036799A"/>
    <w:rsid w:val="003704B4"/>
    <w:rsid w:val="003707A9"/>
    <w:rsid w:val="00370CF4"/>
    <w:rsid w:val="00370EF8"/>
    <w:rsid w:val="00371490"/>
    <w:rsid w:val="00371B30"/>
    <w:rsid w:val="00375784"/>
    <w:rsid w:val="00375B35"/>
    <w:rsid w:val="00375BEF"/>
    <w:rsid w:val="00376A52"/>
    <w:rsid w:val="00376AC9"/>
    <w:rsid w:val="00376BBA"/>
    <w:rsid w:val="00376E42"/>
    <w:rsid w:val="003808D0"/>
    <w:rsid w:val="0038150D"/>
    <w:rsid w:val="0038176A"/>
    <w:rsid w:val="003825F0"/>
    <w:rsid w:val="00382B8D"/>
    <w:rsid w:val="00382E92"/>
    <w:rsid w:val="003832A9"/>
    <w:rsid w:val="0038365C"/>
    <w:rsid w:val="003836B1"/>
    <w:rsid w:val="0038412F"/>
    <w:rsid w:val="003841C6"/>
    <w:rsid w:val="0038647C"/>
    <w:rsid w:val="00386624"/>
    <w:rsid w:val="00386DE9"/>
    <w:rsid w:val="003877CB"/>
    <w:rsid w:val="00390E7C"/>
    <w:rsid w:val="0039165A"/>
    <w:rsid w:val="0039168A"/>
    <w:rsid w:val="00393032"/>
    <w:rsid w:val="00393368"/>
    <w:rsid w:val="00393914"/>
    <w:rsid w:val="00394507"/>
    <w:rsid w:val="00394B69"/>
    <w:rsid w:val="00395708"/>
    <w:rsid w:val="00395B97"/>
    <w:rsid w:val="00395E1F"/>
    <w:rsid w:val="00396841"/>
    <w:rsid w:val="00397078"/>
    <w:rsid w:val="00397BF5"/>
    <w:rsid w:val="00397ED0"/>
    <w:rsid w:val="003A15CE"/>
    <w:rsid w:val="003A2834"/>
    <w:rsid w:val="003A466B"/>
    <w:rsid w:val="003A5072"/>
    <w:rsid w:val="003A6700"/>
    <w:rsid w:val="003A6953"/>
    <w:rsid w:val="003A6B3A"/>
    <w:rsid w:val="003A6DF7"/>
    <w:rsid w:val="003A75FF"/>
    <w:rsid w:val="003B009F"/>
    <w:rsid w:val="003B0B82"/>
    <w:rsid w:val="003B0E82"/>
    <w:rsid w:val="003B1C9F"/>
    <w:rsid w:val="003B224D"/>
    <w:rsid w:val="003B270A"/>
    <w:rsid w:val="003B4D31"/>
    <w:rsid w:val="003B6083"/>
    <w:rsid w:val="003B630F"/>
    <w:rsid w:val="003B6F17"/>
    <w:rsid w:val="003B7426"/>
    <w:rsid w:val="003C2155"/>
    <w:rsid w:val="003C3838"/>
    <w:rsid w:val="003C42C7"/>
    <w:rsid w:val="003C4462"/>
    <w:rsid w:val="003C50F1"/>
    <w:rsid w:val="003C55F6"/>
    <w:rsid w:val="003C572C"/>
    <w:rsid w:val="003C5847"/>
    <w:rsid w:val="003C7045"/>
    <w:rsid w:val="003C76C3"/>
    <w:rsid w:val="003C77DE"/>
    <w:rsid w:val="003D0681"/>
    <w:rsid w:val="003D0850"/>
    <w:rsid w:val="003D12F6"/>
    <w:rsid w:val="003D1426"/>
    <w:rsid w:val="003D52A5"/>
    <w:rsid w:val="003D5573"/>
    <w:rsid w:val="003D5C1C"/>
    <w:rsid w:val="003D6675"/>
    <w:rsid w:val="003D6861"/>
    <w:rsid w:val="003D7FBF"/>
    <w:rsid w:val="003E251A"/>
    <w:rsid w:val="003E298A"/>
    <w:rsid w:val="003E2F4E"/>
    <w:rsid w:val="003E392D"/>
    <w:rsid w:val="003E3ADB"/>
    <w:rsid w:val="003E4B06"/>
    <w:rsid w:val="003E5960"/>
    <w:rsid w:val="003E5A9C"/>
    <w:rsid w:val="003E720A"/>
    <w:rsid w:val="003F08C8"/>
    <w:rsid w:val="003F0DE4"/>
    <w:rsid w:val="003F0FB8"/>
    <w:rsid w:val="003F50F1"/>
    <w:rsid w:val="00401077"/>
    <w:rsid w:val="00401507"/>
    <w:rsid w:val="004023F2"/>
    <w:rsid w:val="0040266D"/>
    <w:rsid w:val="00402906"/>
    <w:rsid w:val="00403E6E"/>
    <w:rsid w:val="00404B80"/>
    <w:rsid w:val="0040677B"/>
    <w:rsid w:val="00406F15"/>
    <w:rsid w:val="00407B6D"/>
    <w:rsid w:val="00407D72"/>
    <w:rsid w:val="00410E06"/>
    <w:rsid w:val="00412587"/>
    <w:rsid w:val="004129B4"/>
    <w:rsid w:val="00413138"/>
    <w:rsid w:val="004142B4"/>
    <w:rsid w:val="00415495"/>
    <w:rsid w:val="00415C89"/>
    <w:rsid w:val="00415E8B"/>
    <w:rsid w:val="00416558"/>
    <w:rsid w:val="00417EF0"/>
    <w:rsid w:val="0042161E"/>
    <w:rsid w:val="004220C6"/>
    <w:rsid w:val="00422181"/>
    <w:rsid w:val="004229C1"/>
    <w:rsid w:val="00422A61"/>
    <w:rsid w:val="00423B11"/>
    <w:rsid w:val="004244A8"/>
    <w:rsid w:val="004244BD"/>
    <w:rsid w:val="00425357"/>
    <w:rsid w:val="00425F72"/>
    <w:rsid w:val="0042677C"/>
    <w:rsid w:val="00426EA1"/>
    <w:rsid w:val="00427736"/>
    <w:rsid w:val="00427D9D"/>
    <w:rsid w:val="0043047C"/>
    <w:rsid w:val="004307C8"/>
    <w:rsid w:val="0043172F"/>
    <w:rsid w:val="00432BCA"/>
    <w:rsid w:val="00432C22"/>
    <w:rsid w:val="004335FB"/>
    <w:rsid w:val="00434021"/>
    <w:rsid w:val="00434D20"/>
    <w:rsid w:val="00435A15"/>
    <w:rsid w:val="00435C10"/>
    <w:rsid w:val="00437F25"/>
    <w:rsid w:val="0044008C"/>
    <w:rsid w:val="0044033D"/>
    <w:rsid w:val="00440DE7"/>
    <w:rsid w:val="004413C0"/>
    <w:rsid w:val="00441787"/>
    <w:rsid w:val="004418E7"/>
    <w:rsid w:val="00443DA8"/>
    <w:rsid w:val="00444F2D"/>
    <w:rsid w:val="00445CB9"/>
    <w:rsid w:val="00447232"/>
    <w:rsid w:val="0045080C"/>
    <w:rsid w:val="00452034"/>
    <w:rsid w:val="00452126"/>
    <w:rsid w:val="004534DD"/>
    <w:rsid w:val="004538B9"/>
    <w:rsid w:val="0045437B"/>
    <w:rsid w:val="004543B7"/>
    <w:rsid w:val="00455FA6"/>
    <w:rsid w:val="0045696C"/>
    <w:rsid w:val="00456C21"/>
    <w:rsid w:val="00457925"/>
    <w:rsid w:val="004601ED"/>
    <w:rsid w:val="00460C88"/>
    <w:rsid w:val="00461C4F"/>
    <w:rsid w:val="00461E7F"/>
    <w:rsid w:val="004621DC"/>
    <w:rsid w:val="0046330A"/>
    <w:rsid w:val="00463500"/>
    <w:rsid w:val="00466248"/>
    <w:rsid w:val="00466C70"/>
    <w:rsid w:val="004671E9"/>
    <w:rsid w:val="004702C9"/>
    <w:rsid w:val="00471584"/>
    <w:rsid w:val="00471AA9"/>
    <w:rsid w:val="00472E45"/>
    <w:rsid w:val="004739BB"/>
    <w:rsid w:val="00473FEA"/>
    <w:rsid w:val="0047579D"/>
    <w:rsid w:val="00475F9F"/>
    <w:rsid w:val="00477544"/>
    <w:rsid w:val="00477FDE"/>
    <w:rsid w:val="004805DD"/>
    <w:rsid w:val="00480C69"/>
    <w:rsid w:val="00482083"/>
    <w:rsid w:val="00483262"/>
    <w:rsid w:val="00483637"/>
    <w:rsid w:val="004840D0"/>
    <w:rsid w:val="00484107"/>
    <w:rsid w:val="00484A1E"/>
    <w:rsid w:val="0048566F"/>
    <w:rsid w:val="004857D7"/>
    <w:rsid w:val="00485CB4"/>
    <w:rsid w:val="00485CC5"/>
    <w:rsid w:val="00486F99"/>
    <w:rsid w:val="00486F9A"/>
    <w:rsid w:val="004875C8"/>
    <w:rsid w:val="004879AC"/>
    <w:rsid w:val="0049076C"/>
    <w:rsid w:val="004918A1"/>
    <w:rsid w:val="004921D8"/>
    <w:rsid w:val="004929B0"/>
    <w:rsid w:val="0049343F"/>
    <w:rsid w:val="0049395C"/>
    <w:rsid w:val="00494D08"/>
    <w:rsid w:val="00495C8D"/>
    <w:rsid w:val="004964FC"/>
    <w:rsid w:val="00496976"/>
    <w:rsid w:val="00496EE5"/>
    <w:rsid w:val="00497112"/>
    <w:rsid w:val="004973A4"/>
    <w:rsid w:val="004A0040"/>
    <w:rsid w:val="004A1398"/>
    <w:rsid w:val="004A145E"/>
    <w:rsid w:val="004A17CA"/>
    <w:rsid w:val="004A1C89"/>
    <w:rsid w:val="004A1F15"/>
    <w:rsid w:val="004A22F0"/>
    <w:rsid w:val="004A2A81"/>
    <w:rsid w:val="004A2F90"/>
    <w:rsid w:val="004A30C6"/>
    <w:rsid w:val="004A5045"/>
    <w:rsid w:val="004A5B9F"/>
    <w:rsid w:val="004A627B"/>
    <w:rsid w:val="004A64C4"/>
    <w:rsid w:val="004A66CE"/>
    <w:rsid w:val="004A6D85"/>
    <w:rsid w:val="004A6E46"/>
    <w:rsid w:val="004A76C3"/>
    <w:rsid w:val="004A7BD7"/>
    <w:rsid w:val="004B0C05"/>
    <w:rsid w:val="004B32AE"/>
    <w:rsid w:val="004B368F"/>
    <w:rsid w:val="004B46EF"/>
    <w:rsid w:val="004B5C7D"/>
    <w:rsid w:val="004B6130"/>
    <w:rsid w:val="004B6401"/>
    <w:rsid w:val="004C1322"/>
    <w:rsid w:val="004C15C2"/>
    <w:rsid w:val="004C2E52"/>
    <w:rsid w:val="004C36D8"/>
    <w:rsid w:val="004C3EA8"/>
    <w:rsid w:val="004C5472"/>
    <w:rsid w:val="004C678F"/>
    <w:rsid w:val="004C721A"/>
    <w:rsid w:val="004C7314"/>
    <w:rsid w:val="004D0CF8"/>
    <w:rsid w:val="004D0DA5"/>
    <w:rsid w:val="004D1248"/>
    <w:rsid w:val="004D18CE"/>
    <w:rsid w:val="004D1C29"/>
    <w:rsid w:val="004D1E3C"/>
    <w:rsid w:val="004D1EC7"/>
    <w:rsid w:val="004D3883"/>
    <w:rsid w:val="004D3D05"/>
    <w:rsid w:val="004D4169"/>
    <w:rsid w:val="004D4D5F"/>
    <w:rsid w:val="004D4F24"/>
    <w:rsid w:val="004D654B"/>
    <w:rsid w:val="004D6E14"/>
    <w:rsid w:val="004D6ED2"/>
    <w:rsid w:val="004D7CA2"/>
    <w:rsid w:val="004E2195"/>
    <w:rsid w:val="004E392F"/>
    <w:rsid w:val="004E40F1"/>
    <w:rsid w:val="004E4CAD"/>
    <w:rsid w:val="004E5890"/>
    <w:rsid w:val="004E7220"/>
    <w:rsid w:val="004F05F5"/>
    <w:rsid w:val="004F1D79"/>
    <w:rsid w:val="004F27C0"/>
    <w:rsid w:val="004F3D96"/>
    <w:rsid w:val="004F4466"/>
    <w:rsid w:val="004F4D8A"/>
    <w:rsid w:val="004F4E17"/>
    <w:rsid w:val="004F5AB0"/>
    <w:rsid w:val="004F5AF1"/>
    <w:rsid w:val="0050082F"/>
    <w:rsid w:val="00500C56"/>
    <w:rsid w:val="00501713"/>
    <w:rsid w:val="005023F0"/>
    <w:rsid w:val="0050254C"/>
    <w:rsid w:val="00502724"/>
    <w:rsid w:val="005035EC"/>
    <w:rsid w:val="005063D1"/>
    <w:rsid w:val="00506565"/>
    <w:rsid w:val="00506568"/>
    <w:rsid w:val="0050667C"/>
    <w:rsid w:val="0050750A"/>
    <w:rsid w:val="00507B3C"/>
    <w:rsid w:val="00507CA0"/>
    <w:rsid w:val="005101D6"/>
    <w:rsid w:val="005106E2"/>
    <w:rsid w:val="005141EE"/>
    <w:rsid w:val="0051551B"/>
    <w:rsid w:val="00515644"/>
    <w:rsid w:val="00516A23"/>
    <w:rsid w:val="0051772C"/>
    <w:rsid w:val="00520135"/>
    <w:rsid w:val="0052089E"/>
    <w:rsid w:val="00520C57"/>
    <w:rsid w:val="00520FDD"/>
    <w:rsid w:val="005210CE"/>
    <w:rsid w:val="00522CD7"/>
    <w:rsid w:val="00522D94"/>
    <w:rsid w:val="0052457B"/>
    <w:rsid w:val="005258C5"/>
    <w:rsid w:val="00525969"/>
    <w:rsid w:val="00526298"/>
    <w:rsid w:val="005266A5"/>
    <w:rsid w:val="00526AA3"/>
    <w:rsid w:val="0052774B"/>
    <w:rsid w:val="00527B15"/>
    <w:rsid w:val="00530602"/>
    <w:rsid w:val="00530A45"/>
    <w:rsid w:val="00532638"/>
    <w:rsid w:val="00532841"/>
    <w:rsid w:val="00533D89"/>
    <w:rsid w:val="00534296"/>
    <w:rsid w:val="00535233"/>
    <w:rsid w:val="00535C2C"/>
    <w:rsid w:val="005361E6"/>
    <w:rsid w:val="00536564"/>
    <w:rsid w:val="00536A81"/>
    <w:rsid w:val="00536B18"/>
    <w:rsid w:val="00537023"/>
    <w:rsid w:val="00537310"/>
    <w:rsid w:val="00540668"/>
    <w:rsid w:val="00540A34"/>
    <w:rsid w:val="00540D6B"/>
    <w:rsid w:val="00541505"/>
    <w:rsid w:val="005418B1"/>
    <w:rsid w:val="00542298"/>
    <w:rsid w:val="00542576"/>
    <w:rsid w:val="00543764"/>
    <w:rsid w:val="005439BF"/>
    <w:rsid w:val="00544597"/>
    <w:rsid w:val="00544FFE"/>
    <w:rsid w:val="005473F5"/>
    <w:rsid w:val="005477E7"/>
    <w:rsid w:val="00547CEE"/>
    <w:rsid w:val="00550189"/>
    <w:rsid w:val="00550665"/>
    <w:rsid w:val="00551374"/>
    <w:rsid w:val="005518EA"/>
    <w:rsid w:val="00552445"/>
    <w:rsid w:val="00552794"/>
    <w:rsid w:val="0055408B"/>
    <w:rsid w:val="0055468F"/>
    <w:rsid w:val="00554E6B"/>
    <w:rsid w:val="00554F44"/>
    <w:rsid w:val="00555026"/>
    <w:rsid w:val="0055541E"/>
    <w:rsid w:val="00557532"/>
    <w:rsid w:val="00560005"/>
    <w:rsid w:val="00561EF8"/>
    <w:rsid w:val="00563199"/>
    <w:rsid w:val="005632E3"/>
    <w:rsid w:val="005647DB"/>
    <w:rsid w:val="00564874"/>
    <w:rsid w:val="00565A63"/>
    <w:rsid w:val="00565FB1"/>
    <w:rsid w:val="00566A8C"/>
    <w:rsid w:val="00566F2A"/>
    <w:rsid w:val="005670FE"/>
    <w:rsid w:val="00567963"/>
    <w:rsid w:val="0057009A"/>
    <w:rsid w:val="00570DA4"/>
    <w:rsid w:val="00571260"/>
    <w:rsid w:val="0057181B"/>
    <w:rsid w:val="0057189C"/>
    <w:rsid w:val="005722D7"/>
    <w:rsid w:val="005724ED"/>
    <w:rsid w:val="00573229"/>
    <w:rsid w:val="00573233"/>
    <w:rsid w:val="0057356B"/>
    <w:rsid w:val="00573FC1"/>
    <w:rsid w:val="005741EE"/>
    <w:rsid w:val="00574B4B"/>
    <w:rsid w:val="00575D19"/>
    <w:rsid w:val="00576064"/>
    <w:rsid w:val="0057668E"/>
    <w:rsid w:val="00580AB9"/>
    <w:rsid w:val="0058145A"/>
    <w:rsid w:val="0058281E"/>
    <w:rsid w:val="005840B9"/>
    <w:rsid w:val="00585472"/>
    <w:rsid w:val="00585CD4"/>
    <w:rsid w:val="0058653E"/>
    <w:rsid w:val="0058735F"/>
    <w:rsid w:val="00587B4B"/>
    <w:rsid w:val="00587C9B"/>
    <w:rsid w:val="0059075B"/>
    <w:rsid w:val="005909F4"/>
    <w:rsid w:val="00592D23"/>
    <w:rsid w:val="005931BA"/>
    <w:rsid w:val="00593350"/>
    <w:rsid w:val="0059374C"/>
    <w:rsid w:val="0059486D"/>
    <w:rsid w:val="00595957"/>
    <w:rsid w:val="00595E83"/>
    <w:rsid w:val="00596530"/>
    <w:rsid w:val="005967F3"/>
    <w:rsid w:val="00597AA0"/>
    <w:rsid w:val="00597B2B"/>
    <w:rsid w:val="005A045C"/>
    <w:rsid w:val="005A069A"/>
    <w:rsid w:val="005A06DF"/>
    <w:rsid w:val="005A265B"/>
    <w:rsid w:val="005A3F73"/>
    <w:rsid w:val="005A4362"/>
    <w:rsid w:val="005A448B"/>
    <w:rsid w:val="005A5527"/>
    <w:rsid w:val="005A5AE6"/>
    <w:rsid w:val="005A6562"/>
    <w:rsid w:val="005A675D"/>
    <w:rsid w:val="005A69FC"/>
    <w:rsid w:val="005A6A1F"/>
    <w:rsid w:val="005B02B0"/>
    <w:rsid w:val="005B0436"/>
    <w:rsid w:val="005B1206"/>
    <w:rsid w:val="005B14CB"/>
    <w:rsid w:val="005B1D10"/>
    <w:rsid w:val="005B37E8"/>
    <w:rsid w:val="005B4288"/>
    <w:rsid w:val="005B5BE0"/>
    <w:rsid w:val="005B5E79"/>
    <w:rsid w:val="005B6934"/>
    <w:rsid w:val="005B76B0"/>
    <w:rsid w:val="005B7A47"/>
    <w:rsid w:val="005C0056"/>
    <w:rsid w:val="005C0150"/>
    <w:rsid w:val="005C0357"/>
    <w:rsid w:val="005C16FE"/>
    <w:rsid w:val="005C2BD6"/>
    <w:rsid w:val="005C2EC4"/>
    <w:rsid w:val="005C36B7"/>
    <w:rsid w:val="005C4A90"/>
    <w:rsid w:val="005C5903"/>
    <w:rsid w:val="005C598C"/>
    <w:rsid w:val="005C5E98"/>
    <w:rsid w:val="005D0203"/>
    <w:rsid w:val="005D0472"/>
    <w:rsid w:val="005D0F62"/>
    <w:rsid w:val="005D1A13"/>
    <w:rsid w:val="005D1B50"/>
    <w:rsid w:val="005D204A"/>
    <w:rsid w:val="005D22B8"/>
    <w:rsid w:val="005D2C43"/>
    <w:rsid w:val="005D340D"/>
    <w:rsid w:val="005D3412"/>
    <w:rsid w:val="005D385F"/>
    <w:rsid w:val="005D4AEA"/>
    <w:rsid w:val="005D4D3A"/>
    <w:rsid w:val="005D61D6"/>
    <w:rsid w:val="005E0B52"/>
    <w:rsid w:val="005E0D13"/>
    <w:rsid w:val="005E1614"/>
    <w:rsid w:val="005E31C2"/>
    <w:rsid w:val="005E471D"/>
    <w:rsid w:val="005E5047"/>
    <w:rsid w:val="005E5A58"/>
    <w:rsid w:val="005E6C51"/>
    <w:rsid w:val="005E7205"/>
    <w:rsid w:val="005E7371"/>
    <w:rsid w:val="005E74F0"/>
    <w:rsid w:val="005E7C15"/>
    <w:rsid w:val="005F0F47"/>
    <w:rsid w:val="005F116C"/>
    <w:rsid w:val="005F11C9"/>
    <w:rsid w:val="005F13D6"/>
    <w:rsid w:val="005F1D8F"/>
    <w:rsid w:val="005F2131"/>
    <w:rsid w:val="005F34BB"/>
    <w:rsid w:val="005F36E3"/>
    <w:rsid w:val="005F391F"/>
    <w:rsid w:val="005F39B6"/>
    <w:rsid w:val="005F65FE"/>
    <w:rsid w:val="005F73F1"/>
    <w:rsid w:val="005F772D"/>
    <w:rsid w:val="005F7E1C"/>
    <w:rsid w:val="00600500"/>
    <w:rsid w:val="0060218A"/>
    <w:rsid w:val="00602D1B"/>
    <w:rsid w:val="00603078"/>
    <w:rsid w:val="00603271"/>
    <w:rsid w:val="00603DAF"/>
    <w:rsid w:val="006047A1"/>
    <w:rsid w:val="00605B5F"/>
    <w:rsid w:val="00605EF6"/>
    <w:rsid w:val="00606455"/>
    <w:rsid w:val="00606AD8"/>
    <w:rsid w:val="00606AF2"/>
    <w:rsid w:val="00607241"/>
    <w:rsid w:val="00607919"/>
    <w:rsid w:val="00610163"/>
    <w:rsid w:val="00610C6B"/>
    <w:rsid w:val="00612B23"/>
    <w:rsid w:val="00613104"/>
    <w:rsid w:val="00613487"/>
    <w:rsid w:val="00614929"/>
    <w:rsid w:val="00614B30"/>
    <w:rsid w:val="00614F80"/>
    <w:rsid w:val="00616511"/>
    <w:rsid w:val="0061677F"/>
    <w:rsid w:val="00616828"/>
    <w:rsid w:val="00616A43"/>
    <w:rsid w:val="006176ED"/>
    <w:rsid w:val="006202F3"/>
    <w:rsid w:val="00620945"/>
    <w:rsid w:val="0062097A"/>
    <w:rsid w:val="00620D49"/>
    <w:rsid w:val="0062111A"/>
    <w:rsid w:val="00621479"/>
    <w:rsid w:val="00621DA6"/>
    <w:rsid w:val="00621E5D"/>
    <w:rsid w:val="0062210E"/>
    <w:rsid w:val="00623119"/>
    <w:rsid w:val="00623A82"/>
    <w:rsid w:val="00623CFE"/>
    <w:rsid w:val="0062411A"/>
    <w:rsid w:val="00624D5A"/>
    <w:rsid w:val="00625DD6"/>
    <w:rsid w:val="00627221"/>
    <w:rsid w:val="0062736A"/>
    <w:rsid w:val="0062742E"/>
    <w:rsid w:val="00627BD1"/>
    <w:rsid w:val="00627EE8"/>
    <w:rsid w:val="006316FA"/>
    <w:rsid w:val="00632A54"/>
    <w:rsid w:val="00633A00"/>
    <w:rsid w:val="00633B85"/>
    <w:rsid w:val="0063421A"/>
    <w:rsid w:val="00634367"/>
    <w:rsid w:val="0063535D"/>
    <w:rsid w:val="006361F0"/>
    <w:rsid w:val="006370D2"/>
    <w:rsid w:val="0063712D"/>
    <w:rsid w:val="00640059"/>
    <w:rsid w:val="00640393"/>
    <w:rsid w:val="0064074F"/>
    <w:rsid w:val="00640BD6"/>
    <w:rsid w:val="00640E07"/>
    <w:rsid w:val="00641078"/>
    <w:rsid w:val="0064140A"/>
    <w:rsid w:val="00641F55"/>
    <w:rsid w:val="00642F84"/>
    <w:rsid w:val="00643229"/>
    <w:rsid w:val="00645933"/>
    <w:rsid w:val="00645BB6"/>
    <w:rsid w:val="00645E4A"/>
    <w:rsid w:val="0064754D"/>
    <w:rsid w:val="006475AE"/>
    <w:rsid w:val="00651240"/>
    <w:rsid w:val="00652784"/>
    <w:rsid w:val="006534A9"/>
    <w:rsid w:val="00653688"/>
    <w:rsid w:val="0065470F"/>
    <w:rsid w:val="00654B7B"/>
    <w:rsid w:val="006570DD"/>
    <w:rsid w:val="006578CD"/>
    <w:rsid w:val="0066091B"/>
    <w:rsid w:val="00662A49"/>
    <w:rsid w:val="00662BA2"/>
    <w:rsid w:val="00663AB9"/>
    <w:rsid w:val="0066404F"/>
    <w:rsid w:val="006660E9"/>
    <w:rsid w:val="00667249"/>
    <w:rsid w:val="00667558"/>
    <w:rsid w:val="00671523"/>
    <w:rsid w:val="00671A6F"/>
    <w:rsid w:val="00671D09"/>
    <w:rsid w:val="00671D3C"/>
    <w:rsid w:val="00671DDB"/>
    <w:rsid w:val="006754EF"/>
    <w:rsid w:val="0067676E"/>
    <w:rsid w:val="00676ACD"/>
    <w:rsid w:val="00676C8D"/>
    <w:rsid w:val="00676F1F"/>
    <w:rsid w:val="00676F96"/>
    <w:rsid w:val="00677013"/>
    <w:rsid w:val="00677381"/>
    <w:rsid w:val="00677414"/>
    <w:rsid w:val="00677FAE"/>
    <w:rsid w:val="00680526"/>
    <w:rsid w:val="00680B85"/>
    <w:rsid w:val="006817D6"/>
    <w:rsid w:val="00682493"/>
    <w:rsid w:val="006832CF"/>
    <w:rsid w:val="0068372E"/>
    <w:rsid w:val="0068601E"/>
    <w:rsid w:val="00686852"/>
    <w:rsid w:val="00690029"/>
    <w:rsid w:val="00690CF5"/>
    <w:rsid w:val="00691F63"/>
    <w:rsid w:val="006925C2"/>
    <w:rsid w:val="00692C2D"/>
    <w:rsid w:val="0069486B"/>
    <w:rsid w:val="00695165"/>
    <w:rsid w:val="006953C4"/>
    <w:rsid w:val="0069576E"/>
    <w:rsid w:val="006A0782"/>
    <w:rsid w:val="006A336F"/>
    <w:rsid w:val="006A4904"/>
    <w:rsid w:val="006A4A0C"/>
    <w:rsid w:val="006A548F"/>
    <w:rsid w:val="006A5A53"/>
    <w:rsid w:val="006A5CB4"/>
    <w:rsid w:val="006A61F0"/>
    <w:rsid w:val="006A701A"/>
    <w:rsid w:val="006A72F2"/>
    <w:rsid w:val="006A759C"/>
    <w:rsid w:val="006A75D2"/>
    <w:rsid w:val="006B041D"/>
    <w:rsid w:val="006B05F1"/>
    <w:rsid w:val="006B1A92"/>
    <w:rsid w:val="006B2422"/>
    <w:rsid w:val="006B2DFA"/>
    <w:rsid w:val="006B5011"/>
    <w:rsid w:val="006B5130"/>
    <w:rsid w:val="006B55E0"/>
    <w:rsid w:val="006B5BC0"/>
    <w:rsid w:val="006B6209"/>
    <w:rsid w:val="006B625B"/>
    <w:rsid w:val="006B64DC"/>
    <w:rsid w:val="006B68E4"/>
    <w:rsid w:val="006B7194"/>
    <w:rsid w:val="006B74FE"/>
    <w:rsid w:val="006B773F"/>
    <w:rsid w:val="006B7A91"/>
    <w:rsid w:val="006B7BA7"/>
    <w:rsid w:val="006C0606"/>
    <w:rsid w:val="006C0CB5"/>
    <w:rsid w:val="006C0F1E"/>
    <w:rsid w:val="006C10F5"/>
    <w:rsid w:val="006C1822"/>
    <w:rsid w:val="006C202B"/>
    <w:rsid w:val="006C2126"/>
    <w:rsid w:val="006C3925"/>
    <w:rsid w:val="006C48A2"/>
    <w:rsid w:val="006C63C5"/>
    <w:rsid w:val="006C66B2"/>
    <w:rsid w:val="006C6F81"/>
    <w:rsid w:val="006C793F"/>
    <w:rsid w:val="006D0B9F"/>
    <w:rsid w:val="006D1499"/>
    <w:rsid w:val="006D1F09"/>
    <w:rsid w:val="006D2003"/>
    <w:rsid w:val="006D23C1"/>
    <w:rsid w:val="006D25B2"/>
    <w:rsid w:val="006D2EDB"/>
    <w:rsid w:val="006D386D"/>
    <w:rsid w:val="006D4215"/>
    <w:rsid w:val="006D4704"/>
    <w:rsid w:val="006D479C"/>
    <w:rsid w:val="006D493A"/>
    <w:rsid w:val="006D498A"/>
    <w:rsid w:val="006D50C7"/>
    <w:rsid w:val="006D50FC"/>
    <w:rsid w:val="006D566B"/>
    <w:rsid w:val="006D5CB1"/>
    <w:rsid w:val="006D649F"/>
    <w:rsid w:val="006D6A2D"/>
    <w:rsid w:val="006E09C3"/>
    <w:rsid w:val="006E0ACB"/>
    <w:rsid w:val="006E0D14"/>
    <w:rsid w:val="006E0E69"/>
    <w:rsid w:val="006E1E18"/>
    <w:rsid w:val="006E2063"/>
    <w:rsid w:val="006E2680"/>
    <w:rsid w:val="006E31CE"/>
    <w:rsid w:val="006E34D3"/>
    <w:rsid w:val="006E445A"/>
    <w:rsid w:val="006E49C6"/>
    <w:rsid w:val="006E49E6"/>
    <w:rsid w:val="006E5D9E"/>
    <w:rsid w:val="006E65C9"/>
    <w:rsid w:val="006E674C"/>
    <w:rsid w:val="006E6DBA"/>
    <w:rsid w:val="006E73ED"/>
    <w:rsid w:val="006F00DD"/>
    <w:rsid w:val="006F0272"/>
    <w:rsid w:val="006F1435"/>
    <w:rsid w:val="006F1DF5"/>
    <w:rsid w:val="006F1EB8"/>
    <w:rsid w:val="006F2AE7"/>
    <w:rsid w:val="006F30C3"/>
    <w:rsid w:val="006F30ED"/>
    <w:rsid w:val="006F35E8"/>
    <w:rsid w:val="006F43CD"/>
    <w:rsid w:val="006F49FE"/>
    <w:rsid w:val="006F4B45"/>
    <w:rsid w:val="006F5514"/>
    <w:rsid w:val="006F57D6"/>
    <w:rsid w:val="006F6155"/>
    <w:rsid w:val="006F78C4"/>
    <w:rsid w:val="006F7DE9"/>
    <w:rsid w:val="006F7EBA"/>
    <w:rsid w:val="0070284A"/>
    <w:rsid w:val="007031A0"/>
    <w:rsid w:val="00703B1B"/>
    <w:rsid w:val="00703E2A"/>
    <w:rsid w:val="00703EC7"/>
    <w:rsid w:val="00704FD3"/>
    <w:rsid w:val="00705646"/>
    <w:rsid w:val="00705A29"/>
    <w:rsid w:val="00705A47"/>
    <w:rsid w:val="00705A92"/>
    <w:rsid w:val="00705E65"/>
    <w:rsid w:val="00705F0A"/>
    <w:rsid w:val="00707498"/>
    <w:rsid w:val="0070773A"/>
    <w:rsid w:val="00707CE6"/>
    <w:rsid w:val="00710E0F"/>
    <w:rsid w:val="00710FAE"/>
    <w:rsid w:val="007115E9"/>
    <w:rsid w:val="00711A65"/>
    <w:rsid w:val="0071208F"/>
    <w:rsid w:val="00712FAE"/>
    <w:rsid w:val="00714133"/>
    <w:rsid w:val="00714DA4"/>
    <w:rsid w:val="00714DC6"/>
    <w:rsid w:val="00714EEC"/>
    <w:rsid w:val="00715608"/>
    <w:rsid w:val="007158B2"/>
    <w:rsid w:val="00716081"/>
    <w:rsid w:val="007168AD"/>
    <w:rsid w:val="007201A8"/>
    <w:rsid w:val="007208A0"/>
    <w:rsid w:val="00721285"/>
    <w:rsid w:val="0072198B"/>
    <w:rsid w:val="00722B48"/>
    <w:rsid w:val="00724164"/>
    <w:rsid w:val="00724EF8"/>
    <w:rsid w:val="00725934"/>
    <w:rsid w:val="00725DE7"/>
    <w:rsid w:val="0072636A"/>
    <w:rsid w:val="00726B44"/>
    <w:rsid w:val="00726CDE"/>
    <w:rsid w:val="00726D80"/>
    <w:rsid w:val="00726DE2"/>
    <w:rsid w:val="0072717E"/>
    <w:rsid w:val="00730119"/>
    <w:rsid w:val="00730C06"/>
    <w:rsid w:val="0073110D"/>
    <w:rsid w:val="007318DD"/>
    <w:rsid w:val="00733167"/>
    <w:rsid w:val="00734B82"/>
    <w:rsid w:val="00735A33"/>
    <w:rsid w:val="0073737F"/>
    <w:rsid w:val="00740D2C"/>
    <w:rsid w:val="00740EEF"/>
    <w:rsid w:val="0074235C"/>
    <w:rsid w:val="0074244E"/>
    <w:rsid w:val="00742727"/>
    <w:rsid w:val="00743792"/>
    <w:rsid w:val="007445BE"/>
    <w:rsid w:val="00744BF9"/>
    <w:rsid w:val="007454B3"/>
    <w:rsid w:val="007455BC"/>
    <w:rsid w:val="007461A2"/>
    <w:rsid w:val="00746D72"/>
    <w:rsid w:val="007479A0"/>
    <w:rsid w:val="00750D0C"/>
    <w:rsid w:val="00751A36"/>
    <w:rsid w:val="00752623"/>
    <w:rsid w:val="007526DD"/>
    <w:rsid w:val="007549F1"/>
    <w:rsid w:val="007550EB"/>
    <w:rsid w:val="00760F1F"/>
    <w:rsid w:val="00763406"/>
    <w:rsid w:val="0076423E"/>
    <w:rsid w:val="007646CB"/>
    <w:rsid w:val="00764EEB"/>
    <w:rsid w:val="007660EF"/>
    <w:rsid w:val="0076658F"/>
    <w:rsid w:val="0077040A"/>
    <w:rsid w:val="00771062"/>
    <w:rsid w:val="007715D9"/>
    <w:rsid w:val="007718BF"/>
    <w:rsid w:val="00771C38"/>
    <w:rsid w:val="00772D64"/>
    <w:rsid w:val="00773439"/>
    <w:rsid w:val="007740E7"/>
    <w:rsid w:val="00774850"/>
    <w:rsid w:val="00774FD4"/>
    <w:rsid w:val="00775A14"/>
    <w:rsid w:val="00775E7A"/>
    <w:rsid w:val="00776F04"/>
    <w:rsid w:val="00777771"/>
    <w:rsid w:val="00777E07"/>
    <w:rsid w:val="007846A4"/>
    <w:rsid w:val="007846E6"/>
    <w:rsid w:val="007856C3"/>
    <w:rsid w:val="007858C3"/>
    <w:rsid w:val="007864B2"/>
    <w:rsid w:val="007908B9"/>
    <w:rsid w:val="007912B8"/>
    <w:rsid w:val="00792237"/>
    <w:rsid w:val="00792544"/>
    <w:rsid w:val="00792609"/>
    <w:rsid w:val="00792887"/>
    <w:rsid w:val="00792F3B"/>
    <w:rsid w:val="00792FBA"/>
    <w:rsid w:val="00793027"/>
    <w:rsid w:val="007943E2"/>
    <w:rsid w:val="0079461D"/>
    <w:rsid w:val="00794F2C"/>
    <w:rsid w:val="00795C26"/>
    <w:rsid w:val="00796C28"/>
    <w:rsid w:val="007A03F2"/>
    <w:rsid w:val="007A09BE"/>
    <w:rsid w:val="007A10B8"/>
    <w:rsid w:val="007A1910"/>
    <w:rsid w:val="007A38E4"/>
    <w:rsid w:val="007A3BC7"/>
    <w:rsid w:val="007A4317"/>
    <w:rsid w:val="007A4326"/>
    <w:rsid w:val="007A43E0"/>
    <w:rsid w:val="007A5AC4"/>
    <w:rsid w:val="007A758D"/>
    <w:rsid w:val="007B0FDD"/>
    <w:rsid w:val="007B1756"/>
    <w:rsid w:val="007B22DC"/>
    <w:rsid w:val="007B2302"/>
    <w:rsid w:val="007B26AF"/>
    <w:rsid w:val="007B336E"/>
    <w:rsid w:val="007B4028"/>
    <w:rsid w:val="007B4802"/>
    <w:rsid w:val="007B4EF9"/>
    <w:rsid w:val="007B5151"/>
    <w:rsid w:val="007B5921"/>
    <w:rsid w:val="007B6435"/>
    <w:rsid w:val="007B6668"/>
    <w:rsid w:val="007B6B33"/>
    <w:rsid w:val="007B6D8A"/>
    <w:rsid w:val="007B7DCB"/>
    <w:rsid w:val="007C01D9"/>
    <w:rsid w:val="007C06BF"/>
    <w:rsid w:val="007C16BF"/>
    <w:rsid w:val="007C230D"/>
    <w:rsid w:val="007C2701"/>
    <w:rsid w:val="007C2ADE"/>
    <w:rsid w:val="007C2E27"/>
    <w:rsid w:val="007C35A0"/>
    <w:rsid w:val="007C38FC"/>
    <w:rsid w:val="007C3AB8"/>
    <w:rsid w:val="007C4FAF"/>
    <w:rsid w:val="007C5581"/>
    <w:rsid w:val="007C55DD"/>
    <w:rsid w:val="007C58E7"/>
    <w:rsid w:val="007C5F32"/>
    <w:rsid w:val="007C6570"/>
    <w:rsid w:val="007C72D9"/>
    <w:rsid w:val="007D0524"/>
    <w:rsid w:val="007D060A"/>
    <w:rsid w:val="007D118E"/>
    <w:rsid w:val="007D2192"/>
    <w:rsid w:val="007D5C4D"/>
    <w:rsid w:val="007D6285"/>
    <w:rsid w:val="007D753C"/>
    <w:rsid w:val="007E04D9"/>
    <w:rsid w:val="007E1685"/>
    <w:rsid w:val="007E1854"/>
    <w:rsid w:val="007E1F69"/>
    <w:rsid w:val="007E214D"/>
    <w:rsid w:val="007E253B"/>
    <w:rsid w:val="007E324D"/>
    <w:rsid w:val="007E3277"/>
    <w:rsid w:val="007E42BF"/>
    <w:rsid w:val="007E49F6"/>
    <w:rsid w:val="007E5DE5"/>
    <w:rsid w:val="007E7741"/>
    <w:rsid w:val="007E796F"/>
    <w:rsid w:val="007F0021"/>
    <w:rsid w:val="007F0F14"/>
    <w:rsid w:val="007F13AA"/>
    <w:rsid w:val="007F1D3F"/>
    <w:rsid w:val="007F1F1B"/>
    <w:rsid w:val="007F2ABD"/>
    <w:rsid w:val="007F2F52"/>
    <w:rsid w:val="007F3E2F"/>
    <w:rsid w:val="007F4479"/>
    <w:rsid w:val="007F6384"/>
    <w:rsid w:val="0080058D"/>
    <w:rsid w:val="00801F71"/>
    <w:rsid w:val="0080236B"/>
    <w:rsid w:val="0080248B"/>
    <w:rsid w:val="00803ABF"/>
    <w:rsid w:val="008045C7"/>
    <w:rsid w:val="00805003"/>
    <w:rsid w:val="008056D3"/>
    <w:rsid w:val="00805F28"/>
    <w:rsid w:val="008063D1"/>
    <w:rsid w:val="0080749F"/>
    <w:rsid w:val="00811D46"/>
    <w:rsid w:val="008125B0"/>
    <w:rsid w:val="0081371E"/>
    <w:rsid w:val="0081385F"/>
    <w:rsid w:val="008139AA"/>
    <w:rsid w:val="00813C6C"/>
    <w:rsid w:val="00813FC1"/>
    <w:rsid w:val="00814123"/>
    <w:rsid w:val="008144CB"/>
    <w:rsid w:val="00814EA0"/>
    <w:rsid w:val="008158EE"/>
    <w:rsid w:val="008160B9"/>
    <w:rsid w:val="00816C5F"/>
    <w:rsid w:val="008170CD"/>
    <w:rsid w:val="008174D4"/>
    <w:rsid w:val="0081763C"/>
    <w:rsid w:val="00817715"/>
    <w:rsid w:val="00817D68"/>
    <w:rsid w:val="00821334"/>
    <w:rsid w:val="00821717"/>
    <w:rsid w:val="00821CB8"/>
    <w:rsid w:val="00822060"/>
    <w:rsid w:val="008229D5"/>
    <w:rsid w:val="00823AB3"/>
    <w:rsid w:val="00823B45"/>
    <w:rsid w:val="0082404B"/>
    <w:rsid w:val="00824210"/>
    <w:rsid w:val="008249BC"/>
    <w:rsid w:val="0082519B"/>
    <w:rsid w:val="008256B4"/>
    <w:rsid w:val="00825F34"/>
    <w:rsid w:val="00826144"/>
    <w:rsid w:val="008263C0"/>
    <w:rsid w:val="00830C66"/>
    <w:rsid w:val="00831877"/>
    <w:rsid w:val="00831B56"/>
    <w:rsid w:val="008320ED"/>
    <w:rsid w:val="00832D04"/>
    <w:rsid w:val="00833807"/>
    <w:rsid w:val="00833F6D"/>
    <w:rsid w:val="00835EBF"/>
    <w:rsid w:val="008360D2"/>
    <w:rsid w:val="0083654E"/>
    <w:rsid w:val="00836C51"/>
    <w:rsid w:val="00837879"/>
    <w:rsid w:val="00840B55"/>
    <w:rsid w:val="00840E73"/>
    <w:rsid w:val="00841422"/>
    <w:rsid w:val="00841D3B"/>
    <w:rsid w:val="00842C7D"/>
    <w:rsid w:val="0084314C"/>
    <w:rsid w:val="00843171"/>
    <w:rsid w:val="00843E6A"/>
    <w:rsid w:val="00844102"/>
    <w:rsid w:val="0084554F"/>
    <w:rsid w:val="008469B7"/>
    <w:rsid w:val="00846A24"/>
    <w:rsid w:val="00847E2F"/>
    <w:rsid w:val="0085094F"/>
    <w:rsid w:val="00850B31"/>
    <w:rsid w:val="00850D48"/>
    <w:rsid w:val="00852748"/>
    <w:rsid w:val="00853C73"/>
    <w:rsid w:val="00854F22"/>
    <w:rsid w:val="00854FE5"/>
    <w:rsid w:val="0085693B"/>
    <w:rsid w:val="00856969"/>
    <w:rsid w:val="00857248"/>
    <w:rsid w:val="008575C3"/>
    <w:rsid w:val="008576F7"/>
    <w:rsid w:val="00863D28"/>
    <w:rsid w:val="00863FA2"/>
    <w:rsid w:val="008648C3"/>
    <w:rsid w:val="00864FB9"/>
    <w:rsid w:val="008663DA"/>
    <w:rsid w:val="00866544"/>
    <w:rsid w:val="008706A6"/>
    <w:rsid w:val="00870755"/>
    <w:rsid w:val="0087185F"/>
    <w:rsid w:val="00871A6E"/>
    <w:rsid w:val="00871F5E"/>
    <w:rsid w:val="0087238D"/>
    <w:rsid w:val="00873291"/>
    <w:rsid w:val="0087421E"/>
    <w:rsid w:val="00874541"/>
    <w:rsid w:val="0087457B"/>
    <w:rsid w:val="00874FCC"/>
    <w:rsid w:val="00875306"/>
    <w:rsid w:val="00875889"/>
    <w:rsid w:val="00875A4C"/>
    <w:rsid w:val="008762D3"/>
    <w:rsid w:val="008772BB"/>
    <w:rsid w:val="008779E9"/>
    <w:rsid w:val="00880E3D"/>
    <w:rsid w:val="00880F26"/>
    <w:rsid w:val="0088101F"/>
    <w:rsid w:val="00881A50"/>
    <w:rsid w:val="008831CB"/>
    <w:rsid w:val="008835BD"/>
    <w:rsid w:val="008841F7"/>
    <w:rsid w:val="00884D22"/>
    <w:rsid w:val="00884EBD"/>
    <w:rsid w:val="008857AE"/>
    <w:rsid w:val="00885F5E"/>
    <w:rsid w:val="00886AE4"/>
    <w:rsid w:val="0088755D"/>
    <w:rsid w:val="008876A3"/>
    <w:rsid w:val="0089053D"/>
    <w:rsid w:val="00890EA3"/>
    <w:rsid w:val="00891312"/>
    <w:rsid w:val="00891340"/>
    <w:rsid w:val="008934F2"/>
    <w:rsid w:val="00893503"/>
    <w:rsid w:val="0089371A"/>
    <w:rsid w:val="00893B1C"/>
    <w:rsid w:val="00894981"/>
    <w:rsid w:val="00895C81"/>
    <w:rsid w:val="00896237"/>
    <w:rsid w:val="00896C2E"/>
    <w:rsid w:val="00897A1D"/>
    <w:rsid w:val="008A02E1"/>
    <w:rsid w:val="008A0DA8"/>
    <w:rsid w:val="008A27D6"/>
    <w:rsid w:val="008A2892"/>
    <w:rsid w:val="008A305B"/>
    <w:rsid w:val="008A319C"/>
    <w:rsid w:val="008A4DB9"/>
    <w:rsid w:val="008A5095"/>
    <w:rsid w:val="008A608F"/>
    <w:rsid w:val="008B1A9A"/>
    <w:rsid w:val="008B1DC3"/>
    <w:rsid w:val="008B2089"/>
    <w:rsid w:val="008B23D6"/>
    <w:rsid w:val="008B250E"/>
    <w:rsid w:val="008B26E3"/>
    <w:rsid w:val="008B276B"/>
    <w:rsid w:val="008B297A"/>
    <w:rsid w:val="008B2A67"/>
    <w:rsid w:val="008B3522"/>
    <w:rsid w:val="008B36AD"/>
    <w:rsid w:val="008B3823"/>
    <w:rsid w:val="008B4D1F"/>
    <w:rsid w:val="008B4FE6"/>
    <w:rsid w:val="008B6778"/>
    <w:rsid w:val="008B6C28"/>
    <w:rsid w:val="008B6C37"/>
    <w:rsid w:val="008B726F"/>
    <w:rsid w:val="008C01F5"/>
    <w:rsid w:val="008C22EC"/>
    <w:rsid w:val="008C3252"/>
    <w:rsid w:val="008C3286"/>
    <w:rsid w:val="008C3ADD"/>
    <w:rsid w:val="008C4393"/>
    <w:rsid w:val="008C5A3D"/>
    <w:rsid w:val="008C7093"/>
    <w:rsid w:val="008C75D8"/>
    <w:rsid w:val="008C7A73"/>
    <w:rsid w:val="008D1C46"/>
    <w:rsid w:val="008D2629"/>
    <w:rsid w:val="008D48FD"/>
    <w:rsid w:val="008D4983"/>
    <w:rsid w:val="008D4B63"/>
    <w:rsid w:val="008D4E41"/>
    <w:rsid w:val="008D5311"/>
    <w:rsid w:val="008D54ED"/>
    <w:rsid w:val="008D602F"/>
    <w:rsid w:val="008D701C"/>
    <w:rsid w:val="008D73AF"/>
    <w:rsid w:val="008E00B9"/>
    <w:rsid w:val="008E079C"/>
    <w:rsid w:val="008E0DE3"/>
    <w:rsid w:val="008E13E3"/>
    <w:rsid w:val="008E18F7"/>
    <w:rsid w:val="008E1AD5"/>
    <w:rsid w:val="008E1E10"/>
    <w:rsid w:val="008E291B"/>
    <w:rsid w:val="008E4063"/>
    <w:rsid w:val="008E4F2F"/>
    <w:rsid w:val="008E5BCD"/>
    <w:rsid w:val="008E6AD2"/>
    <w:rsid w:val="008E6F3A"/>
    <w:rsid w:val="008E7216"/>
    <w:rsid w:val="008E74B0"/>
    <w:rsid w:val="008E76CE"/>
    <w:rsid w:val="008F2882"/>
    <w:rsid w:val="008F2B54"/>
    <w:rsid w:val="008F3B89"/>
    <w:rsid w:val="008F597A"/>
    <w:rsid w:val="008F6214"/>
    <w:rsid w:val="008F6528"/>
    <w:rsid w:val="008F735C"/>
    <w:rsid w:val="008F7979"/>
    <w:rsid w:val="0090023C"/>
    <w:rsid w:val="009008A8"/>
    <w:rsid w:val="00900ED7"/>
    <w:rsid w:val="0090146C"/>
    <w:rsid w:val="00901E2E"/>
    <w:rsid w:val="009028DF"/>
    <w:rsid w:val="009038D2"/>
    <w:rsid w:val="009039FE"/>
    <w:rsid w:val="00905165"/>
    <w:rsid w:val="00905B46"/>
    <w:rsid w:val="00905CC7"/>
    <w:rsid w:val="009063B0"/>
    <w:rsid w:val="00907106"/>
    <w:rsid w:val="009107FD"/>
    <w:rsid w:val="00910ABB"/>
    <w:rsid w:val="0091137C"/>
    <w:rsid w:val="00911567"/>
    <w:rsid w:val="00912A83"/>
    <w:rsid w:val="00912F30"/>
    <w:rsid w:val="009152B6"/>
    <w:rsid w:val="00915CF7"/>
    <w:rsid w:val="0091641D"/>
    <w:rsid w:val="009165C6"/>
    <w:rsid w:val="00917AAE"/>
    <w:rsid w:val="0092148A"/>
    <w:rsid w:val="00921957"/>
    <w:rsid w:val="00921FC5"/>
    <w:rsid w:val="0092257D"/>
    <w:rsid w:val="00922CE2"/>
    <w:rsid w:val="0092399F"/>
    <w:rsid w:val="009247AE"/>
    <w:rsid w:val="009251A9"/>
    <w:rsid w:val="0092588A"/>
    <w:rsid w:val="0092691A"/>
    <w:rsid w:val="00930494"/>
    <w:rsid w:val="00930699"/>
    <w:rsid w:val="00931ED2"/>
    <w:rsid w:val="00931F69"/>
    <w:rsid w:val="00932929"/>
    <w:rsid w:val="009335E7"/>
    <w:rsid w:val="00934123"/>
    <w:rsid w:val="00934469"/>
    <w:rsid w:val="009349D6"/>
    <w:rsid w:val="00934BED"/>
    <w:rsid w:val="00935796"/>
    <w:rsid w:val="009371E2"/>
    <w:rsid w:val="0094005D"/>
    <w:rsid w:val="009415EF"/>
    <w:rsid w:val="00944427"/>
    <w:rsid w:val="00946813"/>
    <w:rsid w:val="00947326"/>
    <w:rsid w:val="00947E1B"/>
    <w:rsid w:val="00950D51"/>
    <w:rsid w:val="00951389"/>
    <w:rsid w:val="009514E6"/>
    <w:rsid w:val="00951894"/>
    <w:rsid w:val="00952AC6"/>
    <w:rsid w:val="00953138"/>
    <w:rsid w:val="00953A89"/>
    <w:rsid w:val="0095496D"/>
    <w:rsid w:val="00955774"/>
    <w:rsid w:val="00955F74"/>
    <w:rsid w:val="009560B5"/>
    <w:rsid w:val="009576DB"/>
    <w:rsid w:val="00957940"/>
    <w:rsid w:val="0096107C"/>
    <w:rsid w:val="0096248D"/>
    <w:rsid w:val="009636E3"/>
    <w:rsid w:val="00963C91"/>
    <w:rsid w:val="00964C01"/>
    <w:rsid w:val="00965042"/>
    <w:rsid w:val="00965920"/>
    <w:rsid w:val="00966142"/>
    <w:rsid w:val="009667E6"/>
    <w:rsid w:val="009672A9"/>
    <w:rsid w:val="00967C7F"/>
    <w:rsid w:val="00970267"/>
    <w:rsid w:val="009703D6"/>
    <w:rsid w:val="0097181B"/>
    <w:rsid w:val="00972286"/>
    <w:rsid w:val="009723F9"/>
    <w:rsid w:val="00972DAF"/>
    <w:rsid w:val="009744A7"/>
    <w:rsid w:val="0097453A"/>
    <w:rsid w:val="00976DC5"/>
    <w:rsid w:val="00977B58"/>
    <w:rsid w:val="00980A15"/>
    <w:rsid w:val="0098128B"/>
    <w:rsid w:val="009818C7"/>
    <w:rsid w:val="00982478"/>
    <w:rsid w:val="00982DD4"/>
    <w:rsid w:val="00983312"/>
    <w:rsid w:val="009833A5"/>
    <w:rsid w:val="00983E00"/>
    <w:rsid w:val="009841E5"/>
    <w:rsid w:val="0098479F"/>
    <w:rsid w:val="00984A8A"/>
    <w:rsid w:val="00984C29"/>
    <w:rsid w:val="00984EF2"/>
    <w:rsid w:val="009857B6"/>
    <w:rsid w:val="00985A5E"/>
    <w:rsid w:val="00985A8D"/>
    <w:rsid w:val="0098630C"/>
    <w:rsid w:val="00986610"/>
    <w:rsid w:val="009867E6"/>
    <w:rsid w:val="009877DC"/>
    <w:rsid w:val="00987EA8"/>
    <w:rsid w:val="0099125C"/>
    <w:rsid w:val="00991F96"/>
    <w:rsid w:val="00992499"/>
    <w:rsid w:val="00993754"/>
    <w:rsid w:val="0099441E"/>
    <w:rsid w:val="00994D32"/>
    <w:rsid w:val="00994FA8"/>
    <w:rsid w:val="00995F3F"/>
    <w:rsid w:val="009961F3"/>
    <w:rsid w:val="00996F0A"/>
    <w:rsid w:val="009A01E7"/>
    <w:rsid w:val="009A0DC2"/>
    <w:rsid w:val="009A17D6"/>
    <w:rsid w:val="009A18D1"/>
    <w:rsid w:val="009A1A4A"/>
    <w:rsid w:val="009A1D86"/>
    <w:rsid w:val="009A1F8D"/>
    <w:rsid w:val="009A300C"/>
    <w:rsid w:val="009A33E3"/>
    <w:rsid w:val="009A4E19"/>
    <w:rsid w:val="009A571D"/>
    <w:rsid w:val="009A5846"/>
    <w:rsid w:val="009B049C"/>
    <w:rsid w:val="009B11C8"/>
    <w:rsid w:val="009B2BCF"/>
    <w:rsid w:val="009B2FF8"/>
    <w:rsid w:val="009B581C"/>
    <w:rsid w:val="009B58AD"/>
    <w:rsid w:val="009B5BA3"/>
    <w:rsid w:val="009B6AF1"/>
    <w:rsid w:val="009B752D"/>
    <w:rsid w:val="009B7682"/>
    <w:rsid w:val="009C0813"/>
    <w:rsid w:val="009C093C"/>
    <w:rsid w:val="009C258E"/>
    <w:rsid w:val="009C25C3"/>
    <w:rsid w:val="009C2825"/>
    <w:rsid w:val="009C2F4D"/>
    <w:rsid w:val="009C3688"/>
    <w:rsid w:val="009C376A"/>
    <w:rsid w:val="009C510A"/>
    <w:rsid w:val="009C63C6"/>
    <w:rsid w:val="009C6696"/>
    <w:rsid w:val="009C66DD"/>
    <w:rsid w:val="009C7211"/>
    <w:rsid w:val="009D0027"/>
    <w:rsid w:val="009D0655"/>
    <w:rsid w:val="009D0D2F"/>
    <w:rsid w:val="009D1B0D"/>
    <w:rsid w:val="009D1DBD"/>
    <w:rsid w:val="009D2FEF"/>
    <w:rsid w:val="009D395A"/>
    <w:rsid w:val="009D628B"/>
    <w:rsid w:val="009D6606"/>
    <w:rsid w:val="009D6F13"/>
    <w:rsid w:val="009D700A"/>
    <w:rsid w:val="009D7950"/>
    <w:rsid w:val="009E1E98"/>
    <w:rsid w:val="009E1F43"/>
    <w:rsid w:val="009E2A8D"/>
    <w:rsid w:val="009E2BAE"/>
    <w:rsid w:val="009E379C"/>
    <w:rsid w:val="009E37BB"/>
    <w:rsid w:val="009E3ABE"/>
    <w:rsid w:val="009E3C4B"/>
    <w:rsid w:val="009E57AC"/>
    <w:rsid w:val="009E59EA"/>
    <w:rsid w:val="009E657B"/>
    <w:rsid w:val="009E6622"/>
    <w:rsid w:val="009E7F17"/>
    <w:rsid w:val="009F00E3"/>
    <w:rsid w:val="009F0274"/>
    <w:rsid w:val="009F0637"/>
    <w:rsid w:val="009F16F1"/>
    <w:rsid w:val="009F1E6E"/>
    <w:rsid w:val="009F2B67"/>
    <w:rsid w:val="009F5AB7"/>
    <w:rsid w:val="009F62A6"/>
    <w:rsid w:val="009F6435"/>
    <w:rsid w:val="009F674F"/>
    <w:rsid w:val="009F7766"/>
    <w:rsid w:val="009F799E"/>
    <w:rsid w:val="009F79BA"/>
    <w:rsid w:val="00A009C5"/>
    <w:rsid w:val="00A02020"/>
    <w:rsid w:val="00A02359"/>
    <w:rsid w:val="00A039F0"/>
    <w:rsid w:val="00A04335"/>
    <w:rsid w:val="00A049C6"/>
    <w:rsid w:val="00A04BBC"/>
    <w:rsid w:val="00A056CB"/>
    <w:rsid w:val="00A05BD6"/>
    <w:rsid w:val="00A067D8"/>
    <w:rsid w:val="00A07A29"/>
    <w:rsid w:val="00A07FB8"/>
    <w:rsid w:val="00A101E3"/>
    <w:rsid w:val="00A10216"/>
    <w:rsid w:val="00A10FF1"/>
    <w:rsid w:val="00A11433"/>
    <w:rsid w:val="00A1159B"/>
    <w:rsid w:val="00A12395"/>
    <w:rsid w:val="00A13686"/>
    <w:rsid w:val="00A1506B"/>
    <w:rsid w:val="00A15D1A"/>
    <w:rsid w:val="00A17741"/>
    <w:rsid w:val="00A17CB2"/>
    <w:rsid w:val="00A2032D"/>
    <w:rsid w:val="00A21E65"/>
    <w:rsid w:val="00A22E64"/>
    <w:rsid w:val="00A23191"/>
    <w:rsid w:val="00A24374"/>
    <w:rsid w:val="00A24FA1"/>
    <w:rsid w:val="00A25DC0"/>
    <w:rsid w:val="00A268CC"/>
    <w:rsid w:val="00A319C0"/>
    <w:rsid w:val="00A32D18"/>
    <w:rsid w:val="00A33560"/>
    <w:rsid w:val="00A33B9F"/>
    <w:rsid w:val="00A34737"/>
    <w:rsid w:val="00A349B9"/>
    <w:rsid w:val="00A350C4"/>
    <w:rsid w:val="00A35748"/>
    <w:rsid w:val="00A361D8"/>
    <w:rsid w:val="00A364E4"/>
    <w:rsid w:val="00A364F5"/>
    <w:rsid w:val="00A36897"/>
    <w:rsid w:val="00A36E8E"/>
    <w:rsid w:val="00A371A5"/>
    <w:rsid w:val="00A37B72"/>
    <w:rsid w:val="00A408B8"/>
    <w:rsid w:val="00A42B22"/>
    <w:rsid w:val="00A42D4B"/>
    <w:rsid w:val="00A44AFA"/>
    <w:rsid w:val="00A45775"/>
    <w:rsid w:val="00A46218"/>
    <w:rsid w:val="00A46DB7"/>
    <w:rsid w:val="00A47BDF"/>
    <w:rsid w:val="00A51399"/>
    <w:rsid w:val="00A51CD7"/>
    <w:rsid w:val="00A51FF2"/>
    <w:rsid w:val="00A52ADB"/>
    <w:rsid w:val="00A52B22"/>
    <w:rsid w:val="00A52D12"/>
    <w:rsid w:val="00A533E8"/>
    <w:rsid w:val="00A53FBA"/>
    <w:rsid w:val="00A542D9"/>
    <w:rsid w:val="00A56E64"/>
    <w:rsid w:val="00A5718C"/>
    <w:rsid w:val="00A608C4"/>
    <w:rsid w:val="00A611EF"/>
    <w:rsid w:val="00A616BB"/>
    <w:rsid w:val="00A624C3"/>
    <w:rsid w:val="00A62834"/>
    <w:rsid w:val="00A62F59"/>
    <w:rsid w:val="00A63A3D"/>
    <w:rsid w:val="00A640C0"/>
    <w:rsid w:val="00A65ADF"/>
    <w:rsid w:val="00A65F5C"/>
    <w:rsid w:val="00A6641C"/>
    <w:rsid w:val="00A66811"/>
    <w:rsid w:val="00A66D97"/>
    <w:rsid w:val="00A713E0"/>
    <w:rsid w:val="00A7216F"/>
    <w:rsid w:val="00A722E9"/>
    <w:rsid w:val="00A72500"/>
    <w:rsid w:val="00A72557"/>
    <w:rsid w:val="00A7302D"/>
    <w:rsid w:val="00A731BD"/>
    <w:rsid w:val="00A74241"/>
    <w:rsid w:val="00A747B4"/>
    <w:rsid w:val="00A7552B"/>
    <w:rsid w:val="00A75EE0"/>
    <w:rsid w:val="00A767D2"/>
    <w:rsid w:val="00A775FD"/>
    <w:rsid w:val="00A77616"/>
    <w:rsid w:val="00A80404"/>
    <w:rsid w:val="00A805DA"/>
    <w:rsid w:val="00A811B4"/>
    <w:rsid w:val="00A8266D"/>
    <w:rsid w:val="00A828D6"/>
    <w:rsid w:val="00A8372A"/>
    <w:rsid w:val="00A83786"/>
    <w:rsid w:val="00A8378B"/>
    <w:rsid w:val="00A83884"/>
    <w:rsid w:val="00A83DCB"/>
    <w:rsid w:val="00A85107"/>
    <w:rsid w:val="00A85626"/>
    <w:rsid w:val="00A85A87"/>
    <w:rsid w:val="00A86634"/>
    <w:rsid w:val="00A86D35"/>
    <w:rsid w:val="00A87859"/>
    <w:rsid w:val="00A87CDE"/>
    <w:rsid w:val="00A9144A"/>
    <w:rsid w:val="00A91F53"/>
    <w:rsid w:val="00A92BAF"/>
    <w:rsid w:val="00A9331C"/>
    <w:rsid w:val="00A93EA2"/>
    <w:rsid w:val="00A94737"/>
    <w:rsid w:val="00A94BA3"/>
    <w:rsid w:val="00A9543C"/>
    <w:rsid w:val="00A95DF0"/>
    <w:rsid w:val="00A95F34"/>
    <w:rsid w:val="00A962A6"/>
    <w:rsid w:val="00A9685D"/>
    <w:rsid w:val="00A96CBA"/>
    <w:rsid w:val="00A97857"/>
    <w:rsid w:val="00A97B0D"/>
    <w:rsid w:val="00AA07B9"/>
    <w:rsid w:val="00AA2275"/>
    <w:rsid w:val="00AA24CB"/>
    <w:rsid w:val="00AA2ADD"/>
    <w:rsid w:val="00AA2F76"/>
    <w:rsid w:val="00AA3505"/>
    <w:rsid w:val="00AA373F"/>
    <w:rsid w:val="00AA40DC"/>
    <w:rsid w:val="00AA423E"/>
    <w:rsid w:val="00AA458F"/>
    <w:rsid w:val="00AA5C47"/>
    <w:rsid w:val="00AA650A"/>
    <w:rsid w:val="00AA6BFA"/>
    <w:rsid w:val="00AA7B57"/>
    <w:rsid w:val="00AA7DB0"/>
    <w:rsid w:val="00AB00C5"/>
    <w:rsid w:val="00AB1ACD"/>
    <w:rsid w:val="00AB277F"/>
    <w:rsid w:val="00AB2B0D"/>
    <w:rsid w:val="00AB381D"/>
    <w:rsid w:val="00AB3B40"/>
    <w:rsid w:val="00AB4099"/>
    <w:rsid w:val="00AB449A"/>
    <w:rsid w:val="00AB4D65"/>
    <w:rsid w:val="00AB56F9"/>
    <w:rsid w:val="00AC03C7"/>
    <w:rsid w:val="00AC0BAA"/>
    <w:rsid w:val="00AC2AD6"/>
    <w:rsid w:val="00AC3D3A"/>
    <w:rsid w:val="00AC4BDE"/>
    <w:rsid w:val="00AC4D28"/>
    <w:rsid w:val="00AC7431"/>
    <w:rsid w:val="00AC76C4"/>
    <w:rsid w:val="00AD04AE"/>
    <w:rsid w:val="00AD0565"/>
    <w:rsid w:val="00AD0FA9"/>
    <w:rsid w:val="00AD14F9"/>
    <w:rsid w:val="00AD16A3"/>
    <w:rsid w:val="00AD1DF9"/>
    <w:rsid w:val="00AD35D6"/>
    <w:rsid w:val="00AD3B74"/>
    <w:rsid w:val="00AD45D2"/>
    <w:rsid w:val="00AD58C5"/>
    <w:rsid w:val="00AD6951"/>
    <w:rsid w:val="00AD7AFA"/>
    <w:rsid w:val="00AE0F4C"/>
    <w:rsid w:val="00AE1431"/>
    <w:rsid w:val="00AE19ED"/>
    <w:rsid w:val="00AE23C4"/>
    <w:rsid w:val="00AE268B"/>
    <w:rsid w:val="00AE36C4"/>
    <w:rsid w:val="00AE390D"/>
    <w:rsid w:val="00AE3C7E"/>
    <w:rsid w:val="00AE472C"/>
    <w:rsid w:val="00AE5375"/>
    <w:rsid w:val="00AE5C89"/>
    <w:rsid w:val="00AE639F"/>
    <w:rsid w:val="00AE66F5"/>
    <w:rsid w:val="00AE6CF8"/>
    <w:rsid w:val="00AF186A"/>
    <w:rsid w:val="00AF1D37"/>
    <w:rsid w:val="00AF1FEE"/>
    <w:rsid w:val="00AF21BB"/>
    <w:rsid w:val="00AF34A2"/>
    <w:rsid w:val="00AF472A"/>
    <w:rsid w:val="00AF4BCF"/>
    <w:rsid w:val="00AF4CAC"/>
    <w:rsid w:val="00AF50F4"/>
    <w:rsid w:val="00AF53E8"/>
    <w:rsid w:val="00AF5D33"/>
    <w:rsid w:val="00AF6624"/>
    <w:rsid w:val="00AF75E8"/>
    <w:rsid w:val="00B006BF"/>
    <w:rsid w:val="00B026DA"/>
    <w:rsid w:val="00B02D67"/>
    <w:rsid w:val="00B03E0D"/>
    <w:rsid w:val="00B046E2"/>
    <w:rsid w:val="00B046FD"/>
    <w:rsid w:val="00B04ACE"/>
    <w:rsid w:val="00B04EB7"/>
    <w:rsid w:val="00B054F8"/>
    <w:rsid w:val="00B0582E"/>
    <w:rsid w:val="00B06419"/>
    <w:rsid w:val="00B06566"/>
    <w:rsid w:val="00B1059B"/>
    <w:rsid w:val="00B10F38"/>
    <w:rsid w:val="00B11A54"/>
    <w:rsid w:val="00B126E7"/>
    <w:rsid w:val="00B13231"/>
    <w:rsid w:val="00B14E34"/>
    <w:rsid w:val="00B14F1D"/>
    <w:rsid w:val="00B14FEB"/>
    <w:rsid w:val="00B20149"/>
    <w:rsid w:val="00B2219A"/>
    <w:rsid w:val="00B22201"/>
    <w:rsid w:val="00B230C2"/>
    <w:rsid w:val="00B23ECD"/>
    <w:rsid w:val="00B240C9"/>
    <w:rsid w:val="00B245B4"/>
    <w:rsid w:val="00B24B1A"/>
    <w:rsid w:val="00B277A8"/>
    <w:rsid w:val="00B3061B"/>
    <w:rsid w:val="00B30AFC"/>
    <w:rsid w:val="00B30DD5"/>
    <w:rsid w:val="00B30E55"/>
    <w:rsid w:val="00B32826"/>
    <w:rsid w:val="00B346BB"/>
    <w:rsid w:val="00B353F7"/>
    <w:rsid w:val="00B3581B"/>
    <w:rsid w:val="00B36B81"/>
    <w:rsid w:val="00B36F79"/>
    <w:rsid w:val="00B36FEE"/>
    <w:rsid w:val="00B37484"/>
    <w:rsid w:val="00B378D2"/>
    <w:rsid w:val="00B37C80"/>
    <w:rsid w:val="00B409F5"/>
    <w:rsid w:val="00B41583"/>
    <w:rsid w:val="00B41C65"/>
    <w:rsid w:val="00B41F3B"/>
    <w:rsid w:val="00B42698"/>
    <w:rsid w:val="00B427BB"/>
    <w:rsid w:val="00B43689"/>
    <w:rsid w:val="00B43C13"/>
    <w:rsid w:val="00B44933"/>
    <w:rsid w:val="00B45DBA"/>
    <w:rsid w:val="00B467C8"/>
    <w:rsid w:val="00B503E2"/>
    <w:rsid w:val="00B5044B"/>
    <w:rsid w:val="00B5092B"/>
    <w:rsid w:val="00B50C7D"/>
    <w:rsid w:val="00B512A7"/>
    <w:rsid w:val="00B51617"/>
    <w:rsid w:val="00B5169C"/>
    <w:rsid w:val="00B5194E"/>
    <w:rsid w:val="00B51AF5"/>
    <w:rsid w:val="00B52F2E"/>
    <w:rsid w:val="00B531FC"/>
    <w:rsid w:val="00B538A3"/>
    <w:rsid w:val="00B53DA2"/>
    <w:rsid w:val="00B5440D"/>
    <w:rsid w:val="00B55347"/>
    <w:rsid w:val="00B553DA"/>
    <w:rsid w:val="00B57E5E"/>
    <w:rsid w:val="00B6032F"/>
    <w:rsid w:val="00B6096A"/>
    <w:rsid w:val="00B60CF8"/>
    <w:rsid w:val="00B61F37"/>
    <w:rsid w:val="00B63381"/>
    <w:rsid w:val="00B63499"/>
    <w:rsid w:val="00B635DE"/>
    <w:rsid w:val="00B638E4"/>
    <w:rsid w:val="00B64452"/>
    <w:rsid w:val="00B653A4"/>
    <w:rsid w:val="00B6559F"/>
    <w:rsid w:val="00B661BD"/>
    <w:rsid w:val="00B67E10"/>
    <w:rsid w:val="00B7037B"/>
    <w:rsid w:val="00B7064A"/>
    <w:rsid w:val="00B70F9D"/>
    <w:rsid w:val="00B7103A"/>
    <w:rsid w:val="00B71562"/>
    <w:rsid w:val="00B71C02"/>
    <w:rsid w:val="00B720D9"/>
    <w:rsid w:val="00B722CF"/>
    <w:rsid w:val="00B7239B"/>
    <w:rsid w:val="00B750C7"/>
    <w:rsid w:val="00B76319"/>
    <w:rsid w:val="00B769E8"/>
    <w:rsid w:val="00B76A0D"/>
    <w:rsid w:val="00B77022"/>
    <w:rsid w:val="00B771EF"/>
    <w:rsid w:val="00B7749B"/>
    <w:rsid w:val="00B7770F"/>
    <w:rsid w:val="00B77A89"/>
    <w:rsid w:val="00B77B27"/>
    <w:rsid w:val="00B803E2"/>
    <w:rsid w:val="00B8134E"/>
    <w:rsid w:val="00B81598"/>
    <w:rsid w:val="00B815DF"/>
    <w:rsid w:val="00B81B55"/>
    <w:rsid w:val="00B83ADC"/>
    <w:rsid w:val="00B84613"/>
    <w:rsid w:val="00B85B1E"/>
    <w:rsid w:val="00B86E2C"/>
    <w:rsid w:val="00B87549"/>
    <w:rsid w:val="00B87AF0"/>
    <w:rsid w:val="00B87F20"/>
    <w:rsid w:val="00B9037B"/>
    <w:rsid w:val="00B90ABC"/>
    <w:rsid w:val="00B910BD"/>
    <w:rsid w:val="00B91A24"/>
    <w:rsid w:val="00B91D87"/>
    <w:rsid w:val="00B92076"/>
    <w:rsid w:val="00B92ADB"/>
    <w:rsid w:val="00B93834"/>
    <w:rsid w:val="00B93ECE"/>
    <w:rsid w:val="00B96469"/>
    <w:rsid w:val="00B9788B"/>
    <w:rsid w:val="00BA0DA2"/>
    <w:rsid w:val="00BA0EE6"/>
    <w:rsid w:val="00BA2981"/>
    <w:rsid w:val="00BA2A1A"/>
    <w:rsid w:val="00BA2B4A"/>
    <w:rsid w:val="00BA3109"/>
    <w:rsid w:val="00BA34A6"/>
    <w:rsid w:val="00BA3F55"/>
    <w:rsid w:val="00BA42EE"/>
    <w:rsid w:val="00BA48F9"/>
    <w:rsid w:val="00BA5715"/>
    <w:rsid w:val="00BA7033"/>
    <w:rsid w:val="00BB09E8"/>
    <w:rsid w:val="00BB0C36"/>
    <w:rsid w:val="00BB0DCA"/>
    <w:rsid w:val="00BB1483"/>
    <w:rsid w:val="00BB1781"/>
    <w:rsid w:val="00BB2666"/>
    <w:rsid w:val="00BB362F"/>
    <w:rsid w:val="00BB3A84"/>
    <w:rsid w:val="00BB3EC1"/>
    <w:rsid w:val="00BB4D6F"/>
    <w:rsid w:val="00BB505E"/>
    <w:rsid w:val="00BB61D5"/>
    <w:rsid w:val="00BB6B80"/>
    <w:rsid w:val="00BC027C"/>
    <w:rsid w:val="00BC09A0"/>
    <w:rsid w:val="00BC35A3"/>
    <w:rsid w:val="00BC36BD"/>
    <w:rsid w:val="00BC3773"/>
    <w:rsid w:val="00BC381A"/>
    <w:rsid w:val="00BC3C47"/>
    <w:rsid w:val="00BC5C19"/>
    <w:rsid w:val="00BC6924"/>
    <w:rsid w:val="00BC7085"/>
    <w:rsid w:val="00BD0962"/>
    <w:rsid w:val="00BD1EED"/>
    <w:rsid w:val="00BD4BE0"/>
    <w:rsid w:val="00BD6789"/>
    <w:rsid w:val="00BE277B"/>
    <w:rsid w:val="00BE307A"/>
    <w:rsid w:val="00BE34DE"/>
    <w:rsid w:val="00BE4176"/>
    <w:rsid w:val="00BE4EAE"/>
    <w:rsid w:val="00BE5246"/>
    <w:rsid w:val="00BE545F"/>
    <w:rsid w:val="00BE648B"/>
    <w:rsid w:val="00BE7801"/>
    <w:rsid w:val="00BF03B7"/>
    <w:rsid w:val="00BF0DA2"/>
    <w:rsid w:val="00BF109C"/>
    <w:rsid w:val="00BF1B8B"/>
    <w:rsid w:val="00BF3324"/>
    <w:rsid w:val="00BF34FA"/>
    <w:rsid w:val="00BF37C7"/>
    <w:rsid w:val="00BF39FE"/>
    <w:rsid w:val="00BF3ABA"/>
    <w:rsid w:val="00BF4F3D"/>
    <w:rsid w:val="00BF51F8"/>
    <w:rsid w:val="00BF5620"/>
    <w:rsid w:val="00BF6981"/>
    <w:rsid w:val="00BF71FC"/>
    <w:rsid w:val="00BF73F4"/>
    <w:rsid w:val="00BF7E87"/>
    <w:rsid w:val="00BF7FFC"/>
    <w:rsid w:val="00C004B6"/>
    <w:rsid w:val="00C01741"/>
    <w:rsid w:val="00C02B54"/>
    <w:rsid w:val="00C03130"/>
    <w:rsid w:val="00C047A7"/>
    <w:rsid w:val="00C04858"/>
    <w:rsid w:val="00C04FF4"/>
    <w:rsid w:val="00C05281"/>
    <w:rsid w:val="00C05DE5"/>
    <w:rsid w:val="00C060CE"/>
    <w:rsid w:val="00C07300"/>
    <w:rsid w:val="00C13F58"/>
    <w:rsid w:val="00C14382"/>
    <w:rsid w:val="00C147C5"/>
    <w:rsid w:val="00C14D5F"/>
    <w:rsid w:val="00C14F59"/>
    <w:rsid w:val="00C153CA"/>
    <w:rsid w:val="00C16BF5"/>
    <w:rsid w:val="00C17B26"/>
    <w:rsid w:val="00C20F98"/>
    <w:rsid w:val="00C22855"/>
    <w:rsid w:val="00C25FCA"/>
    <w:rsid w:val="00C27C15"/>
    <w:rsid w:val="00C309CF"/>
    <w:rsid w:val="00C30E8B"/>
    <w:rsid w:val="00C3178A"/>
    <w:rsid w:val="00C32AB1"/>
    <w:rsid w:val="00C32C29"/>
    <w:rsid w:val="00C32EF4"/>
    <w:rsid w:val="00C33027"/>
    <w:rsid w:val="00C33237"/>
    <w:rsid w:val="00C33B3B"/>
    <w:rsid w:val="00C34E32"/>
    <w:rsid w:val="00C34E4C"/>
    <w:rsid w:val="00C3500A"/>
    <w:rsid w:val="00C35E66"/>
    <w:rsid w:val="00C3733C"/>
    <w:rsid w:val="00C373C2"/>
    <w:rsid w:val="00C37667"/>
    <w:rsid w:val="00C400AC"/>
    <w:rsid w:val="00C40246"/>
    <w:rsid w:val="00C4153A"/>
    <w:rsid w:val="00C42814"/>
    <w:rsid w:val="00C42E17"/>
    <w:rsid w:val="00C42F16"/>
    <w:rsid w:val="00C435DB"/>
    <w:rsid w:val="00C44581"/>
    <w:rsid w:val="00C448DB"/>
    <w:rsid w:val="00C44D73"/>
    <w:rsid w:val="00C45D80"/>
    <w:rsid w:val="00C45DE8"/>
    <w:rsid w:val="00C465BC"/>
    <w:rsid w:val="00C46ACF"/>
    <w:rsid w:val="00C50B42"/>
    <w:rsid w:val="00C516FF"/>
    <w:rsid w:val="00C51ABA"/>
    <w:rsid w:val="00C52BFA"/>
    <w:rsid w:val="00C53168"/>
    <w:rsid w:val="00C53D1D"/>
    <w:rsid w:val="00C53F26"/>
    <w:rsid w:val="00C540BC"/>
    <w:rsid w:val="00C5552C"/>
    <w:rsid w:val="00C57283"/>
    <w:rsid w:val="00C61070"/>
    <w:rsid w:val="00C6211B"/>
    <w:rsid w:val="00C626A0"/>
    <w:rsid w:val="00C6408D"/>
    <w:rsid w:val="00C647EA"/>
    <w:rsid w:val="00C649A5"/>
    <w:rsid w:val="00C64F7D"/>
    <w:rsid w:val="00C6662A"/>
    <w:rsid w:val="00C67309"/>
    <w:rsid w:val="00C67540"/>
    <w:rsid w:val="00C70BC6"/>
    <w:rsid w:val="00C71B48"/>
    <w:rsid w:val="00C72AE5"/>
    <w:rsid w:val="00C72CB9"/>
    <w:rsid w:val="00C7437D"/>
    <w:rsid w:val="00C75281"/>
    <w:rsid w:val="00C754DD"/>
    <w:rsid w:val="00C756F9"/>
    <w:rsid w:val="00C75C0E"/>
    <w:rsid w:val="00C7614E"/>
    <w:rsid w:val="00C7644D"/>
    <w:rsid w:val="00C77429"/>
    <w:rsid w:val="00C77B86"/>
    <w:rsid w:val="00C77BF1"/>
    <w:rsid w:val="00C80D60"/>
    <w:rsid w:val="00C80FD5"/>
    <w:rsid w:val="00C81989"/>
    <w:rsid w:val="00C81B3F"/>
    <w:rsid w:val="00C824A7"/>
    <w:rsid w:val="00C82FBD"/>
    <w:rsid w:val="00C83A96"/>
    <w:rsid w:val="00C83CA9"/>
    <w:rsid w:val="00C83EC7"/>
    <w:rsid w:val="00C84388"/>
    <w:rsid w:val="00C84E00"/>
    <w:rsid w:val="00C85267"/>
    <w:rsid w:val="00C8645A"/>
    <w:rsid w:val="00C86FEC"/>
    <w:rsid w:val="00C87032"/>
    <w:rsid w:val="00C8721B"/>
    <w:rsid w:val="00C90BA4"/>
    <w:rsid w:val="00C91159"/>
    <w:rsid w:val="00C9142F"/>
    <w:rsid w:val="00C92E26"/>
    <w:rsid w:val="00C93597"/>
    <w:rsid w:val="00C9372C"/>
    <w:rsid w:val="00C9470E"/>
    <w:rsid w:val="00C94C2F"/>
    <w:rsid w:val="00C95A64"/>
    <w:rsid w:val="00C95B55"/>
    <w:rsid w:val="00C95CEB"/>
    <w:rsid w:val="00C97365"/>
    <w:rsid w:val="00CA064D"/>
    <w:rsid w:val="00CA1054"/>
    <w:rsid w:val="00CA11F9"/>
    <w:rsid w:val="00CA1A1F"/>
    <w:rsid w:val="00CA28C3"/>
    <w:rsid w:val="00CA3262"/>
    <w:rsid w:val="00CA35B4"/>
    <w:rsid w:val="00CA37AF"/>
    <w:rsid w:val="00CA4321"/>
    <w:rsid w:val="00CA4325"/>
    <w:rsid w:val="00CA4A7B"/>
    <w:rsid w:val="00CA5B5C"/>
    <w:rsid w:val="00CA62B4"/>
    <w:rsid w:val="00CA63EB"/>
    <w:rsid w:val="00CA69F1"/>
    <w:rsid w:val="00CA6A54"/>
    <w:rsid w:val="00CB066D"/>
    <w:rsid w:val="00CB0E03"/>
    <w:rsid w:val="00CB16AE"/>
    <w:rsid w:val="00CB2B2B"/>
    <w:rsid w:val="00CB4F11"/>
    <w:rsid w:val="00CB5AA9"/>
    <w:rsid w:val="00CB6991"/>
    <w:rsid w:val="00CB6B04"/>
    <w:rsid w:val="00CB6FD4"/>
    <w:rsid w:val="00CC27C8"/>
    <w:rsid w:val="00CC2DE8"/>
    <w:rsid w:val="00CC4E5A"/>
    <w:rsid w:val="00CC4EDE"/>
    <w:rsid w:val="00CC5009"/>
    <w:rsid w:val="00CC539D"/>
    <w:rsid w:val="00CC6194"/>
    <w:rsid w:val="00CC627D"/>
    <w:rsid w:val="00CC6305"/>
    <w:rsid w:val="00CC63B3"/>
    <w:rsid w:val="00CC6E0D"/>
    <w:rsid w:val="00CC78A5"/>
    <w:rsid w:val="00CC7A38"/>
    <w:rsid w:val="00CD010E"/>
    <w:rsid w:val="00CD0516"/>
    <w:rsid w:val="00CD0959"/>
    <w:rsid w:val="00CD21B3"/>
    <w:rsid w:val="00CD30C1"/>
    <w:rsid w:val="00CD3350"/>
    <w:rsid w:val="00CD48B2"/>
    <w:rsid w:val="00CD4D0F"/>
    <w:rsid w:val="00CD4EB0"/>
    <w:rsid w:val="00CD54F0"/>
    <w:rsid w:val="00CD56EE"/>
    <w:rsid w:val="00CD756B"/>
    <w:rsid w:val="00CE055F"/>
    <w:rsid w:val="00CE38F5"/>
    <w:rsid w:val="00CE55C3"/>
    <w:rsid w:val="00CE5D69"/>
    <w:rsid w:val="00CE6210"/>
    <w:rsid w:val="00CE734F"/>
    <w:rsid w:val="00CF112E"/>
    <w:rsid w:val="00CF1173"/>
    <w:rsid w:val="00CF11F4"/>
    <w:rsid w:val="00CF25C7"/>
    <w:rsid w:val="00CF51B7"/>
    <w:rsid w:val="00CF5F4F"/>
    <w:rsid w:val="00CF6FF8"/>
    <w:rsid w:val="00D0001A"/>
    <w:rsid w:val="00D00E72"/>
    <w:rsid w:val="00D03A63"/>
    <w:rsid w:val="00D04993"/>
    <w:rsid w:val="00D05B18"/>
    <w:rsid w:val="00D06CDE"/>
    <w:rsid w:val="00D10D9B"/>
    <w:rsid w:val="00D112FB"/>
    <w:rsid w:val="00D11983"/>
    <w:rsid w:val="00D12649"/>
    <w:rsid w:val="00D12D29"/>
    <w:rsid w:val="00D1379D"/>
    <w:rsid w:val="00D15172"/>
    <w:rsid w:val="00D15FE0"/>
    <w:rsid w:val="00D16D90"/>
    <w:rsid w:val="00D20EED"/>
    <w:rsid w:val="00D218DC"/>
    <w:rsid w:val="00D21B6F"/>
    <w:rsid w:val="00D22B19"/>
    <w:rsid w:val="00D22ECC"/>
    <w:rsid w:val="00D23C47"/>
    <w:rsid w:val="00D23E5B"/>
    <w:rsid w:val="00D248C5"/>
    <w:rsid w:val="00D24E56"/>
    <w:rsid w:val="00D267C9"/>
    <w:rsid w:val="00D309C0"/>
    <w:rsid w:val="00D30C61"/>
    <w:rsid w:val="00D31643"/>
    <w:rsid w:val="00D31AEB"/>
    <w:rsid w:val="00D31E6B"/>
    <w:rsid w:val="00D31EBC"/>
    <w:rsid w:val="00D32ECD"/>
    <w:rsid w:val="00D337C0"/>
    <w:rsid w:val="00D35054"/>
    <w:rsid w:val="00D35D22"/>
    <w:rsid w:val="00D361E4"/>
    <w:rsid w:val="00D3764F"/>
    <w:rsid w:val="00D41C09"/>
    <w:rsid w:val="00D4229D"/>
    <w:rsid w:val="00D42A8F"/>
    <w:rsid w:val="00D433CD"/>
    <w:rsid w:val="00D439F6"/>
    <w:rsid w:val="00D45006"/>
    <w:rsid w:val="00D45496"/>
    <w:rsid w:val="00D459C6"/>
    <w:rsid w:val="00D45A28"/>
    <w:rsid w:val="00D46512"/>
    <w:rsid w:val="00D505F7"/>
    <w:rsid w:val="00D50729"/>
    <w:rsid w:val="00D508D9"/>
    <w:rsid w:val="00D50C19"/>
    <w:rsid w:val="00D514B2"/>
    <w:rsid w:val="00D53793"/>
    <w:rsid w:val="00D5379E"/>
    <w:rsid w:val="00D53AC6"/>
    <w:rsid w:val="00D56BA7"/>
    <w:rsid w:val="00D57415"/>
    <w:rsid w:val="00D57D0C"/>
    <w:rsid w:val="00D603CC"/>
    <w:rsid w:val="00D6082C"/>
    <w:rsid w:val="00D62643"/>
    <w:rsid w:val="00D63613"/>
    <w:rsid w:val="00D63AC0"/>
    <w:rsid w:val="00D64C0F"/>
    <w:rsid w:val="00D653F8"/>
    <w:rsid w:val="00D65A8E"/>
    <w:rsid w:val="00D66853"/>
    <w:rsid w:val="00D7038C"/>
    <w:rsid w:val="00D71415"/>
    <w:rsid w:val="00D718F3"/>
    <w:rsid w:val="00D72EFE"/>
    <w:rsid w:val="00D7368A"/>
    <w:rsid w:val="00D75874"/>
    <w:rsid w:val="00D76227"/>
    <w:rsid w:val="00D76771"/>
    <w:rsid w:val="00D76B18"/>
    <w:rsid w:val="00D77820"/>
    <w:rsid w:val="00D77DF1"/>
    <w:rsid w:val="00D804CC"/>
    <w:rsid w:val="00D81692"/>
    <w:rsid w:val="00D831F0"/>
    <w:rsid w:val="00D83320"/>
    <w:rsid w:val="00D838DE"/>
    <w:rsid w:val="00D83946"/>
    <w:rsid w:val="00D84A18"/>
    <w:rsid w:val="00D8500B"/>
    <w:rsid w:val="00D85094"/>
    <w:rsid w:val="00D851FF"/>
    <w:rsid w:val="00D86AFF"/>
    <w:rsid w:val="00D916DA"/>
    <w:rsid w:val="00D92C1E"/>
    <w:rsid w:val="00D9322C"/>
    <w:rsid w:val="00D93D0A"/>
    <w:rsid w:val="00D94A6E"/>
    <w:rsid w:val="00D95626"/>
    <w:rsid w:val="00D95A44"/>
    <w:rsid w:val="00D95D16"/>
    <w:rsid w:val="00D96F3B"/>
    <w:rsid w:val="00D97842"/>
    <w:rsid w:val="00D97C76"/>
    <w:rsid w:val="00DA0016"/>
    <w:rsid w:val="00DA0C33"/>
    <w:rsid w:val="00DA0CC8"/>
    <w:rsid w:val="00DA175E"/>
    <w:rsid w:val="00DA1798"/>
    <w:rsid w:val="00DA2405"/>
    <w:rsid w:val="00DA383A"/>
    <w:rsid w:val="00DA5D6C"/>
    <w:rsid w:val="00DA6711"/>
    <w:rsid w:val="00DA771A"/>
    <w:rsid w:val="00DA7B86"/>
    <w:rsid w:val="00DA7C19"/>
    <w:rsid w:val="00DB02B4"/>
    <w:rsid w:val="00DB0E12"/>
    <w:rsid w:val="00DB1FDD"/>
    <w:rsid w:val="00DB271D"/>
    <w:rsid w:val="00DB285C"/>
    <w:rsid w:val="00DB374A"/>
    <w:rsid w:val="00DB37C9"/>
    <w:rsid w:val="00DB4267"/>
    <w:rsid w:val="00DB44AC"/>
    <w:rsid w:val="00DB4961"/>
    <w:rsid w:val="00DB538D"/>
    <w:rsid w:val="00DB67A3"/>
    <w:rsid w:val="00DB7153"/>
    <w:rsid w:val="00DB73B2"/>
    <w:rsid w:val="00DB7457"/>
    <w:rsid w:val="00DB7772"/>
    <w:rsid w:val="00DB7892"/>
    <w:rsid w:val="00DB7904"/>
    <w:rsid w:val="00DC0149"/>
    <w:rsid w:val="00DC075F"/>
    <w:rsid w:val="00DC0941"/>
    <w:rsid w:val="00DC0D31"/>
    <w:rsid w:val="00DC1750"/>
    <w:rsid w:val="00DC275C"/>
    <w:rsid w:val="00DC3925"/>
    <w:rsid w:val="00DC4B0D"/>
    <w:rsid w:val="00DC7B2E"/>
    <w:rsid w:val="00DC7FE1"/>
    <w:rsid w:val="00DD016C"/>
    <w:rsid w:val="00DD2F5E"/>
    <w:rsid w:val="00DD315E"/>
    <w:rsid w:val="00DD3C64"/>
    <w:rsid w:val="00DD3F3F"/>
    <w:rsid w:val="00DD4483"/>
    <w:rsid w:val="00DD44E1"/>
    <w:rsid w:val="00DD4CE3"/>
    <w:rsid w:val="00DD5572"/>
    <w:rsid w:val="00DD6773"/>
    <w:rsid w:val="00DD776C"/>
    <w:rsid w:val="00DE0141"/>
    <w:rsid w:val="00DE02F6"/>
    <w:rsid w:val="00DE4519"/>
    <w:rsid w:val="00DE52F6"/>
    <w:rsid w:val="00DE5735"/>
    <w:rsid w:val="00DE5D80"/>
    <w:rsid w:val="00DE6435"/>
    <w:rsid w:val="00DE6958"/>
    <w:rsid w:val="00DE69B7"/>
    <w:rsid w:val="00DE7B76"/>
    <w:rsid w:val="00DE7E81"/>
    <w:rsid w:val="00DF085F"/>
    <w:rsid w:val="00DF19B9"/>
    <w:rsid w:val="00DF2254"/>
    <w:rsid w:val="00DF276B"/>
    <w:rsid w:val="00DF2AFC"/>
    <w:rsid w:val="00DF2EBD"/>
    <w:rsid w:val="00DF336E"/>
    <w:rsid w:val="00DF34D5"/>
    <w:rsid w:val="00DF3534"/>
    <w:rsid w:val="00DF368F"/>
    <w:rsid w:val="00DF3DA7"/>
    <w:rsid w:val="00DF4266"/>
    <w:rsid w:val="00DF48D9"/>
    <w:rsid w:val="00DF4E6B"/>
    <w:rsid w:val="00DF57A1"/>
    <w:rsid w:val="00DF58CD"/>
    <w:rsid w:val="00DF5C00"/>
    <w:rsid w:val="00DF65DE"/>
    <w:rsid w:val="00DF7398"/>
    <w:rsid w:val="00E01604"/>
    <w:rsid w:val="00E019A5"/>
    <w:rsid w:val="00E01D8B"/>
    <w:rsid w:val="00E02C23"/>
    <w:rsid w:val="00E02C42"/>
    <w:rsid w:val="00E02EC8"/>
    <w:rsid w:val="00E037F5"/>
    <w:rsid w:val="00E04D24"/>
    <w:rsid w:val="00E04ECB"/>
    <w:rsid w:val="00E0553B"/>
    <w:rsid w:val="00E05A09"/>
    <w:rsid w:val="00E0616A"/>
    <w:rsid w:val="00E062C6"/>
    <w:rsid w:val="00E06768"/>
    <w:rsid w:val="00E06CA1"/>
    <w:rsid w:val="00E07998"/>
    <w:rsid w:val="00E07FAE"/>
    <w:rsid w:val="00E10D91"/>
    <w:rsid w:val="00E119DB"/>
    <w:rsid w:val="00E12667"/>
    <w:rsid w:val="00E12917"/>
    <w:rsid w:val="00E12ADD"/>
    <w:rsid w:val="00E12E98"/>
    <w:rsid w:val="00E142E3"/>
    <w:rsid w:val="00E146F7"/>
    <w:rsid w:val="00E14A8E"/>
    <w:rsid w:val="00E1651B"/>
    <w:rsid w:val="00E167A0"/>
    <w:rsid w:val="00E172B8"/>
    <w:rsid w:val="00E17825"/>
    <w:rsid w:val="00E17FB4"/>
    <w:rsid w:val="00E202A6"/>
    <w:rsid w:val="00E20B75"/>
    <w:rsid w:val="00E20FE7"/>
    <w:rsid w:val="00E214F2"/>
    <w:rsid w:val="00E22147"/>
    <w:rsid w:val="00E22621"/>
    <w:rsid w:val="00E22B3B"/>
    <w:rsid w:val="00E236AE"/>
    <w:rsid w:val="00E2371E"/>
    <w:rsid w:val="00E24BD7"/>
    <w:rsid w:val="00E24DF0"/>
    <w:rsid w:val="00E26523"/>
    <w:rsid w:val="00E26809"/>
    <w:rsid w:val="00E27FC4"/>
    <w:rsid w:val="00E303E8"/>
    <w:rsid w:val="00E30936"/>
    <w:rsid w:val="00E30C1E"/>
    <w:rsid w:val="00E30D8F"/>
    <w:rsid w:val="00E313D2"/>
    <w:rsid w:val="00E321E1"/>
    <w:rsid w:val="00E3412D"/>
    <w:rsid w:val="00E3434D"/>
    <w:rsid w:val="00E369C7"/>
    <w:rsid w:val="00E3735C"/>
    <w:rsid w:val="00E402CC"/>
    <w:rsid w:val="00E43535"/>
    <w:rsid w:val="00E43EA2"/>
    <w:rsid w:val="00E45AEA"/>
    <w:rsid w:val="00E469F5"/>
    <w:rsid w:val="00E46C4B"/>
    <w:rsid w:val="00E504F9"/>
    <w:rsid w:val="00E50A54"/>
    <w:rsid w:val="00E50ADF"/>
    <w:rsid w:val="00E51BDB"/>
    <w:rsid w:val="00E51CA9"/>
    <w:rsid w:val="00E52C3D"/>
    <w:rsid w:val="00E53263"/>
    <w:rsid w:val="00E53428"/>
    <w:rsid w:val="00E55700"/>
    <w:rsid w:val="00E55832"/>
    <w:rsid w:val="00E55B60"/>
    <w:rsid w:val="00E55E56"/>
    <w:rsid w:val="00E56003"/>
    <w:rsid w:val="00E566AD"/>
    <w:rsid w:val="00E57322"/>
    <w:rsid w:val="00E57BC9"/>
    <w:rsid w:val="00E60C17"/>
    <w:rsid w:val="00E612DE"/>
    <w:rsid w:val="00E61CC9"/>
    <w:rsid w:val="00E62875"/>
    <w:rsid w:val="00E628CB"/>
    <w:rsid w:val="00E62A89"/>
    <w:rsid w:val="00E62AD9"/>
    <w:rsid w:val="00E62E38"/>
    <w:rsid w:val="00E638C8"/>
    <w:rsid w:val="00E64627"/>
    <w:rsid w:val="00E64BE2"/>
    <w:rsid w:val="00E652A3"/>
    <w:rsid w:val="00E667A6"/>
    <w:rsid w:val="00E66B5D"/>
    <w:rsid w:val="00E7043D"/>
    <w:rsid w:val="00E708C0"/>
    <w:rsid w:val="00E70B55"/>
    <w:rsid w:val="00E70CA5"/>
    <w:rsid w:val="00E73AD3"/>
    <w:rsid w:val="00E74172"/>
    <w:rsid w:val="00E7509B"/>
    <w:rsid w:val="00E751B2"/>
    <w:rsid w:val="00E7524F"/>
    <w:rsid w:val="00E754CB"/>
    <w:rsid w:val="00E77081"/>
    <w:rsid w:val="00E77696"/>
    <w:rsid w:val="00E80B67"/>
    <w:rsid w:val="00E81147"/>
    <w:rsid w:val="00E81192"/>
    <w:rsid w:val="00E81B78"/>
    <w:rsid w:val="00E82453"/>
    <w:rsid w:val="00E826F7"/>
    <w:rsid w:val="00E82746"/>
    <w:rsid w:val="00E845AD"/>
    <w:rsid w:val="00E86590"/>
    <w:rsid w:val="00E87438"/>
    <w:rsid w:val="00E87562"/>
    <w:rsid w:val="00E907FF"/>
    <w:rsid w:val="00E91A06"/>
    <w:rsid w:val="00E922FC"/>
    <w:rsid w:val="00E930E6"/>
    <w:rsid w:val="00E93E94"/>
    <w:rsid w:val="00E952E1"/>
    <w:rsid w:val="00E97544"/>
    <w:rsid w:val="00E97C7D"/>
    <w:rsid w:val="00EA0246"/>
    <w:rsid w:val="00EA06E5"/>
    <w:rsid w:val="00EA298A"/>
    <w:rsid w:val="00EA38CA"/>
    <w:rsid w:val="00EA42D1"/>
    <w:rsid w:val="00EA42EF"/>
    <w:rsid w:val="00EA4415"/>
    <w:rsid w:val="00EA680C"/>
    <w:rsid w:val="00EA68DD"/>
    <w:rsid w:val="00EA69D3"/>
    <w:rsid w:val="00EB1812"/>
    <w:rsid w:val="00EB1828"/>
    <w:rsid w:val="00EB260B"/>
    <w:rsid w:val="00EB2B48"/>
    <w:rsid w:val="00EB2DD1"/>
    <w:rsid w:val="00EB3690"/>
    <w:rsid w:val="00EB4DFC"/>
    <w:rsid w:val="00EB53DE"/>
    <w:rsid w:val="00EB5D72"/>
    <w:rsid w:val="00EB62F7"/>
    <w:rsid w:val="00EB6B37"/>
    <w:rsid w:val="00EB786E"/>
    <w:rsid w:val="00EB7D47"/>
    <w:rsid w:val="00EC0602"/>
    <w:rsid w:val="00EC0780"/>
    <w:rsid w:val="00EC231E"/>
    <w:rsid w:val="00EC254B"/>
    <w:rsid w:val="00EC2624"/>
    <w:rsid w:val="00EC2887"/>
    <w:rsid w:val="00EC29FE"/>
    <w:rsid w:val="00EC3C70"/>
    <w:rsid w:val="00EC3FE0"/>
    <w:rsid w:val="00EC4085"/>
    <w:rsid w:val="00EC4E9C"/>
    <w:rsid w:val="00EC577A"/>
    <w:rsid w:val="00EC6319"/>
    <w:rsid w:val="00EC7934"/>
    <w:rsid w:val="00EC7FBB"/>
    <w:rsid w:val="00ED01DE"/>
    <w:rsid w:val="00ED07BD"/>
    <w:rsid w:val="00ED0A39"/>
    <w:rsid w:val="00ED0D48"/>
    <w:rsid w:val="00ED2F79"/>
    <w:rsid w:val="00ED3A3D"/>
    <w:rsid w:val="00ED427E"/>
    <w:rsid w:val="00ED4CB7"/>
    <w:rsid w:val="00ED538A"/>
    <w:rsid w:val="00ED6FBC"/>
    <w:rsid w:val="00EE1F69"/>
    <w:rsid w:val="00EE2F16"/>
    <w:rsid w:val="00EE3034"/>
    <w:rsid w:val="00EE36F6"/>
    <w:rsid w:val="00EE3861"/>
    <w:rsid w:val="00EE3F23"/>
    <w:rsid w:val="00EE49B0"/>
    <w:rsid w:val="00EE6C84"/>
    <w:rsid w:val="00EE7481"/>
    <w:rsid w:val="00EF00E6"/>
    <w:rsid w:val="00EF0A66"/>
    <w:rsid w:val="00EF2E73"/>
    <w:rsid w:val="00EF6751"/>
    <w:rsid w:val="00EF6B15"/>
    <w:rsid w:val="00EF7683"/>
    <w:rsid w:val="00EF7A2D"/>
    <w:rsid w:val="00EF7D45"/>
    <w:rsid w:val="00F010FE"/>
    <w:rsid w:val="00F01471"/>
    <w:rsid w:val="00F0297F"/>
    <w:rsid w:val="00F02A4C"/>
    <w:rsid w:val="00F03DBB"/>
    <w:rsid w:val="00F04F8D"/>
    <w:rsid w:val="00F052D9"/>
    <w:rsid w:val="00F0645C"/>
    <w:rsid w:val="00F106D0"/>
    <w:rsid w:val="00F1084C"/>
    <w:rsid w:val="00F1087F"/>
    <w:rsid w:val="00F10AD0"/>
    <w:rsid w:val="00F10C5C"/>
    <w:rsid w:val="00F10C6C"/>
    <w:rsid w:val="00F116CC"/>
    <w:rsid w:val="00F118C7"/>
    <w:rsid w:val="00F11DED"/>
    <w:rsid w:val="00F12BD1"/>
    <w:rsid w:val="00F1402F"/>
    <w:rsid w:val="00F141C4"/>
    <w:rsid w:val="00F144A5"/>
    <w:rsid w:val="00F14CDD"/>
    <w:rsid w:val="00F15327"/>
    <w:rsid w:val="00F168CF"/>
    <w:rsid w:val="00F16BA9"/>
    <w:rsid w:val="00F17227"/>
    <w:rsid w:val="00F17673"/>
    <w:rsid w:val="00F176F4"/>
    <w:rsid w:val="00F20388"/>
    <w:rsid w:val="00F24556"/>
    <w:rsid w:val="00F2555C"/>
    <w:rsid w:val="00F2672E"/>
    <w:rsid w:val="00F26AD8"/>
    <w:rsid w:val="00F26D5D"/>
    <w:rsid w:val="00F26EB0"/>
    <w:rsid w:val="00F3107C"/>
    <w:rsid w:val="00F312D8"/>
    <w:rsid w:val="00F31DDE"/>
    <w:rsid w:val="00F31DF3"/>
    <w:rsid w:val="00F3282B"/>
    <w:rsid w:val="00F33AE5"/>
    <w:rsid w:val="00F349A8"/>
    <w:rsid w:val="00F349EB"/>
    <w:rsid w:val="00F3597D"/>
    <w:rsid w:val="00F36DDB"/>
    <w:rsid w:val="00F37892"/>
    <w:rsid w:val="00F400AD"/>
    <w:rsid w:val="00F412EB"/>
    <w:rsid w:val="00F418BD"/>
    <w:rsid w:val="00F42EBC"/>
    <w:rsid w:val="00F4376D"/>
    <w:rsid w:val="00F446D3"/>
    <w:rsid w:val="00F447BE"/>
    <w:rsid w:val="00F44D24"/>
    <w:rsid w:val="00F45399"/>
    <w:rsid w:val="00F465EA"/>
    <w:rsid w:val="00F51AEF"/>
    <w:rsid w:val="00F54E7B"/>
    <w:rsid w:val="00F55343"/>
    <w:rsid w:val="00F55A88"/>
    <w:rsid w:val="00F561EB"/>
    <w:rsid w:val="00F56543"/>
    <w:rsid w:val="00F56A7C"/>
    <w:rsid w:val="00F60881"/>
    <w:rsid w:val="00F60C72"/>
    <w:rsid w:val="00F612A3"/>
    <w:rsid w:val="00F61CAE"/>
    <w:rsid w:val="00F62136"/>
    <w:rsid w:val="00F638FE"/>
    <w:rsid w:val="00F648FF"/>
    <w:rsid w:val="00F6570F"/>
    <w:rsid w:val="00F65B01"/>
    <w:rsid w:val="00F65B59"/>
    <w:rsid w:val="00F676DE"/>
    <w:rsid w:val="00F67854"/>
    <w:rsid w:val="00F679C3"/>
    <w:rsid w:val="00F71989"/>
    <w:rsid w:val="00F726CF"/>
    <w:rsid w:val="00F7286E"/>
    <w:rsid w:val="00F73D35"/>
    <w:rsid w:val="00F74005"/>
    <w:rsid w:val="00F75A76"/>
    <w:rsid w:val="00F76884"/>
    <w:rsid w:val="00F76BA4"/>
    <w:rsid w:val="00F80249"/>
    <w:rsid w:val="00F82E26"/>
    <w:rsid w:val="00F83D24"/>
    <w:rsid w:val="00F83DD9"/>
    <w:rsid w:val="00F83F40"/>
    <w:rsid w:val="00F84854"/>
    <w:rsid w:val="00F858B7"/>
    <w:rsid w:val="00F85E8F"/>
    <w:rsid w:val="00F867F5"/>
    <w:rsid w:val="00F90F0F"/>
    <w:rsid w:val="00F91A91"/>
    <w:rsid w:val="00F91FD3"/>
    <w:rsid w:val="00F937FE"/>
    <w:rsid w:val="00F939A1"/>
    <w:rsid w:val="00F93D05"/>
    <w:rsid w:val="00F94DDF"/>
    <w:rsid w:val="00F94FA3"/>
    <w:rsid w:val="00F9505B"/>
    <w:rsid w:val="00F9551A"/>
    <w:rsid w:val="00F963C5"/>
    <w:rsid w:val="00F97C52"/>
    <w:rsid w:val="00F97DC1"/>
    <w:rsid w:val="00FA117A"/>
    <w:rsid w:val="00FA121A"/>
    <w:rsid w:val="00FA232D"/>
    <w:rsid w:val="00FA276A"/>
    <w:rsid w:val="00FA3D04"/>
    <w:rsid w:val="00FA45F6"/>
    <w:rsid w:val="00FA6437"/>
    <w:rsid w:val="00FA663B"/>
    <w:rsid w:val="00FA78E9"/>
    <w:rsid w:val="00FB150D"/>
    <w:rsid w:val="00FB2059"/>
    <w:rsid w:val="00FB2142"/>
    <w:rsid w:val="00FB2BD7"/>
    <w:rsid w:val="00FB366E"/>
    <w:rsid w:val="00FB386A"/>
    <w:rsid w:val="00FB3E67"/>
    <w:rsid w:val="00FB545F"/>
    <w:rsid w:val="00FB6342"/>
    <w:rsid w:val="00FB6C62"/>
    <w:rsid w:val="00FB719B"/>
    <w:rsid w:val="00FB733B"/>
    <w:rsid w:val="00FB7AEE"/>
    <w:rsid w:val="00FB7DD9"/>
    <w:rsid w:val="00FC0786"/>
    <w:rsid w:val="00FC15A9"/>
    <w:rsid w:val="00FC26ED"/>
    <w:rsid w:val="00FC2CFF"/>
    <w:rsid w:val="00FC441C"/>
    <w:rsid w:val="00FC44CB"/>
    <w:rsid w:val="00FC49EF"/>
    <w:rsid w:val="00FC50D4"/>
    <w:rsid w:val="00FC6014"/>
    <w:rsid w:val="00FC7DAD"/>
    <w:rsid w:val="00FD0965"/>
    <w:rsid w:val="00FD0D85"/>
    <w:rsid w:val="00FD2671"/>
    <w:rsid w:val="00FD4CF9"/>
    <w:rsid w:val="00FD5D96"/>
    <w:rsid w:val="00FD64BE"/>
    <w:rsid w:val="00FD7F0B"/>
    <w:rsid w:val="00FE015F"/>
    <w:rsid w:val="00FE1B47"/>
    <w:rsid w:val="00FE1E6F"/>
    <w:rsid w:val="00FE2666"/>
    <w:rsid w:val="00FE338D"/>
    <w:rsid w:val="00FE36E2"/>
    <w:rsid w:val="00FE3987"/>
    <w:rsid w:val="00FE4E4E"/>
    <w:rsid w:val="00FE502A"/>
    <w:rsid w:val="00FE70DD"/>
    <w:rsid w:val="00FE76F0"/>
    <w:rsid w:val="00FF0656"/>
    <w:rsid w:val="00FF11AD"/>
    <w:rsid w:val="00FF1539"/>
    <w:rsid w:val="00FF164E"/>
    <w:rsid w:val="00FF2971"/>
    <w:rsid w:val="00FF2D8C"/>
    <w:rsid w:val="00FF34D4"/>
    <w:rsid w:val="00FF3A52"/>
    <w:rsid w:val="00FF54B5"/>
    <w:rsid w:val="00FF6492"/>
    <w:rsid w:val="00FF67BC"/>
    <w:rsid w:val="00FF690D"/>
    <w:rsid w:val="00FF6DDE"/>
    <w:rsid w:val="00FF72F5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B0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CC7A3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CC7A3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CC7A38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Pogrubienie">
    <w:name w:val="Strong"/>
    <w:uiPriority w:val="22"/>
    <w:qFormat/>
    <w:locked/>
    <w:rsid w:val="00AC03C7"/>
    <w:rPr>
      <w:b/>
      <w:bCs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4723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CC7A3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CC7A3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CC7A3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105E9A"/>
    <w:pPr>
      <w:widowControl w:val="0"/>
      <w:autoSpaceDE w:val="0"/>
      <w:autoSpaceDN w:val="0"/>
      <w:adjustRightInd w:val="0"/>
      <w:spacing w:line="45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05E9A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105E9A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00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361E6"/>
    <w:pPr>
      <w:widowControl w:val="0"/>
      <w:autoSpaceDE w:val="0"/>
      <w:autoSpaceDN w:val="0"/>
      <w:adjustRightInd w:val="0"/>
      <w:spacing w:line="275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361E6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5361E6"/>
    <w:rPr>
      <w:rFonts w:ascii="Times New Roman" w:hAnsi="Times New Roman" w:cs="Times New Roman"/>
      <w:sz w:val="22"/>
      <w:szCs w:val="22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F735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E51CA9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E51CA9"/>
    <w:pPr>
      <w:spacing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463500"/>
    <w:pPr>
      <w:spacing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40C2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Style4">
    <w:name w:val="Style4"/>
    <w:basedOn w:val="Normalny"/>
    <w:uiPriority w:val="99"/>
    <w:rsid w:val="00A747B4"/>
    <w:pPr>
      <w:widowControl w:val="0"/>
      <w:autoSpaceDE w:val="0"/>
      <w:autoSpaceDN w:val="0"/>
      <w:adjustRightInd w:val="0"/>
      <w:spacing w:line="410" w:lineRule="exact"/>
      <w:ind w:firstLine="51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747B4"/>
    <w:pPr>
      <w:widowControl w:val="0"/>
      <w:autoSpaceDE w:val="0"/>
      <w:autoSpaceDN w:val="0"/>
      <w:adjustRightInd w:val="0"/>
      <w:spacing w:line="413" w:lineRule="exact"/>
      <w:ind w:firstLine="75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747B4"/>
    <w:pPr>
      <w:widowControl w:val="0"/>
      <w:autoSpaceDE w:val="0"/>
      <w:autoSpaceDN w:val="0"/>
      <w:adjustRightInd w:val="0"/>
      <w:spacing w:line="413" w:lineRule="exact"/>
      <w:ind w:firstLine="87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747B4"/>
    <w:pPr>
      <w:widowControl w:val="0"/>
      <w:autoSpaceDE w:val="0"/>
      <w:autoSpaceDN w:val="0"/>
      <w:adjustRightInd w:val="0"/>
      <w:spacing w:line="413" w:lineRule="exact"/>
      <w:ind w:firstLine="10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rsid w:val="00DF5C00"/>
    <w:pPr>
      <w:spacing w:after="300" w:line="240" w:lineRule="auto"/>
    </w:pPr>
    <w:rPr>
      <w:rFonts w:ascii="inherit" w:eastAsia="Times New Roman" w:hAnsi="inherit"/>
      <w:sz w:val="24"/>
      <w:szCs w:val="24"/>
      <w:lang w:eastAsia="pl-PL"/>
    </w:rPr>
  </w:style>
  <w:style w:type="character" w:customStyle="1" w:styleId="CharStyle10">
    <w:name w:val="CharStyle10"/>
    <w:rsid w:val="00912A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3232CC"/>
    <w:pPr>
      <w:ind w:left="510"/>
    </w:pPr>
  </w:style>
  <w:style w:type="character" w:customStyle="1" w:styleId="Kkursywa">
    <w:name w:val="_K_ – kursywa"/>
    <w:uiPriority w:val="1"/>
    <w:qFormat/>
    <w:rsid w:val="003232CC"/>
    <w:rPr>
      <w:i/>
    </w:rPr>
  </w:style>
  <w:style w:type="character" w:customStyle="1" w:styleId="FontStyle13">
    <w:name w:val="Font Style13"/>
    <w:uiPriority w:val="99"/>
    <w:rsid w:val="00B36F79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uiPriority w:val="99"/>
    <w:rsid w:val="00B36F79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uiPriority w:val="99"/>
    <w:rsid w:val="00B36F79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Normalny"/>
    <w:uiPriority w:val="99"/>
    <w:rsid w:val="006925C2"/>
    <w:pPr>
      <w:widowControl w:val="0"/>
      <w:autoSpaceDE w:val="0"/>
      <w:autoSpaceDN w:val="0"/>
      <w:adjustRightInd w:val="0"/>
      <w:spacing w:line="379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815DF"/>
    <w:pPr>
      <w:suppressAutoHyphens/>
      <w:spacing w:line="240" w:lineRule="auto"/>
      <w:ind w:firstLine="708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CC627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link w:val="Tekstpodstawowy"/>
    <w:semiHidden/>
    <w:rsid w:val="00CC627D"/>
    <w:rPr>
      <w:rFonts w:ascii="Times New Roman" w:eastAsia="Lucida Sans Unicode" w:hAnsi="Times New Roman" w:cs="Tahoma"/>
      <w:sz w:val="24"/>
      <w:szCs w:val="24"/>
      <w:lang w:bidi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82F5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Ppogrubienie">
    <w:name w:val="_P_ – pogrubienie"/>
    <w:uiPriority w:val="1"/>
    <w:qFormat/>
    <w:rsid w:val="00082F5A"/>
    <w:rPr>
      <w:b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082F5A"/>
    <w:pPr>
      <w:spacing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82F5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82F5A"/>
  </w:style>
  <w:style w:type="table" w:customStyle="1" w:styleId="Kalendarz1">
    <w:name w:val="Kalendarz 1"/>
    <w:basedOn w:val="Standardowy"/>
    <w:uiPriority w:val="99"/>
    <w:qFormat/>
    <w:rsid w:val="005C36B7"/>
    <w:rPr>
      <w:rFonts w:eastAsia="Times New Roman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5C36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USTustnpkodeksu">
    <w:name w:val="UST(§) – ust. (§ np. kodeksu)"/>
    <w:basedOn w:val="ARTartustawynprozporzdzenia"/>
    <w:uiPriority w:val="12"/>
    <w:qFormat/>
    <w:rsid w:val="00F176F4"/>
    <w:pPr>
      <w:spacing w:before="0"/>
    </w:pPr>
    <w:rPr>
      <w:bCs/>
    </w:rPr>
  </w:style>
  <w:style w:type="table" w:customStyle="1" w:styleId="Tabelalisty1jasnaakcent51">
    <w:name w:val="Tabela listy 1 — jasna — akcent 51"/>
    <w:basedOn w:val="Standardowy"/>
    <w:uiPriority w:val="46"/>
    <w:rsid w:val="008665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redniasiatka3akcent5">
    <w:name w:val="Medium Grid 3 Accent 5"/>
    <w:basedOn w:val="Standardowy"/>
    <w:uiPriority w:val="69"/>
    <w:rsid w:val="0086654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character" w:customStyle="1" w:styleId="Nierozpoznanawzmianka1">
    <w:name w:val="Nierozpoznana wzmianka1"/>
    <w:uiPriority w:val="99"/>
    <w:semiHidden/>
    <w:unhideWhenUsed/>
    <w:rsid w:val="00A52D1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16F"/>
    <w:rPr>
      <w:color w:val="605E5C"/>
      <w:shd w:val="clear" w:color="auto" w:fill="E1DFDD"/>
    </w:rPr>
  </w:style>
  <w:style w:type="character" w:customStyle="1" w:styleId="IGindeksgrny">
    <w:name w:val="_IG_ – indeks górny"/>
    <w:basedOn w:val="Domylnaczcionkaakapitu"/>
    <w:uiPriority w:val="2"/>
    <w:qFormat/>
    <w:rsid w:val="00023BF7"/>
    <w:rPr>
      <w:b w:val="0"/>
      <w:i w:val="0"/>
      <w:vanish w:val="0"/>
      <w:spacing w:val="0"/>
      <w:vertAlign w:val="superscript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094FE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705F0A"/>
    <w:rPr>
      <w:sz w:val="22"/>
      <w:szCs w:val="22"/>
      <w:lang w:eastAsia="en-US"/>
    </w:rPr>
  </w:style>
  <w:style w:type="paragraph" w:customStyle="1" w:styleId="Default">
    <w:name w:val="Default"/>
    <w:rsid w:val="006B7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27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52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251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3221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877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6166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0853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21270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721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2316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0025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9898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9174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32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7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090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595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893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047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336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899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5306-5B9D-498D-8855-7126DEFC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3561</Words>
  <Characters>21371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24883</CharactersWithSpaces>
  <SharedDoc>false</SharedDoc>
  <HLinks>
    <vt:vector size="12" baseType="variant">
      <vt:variant>
        <vt:i4>3997705</vt:i4>
      </vt:variant>
      <vt:variant>
        <vt:i4>3</vt:i4>
      </vt:variant>
      <vt:variant>
        <vt:i4>0</vt:i4>
      </vt:variant>
      <vt:variant>
        <vt:i4>5</vt:i4>
      </vt:variant>
      <vt:variant>
        <vt:lpwstr>mailto:tomasz.krolak@ms.gov.pl</vt:lpwstr>
      </vt:variant>
      <vt:variant>
        <vt:lpwstr/>
      </vt:variant>
      <vt:variant>
        <vt:i4>4325486</vt:i4>
      </vt:variant>
      <vt:variant>
        <vt:i4>0</vt:i4>
      </vt:variant>
      <vt:variant>
        <vt:i4>0</vt:i4>
      </vt:variant>
      <vt:variant>
        <vt:i4>5</vt:i4>
      </vt:variant>
      <vt:variant>
        <vt:lpwstr>mailto:wojciech.ulitko@ms.gov.pl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2022-07-01T20:38:00Z</dcterms:created>
  <dcterms:modified xsi:type="dcterms:W3CDTF">2022-10-11T08:32:00Z</dcterms:modified>
</cp:coreProperties>
</file>