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76" w:tblpY="1"/>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0"/>
        <w:gridCol w:w="1072"/>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DA075D1" w14:textId="77777777" w:rsidTr="0023197B">
        <w:trPr>
          <w:gridAfter w:val="1"/>
          <w:wAfter w:w="10" w:type="dxa"/>
          <w:trHeight w:val="1611"/>
        </w:trPr>
        <w:tc>
          <w:tcPr>
            <w:tcW w:w="6631" w:type="dxa"/>
            <w:gridSpan w:val="17"/>
          </w:tcPr>
          <w:p w14:paraId="47BC10A8" w14:textId="77777777" w:rsidR="006A701A" w:rsidRPr="008B4FE6" w:rsidRDefault="006A701A" w:rsidP="0023197B">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14D7CEEE" w14:textId="77777777" w:rsidR="006A701A" w:rsidRPr="008B4FE6" w:rsidRDefault="00BE06F6" w:rsidP="0023197B">
            <w:pPr>
              <w:spacing w:line="240" w:lineRule="auto"/>
              <w:ind w:hanging="34"/>
              <w:rPr>
                <w:rFonts w:ascii="Times New Roman" w:hAnsi="Times New Roman"/>
                <w:color w:val="000000"/>
              </w:rPr>
            </w:pPr>
            <w:r>
              <w:rPr>
                <w:rFonts w:ascii="Times New Roman" w:hAnsi="Times New Roman"/>
                <w:color w:val="000000"/>
              </w:rPr>
              <w:t xml:space="preserve">Projekt ustawy </w:t>
            </w:r>
            <w:r w:rsidRPr="00BE06F6">
              <w:rPr>
                <w:rFonts w:ascii="Times New Roman" w:hAnsi="Times New Roman"/>
                <w:color w:val="000000"/>
              </w:rPr>
              <w:t>o zmianie ustawy – Prawo farmaceutyczne oraz niektórych innych ustaw</w:t>
            </w:r>
          </w:p>
          <w:p w14:paraId="362A4865" w14:textId="77777777" w:rsidR="006A701A" w:rsidRPr="008B4FE6" w:rsidRDefault="006A701A" w:rsidP="0023197B">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F280C8F" w14:textId="77777777" w:rsidR="006A701A" w:rsidRDefault="00BE06F6" w:rsidP="0023197B">
            <w:pPr>
              <w:spacing w:line="240" w:lineRule="auto"/>
              <w:ind w:hanging="34"/>
              <w:rPr>
                <w:rFonts w:ascii="Times New Roman" w:hAnsi="Times New Roman"/>
                <w:color w:val="000000"/>
              </w:rPr>
            </w:pPr>
            <w:r>
              <w:rPr>
                <w:rFonts w:ascii="Times New Roman" w:hAnsi="Times New Roman"/>
                <w:color w:val="000000"/>
              </w:rPr>
              <w:t>Ministerstwo Zdrowia</w:t>
            </w:r>
            <w:r w:rsidR="00452EC9">
              <w:rPr>
                <w:rFonts w:ascii="Times New Roman" w:hAnsi="Times New Roman"/>
                <w:color w:val="000000"/>
              </w:rPr>
              <w:t xml:space="preserve"> </w:t>
            </w:r>
            <w:r w:rsidR="00452EC9" w:rsidRPr="008D7E83">
              <w:rPr>
                <w:rFonts w:ascii="Times New Roman" w:hAnsi="Times New Roman"/>
                <w:color w:val="000000"/>
              </w:rPr>
              <w:t>– ministerstwo wiodące</w:t>
            </w:r>
          </w:p>
          <w:p w14:paraId="0E767077" w14:textId="77777777" w:rsidR="00DD264C" w:rsidRDefault="00DD264C" w:rsidP="00DD264C">
            <w:pPr>
              <w:spacing w:line="240" w:lineRule="auto"/>
              <w:rPr>
                <w:rFonts w:ascii="Times New Roman" w:hAnsi="Times New Roman"/>
                <w:color w:val="000000"/>
              </w:rPr>
            </w:pPr>
            <w:r w:rsidRPr="008D7E83">
              <w:rPr>
                <w:rFonts w:ascii="Times New Roman" w:hAnsi="Times New Roman"/>
                <w:color w:val="000000"/>
              </w:rPr>
              <w:t xml:space="preserve">Ministerstwo Sprawiedliwości – ministerstwo współpracujące  </w:t>
            </w:r>
          </w:p>
          <w:p w14:paraId="70C546A4" w14:textId="77777777" w:rsidR="005B700B" w:rsidRDefault="005B700B" w:rsidP="0023197B">
            <w:pPr>
              <w:spacing w:line="240" w:lineRule="auto"/>
              <w:rPr>
                <w:rFonts w:ascii="Times New Roman" w:hAnsi="Times New Roman"/>
                <w:b/>
                <w:sz w:val="21"/>
                <w:szCs w:val="24"/>
              </w:rPr>
            </w:pPr>
          </w:p>
          <w:p w14:paraId="5B33F15F" w14:textId="77777777" w:rsidR="001B3460" w:rsidRPr="00642825" w:rsidRDefault="001B3460" w:rsidP="0023197B">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72BFA3A6" w14:textId="77777777" w:rsidR="001B3460" w:rsidRPr="0063060B" w:rsidRDefault="00BE06F6" w:rsidP="0023197B">
            <w:pPr>
              <w:spacing w:line="240" w:lineRule="auto"/>
              <w:rPr>
                <w:rFonts w:ascii="Times New Roman" w:hAnsi="Times New Roman"/>
                <w:sz w:val="21"/>
                <w:szCs w:val="21"/>
              </w:rPr>
            </w:pPr>
            <w:r>
              <w:rPr>
                <w:rFonts w:ascii="Times New Roman" w:hAnsi="Times New Roman"/>
                <w:sz w:val="21"/>
                <w:szCs w:val="21"/>
              </w:rPr>
              <w:t>Pani Ewa Krajewska ‒ Główny Inspektor Farmaceutyczny</w:t>
            </w:r>
          </w:p>
          <w:p w14:paraId="4524E840" w14:textId="6245EDDC" w:rsidR="00DD264C" w:rsidRPr="00F70125" w:rsidRDefault="00DD264C" w:rsidP="00F70125">
            <w:pPr>
              <w:spacing w:line="240" w:lineRule="auto"/>
              <w:rPr>
                <w:rFonts w:ascii="Times New Roman" w:hAnsi="Times New Roman"/>
                <w:sz w:val="21"/>
                <w:szCs w:val="21"/>
              </w:rPr>
            </w:pPr>
            <w:r w:rsidRPr="008D7E83">
              <w:rPr>
                <w:rFonts w:ascii="Times New Roman" w:hAnsi="Times New Roman"/>
                <w:sz w:val="21"/>
                <w:szCs w:val="21"/>
              </w:rPr>
              <w:t>Pan Marcin Warchoł – Sekretarz Stanu w Ministerstwie Sprawiedliwości</w:t>
            </w:r>
          </w:p>
          <w:p w14:paraId="33EEBCE9" w14:textId="77777777" w:rsidR="006A701A" w:rsidRPr="008B4FE6" w:rsidRDefault="006A701A" w:rsidP="0023197B">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68D2126E" w14:textId="77777777" w:rsidR="006A701A" w:rsidRDefault="00BE06F6" w:rsidP="0023197B">
            <w:pPr>
              <w:spacing w:line="240" w:lineRule="auto"/>
              <w:ind w:hanging="34"/>
              <w:rPr>
                <w:rFonts w:ascii="Times New Roman" w:hAnsi="Times New Roman"/>
                <w:color w:val="000000"/>
              </w:rPr>
            </w:pPr>
            <w:r>
              <w:rPr>
                <w:rFonts w:ascii="Times New Roman" w:hAnsi="Times New Roman"/>
                <w:color w:val="000000"/>
              </w:rPr>
              <w:t xml:space="preserve">Pan </w:t>
            </w:r>
            <w:bookmarkStart w:id="2" w:name="_Hlk98498373"/>
            <w:r>
              <w:rPr>
                <w:rFonts w:ascii="Times New Roman" w:hAnsi="Times New Roman"/>
                <w:color w:val="000000"/>
              </w:rPr>
              <w:t>Wojciech Krajewski ‒ D</w:t>
            </w:r>
            <w:r w:rsidR="00F47951">
              <w:rPr>
                <w:rFonts w:ascii="Times New Roman" w:hAnsi="Times New Roman"/>
                <w:color w:val="000000"/>
              </w:rPr>
              <w:t>yrektor Departamentu Prawnego w </w:t>
            </w:r>
            <w:r>
              <w:rPr>
                <w:rFonts w:ascii="Times New Roman" w:hAnsi="Times New Roman"/>
                <w:color w:val="000000"/>
              </w:rPr>
              <w:t>Głównym Inspektoracie Farmaceutycznym</w:t>
            </w:r>
            <w:bookmarkEnd w:id="2"/>
          </w:p>
          <w:p w14:paraId="2499CB64" w14:textId="677A84CF" w:rsidR="005B700B" w:rsidRPr="00F47951" w:rsidRDefault="00BE06F6" w:rsidP="00F70125">
            <w:pPr>
              <w:spacing w:line="240" w:lineRule="auto"/>
              <w:ind w:hanging="34"/>
              <w:rPr>
                <w:rFonts w:ascii="Times New Roman" w:hAnsi="Times New Roman"/>
                <w:color w:val="000000"/>
                <w:lang w:val="en-GB"/>
              </w:rPr>
            </w:pPr>
            <w:r w:rsidRPr="00F47951">
              <w:rPr>
                <w:rFonts w:ascii="Times New Roman" w:hAnsi="Times New Roman"/>
                <w:color w:val="000000"/>
                <w:lang w:val="en-GB"/>
              </w:rPr>
              <w:t xml:space="preserve">e-mail: </w:t>
            </w:r>
            <w:hyperlink r:id="rId8" w:history="1">
              <w:r w:rsidR="005B700B" w:rsidRPr="00F47951">
                <w:rPr>
                  <w:rStyle w:val="Hipercze"/>
                  <w:rFonts w:ascii="Times New Roman" w:hAnsi="Times New Roman"/>
                  <w:lang w:val="en-GB"/>
                </w:rPr>
                <w:t>wojciech.krajewski@gif.gov.pl</w:t>
              </w:r>
            </w:hyperlink>
          </w:p>
        </w:tc>
        <w:tc>
          <w:tcPr>
            <w:tcW w:w="4306" w:type="dxa"/>
            <w:gridSpan w:val="12"/>
            <w:shd w:val="clear" w:color="auto" w:fill="FFFFFF"/>
          </w:tcPr>
          <w:p w14:paraId="3B1C934B" w14:textId="7FDD4A5B" w:rsidR="001B3460" w:rsidRPr="00642825" w:rsidRDefault="001B3460" w:rsidP="0023197B">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F62C95">
              <w:rPr>
                <w:rFonts w:ascii="Times New Roman" w:hAnsi="Times New Roman"/>
                <w:sz w:val="21"/>
                <w:szCs w:val="21"/>
              </w:rPr>
              <w:t>2</w:t>
            </w:r>
            <w:r w:rsidR="00F70125">
              <w:rPr>
                <w:rFonts w:ascii="Times New Roman" w:hAnsi="Times New Roman"/>
                <w:sz w:val="21"/>
                <w:szCs w:val="21"/>
              </w:rPr>
              <w:t>5</w:t>
            </w:r>
            <w:r w:rsidR="008B212C">
              <w:rPr>
                <w:rFonts w:ascii="Times New Roman" w:hAnsi="Times New Roman"/>
                <w:sz w:val="21"/>
                <w:szCs w:val="21"/>
              </w:rPr>
              <w:t>.</w:t>
            </w:r>
            <w:r w:rsidR="009762C4">
              <w:rPr>
                <w:rFonts w:ascii="Times New Roman" w:hAnsi="Times New Roman"/>
                <w:sz w:val="21"/>
                <w:szCs w:val="21"/>
              </w:rPr>
              <w:t>10</w:t>
            </w:r>
            <w:r w:rsidR="008B212C">
              <w:rPr>
                <w:rFonts w:ascii="Times New Roman" w:hAnsi="Times New Roman"/>
                <w:sz w:val="21"/>
                <w:szCs w:val="21"/>
              </w:rPr>
              <w:t>.2022 r.</w:t>
            </w:r>
          </w:p>
          <w:p w14:paraId="524B8786" w14:textId="77777777" w:rsidR="00F76884" w:rsidRDefault="00F76884" w:rsidP="0023197B">
            <w:pPr>
              <w:spacing w:line="240" w:lineRule="auto"/>
              <w:rPr>
                <w:rFonts w:ascii="Times New Roman" w:hAnsi="Times New Roman"/>
                <w:b/>
              </w:rPr>
            </w:pPr>
          </w:p>
          <w:p w14:paraId="369B135F" w14:textId="77777777" w:rsidR="00F76884" w:rsidRPr="0065019F" w:rsidRDefault="00F76884" w:rsidP="0023197B">
            <w:pPr>
              <w:spacing w:line="240" w:lineRule="auto"/>
              <w:rPr>
                <w:rFonts w:ascii="Times New Roman" w:hAnsi="Times New Roman"/>
                <w:b/>
              </w:rPr>
            </w:pPr>
            <w:r w:rsidRPr="0065019F">
              <w:rPr>
                <w:rFonts w:ascii="Times New Roman" w:hAnsi="Times New Roman"/>
                <w:b/>
              </w:rPr>
              <w:t xml:space="preserve">Źródło: </w:t>
            </w:r>
            <w:bookmarkStart w:id="3" w:name="Lista1"/>
          </w:p>
          <w:bookmarkEnd w:id="3"/>
          <w:p w14:paraId="7642E85E" w14:textId="77777777" w:rsidR="00F76884" w:rsidRPr="0065019F" w:rsidRDefault="00BE06F6" w:rsidP="0023197B">
            <w:pPr>
              <w:spacing w:line="240" w:lineRule="auto"/>
              <w:rPr>
                <w:rFonts w:ascii="Times New Roman" w:hAnsi="Times New Roman"/>
              </w:rPr>
            </w:pPr>
            <w:r>
              <w:rPr>
                <w:rFonts w:ascii="Times New Roman" w:hAnsi="Times New Roman"/>
              </w:rPr>
              <w:t>Inicjatywa własna</w:t>
            </w:r>
          </w:p>
          <w:p w14:paraId="7FD95B93" w14:textId="77777777" w:rsidR="00F76884" w:rsidRPr="0065019F" w:rsidRDefault="00F76884" w:rsidP="0023197B">
            <w:pPr>
              <w:spacing w:line="240" w:lineRule="auto"/>
              <w:rPr>
                <w:rFonts w:ascii="Times New Roman" w:hAnsi="Times New Roman"/>
              </w:rPr>
            </w:pPr>
          </w:p>
          <w:p w14:paraId="509B194D" w14:textId="1AAE4D3C" w:rsidR="006A701A" w:rsidRPr="008B4FE6" w:rsidRDefault="006A701A" w:rsidP="0023197B">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F70125">
              <w:rPr>
                <w:rFonts w:ascii="Times New Roman" w:hAnsi="Times New Roman"/>
                <w:b/>
                <w:color w:val="000000"/>
              </w:rPr>
              <w:t xml:space="preserve"> legislacyjnych i programowych Rady Ministrów</w:t>
            </w:r>
            <w:r w:rsidR="009762C4">
              <w:rPr>
                <w:rFonts w:ascii="Times New Roman" w:hAnsi="Times New Roman"/>
                <w:b/>
                <w:color w:val="000000"/>
              </w:rPr>
              <w:t>:</w:t>
            </w:r>
            <w:r w:rsidRPr="008B4FE6">
              <w:rPr>
                <w:rFonts w:ascii="Times New Roman" w:hAnsi="Times New Roman"/>
                <w:b/>
                <w:color w:val="000000"/>
              </w:rPr>
              <w:t xml:space="preserve"> </w:t>
            </w:r>
          </w:p>
          <w:p w14:paraId="69268566" w14:textId="77777777" w:rsidR="006A701A" w:rsidRPr="008B4FE6" w:rsidRDefault="009762C4" w:rsidP="0023197B">
            <w:pPr>
              <w:spacing w:line="240" w:lineRule="auto"/>
              <w:rPr>
                <w:rFonts w:ascii="Times New Roman" w:hAnsi="Times New Roman"/>
                <w:color w:val="000000"/>
              </w:rPr>
            </w:pPr>
            <w:r>
              <w:rPr>
                <w:rFonts w:ascii="Times New Roman" w:hAnsi="Times New Roman"/>
                <w:color w:val="000000"/>
              </w:rPr>
              <w:t>UD442</w:t>
            </w:r>
          </w:p>
          <w:p w14:paraId="05D87F83" w14:textId="77777777" w:rsidR="006A701A" w:rsidRPr="008B4FE6" w:rsidRDefault="006A701A" w:rsidP="0023197B">
            <w:pPr>
              <w:spacing w:line="240" w:lineRule="auto"/>
              <w:rPr>
                <w:rFonts w:ascii="Times New Roman" w:hAnsi="Times New Roman"/>
                <w:color w:val="000000"/>
                <w:sz w:val="28"/>
                <w:szCs w:val="28"/>
              </w:rPr>
            </w:pPr>
          </w:p>
        </w:tc>
      </w:tr>
      <w:tr w:rsidR="006A701A" w:rsidRPr="0022687A" w14:paraId="4EE5F680" w14:textId="77777777" w:rsidTr="0023197B">
        <w:trPr>
          <w:gridAfter w:val="1"/>
          <w:wAfter w:w="10" w:type="dxa"/>
          <w:trHeight w:val="142"/>
        </w:trPr>
        <w:tc>
          <w:tcPr>
            <w:tcW w:w="10937" w:type="dxa"/>
            <w:gridSpan w:val="29"/>
            <w:shd w:val="clear" w:color="auto" w:fill="99CCFF"/>
          </w:tcPr>
          <w:p w14:paraId="6FD4B9BA" w14:textId="77777777" w:rsidR="006A701A" w:rsidRPr="00627221" w:rsidRDefault="006A701A" w:rsidP="0023197B">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7C6ECE60" w14:textId="77777777" w:rsidTr="0023197B">
        <w:trPr>
          <w:gridAfter w:val="1"/>
          <w:wAfter w:w="10" w:type="dxa"/>
          <w:trHeight w:val="333"/>
        </w:trPr>
        <w:tc>
          <w:tcPr>
            <w:tcW w:w="10937" w:type="dxa"/>
            <w:gridSpan w:val="29"/>
            <w:shd w:val="clear" w:color="auto" w:fill="99CCFF"/>
            <w:vAlign w:val="center"/>
          </w:tcPr>
          <w:p w14:paraId="672E75EC" w14:textId="77777777" w:rsidR="006A701A" w:rsidRPr="008B4FE6" w:rsidRDefault="003D12F6" w:rsidP="00476F4C">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4" w:name="Wybór1"/>
            <w:bookmarkEnd w:id="4"/>
          </w:p>
        </w:tc>
      </w:tr>
      <w:tr w:rsidR="006A701A" w:rsidRPr="008B4FE6" w14:paraId="5BF95D80" w14:textId="77777777" w:rsidTr="0023197B">
        <w:trPr>
          <w:gridAfter w:val="1"/>
          <w:wAfter w:w="10" w:type="dxa"/>
          <w:trHeight w:val="142"/>
        </w:trPr>
        <w:tc>
          <w:tcPr>
            <w:tcW w:w="10937" w:type="dxa"/>
            <w:gridSpan w:val="29"/>
            <w:shd w:val="clear" w:color="auto" w:fill="FFFFFF"/>
          </w:tcPr>
          <w:p w14:paraId="41F02B71" w14:textId="77777777" w:rsidR="00FA085E" w:rsidRDefault="00FA085E" w:rsidP="00FA085E">
            <w:pPr>
              <w:spacing w:line="240" w:lineRule="auto"/>
              <w:jc w:val="both"/>
              <w:rPr>
                <w:rFonts w:ascii="Times New Roman" w:hAnsi="Times New Roman"/>
                <w:color w:val="000000"/>
              </w:rPr>
            </w:pPr>
            <w:r>
              <w:rPr>
                <w:rFonts w:ascii="Times New Roman" w:hAnsi="Times New Roman"/>
                <w:color w:val="000000"/>
              </w:rPr>
              <w:t>Zasadniczym przedmiotem projektu ustawy jest potrzeba</w:t>
            </w:r>
            <w:r w:rsidRPr="00083A45">
              <w:rPr>
                <w:rFonts w:ascii="Times New Roman" w:hAnsi="Times New Roman"/>
                <w:color w:val="000000"/>
              </w:rPr>
              <w:t xml:space="preserve"> zwiększenia efektywności działań Państwowej Inspekcji Farmaceutycznej oraz zapewnienia skutecznego, lepiej skoordynowanego nadzoru</w:t>
            </w:r>
            <w:r w:rsidRPr="00083A45" w:rsidDel="001D3655">
              <w:rPr>
                <w:rFonts w:ascii="Times New Roman" w:hAnsi="Times New Roman"/>
                <w:color w:val="000000"/>
              </w:rPr>
              <w:t xml:space="preserve"> </w:t>
            </w:r>
            <w:r w:rsidRPr="00083A45">
              <w:rPr>
                <w:rFonts w:ascii="Times New Roman" w:hAnsi="Times New Roman"/>
                <w:color w:val="000000"/>
              </w:rPr>
              <w:t>nad rynkiem wewnętrznym (aptek, hurtowni, wytwórców, importerów, dystrybutorów substancji czynnych i pośredników w obrocie produktami leczniczymi)</w:t>
            </w:r>
            <w:r>
              <w:rPr>
                <w:rFonts w:ascii="Times New Roman" w:hAnsi="Times New Roman"/>
                <w:color w:val="000000"/>
              </w:rPr>
              <w:t>, jak również potrzeba u</w:t>
            </w:r>
            <w:r w:rsidRPr="00083A45">
              <w:rPr>
                <w:rFonts w:ascii="Times New Roman" w:hAnsi="Times New Roman"/>
                <w:color w:val="000000"/>
              </w:rPr>
              <w:t>jednoliceni</w:t>
            </w:r>
            <w:r>
              <w:rPr>
                <w:rFonts w:ascii="Times New Roman" w:hAnsi="Times New Roman"/>
                <w:color w:val="000000"/>
              </w:rPr>
              <w:t>a</w:t>
            </w:r>
            <w:r w:rsidRPr="00083A45">
              <w:rPr>
                <w:rFonts w:ascii="Times New Roman" w:hAnsi="Times New Roman"/>
                <w:color w:val="000000"/>
              </w:rPr>
              <w:t xml:space="preserve"> i</w:t>
            </w:r>
            <w:r w:rsidRPr="00083A45">
              <w:rPr>
                <w:rFonts w:ascii="Times New Roman" w:hAnsi="Times New Roman"/>
              </w:rPr>
              <w:t xml:space="preserve"> </w:t>
            </w:r>
            <w:r w:rsidRPr="00083A45">
              <w:rPr>
                <w:rFonts w:ascii="Times New Roman" w:hAnsi="Times New Roman"/>
                <w:color w:val="000000"/>
              </w:rPr>
              <w:t>zoptymalizowani</w:t>
            </w:r>
            <w:r>
              <w:rPr>
                <w:rFonts w:ascii="Times New Roman" w:hAnsi="Times New Roman"/>
                <w:color w:val="000000"/>
              </w:rPr>
              <w:t>a</w:t>
            </w:r>
            <w:r w:rsidRPr="00083A45">
              <w:rPr>
                <w:rFonts w:ascii="Times New Roman" w:hAnsi="Times New Roman"/>
                <w:color w:val="000000"/>
              </w:rPr>
              <w:t xml:space="preserve"> działań Państwowej Inspekcji Farmaceutycznej na terytorium Rzeczypospolitej Polskiej.</w:t>
            </w:r>
            <w:r>
              <w:rPr>
                <w:rFonts w:ascii="Times New Roman" w:hAnsi="Times New Roman"/>
                <w:color w:val="000000"/>
              </w:rPr>
              <w:t xml:space="preserve"> Ponadto celem projektu ustawy jest wprowadzenie regulacji dotyczących objęcia</w:t>
            </w:r>
            <w:r w:rsidRPr="00083A45">
              <w:rPr>
                <w:rFonts w:ascii="Times New Roman" w:hAnsi="Times New Roman"/>
                <w:color w:val="000000"/>
              </w:rPr>
              <w:t xml:space="preserve"> nadzor</w:t>
            </w:r>
            <w:r>
              <w:rPr>
                <w:rFonts w:ascii="Times New Roman" w:hAnsi="Times New Roman"/>
                <w:color w:val="000000"/>
              </w:rPr>
              <w:t>em</w:t>
            </w:r>
            <w:r w:rsidRPr="00083A45">
              <w:rPr>
                <w:rFonts w:ascii="Times New Roman" w:hAnsi="Times New Roman"/>
                <w:color w:val="000000"/>
              </w:rPr>
              <w:t xml:space="preserve"> </w:t>
            </w:r>
            <w:r w:rsidRPr="00083A45">
              <w:rPr>
                <w:rFonts w:ascii="Times New Roman" w:hAnsi="Times New Roman"/>
              </w:rPr>
              <w:t xml:space="preserve"> </w:t>
            </w:r>
            <w:r w:rsidRPr="00083A45">
              <w:rPr>
                <w:rFonts w:ascii="Times New Roman" w:hAnsi="Times New Roman"/>
                <w:color w:val="000000"/>
              </w:rPr>
              <w:t>medyczny</w:t>
            </w:r>
            <w:r>
              <w:rPr>
                <w:rFonts w:ascii="Times New Roman" w:hAnsi="Times New Roman"/>
                <w:color w:val="000000"/>
              </w:rPr>
              <w:t>ch</w:t>
            </w:r>
            <w:r w:rsidRPr="00083A45">
              <w:rPr>
                <w:rFonts w:ascii="Times New Roman" w:hAnsi="Times New Roman"/>
                <w:color w:val="000000"/>
              </w:rPr>
              <w:t xml:space="preserve"> laboratori</w:t>
            </w:r>
            <w:r>
              <w:rPr>
                <w:rFonts w:ascii="Times New Roman" w:hAnsi="Times New Roman"/>
                <w:color w:val="000000"/>
              </w:rPr>
              <w:t>ów</w:t>
            </w:r>
            <w:r w:rsidRPr="00083A45">
              <w:rPr>
                <w:rFonts w:ascii="Times New Roman" w:hAnsi="Times New Roman"/>
                <w:color w:val="000000"/>
              </w:rPr>
              <w:t xml:space="preserve"> diagnostyczny</w:t>
            </w:r>
            <w:r>
              <w:rPr>
                <w:rFonts w:ascii="Times New Roman" w:hAnsi="Times New Roman"/>
                <w:color w:val="000000"/>
              </w:rPr>
              <w:t>ch, obecnie podmiotów nienadzorowanych przez organy administracji publicznej</w:t>
            </w:r>
            <w:r w:rsidRPr="00083A45">
              <w:rPr>
                <w:rFonts w:ascii="Times New Roman" w:hAnsi="Times New Roman"/>
                <w:color w:val="000000"/>
              </w:rPr>
              <w:t xml:space="preserve">. </w:t>
            </w:r>
          </w:p>
          <w:p w14:paraId="35BF5D8D"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Należy wskazać, że problemy w funkcjonowaniu Państwowej Inspekcji Farmaceutycznej w ramach jej obecnej organizacji były sygnalizowane przez Naczelną Izbę Kontroli (NIK) już w 2015 r. W toku kontroli P/15/109 „Wykonywanie przez Państwową Inspekcję Farmaceutyczną zadań określonych w ustawie Prawo farmaceutyczne”, stwierdzono między innymi, że w związku z faktem, że Główny Inspektor Farmaceutyczny ma możliwość wpływania na rozstrzygnięcia wojewódzkich inspektorów farmaceutycznych</w:t>
            </w:r>
            <w:r>
              <w:rPr>
                <w:rFonts w:ascii="Times New Roman" w:hAnsi="Times New Roman"/>
                <w:color w:val="000000"/>
              </w:rPr>
              <w:t xml:space="preserve"> (WIF)</w:t>
            </w:r>
            <w:r w:rsidRPr="00083A45">
              <w:rPr>
                <w:rFonts w:ascii="Times New Roman" w:hAnsi="Times New Roman"/>
                <w:color w:val="000000"/>
              </w:rPr>
              <w:t xml:space="preserve"> wyłącznie w ramach wykonywania funkcji organu wyższego stopnia w rozumieniu przepisów regulujących postępowanie administracyjne, sposób stosowania regulacji farmaceutycznych różnił się w skali kraju, w zależności od województwa. NIK zwracał również uwagę na niewykonywanie zaleceń pokontrolnych przez niektórych wojewódzkich inspektorów farmaceutycznych oraz przeważająco następczy charakter działań koordynacyjnych podejmowanych przez Głównego Inspektora Farmaceutycznego względem inspektorów wojewódzkich. </w:t>
            </w:r>
          </w:p>
          <w:p w14:paraId="0974B95A"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Bezpośrednim skutkiem braku włączenia wojewódzkich inspektorów farmaceutycznych w jednolite, spionizowane struktury centralnej administracji rządowej był więc niejednolity nadzór nad rynkiem farmaceutycznym, który po pierwsze znacząco ograniczał możliwość koordynacji działań Państwowej Inspekcji Farmaceutycznej, a po drugie prowadził do nierównego traktowania przedsiębiorców działających na tym rynku. Konsekwencją takiego stanu rzeczy jest natomiast ograniczenie skuteczności działań nakierowanych na zapewnienie bezpieczeństwa lekowego pacjentów – przykładowo w</w:t>
            </w:r>
            <w:r w:rsidR="00A73DF5">
              <w:rPr>
                <w:rFonts w:ascii="Times New Roman" w:hAnsi="Times New Roman"/>
                <w:color w:val="000000"/>
              </w:rPr>
              <w:t> </w:t>
            </w:r>
            <w:r w:rsidRPr="00083A45">
              <w:rPr>
                <w:rFonts w:ascii="Times New Roman" w:hAnsi="Times New Roman"/>
                <w:color w:val="000000"/>
              </w:rPr>
              <w:t>dziedzinach wstrzymania lub wycofania z obrotu produktów leczniczych albo tworzenia ogólnych raportów o</w:t>
            </w:r>
            <w:r w:rsidR="00A73DF5">
              <w:rPr>
                <w:rFonts w:ascii="Times New Roman" w:hAnsi="Times New Roman"/>
                <w:color w:val="000000"/>
              </w:rPr>
              <w:t> </w:t>
            </w:r>
            <w:r w:rsidRPr="00083A45">
              <w:rPr>
                <w:rFonts w:ascii="Times New Roman" w:hAnsi="Times New Roman"/>
                <w:color w:val="000000"/>
              </w:rPr>
              <w:t xml:space="preserve">dostępności produktów leczniczych w skali kraju, które są tworzone na podstawie danych gromadzonych na poziomie poszczególnych województw. </w:t>
            </w:r>
          </w:p>
          <w:p w14:paraId="5DF75DFA"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 xml:space="preserve">Osobną kwestią jest optymalizacja organizacyjna Państwowej Inspekcji Farmaceutycznej. W obecnym stanie prawnym jest ona rozbita na 17 odrębnych urzędów przynależnych zarówno do administracji centralnej, jak również do terenowej administracji zespolonej. Przyjąć należy, że pionizacja będzie miała pozytywny wpływ na uprawnienia podmiotów prywatnych w ramach procedury administracyjnej. Przewiduje się </w:t>
            </w:r>
            <w:r>
              <w:rPr>
                <w:rFonts w:ascii="Times New Roman" w:hAnsi="Times New Roman"/>
                <w:color w:val="000000"/>
              </w:rPr>
              <w:t>znaczące ujednolicenie procedur</w:t>
            </w:r>
            <w:r w:rsidRPr="00083A45">
              <w:rPr>
                <w:rFonts w:ascii="Times New Roman" w:hAnsi="Times New Roman"/>
                <w:color w:val="000000"/>
              </w:rPr>
              <w:t xml:space="preserve"> oraz przyspieszenie terminów załatwiania spraw.</w:t>
            </w:r>
          </w:p>
          <w:p w14:paraId="75DD2712"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Wyłączenie Państwowej Inspekcji Farmaceutycznej z katalogu organów należących do administracji zespolonej, podniesie również transparentność podejmowanych decyzji. Dotychczasowa struktura powoduje, że inspektorzy farmaceutyczni realizują zadania, które są jedynie małym wycinkiem zadań wojewody, co powoduje, że często borykają się z</w:t>
            </w:r>
            <w:r w:rsidR="00A10094">
              <w:rPr>
                <w:rFonts w:ascii="Times New Roman" w:hAnsi="Times New Roman"/>
                <w:color w:val="000000"/>
              </w:rPr>
              <w:t> </w:t>
            </w:r>
            <w:r w:rsidRPr="00083A45">
              <w:rPr>
                <w:rFonts w:ascii="Times New Roman" w:hAnsi="Times New Roman"/>
                <w:color w:val="000000"/>
              </w:rPr>
              <w:t xml:space="preserve">niedofinansowaniem oraz niezrozumieniem wagi ich zadań. Pionizacja spowoduje, że podział środków budżetowych będzie adekwatny do realizowanych zadań, w szczególności do liczby nadzorowanych podmiotów. </w:t>
            </w:r>
          </w:p>
          <w:p w14:paraId="4030C2EB"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Powyższe potwierdza również „Raport specjalny” dotyczący rynku farmaceutycznego przygotowanego przez Departament Analiz Centralnego Biura Antykorupcyjnego (CBA). Według tego raportu: „istotnym niedostatkiem w</w:t>
            </w:r>
            <w:r>
              <w:rPr>
                <w:rFonts w:ascii="Times New Roman" w:hAnsi="Times New Roman"/>
                <w:color w:val="000000"/>
              </w:rPr>
              <w:t> </w:t>
            </w:r>
            <w:r w:rsidRPr="00083A45">
              <w:rPr>
                <w:rFonts w:ascii="Times New Roman" w:hAnsi="Times New Roman"/>
                <w:color w:val="000000"/>
              </w:rPr>
              <w:t>funkcjonowaniu Inspekcji Farmaceutycznej jest jej rozproszona struktura organizacyjna, na którą nakłada się problem dualizmu podległości jednostek terenowych. W ocenie CBA rozproszona struktura może prowadzić do sporów kompetencyjnych pomiędzy poszczególnymi wojewódzkimi inspektoratami inspekcji farmaceutycznej, szczególnie w</w:t>
            </w:r>
            <w:r>
              <w:rPr>
                <w:rFonts w:ascii="Times New Roman" w:hAnsi="Times New Roman"/>
                <w:color w:val="000000"/>
              </w:rPr>
              <w:t> </w:t>
            </w:r>
            <w:r w:rsidRPr="00083A45">
              <w:rPr>
                <w:rFonts w:ascii="Times New Roman" w:hAnsi="Times New Roman"/>
                <w:color w:val="000000"/>
              </w:rPr>
              <w:t xml:space="preserve">przypadku transregionalnych podmiotów jak sieci aptek. Dodatkowo kontrole obejmujące działalność ogólnopolskiej sieci aptek wyłącznie w zakresie podmiotów z terenu jednego województwa mogą zaburzać rzeczywisty obraz takiej sieci. Równoległa kontrola placówek z różnych województw będzie wymagała natomiast wzajemnej koordynacji działań niezależnych od siebie wojewódzkich inspektoratów farmaceutycznych. W skrajnej sytuacji obecny model pozwala na to, by żaden z wojewódzkich </w:t>
            </w:r>
            <w:r w:rsidRPr="00083A45">
              <w:rPr>
                <w:rFonts w:ascii="Times New Roman" w:hAnsi="Times New Roman"/>
                <w:color w:val="000000"/>
              </w:rPr>
              <w:lastRenderedPageBreak/>
              <w:t>inspektoratów nie</w:t>
            </w:r>
            <w:r w:rsidRPr="00083A45">
              <w:rPr>
                <w:rFonts w:ascii="Times New Roman" w:hAnsi="Times New Roman"/>
              </w:rPr>
              <w:t xml:space="preserve"> podejmował działań nadzorczych wobec wybranych sieci aptecznych, uznając, że czynności takie leżą w kompetencji innych jednostek organizacyjnych. Problem ten będzie narastał wraz z rozwojem małych i średnich sieci aptecznych o zasięgu ogólnopolskim.”</w:t>
            </w:r>
            <w:r>
              <w:rPr>
                <w:rFonts w:ascii="Times New Roman" w:hAnsi="Times New Roman"/>
              </w:rPr>
              <w:t>.</w:t>
            </w:r>
            <w:r w:rsidRPr="00083A45">
              <w:rPr>
                <w:rFonts w:ascii="Times New Roman" w:hAnsi="Times New Roman"/>
                <w:color w:val="000000"/>
              </w:rPr>
              <w:t xml:space="preserve"> </w:t>
            </w:r>
          </w:p>
          <w:p w14:paraId="29B28212"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 xml:space="preserve">Aktualnie środki przyznawane przez wojewodę nie są powiązane z zadaniami danego </w:t>
            </w:r>
            <w:r>
              <w:rPr>
                <w:rFonts w:ascii="Times New Roman" w:hAnsi="Times New Roman"/>
                <w:color w:val="000000"/>
              </w:rPr>
              <w:t>wojewódzkiego inspektora farmaceutycznego</w:t>
            </w:r>
            <w:r w:rsidRPr="00083A45">
              <w:rPr>
                <w:rFonts w:ascii="Times New Roman" w:hAnsi="Times New Roman"/>
                <w:color w:val="000000"/>
              </w:rPr>
              <w:t>, a wynikają z ogólnej zamożności danego województwa oraz z historycznie ukształtowanych budżetów, niedostosowanych do zmieniającego się gwałtownie rynku farmaceutycznego.</w:t>
            </w:r>
          </w:p>
          <w:p w14:paraId="4034B811"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Pionizacja inspekcji przeniesie odpowiedzialność za jej funkcjonowanie na szczeblu nadzoru nad obrotem detalicznym z</w:t>
            </w:r>
            <w:r>
              <w:rPr>
                <w:rFonts w:ascii="Times New Roman" w:hAnsi="Times New Roman"/>
              </w:rPr>
              <w:t> </w:t>
            </w:r>
            <w:r w:rsidRPr="00083A45">
              <w:rPr>
                <w:rFonts w:ascii="Times New Roman" w:hAnsi="Times New Roman"/>
              </w:rPr>
              <w:t>wojewody na centralny organ administracji publicznej. Tym samym, skutkiem pionizacji będzie zapewnienie jednolitych struktur inspekcji zarówno na szczeblu centralnym jak i w oddziałach oraz zapewnienie porównywalnych warunków pracy (</w:t>
            </w:r>
            <w:r>
              <w:rPr>
                <w:rFonts w:ascii="Times New Roman" w:hAnsi="Times New Roman"/>
              </w:rPr>
              <w:t xml:space="preserve">m.in. w sprzęt </w:t>
            </w:r>
            <w:r w:rsidRPr="00083A45">
              <w:rPr>
                <w:rFonts w:ascii="Times New Roman" w:hAnsi="Times New Roman"/>
              </w:rPr>
              <w:t>komputer</w:t>
            </w:r>
            <w:r>
              <w:rPr>
                <w:rFonts w:ascii="Times New Roman" w:hAnsi="Times New Roman"/>
              </w:rPr>
              <w:t>owy</w:t>
            </w:r>
            <w:r w:rsidRPr="00083A45">
              <w:rPr>
                <w:rFonts w:ascii="Times New Roman" w:hAnsi="Times New Roman"/>
              </w:rPr>
              <w:t xml:space="preserve">, drukarki, siedziby) i płacy. </w:t>
            </w:r>
          </w:p>
          <w:p w14:paraId="4186419D"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Na dzień dzisiejszy w </w:t>
            </w:r>
            <w:r>
              <w:rPr>
                <w:rFonts w:ascii="Times New Roman" w:hAnsi="Times New Roman"/>
              </w:rPr>
              <w:t>Głównym Inspektoracie Farmaceutycznym (GIF)</w:t>
            </w:r>
            <w:r w:rsidRPr="00083A45">
              <w:rPr>
                <w:rFonts w:ascii="Times New Roman" w:hAnsi="Times New Roman"/>
              </w:rPr>
              <w:t xml:space="preserve"> zatrudnionych jest 47 inspektorów, a</w:t>
            </w:r>
            <w:r>
              <w:rPr>
                <w:rFonts w:ascii="Times New Roman" w:hAnsi="Times New Roman"/>
              </w:rPr>
              <w:t> </w:t>
            </w:r>
            <w:r w:rsidRPr="00083A45">
              <w:rPr>
                <w:rFonts w:ascii="Times New Roman" w:hAnsi="Times New Roman"/>
              </w:rPr>
              <w:t>w</w:t>
            </w:r>
            <w:r>
              <w:rPr>
                <w:rFonts w:ascii="Times New Roman" w:hAnsi="Times New Roman"/>
              </w:rPr>
              <w:t> wojewódzkich inspektoratach farmaceutycznych</w:t>
            </w:r>
            <w:r w:rsidRPr="00083A45">
              <w:rPr>
                <w:rFonts w:ascii="Times New Roman" w:hAnsi="Times New Roman"/>
              </w:rPr>
              <w:t xml:space="preserve"> 103 inspektorów. GIF przeprowadza inspekcję ok. 1070 podmiotów.</w:t>
            </w:r>
          </w:p>
          <w:p w14:paraId="568FEAEB"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Pr>
                <w:rFonts w:ascii="Times New Roman" w:hAnsi="Times New Roman"/>
              </w:rPr>
              <w:t>Wojewódzkie inspektoraty farmaceutyczne</w:t>
            </w:r>
            <w:r w:rsidRPr="00083A45">
              <w:rPr>
                <w:rFonts w:ascii="Times New Roman" w:hAnsi="Times New Roman"/>
              </w:rPr>
              <w:t xml:space="preserve"> natomiast przeprowadza</w:t>
            </w:r>
            <w:r>
              <w:rPr>
                <w:rFonts w:ascii="Times New Roman" w:hAnsi="Times New Roman"/>
              </w:rPr>
              <w:t>ją</w:t>
            </w:r>
            <w:r w:rsidRPr="00083A45">
              <w:rPr>
                <w:rFonts w:ascii="Times New Roman" w:hAnsi="Times New Roman"/>
              </w:rPr>
              <w:t xml:space="preserve"> inspekcję ok. 25 000 podmiotów. Tym samym, na jednego inspektora GIF przypada ok. 23 podmiotów, przy czym dany podmiot może posiadać kilka lokalizacji oraz kilka rodzajów zezwoleń lub zgód. Natomiast na jednego inspektora </w:t>
            </w:r>
            <w:r>
              <w:rPr>
                <w:rFonts w:ascii="Times New Roman" w:hAnsi="Times New Roman"/>
              </w:rPr>
              <w:t>wojewódzkiego inspektoratu farmaceutycznego</w:t>
            </w:r>
            <w:r w:rsidRPr="00083A45">
              <w:rPr>
                <w:rFonts w:ascii="Times New Roman" w:hAnsi="Times New Roman"/>
              </w:rPr>
              <w:t xml:space="preserve"> przypada ok. 240 podmiotów. Projektowana ustawa zakłada ujednolicenie obciążenia inspektorów zadaniami, co powoduje, że pośrednio pociąga ona za sobą skutek finansowy w postaci niezbędnego wyrównania braków kadrowych.</w:t>
            </w:r>
          </w:p>
          <w:p w14:paraId="6A340CC4"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Należy zauważyć, że dotychczasowe funkcjonowanie Państwowej Inspekcji Farmaceutycznej nie zapewnia właściwego nadzoru nad rynkiem farmaceutycznym w  Rzeczypospolitej Pols</w:t>
            </w:r>
            <w:r>
              <w:rPr>
                <w:rFonts w:ascii="Times New Roman" w:hAnsi="Times New Roman"/>
              </w:rPr>
              <w:t>kiej</w:t>
            </w:r>
            <w:r w:rsidRPr="00083A45">
              <w:rPr>
                <w:rFonts w:ascii="Times New Roman" w:hAnsi="Times New Roman"/>
              </w:rPr>
              <w:t>. Zgodnie z wystąpieniem pokontrolnym NIK z dnia 25 marca 2021 r., znak: KZD.411.002.02.2020, celowym jest zwiększenie nadzoru nad obrotem produktami leczniczymi. W</w:t>
            </w:r>
            <w:r>
              <w:rPr>
                <w:rFonts w:ascii="Times New Roman" w:hAnsi="Times New Roman"/>
              </w:rPr>
              <w:t> </w:t>
            </w:r>
            <w:r w:rsidRPr="00083A45">
              <w:rPr>
                <w:rFonts w:ascii="Times New Roman" w:hAnsi="Times New Roman"/>
              </w:rPr>
              <w:t xml:space="preserve">przedmiotowym raporcie wskazano, że GIF nadzorował: w 2019 r. 696 podmiotów, w tym 484 hurtownie farmaceutyczne i 157 pośredników oraz 55 hurtowni weterynaryjnych, a w 2020 r. 667 podmiotów, w tym 462 hurtownie farmaceutyczne i 167 pośredników oraz 38 hurtowni weterynaryjnych. Tym samym, na jednego inspektora ds. obrotu hurtowego przypadały 64 jednostki w 2019 r. i 60,6 w 2020 r. W zakresie nadzoru nad obrotem detalicznym przykładowo na jednego inspektora farmaceutycznego z Bydgoszczy przypadało 254 podmiotów, na jednego inspektora farmaceutycznego ze Szczecina przypadało 415 podmiotów, a na jednego inspektora farmaceutycznego z Wrocławia przypadało 264 podmiotów. </w:t>
            </w:r>
          </w:p>
          <w:p w14:paraId="69DA9B69" w14:textId="1EE3D631"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Analiza sytuacji kadrowej poszczególnych </w:t>
            </w:r>
            <w:r>
              <w:rPr>
                <w:rFonts w:ascii="Times New Roman" w:hAnsi="Times New Roman"/>
              </w:rPr>
              <w:t>wojewódzkich inspektoratów farmaceutycznych</w:t>
            </w:r>
            <w:r w:rsidRPr="00083A45">
              <w:rPr>
                <w:rFonts w:ascii="Times New Roman" w:hAnsi="Times New Roman"/>
              </w:rPr>
              <w:t xml:space="preserve"> wskazuje, iż dysponują one skromnym obszarem kadrowym, nieadekwatnym do zakresu wykonywanych zadań i zagrażającym prawidłowej realizacji zadań z obszaru zapewnienia bezpieczeństwa obrotu produktami leczniczymi na terytorium Rzeczypospolitej Polskiej. W</w:t>
            </w:r>
            <w:r w:rsidR="00A10094">
              <w:rPr>
                <w:rFonts w:ascii="Times New Roman" w:hAnsi="Times New Roman"/>
              </w:rPr>
              <w:t> </w:t>
            </w:r>
            <w:r w:rsidRPr="00083A45">
              <w:rPr>
                <w:rFonts w:ascii="Times New Roman" w:hAnsi="Times New Roman"/>
              </w:rPr>
              <w:t xml:space="preserve">obecnej sytuacji większość </w:t>
            </w:r>
            <w:r>
              <w:rPr>
                <w:rFonts w:ascii="Times New Roman" w:hAnsi="Times New Roman"/>
              </w:rPr>
              <w:t>wojewódzkich inspektoratów farmaceutycznych</w:t>
            </w:r>
            <w:r w:rsidRPr="00083A45">
              <w:rPr>
                <w:rFonts w:ascii="Times New Roman" w:hAnsi="Times New Roman"/>
              </w:rPr>
              <w:t xml:space="preserve"> nie jest w stanie w pełni realizować planów kontroli, a główną przyczyną jest trudna sytuacja kadrowa. Znaczna część inspektoratów realizuje zadania nie tyle własnym zasobem kadrowym, co przez umowy cywilnoprawne, co nie jest właściwym rozwiązaniem z punktu widzenia wrażliwości przedmiotu działalności. </w:t>
            </w:r>
          </w:p>
          <w:p w14:paraId="0288EDAE" w14:textId="77777777" w:rsidR="00FA085E" w:rsidRPr="006C2D8F" w:rsidRDefault="00FA085E" w:rsidP="006C2D8F">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W tak skromnym obszarze kadrowym zaobserwowano wielozadaniowość i brak zastępowalności (jedna osoba zajmuje się kilkoma zadaniami, a często sam wojewódzki inspektor farmaceutyczny, który jest obecnie de facto organem przejmuje zadania obsługowe, które zgodnie z prawidłowymi zasadami funkcjonowania jednostek państwowych są wykonywane przez dedykowanych pracowników). </w:t>
            </w:r>
          </w:p>
          <w:p w14:paraId="5A12DA37" w14:textId="77777777" w:rsidR="00FA085E"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Niezależnie od powyższego stworzenie jednolitej organizacji powoduje konieczność skoordynowania zadań w obszarze obsługowym (księgowym, kadrowym, nadzorem nad majątkiem, w tym nieruchomościami, jak również planowanym przejęciem przez centralę zadań związanych z prowadzeniem postępowań administracyjnych, które w chwili obecnej obciążają inspektorów farmaceutycznych, zmniejszając ich efektywność w obszarze prowadzonych kontroli). W obecnym stanie kadrowym </w:t>
            </w:r>
            <w:r>
              <w:rPr>
                <w:rFonts w:ascii="Times New Roman" w:hAnsi="Times New Roman"/>
              </w:rPr>
              <w:t>GIF</w:t>
            </w:r>
            <w:r w:rsidRPr="00083A45">
              <w:rPr>
                <w:rFonts w:ascii="Times New Roman" w:hAnsi="Times New Roman"/>
              </w:rPr>
              <w:t>, bez postulowanego zwiększenia zatrudnienia i</w:t>
            </w:r>
            <w:r>
              <w:rPr>
                <w:rFonts w:ascii="Times New Roman" w:hAnsi="Times New Roman"/>
              </w:rPr>
              <w:t> </w:t>
            </w:r>
            <w:r w:rsidRPr="00083A45">
              <w:rPr>
                <w:rFonts w:ascii="Times New Roman" w:hAnsi="Times New Roman"/>
              </w:rPr>
              <w:t xml:space="preserve">tak zresztą ograniczonego do najpilniejszych potrzeb, skoordynowanie obszaru obsługowego nie jest realne. </w:t>
            </w:r>
          </w:p>
          <w:p w14:paraId="204A5E0E"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Pr>
                <w:rFonts w:ascii="Times New Roman" w:hAnsi="Times New Roman"/>
              </w:rPr>
              <w:t>Należy również wskazać, że nie planuje się redukcji etatów obecnych wojewódzkich inspektoratów farmaceutycznych. Pracownicy tam zatrudnieni staną się pracownikami właściwych oddziałów terenowych GIF. Ewentualnie zmianie może ulec ich zakres zadań. Inspektorzy farmaceutyczni natomiast będą dalej zajmować stanowiska inspektorów farmaceutycznych zatrudnionych w oddziałach terenowych GIF.</w:t>
            </w:r>
          </w:p>
          <w:p w14:paraId="6007030B" w14:textId="77777777" w:rsidR="00FA085E" w:rsidRPr="00792B09"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Celem projektu jest stworzenie jednolitej, podległej Głównemu Inspektorowi Farmaceutycznemu nie tylko w zakresie merytorycznym, ale i strukturalnym, Inspekcji Farmaceutycznej w pełni zdolnej do wykonywania ustawowych zadań związanych z nadzorem nad bezpieczeństwem obrotu produktami leczniczymi. Tylko jednostka posiadająca adekwatny potencjał kadrowy jest w stanie w sposób odpowiedzialny realizować zadania z</w:t>
            </w:r>
            <w:r>
              <w:rPr>
                <w:rFonts w:ascii="Times New Roman" w:hAnsi="Times New Roman"/>
              </w:rPr>
              <w:t> </w:t>
            </w:r>
            <w:r w:rsidRPr="00083A45">
              <w:rPr>
                <w:rFonts w:ascii="Times New Roman" w:hAnsi="Times New Roman"/>
              </w:rPr>
              <w:t>obszaru bezpieczeństwa obrotu produktami leczniczymi, a tym samym przyczyni się do poprawy bezpieczeństwa pacjentów.</w:t>
            </w:r>
            <w:r w:rsidR="008A202B">
              <w:rPr>
                <w:rFonts w:ascii="Times New Roman" w:hAnsi="Times New Roman"/>
              </w:rPr>
              <w:t xml:space="preserve"> Z</w:t>
            </w:r>
            <w:r>
              <w:rPr>
                <w:rFonts w:ascii="Times New Roman" w:hAnsi="Times New Roman"/>
              </w:rPr>
              <w:t xml:space="preserve">miana struktury organizacyjnej Państwowej Inspekcji Farmaceutycznej umożliwi przejęcie nowego zadania jakim jest nadzór nad medycznymi laboratoriami diagnostycznymi. W założeniu większość inspektorów ds. medycyny laboratoryjnej będzie rozmieszczona w oddziałach terenowych </w:t>
            </w:r>
            <w:r w:rsidRPr="00792B09">
              <w:rPr>
                <w:rFonts w:ascii="Times New Roman" w:hAnsi="Times New Roman"/>
              </w:rPr>
              <w:t>GIF co ułatwi sprawowanie nadzoru nad medycznymi laboratoriami diagnostycznymi położonymi na terenie całego kraju, zminimalizuje to konieczność wyjazdów</w:t>
            </w:r>
            <w:r>
              <w:rPr>
                <w:rFonts w:ascii="Times New Roman" w:hAnsi="Times New Roman"/>
              </w:rPr>
              <w:t>,</w:t>
            </w:r>
            <w:r w:rsidRPr="00792B09">
              <w:rPr>
                <w:rFonts w:ascii="Times New Roman" w:hAnsi="Times New Roman"/>
              </w:rPr>
              <w:t xml:space="preserve"> a tym samym ograniczy koszty przeprowadzania inspekcji.</w:t>
            </w:r>
          </w:p>
          <w:p w14:paraId="080CB389"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Ogółem w Inspekcji Farmaceutycznej zatrudnienie wynosi 421,91 etatów (z czego 130,25 etatu w </w:t>
            </w:r>
            <w:r>
              <w:rPr>
                <w:rFonts w:ascii="Times New Roman" w:hAnsi="Times New Roman"/>
              </w:rPr>
              <w:t>GIF</w:t>
            </w:r>
            <w:r w:rsidRPr="00083A45">
              <w:rPr>
                <w:rFonts w:ascii="Times New Roman" w:hAnsi="Times New Roman"/>
              </w:rPr>
              <w:t>, a 291,66 etatu w</w:t>
            </w:r>
            <w:r w:rsidR="006C2D8F">
              <w:rPr>
                <w:rFonts w:ascii="Times New Roman" w:hAnsi="Times New Roman"/>
              </w:rPr>
              <w:t> </w:t>
            </w:r>
            <w:r w:rsidRPr="00083A45">
              <w:rPr>
                <w:rFonts w:ascii="Times New Roman" w:hAnsi="Times New Roman"/>
              </w:rPr>
              <w:t>wojewódzkich inspektoratach farmaceutycznych). Ogółem podmiotów nadzorowanych jest ponad 26 tys. Wliczając w</w:t>
            </w:r>
            <w:r w:rsidR="006C2D8F">
              <w:rPr>
                <w:rFonts w:ascii="Times New Roman" w:hAnsi="Times New Roman"/>
              </w:rPr>
              <w:t> </w:t>
            </w:r>
            <w:r w:rsidRPr="00083A45">
              <w:rPr>
                <w:rFonts w:ascii="Times New Roman" w:hAnsi="Times New Roman"/>
              </w:rPr>
              <w:t xml:space="preserve">to </w:t>
            </w:r>
            <w:r w:rsidRPr="00083A45">
              <w:rPr>
                <w:rFonts w:ascii="Times New Roman" w:hAnsi="Times New Roman"/>
              </w:rPr>
              <w:lastRenderedPageBreak/>
              <w:t xml:space="preserve">liczbę aktualnie istniejących laboratoriów diagnostycznych, tj. ponad 3 tys., należy stwierdzić, że przy aktualnym stanie zatrudnienia (150 inspektorów) na jednego kontrolującego przypada ok. 194 kontrolowanych jednostek. </w:t>
            </w:r>
          </w:p>
          <w:p w14:paraId="6A504FE1"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Mając na uwadze charakter kontrolowanych podmiotów, jak również nałożone przepisami prawa krajowego, unijnego i</w:t>
            </w:r>
            <w:r>
              <w:rPr>
                <w:rFonts w:ascii="Times New Roman" w:hAnsi="Times New Roman"/>
              </w:rPr>
              <w:t> </w:t>
            </w:r>
            <w:r w:rsidRPr="00083A45">
              <w:rPr>
                <w:rFonts w:ascii="Times New Roman" w:hAnsi="Times New Roman"/>
              </w:rPr>
              <w:t xml:space="preserve">międzynarodowego obowiązki w zakresie nadzoru nad nimi, organy Państwowej Inspekcji Farmaceutycznej nie mają możliwości rzetelnego realizowania przypisanych im zadań nawet na poziomie minimum. Jednocześnie należy zwrócić uwagę, że Państwowa Inspekcja Farmaceutyczna jest odpowiedzialna za nadzór nad jednym z krytycznych aspektów funkcjonowania państwa, tj. szeroko pojmowanym bezpieczeństwem lekowym. Regulacje dotyczące funkcjonowania Państwowej Inspekcji Farmaceutycznej powinny zatem zapewnić nie tylko niezakłóconą realizację zadań bieżących, ale również umożliwiać podejmowanie proaktywnych działań zmierzających w celu usprawniania nadzoru nad rynkiem farmaceutycznym. </w:t>
            </w:r>
            <w:r>
              <w:rPr>
                <w:rFonts w:ascii="Times New Roman" w:hAnsi="Times New Roman"/>
              </w:rPr>
              <w:t xml:space="preserve">Niewykonywanie lub nieterminowe wykonywanie zadań w zakresie nadzoru nad rynkiem może natomiast nieść za sobą daleko idące negatywne konsekwencje nie tylko dla odbiorców końcowych produktów leczniczych (pacjentów), ale również dla podmiotów nadzorowanych. Przykładowo, opóźnienie w przeprowadzeniu inspekcji, której wynikiem może być wydanie certyfikatu Dobrej Praktyki Wytwarzania albo Dobrej Praktyki Dystrybucyjnej, może skutkować efektywnym wykluczeniem przedsiębiorców z szerszego rynku unijnego. Dla znaczącego odsetka potencjalnych kontrahentów podmiotów działających w obszarach wytwarzania lub dystrybucji produktów leczniczych fakt posiadania takiego certyfikatu stanowi bowiem warunek konieczny podjęcia współpracy. </w:t>
            </w:r>
          </w:p>
          <w:p w14:paraId="26156506" w14:textId="77777777" w:rsidR="00FA085E" w:rsidRPr="00083A45" w:rsidRDefault="00FA085E" w:rsidP="00FA085E">
            <w:pPr>
              <w:pStyle w:val="Akapitzlist"/>
              <w:tabs>
                <w:tab w:val="left" w:pos="-4678"/>
              </w:tabs>
              <w:spacing w:line="240" w:lineRule="auto"/>
              <w:ind w:left="0"/>
              <w:jc w:val="both"/>
              <w:rPr>
                <w:rFonts w:ascii="Times New Roman" w:hAnsi="Times New Roman"/>
              </w:rPr>
            </w:pPr>
            <w:r w:rsidRPr="00083A45">
              <w:rPr>
                <w:rFonts w:ascii="Times New Roman" w:hAnsi="Times New Roman"/>
              </w:rPr>
              <w:t xml:space="preserve">Projektowana zmiana struktury jest zatem niezbędna. </w:t>
            </w:r>
          </w:p>
          <w:p w14:paraId="1DD15B71" w14:textId="77777777" w:rsidR="00FA085E" w:rsidRDefault="00FA085E" w:rsidP="00FA085E">
            <w:pPr>
              <w:spacing w:line="240" w:lineRule="auto"/>
              <w:jc w:val="both"/>
              <w:rPr>
                <w:rFonts w:ascii="Times New Roman" w:hAnsi="Times New Roman"/>
              </w:rPr>
            </w:pPr>
            <w:r w:rsidRPr="00083A45">
              <w:rPr>
                <w:rFonts w:ascii="Times New Roman" w:hAnsi="Times New Roman"/>
              </w:rPr>
              <w:t>Przewiduje się, że zwiększy ona efektywność działań Państwowej Inspekcji Farmaceutycznej, jak również podniesie rangę instytucji. W przypadku przyjęcia rozwiązania alternatywnego, polegającego na samej pionizacji struktury, ale bez zwiększenia poziomu zatrudnienia byłoby ono działaniem wielce niecelowym, niekorzystnym dla samej Inspekcji Farmaceutycznej, chociażby z powodu możliwości przysługujących wojewodom w zakresie partycypacji kosztów wśród posiadanych inspekcji zespolonych (obsługa księgowa, informatyczna, zapewnianie powierzchni biurowej), której to możliwości Główny Inspektor Farmaceutyczny by nie posiadał. Przyjęcie tego alternatywnego środka sprowadziłoby się do pogłębienia stagnacji wobec stanu obecnego realnie jeszcze bardziej pogarszając sprawowanie właściwego nadzoru nad podmiotami kontrolowanymi przez Inspekcję Farmaceutyczną.</w:t>
            </w:r>
          </w:p>
          <w:p w14:paraId="03ADC3BD" w14:textId="77777777" w:rsidR="00FA085E" w:rsidRPr="00215A8F" w:rsidRDefault="00FA085E" w:rsidP="00FA085E">
            <w:pPr>
              <w:pStyle w:val="Akapitzlist"/>
              <w:spacing w:line="240" w:lineRule="auto"/>
              <w:ind w:left="0"/>
              <w:jc w:val="both"/>
              <w:rPr>
                <w:rFonts w:ascii="Times New Roman" w:hAnsi="Times New Roman"/>
              </w:rPr>
            </w:pPr>
            <w:r w:rsidRPr="00215A8F">
              <w:rPr>
                <w:rFonts w:ascii="Times New Roman" w:hAnsi="Times New Roman"/>
              </w:rPr>
              <w:t xml:space="preserve">NIK w wystąpieniu pokontrolnym KZD.411.002.02.2020 zwróciła uwagę na niejednolitość podejmowanych decyzji.  NIK stwierdziła, że niejednolicie postępowano w sytuacji stwierdzenia operacji wskazujących na udział kontrolowanej placówki w odwróconym łańcuchu dystrybucji – część </w:t>
            </w:r>
            <w:r>
              <w:rPr>
                <w:rFonts w:ascii="Times New Roman" w:hAnsi="Times New Roman"/>
              </w:rPr>
              <w:t>w</w:t>
            </w:r>
            <w:r w:rsidRPr="00215A8F">
              <w:rPr>
                <w:rFonts w:ascii="Times New Roman" w:hAnsi="Times New Roman"/>
              </w:rPr>
              <w:t xml:space="preserve">ojewódzkich </w:t>
            </w:r>
            <w:r>
              <w:rPr>
                <w:rFonts w:ascii="Times New Roman" w:hAnsi="Times New Roman"/>
              </w:rPr>
              <w:t>i</w:t>
            </w:r>
            <w:r w:rsidRPr="00215A8F">
              <w:rPr>
                <w:rFonts w:ascii="Times New Roman" w:hAnsi="Times New Roman"/>
              </w:rPr>
              <w:t xml:space="preserve">nspektorów </w:t>
            </w:r>
            <w:r>
              <w:rPr>
                <w:rFonts w:ascii="Times New Roman" w:hAnsi="Times New Roman"/>
              </w:rPr>
              <w:t xml:space="preserve">farmaceutycznych </w:t>
            </w:r>
            <w:r w:rsidRPr="00215A8F">
              <w:rPr>
                <w:rFonts w:ascii="Times New Roman" w:hAnsi="Times New Roman"/>
              </w:rPr>
              <w:t>wydawała decyzje nakazujące usunięcie stwierdzonych nieprawidłowości, a część wszczynała postępowania administracyjne w kierunku cofnięcia zezwolenia na prowadzenie apteki – co z kolei uzasadnia pionizację Państwowej Inspekcji Farmaceutycznej. Organy Inspekcji Farmaceutycznej w sposób niejednolity postępowały także w przypadkach stwierdzonych naruszeń prawa odnoszących się do obrotu produktami leczniczymi. Nieskuteczne egzekwowanie od kontrolowanych podmiotów obowiązku wyeliminowania nieprawidłowości prowadzi do osłabienia autorytetu państwa i jego instytucji.</w:t>
            </w:r>
          </w:p>
          <w:p w14:paraId="3C3ADA4A" w14:textId="77777777" w:rsidR="00FA085E" w:rsidRPr="00215A8F" w:rsidRDefault="00FA085E" w:rsidP="00FA085E">
            <w:pPr>
              <w:pStyle w:val="Akapitzlist"/>
              <w:spacing w:line="240" w:lineRule="auto"/>
              <w:ind w:left="0"/>
              <w:jc w:val="both"/>
              <w:rPr>
                <w:rFonts w:ascii="Times New Roman" w:hAnsi="Times New Roman"/>
              </w:rPr>
            </w:pPr>
            <w:r w:rsidRPr="00215A8F">
              <w:rPr>
                <w:rFonts w:ascii="Times New Roman" w:hAnsi="Times New Roman"/>
              </w:rPr>
              <w:t xml:space="preserve">NIK stwierdziła również, że umiejscowienie WIF w rządowej administracji zespolonej w województwie była wskazywana przez wojewódzkich inspektorów, jako jedno z ograniczeń w funkcjonowaniu Inspekcji. Wiązało się to w szczególności z wprowadzaniem podwójnego podporządkowania </w:t>
            </w:r>
            <w:r>
              <w:rPr>
                <w:rFonts w:ascii="Times New Roman" w:hAnsi="Times New Roman"/>
              </w:rPr>
              <w:t>w</w:t>
            </w:r>
            <w:r w:rsidRPr="00215A8F">
              <w:rPr>
                <w:rFonts w:ascii="Times New Roman" w:hAnsi="Times New Roman"/>
              </w:rPr>
              <w:t xml:space="preserve">ojewódzkich </w:t>
            </w:r>
            <w:r>
              <w:rPr>
                <w:rFonts w:ascii="Times New Roman" w:hAnsi="Times New Roman"/>
              </w:rPr>
              <w:t>i</w:t>
            </w:r>
            <w:r w:rsidRPr="00215A8F">
              <w:rPr>
                <w:rFonts w:ascii="Times New Roman" w:hAnsi="Times New Roman"/>
              </w:rPr>
              <w:t xml:space="preserve">nspektorów </w:t>
            </w:r>
            <w:r>
              <w:rPr>
                <w:rFonts w:ascii="Times New Roman" w:hAnsi="Times New Roman"/>
              </w:rPr>
              <w:t xml:space="preserve">farmaceutycznych </w:t>
            </w:r>
            <w:r w:rsidRPr="00215A8F">
              <w:rPr>
                <w:rFonts w:ascii="Times New Roman" w:hAnsi="Times New Roman"/>
              </w:rPr>
              <w:t>– służbowo i finansowo – wojewodzie, natomiast merytorycznie nadzór nad nimi sprawuje GIF. Takie rozwiązanie – jak wskazano również w sporządzonych na zlecenie NIK opiniach przedstawicieli nauki prawa – posiada zarówno zalety związane m.in. z ułatwionym dostępem do WIF oraz możliwością uwzględniania w działalności wojewódzkich inspektorów warunków lokalnych, jak i niewątpliwe wady dotyczące m.in. utrudnienia w koordynowaniu przez GIF działań poszczególnych Inspektoratów oraz braku jednolitych zasad i warunków ich funkcjonowania.</w:t>
            </w:r>
          </w:p>
          <w:p w14:paraId="38D51E4D" w14:textId="77777777" w:rsidR="00FA085E" w:rsidRDefault="00FA085E" w:rsidP="00FA085E">
            <w:pPr>
              <w:spacing w:line="240" w:lineRule="auto"/>
              <w:jc w:val="both"/>
              <w:rPr>
                <w:rFonts w:ascii="Times New Roman" w:hAnsi="Times New Roman"/>
                <w:color w:val="000000"/>
              </w:rPr>
            </w:pPr>
            <w:r>
              <w:rPr>
                <w:rFonts w:ascii="Times New Roman" w:hAnsi="Times New Roman"/>
                <w:color w:val="000000"/>
              </w:rPr>
              <w:t>Podkreślenia wymaga fakt, że niezależnie od kwestii pionizacji Państwowej Inspekcji Farmaceutycznej dla prawidłowego funkcjonowania nadzoru farmaceutycznego jest konieczne zapewnienie dodatkowych etatów zarówno w obecnych wojewódzkich inspektoratach farmaceutycznych jak i w GIF. Państwowa Inspekcja Farmaceutyczna zmaga się z brakami kadrowymi, które uniemożliwiają zapewnienie optymalnego poziomu nadzoru nad rynkiem. Na co zwracała również Najwyższa Izba Kontroli.</w:t>
            </w:r>
          </w:p>
          <w:p w14:paraId="62F84C82" w14:textId="77777777" w:rsidR="00FA085E" w:rsidRDefault="00FA085E" w:rsidP="00FA085E">
            <w:pPr>
              <w:spacing w:line="240" w:lineRule="auto"/>
              <w:jc w:val="both"/>
              <w:rPr>
                <w:rFonts w:ascii="Times New Roman" w:hAnsi="Times New Roman"/>
                <w:color w:val="000000"/>
              </w:rPr>
            </w:pPr>
            <w:r>
              <w:rPr>
                <w:rFonts w:ascii="Times New Roman" w:hAnsi="Times New Roman"/>
                <w:color w:val="000000"/>
              </w:rPr>
              <w:t>Niezależnie od powyższego n</w:t>
            </w:r>
            <w:r w:rsidRPr="009F3204">
              <w:rPr>
                <w:rFonts w:ascii="Times New Roman" w:hAnsi="Times New Roman"/>
                <w:color w:val="000000"/>
              </w:rPr>
              <w:t>ależy również wskazać, że pionizacja Państwowej Inspekcji Farmaceutycznej jest rozwiązaniem korzystnym systemowo, efektywnie wpłynie na zwiększenie wykrywalności przestępstw i zwalczania patologii na rynku farmaceutycznym, ułatwi możliwość współpracy z organami ścigania oraz Krajową Administracją Skarbową</w:t>
            </w:r>
            <w:r>
              <w:rPr>
                <w:rFonts w:ascii="Times New Roman" w:hAnsi="Times New Roman"/>
                <w:color w:val="000000"/>
              </w:rPr>
              <w:t xml:space="preserve"> </w:t>
            </w:r>
            <w:r w:rsidRPr="009F3204">
              <w:rPr>
                <w:rFonts w:ascii="Times New Roman" w:hAnsi="Times New Roman"/>
                <w:color w:val="000000"/>
              </w:rPr>
              <w:t>(KAS), i w sposób znaczący poprawi bezpieczeństwo obrotu produktami leczniczymi, co leży w interesie wszystkich pacjentów. Jednolita inspekcja podległa będzie całkowicie Głównemu Inspektorowi Farmaceutycznemu, co przyczyni się do poprawy efektywności przeprowadzanych przez inspektorów farmaceutycznych kontroli, co w dalszej perspektywie zwiększy dochody budżetu państwa w zakresie wymierzanych kar.</w:t>
            </w:r>
          </w:p>
          <w:p w14:paraId="6A9BFD94"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Wymierność wprowadzanych zmian usprawniających funkcjonowanie Państwowej Inspekcji Farmaceutycznej wpływa w</w:t>
            </w:r>
            <w:r w:rsidR="006C2D8F">
              <w:rPr>
                <w:rFonts w:ascii="Times New Roman" w:hAnsi="Times New Roman"/>
                <w:color w:val="000000"/>
              </w:rPr>
              <w:t> </w:t>
            </w:r>
            <w:r w:rsidRPr="009F3204">
              <w:rPr>
                <w:rFonts w:ascii="Times New Roman" w:hAnsi="Times New Roman"/>
                <w:color w:val="000000"/>
              </w:rPr>
              <w:t>pierwszym etapie (wprowadzania regulacji – dokadrowanie jednostki) na obciążenie budżetu państwa, lecz w dłuższej perspektywie przyniesie realne dodatnie skutki finansowe, przejawiające się wpływami do budżetu państwa, ze względu na umożliwienie inspekcji wszechstronnego podejmowania działań na rynku farmaceutycznym (również pozaaptecznym), jego faktycznego odzwierciedlenia, a w konsekwencji pozwoli na eliminację patologii na nim występujących (i zapewni wpływy z podatku VAT, podatków oraz kar administracyjnych), a jednocześnie działanie to przyczyni się do wzrostu zapobiegania negatywnych następstw wśród społeczeństwa (uzależnienia od leków, środków odurzających i</w:t>
            </w:r>
            <w:r w:rsidR="00A10094">
              <w:rPr>
                <w:rFonts w:ascii="Times New Roman" w:hAnsi="Times New Roman"/>
                <w:color w:val="000000"/>
              </w:rPr>
              <w:t> </w:t>
            </w:r>
            <w:r w:rsidRPr="009F3204">
              <w:rPr>
                <w:rFonts w:ascii="Times New Roman" w:hAnsi="Times New Roman"/>
                <w:color w:val="000000"/>
              </w:rPr>
              <w:t>psychotropów), co przyczyni się do zmniejszenia kosztów leczenia obywateli.</w:t>
            </w:r>
          </w:p>
          <w:p w14:paraId="7D5BF53F"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lastRenderedPageBreak/>
              <w:t>Pionizacja Państwowej Inspekcji Farmaceutycznej wpłynie bezpośrednio na zwiększenie efektywności wykonywania obecnie przez wojewódzkich inspektorów farmaceutycznych zadań  w obszarze związanym z nadzorem nad:</w:t>
            </w:r>
          </w:p>
          <w:p w14:paraId="4BDC73F6" w14:textId="77777777" w:rsidR="00FA085E" w:rsidRPr="009F3204"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obrotem detalicznym produktami leczniczymi i wyrobami medycznymi;</w:t>
            </w:r>
          </w:p>
          <w:p w14:paraId="63598ACB" w14:textId="77777777" w:rsidR="00FA085E" w:rsidRPr="009F3204"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podmiotami prowadzącymi obrót detaliczny oraz stosującymi produkty lecznicze i wyroby medyczne, m.in. apteki, punkty apteczne, sklepy, stacje sanitarno-epidemiologiczne, jednostki organizacyjne publicznej służby krwi;</w:t>
            </w:r>
          </w:p>
          <w:p w14:paraId="7D2E7332" w14:textId="77777777" w:rsidR="00FA085E" w:rsidRPr="009F3204"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podmiotami uprawnionymi do posiadania środków odurzających, substancji psychotropowych lub prekursorów, m.in. placówki służby zdrowia, gabinety lekarskie, szkoły wyższe, jednostki badawczo-rozwojowe, armatorzy statków, izby wytrzeźwień;</w:t>
            </w:r>
          </w:p>
          <w:p w14:paraId="7A06431E" w14:textId="77777777" w:rsidR="00FA085E" w:rsidRPr="009F3204"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transportem, przeładunkiem i przechowywaniem produktów leczniczych i wyrobów medycznych;</w:t>
            </w:r>
          </w:p>
          <w:p w14:paraId="5D49BCC6" w14:textId="77777777" w:rsidR="00FA085E" w:rsidRPr="009F3204"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jakością produktów leczniczych będących przedmiotem obrotu detalicznego;</w:t>
            </w:r>
          </w:p>
          <w:p w14:paraId="70DBE0E7" w14:textId="77777777" w:rsidR="00FA085E" w:rsidRDefault="00FA085E" w:rsidP="00FA085E">
            <w:pPr>
              <w:numPr>
                <w:ilvl w:val="0"/>
                <w:numId w:val="39"/>
              </w:numPr>
              <w:spacing w:line="240" w:lineRule="auto"/>
              <w:ind w:left="426"/>
              <w:jc w:val="both"/>
              <w:rPr>
                <w:rFonts w:ascii="Times New Roman" w:hAnsi="Times New Roman"/>
                <w:color w:val="000000"/>
              </w:rPr>
            </w:pPr>
            <w:r w:rsidRPr="009F3204">
              <w:rPr>
                <w:rFonts w:ascii="Times New Roman" w:hAnsi="Times New Roman"/>
                <w:color w:val="000000"/>
              </w:rPr>
              <w:t>jakością leków recepturowych i aptecznych sporządzonych w aptekach.</w:t>
            </w:r>
          </w:p>
          <w:p w14:paraId="3E4FEA1D"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W celu zabezpieczenia interesu społecznego w zakresie bezpieczeństwa zdrowia i życia ludzi w kontekście stosowania produktów leczniczych i wyrobów medycznych, znajdujących się w podmiotach nadzorowanych obecnie przez wojewódzkich inspektorów farmaceutycznych, jak również zadośćuczynienie finansom państwa w zakresie należnych mu podatków wynikających z obrotu produktami leczniczymi, niezbędne jest przeprowadzanie regularnych, kompleksowych i przede wszystkim skoordynowanych na poziomie krajowym kontroli. Obecna struktura organizacyjna oraz poziom zatrudnienia w wojewódzkich inspektoratach farmaceutycznych i </w:t>
            </w:r>
            <w:r>
              <w:rPr>
                <w:rFonts w:ascii="Times New Roman" w:hAnsi="Times New Roman"/>
                <w:color w:val="000000"/>
              </w:rPr>
              <w:t>GIF</w:t>
            </w:r>
            <w:r w:rsidRPr="009F3204">
              <w:rPr>
                <w:rFonts w:ascii="Times New Roman" w:hAnsi="Times New Roman"/>
                <w:color w:val="000000"/>
              </w:rPr>
              <w:t xml:space="preserve"> nie pozwala natomiast na realizację zadań nadzorczych nawet na minimalnym akceptowalnym z uwagi na ten cel poziomie.</w:t>
            </w:r>
          </w:p>
          <w:p w14:paraId="1AD53F77"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Jednym z kluczowych obszarów, w którym brak koordynacji przekłada się wprost na znaczne ryzyka dla zdrowia i życia, jest nadzór nad produktami leczniczymi dostępnymi bez recepty zawierającymi substancje psychoaktywne (pseudoefedryna, kodeina i dekstrometorfan), których nadmierne spożycie może prowadzić do uzależnień. Co więcej, dobrze rozpoznanym problemem, przeciwdziałanie któremu jest znacząco utrudnione przez wzgląd na obecny model funkcjonowania Państwowej Inspekcji Farmaceutycznej, jest skupowanie tego typu produktów w celu pozyskania półproduktów służących do wytwarzania „twardych” narkotyków, w szczególności metamfetaminy. Głównym problemem w przeciwdziałaniu tego typu zjawiskom jest brak możliwości skutecznego koordynowania działań prowadzonych jednocześnie na obszarze wielu województw. Główny Inspektor Farmaceutyczny nie ma obecnie narzędzi do podjęcia ponadinstytucjonalnych działań na obszarze danego województwa. Z uwagi na obecną strukturę Państwowej Inspekcji Farmaceutycznej na terenie województwa mogą podejmować działania jedynie właściwi wojewódzcy inspektorzy farmaceutyczni bez możliwości alokacji zasobów z innych części kraju, co znacznie ogranicza możliwość przeciwdziałania patologiom na dużą skalę. Rozwiązania niezwiązane bezpośrednio z funkcjonowaniem Państwowej Inspekcji Farmaceutycznej, które miały przeciwdziałać temu zjawisku, okazały się nieskuteczne. Pomimo bowiem wejścia w życie z dniem 1 stycznia 2017 r. przepisów art. 71a ustawy z dnia 6 września 2001 r. – Prawo farmaceutyczne, które wprowadziły ograniczenie wydawania produktów leczniczych zawierających w składzie substancje o działaniu psychoaktywnym o</w:t>
            </w:r>
            <w:r w:rsidR="00A10094">
              <w:rPr>
                <w:rFonts w:ascii="Times New Roman" w:hAnsi="Times New Roman"/>
                <w:color w:val="000000"/>
              </w:rPr>
              <w:t> </w:t>
            </w:r>
            <w:r w:rsidRPr="009F3204">
              <w:rPr>
                <w:rFonts w:ascii="Times New Roman" w:hAnsi="Times New Roman"/>
                <w:color w:val="000000"/>
              </w:rPr>
              <w:t>kategorii dostępności „OTC”, skala zjawiska pozamedycznego stosowania przez polską młodzież leków oraz nielegalnego wytwarzania w Rzeczypospolitej Polskiej narkotyków z produktów leczniczych zawierających substancje psychoaktywne, a w szczególności pozyskiwania w tym celu wskazanych produktów leczniczych na przestrzeni ostatnich lat nie zmalała. Co więcej, proceder nielegalnych laboratoriów, zajmujących się syntezą amfetaminy z produktów leczniczych zawierających pseudoefedrynę rozwija się przede wszystkim w południowej części naszego kraju i Czechach, a prowadzony na terytorium Rzeczypospolitej Polskiej obrót detaliczny produktami leczniczymi, wykorzystywanymi do produkcji tego rodzaju narkotyków syntetycznych, jest źródłem substancji czynnych wykorzystywanych do tego procederu.</w:t>
            </w:r>
          </w:p>
          <w:p w14:paraId="01F08569"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Dopiero przeprowadzenie kampanii informacyjnej i skoordynowanych inspekcji w wielu punktach sprzedaży produktów leczniczych może zapewnić, że produkty lecznicze nie będą dostępne dla dzieci, nie będą przeterminowane lub przechowywane w niewłaściwych warunkach. W sytuacji braku realnego nadzoru organizacyjnego nad wojewódzką inspekcją farmaceutyczną organizacja przedsięwzięć o takim zasięgu nie jest możliwa.</w:t>
            </w:r>
          </w:p>
          <w:p w14:paraId="033AC412"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Dane z zakresu narkotyków i narkomanii w Europie (por. Europejskie Centrum Monitorowania Narkotyków i Narkomanii (2018), Europejski raport narkotykowy 2018: Tendencje i osiągnięcia, Urząd Publikacji Unii Europejskiej, Luksemburg, s. 28 i 29) wskazują, że „ (…) znaczna część metamfetaminy dostępnej w Europie pochodzi z Czech, a od niedawna także z przygranicznych okolic państw ościennych. W Czechach metamfetaminę produkuje się głównie z prekursora pseudoefedryny, którą pozyskuje się z produktów leczniczych przywożonych przede wszystkim z Polski (…). Z 291 nielegalnych laboratoriów metamfetaminy zgłoszonych w Unii Europejskiej w 2016 r., 261 znajdowało się na terenie Czech. Najwięcej jest działających na niewielką skalę laboratoriów zaopatrujących rynek krajowy, zgłaszano też jednak duże zakłady produkcyjne, w których zorganizowane grupy przestępcze wytwarzają metamfetaminę dla innych krajów europejskich.”.</w:t>
            </w:r>
          </w:p>
          <w:p w14:paraId="00809F7E"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Ponadto analiza danych z Systemu monitorowania narkotyków i narkomanii wskazuje, że zjawisko używania metamfetaminy w Rzeczypospolitej Polskiej wykazuje tendencję wzrostową. Generuje to koszty pośrednie związane z</w:t>
            </w:r>
            <w:r w:rsidR="00A10094">
              <w:rPr>
                <w:rFonts w:ascii="Times New Roman" w:hAnsi="Times New Roman"/>
                <w:color w:val="000000"/>
              </w:rPr>
              <w:t> </w:t>
            </w:r>
            <w:r w:rsidRPr="009F3204">
              <w:rPr>
                <w:rFonts w:ascii="Times New Roman" w:hAnsi="Times New Roman"/>
                <w:color w:val="000000"/>
              </w:rPr>
              <w:t>leczeniem konsekwencji nadużycia pseudoefedryny, czy tworzonej z niej amfetaminy, w postaci hospitalizacji, terapii odwykowych i długotrwałego leczenia psychiatrycznego. W tym kontekście niepomijalną kwestią są wciąż powstające nowe kanały przemytu produktów leczniczych, również generujące straty dla budżetu państwa. Proponowane nowe regulacje prawne, które zwiększą kompetencje nadzorcze organów Państwowej Inspekcji Farmaceutycznej przełożą się na ograniczenie nielegalnych praktyk w tym zakresie.</w:t>
            </w:r>
          </w:p>
          <w:p w14:paraId="61734AAE"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lastRenderedPageBreak/>
              <w:t>Opioidy stosowane  są w medycynie, głównie w celach przeciwbólowych np. morfina, fentanyl, metadon, buprenorfina, oksykodon. Niestety</w:t>
            </w:r>
            <w:r>
              <w:rPr>
                <w:rFonts w:ascii="Times New Roman" w:hAnsi="Times New Roman"/>
                <w:color w:val="000000"/>
              </w:rPr>
              <w:t>,</w:t>
            </w:r>
            <w:r w:rsidRPr="009F3204">
              <w:rPr>
                <w:rFonts w:ascii="Times New Roman" w:hAnsi="Times New Roman"/>
                <w:color w:val="000000"/>
              </w:rPr>
              <w:t xml:space="preserve"> w dobie społeczeństwa informacyjnego niezwykle łatwo dostępna jest wiedza o możliwych zastosowaniach produktów leczniczych w celach pozamedycznych. Niewystarczający i nieskuteczny nadzór nad obrotem detalicznym produktami leczniczym, wynikający z rozproszenia go między 16 niezależnych organów, ogranicza wykrywalność nieprawidłowości na rynku i  skutkuje rozkwitem nielegalnej sprzedaży produktów leczniczych. Mniejsza wykrywalność nieprawidłowości skutkuje natomiast rzadkim stosowaniem administracyjnych kar pieniężnych wobec podmiotów działających niezgodnie z przepisami prawa. To z kolei prowadzi do obniżenia wpływów finansowych do budżetu państwa.</w:t>
            </w:r>
          </w:p>
          <w:p w14:paraId="1F04EA57"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Działalność podmiotów dopuszczających się naruszeń powoduje również inne negatywne skutki dla sektora farmaceutycznego </w:t>
            </w:r>
            <w:r>
              <w:rPr>
                <w:rFonts w:ascii="Times New Roman" w:hAnsi="Times New Roman"/>
                <w:color w:val="000000"/>
              </w:rPr>
              <w:t xml:space="preserve">– </w:t>
            </w:r>
            <w:r w:rsidRPr="009F3204">
              <w:rPr>
                <w:rFonts w:ascii="Times New Roman" w:hAnsi="Times New Roman"/>
                <w:color w:val="000000"/>
              </w:rPr>
              <w:t>powstają bariery dla innowacji, zmniejszona zostaje konkurencyjność, zahamowane zostają bezpośrednie inwestycje zagraniczne, likwidacji ulegają miejsca pracy. Tworzone są podstawy rozwoju równoległego nielegalnego systemu gospodarczego, kontrolowanego przez zorganizowane grupy przestępcze. Przede wszystkim należy zwrócić uwagę na to, że zagrożone jest zdrowie i życie obywateli, co powoduje utratę wiarygodności i zaufania społecznego. Jedynie skoordynowane działania obejmujące swoim zasięgiem obszar całego kraju umożliwią skuteczną walkę z zorganizowanymi grupami przestępczymi działającymi na rynku farmaceutycznym.</w:t>
            </w:r>
          </w:p>
          <w:p w14:paraId="1A9EDDCE"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Jednocześnie, skutecznie przeprowadzony proces pionizacji Państwowej Inspekcji Farmaceutycznej z jednej strony wzmocni nadzór nad legalnym obrotem produktami leczniczymi, a z drugiej strony poprzez zwiększenie kompetencji inspektorów pozwoli na przeprowadzenie kontroli w miejscach dotychczas niekontrolowanych, w których znajdują się produkty lecznicze. Obecnie inspektorzy farmaceutyczni mogą przeprowadzić czynności kontrolne jedynie w miejscach objętych zezwoleniem na prowadzenie działalności. Projektowana ustawa uprawnia inspektorów do kontroli miejsc gdzie zachodzi uzasadnione podejrzenie wykonywania takiej działalności, a więc w istotny sposób poszerza kompetencje Państwowej Inspekcji Farmaceutycznej. Powyższe powinno również skutkować wyeliminowaniem nielegalnej praktyki sprzedaży produktów leczniczych z pominięciem legalnego łańcucha obrotu, np. przez Internet, co w konsekwencji spowoduje zatrzymanie produktów leczniczych w legalnym obrocie. Takie działanie bezpośrednio przełoży się na finanse państwa poprzez ograniczenia luki VAT, a także zabezpieczenie życia i zdrowia obywateli.</w:t>
            </w:r>
          </w:p>
          <w:p w14:paraId="5BAFE547"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Podkreślić należy, że Główny Inspektor Farmaceutyczny jest organem administracji państwowej zatrudniającym fachowców o unikalnej wiedzy i kompetencjach, których brakuje w organach ścigania. Skutkuje to często trudnościami w prowadzonych postępowaniach wobec przestępstw farmaceutycznych. Wzmocnienie Państwowej Inspekcji Farmaceutycznej w wyniku rozszerzenia kompetencji kontrolnych z jednej strony odciąży organy ścigania, z drugiej zmaksymalizuje wykrywalność tego rodzaju przestępstw. </w:t>
            </w:r>
          </w:p>
          <w:p w14:paraId="05FBAC8A"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Niewątpliwie bezpieczeństwo lekowe jest nadrzędnym celem organu nadzorującego rynek farmaceutyczny. Leki są szczególną grupą produktów, która mimo że może powodować istotne zagrożenia dla zdrowia i życia, szczególnie osób małoletnich to obecnie jest dostępna w nieustalonej bliżej liczbie miejsc (sklepy, stacje benzynowe, </w:t>
            </w:r>
            <w:r w:rsidR="0023466E">
              <w:rPr>
                <w:rFonts w:ascii="Times New Roman" w:hAnsi="Times New Roman"/>
                <w:color w:val="000000"/>
              </w:rPr>
              <w:t>targowiska</w:t>
            </w:r>
            <w:r w:rsidRPr="009F3204">
              <w:rPr>
                <w:rFonts w:ascii="Times New Roman" w:hAnsi="Times New Roman"/>
                <w:color w:val="000000"/>
              </w:rPr>
              <w:t>) i</w:t>
            </w:r>
            <w:r w:rsidR="0023466E">
              <w:rPr>
                <w:rFonts w:ascii="Times New Roman" w:hAnsi="Times New Roman"/>
                <w:color w:val="000000"/>
              </w:rPr>
              <w:t> </w:t>
            </w:r>
            <w:r w:rsidRPr="009F3204">
              <w:rPr>
                <w:rFonts w:ascii="Times New Roman" w:hAnsi="Times New Roman"/>
                <w:color w:val="000000"/>
              </w:rPr>
              <w:t xml:space="preserve">oferowana w niekontrolowany sposób. </w:t>
            </w:r>
            <w:r>
              <w:rPr>
                <w:rFonts w:ascii="Times New Roman" w:hAnsi="Times New Roman"/>
                <w:color w:val="000000"/>
              </w:rPr>
              <w:t>Szczególny charakter leków wynika</w:t>
            </w:r>
            <w:r w:rsidRPr="009F3204">
              <w:rPr>
                <w:rFonts w:ascii="Times New Roman" w:hAnsi="Times New Roman"/>
                <w:color w:val="000000"/>
              </w:rPr>
              <w:t xml:space="preserve"> również z</w:t>
            </w:r>
            <w:r>
              <w:rPr>
                <w:rFonts w:ascii="Times New Roman" w:hAnsi="Times New Roman"/>
                <w:color w:val="000000"/>
              </w:rPr>
              <w:t xml:space="preserve">e złożoności </w:t>
            </w:r>
            <w:r w:rsidRPr="009F3204">
              <w:rPr>
                <w:rFonts w:ascii="Times New Roman" w:hAnsi="Times New Roman"/>
                <w:color w:val="000000"/>
              </w:rPr>
              <w:t xml:space="preserve">procesu projektowania, badań klinicznych, wytwarzania i dopuszczenia </w:t>
            </w:r>
            <w:r>
              <w:rPr>
                <w:rFonts w:ascii="Times New Roman" w:hAnsi="Times New Roman"/>
                <w:color w:val="000000"/>
              </w:rPr>
              <w:t xml:space="preserve">ich </w:t>
            </w:r>
            <w:r w:rsidRPr="009F3204">
              <w:rPr>
                <w:rFonts w:ascii="Times New Roman" w:hAnsi="Times New Roman"/>
                <w:color w:val="000000"/>
              </w:rPr>
              <w:t>do obrotu. Z uwagi na to priorytetem państwowej polityki zdrowotnej zawsze powinno być zagwarantowanie pacjentom niezakłóconego dostępu do produktów leczniczych.</w:t>
            </w:r>
          </w:p>
          <w:p w14:paraId="2316D226"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Wyżej wskazane przyczyny zmian mających fundamentalne znaczenie dla funkcjonowania Państwowej Inspekcji Farmaceutycznej, jako nadzorcy rynku farmaceutycznego, sprowadzają się w głównej mierze do poprawy oraz rzeczywistego wpływu regulatora rynku farmaceutycznego – odpowiedzialnego w systemie za zapewnienie ochrony zdrowia, która stanowi dobro konstytucyjne (art. 68 ust. 1 Konstytucji RP), jako nadrzędną wartość, rozumianą nie tylko jako zdrowie pojmowane indywidualnie jako dobro osobiste, lecz także zdrowie publiczne. Nie bez znaczenia pozostaje wpływ planowanych zmian na częściowe wypełnienie luki VAT w aspekcie ograniczenia szarej strefy obrotu produktami leczniczymi.</w:t>
            </w:r>
          </w:p>
          <w:p w14:paraId="3D88AF22"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Główny Inspektor Farmaceutyczny wypisuje się w rolę jednego z podmiotów mających gwarantować zapewnienie możliwości korzystania z systemu ochrony zdrowia funkcjonalnie ukierunkowanego na zwalczanie i zapobieganie rozwoju chorób, przejawiające się w postaci zapewnienia sprawnie funkcjonującego łańcucha dystrybucji farmaceutycznej, będącego warunkiem zapewnienia fizycznej dostępności produktów leczniczych. W centrum zainteresowania Państwowej Inspekcji Farmaceutycznej znajduje się pacjent i to dla niego podejmowane są próby usprawnienia systemu ochrony zdrowia, w zakresie rynku farmaceutycznego. </w:t>
            </w:r>
          </w:p>
          <w:p w14:paraId="3FB36F16"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Prawidłowa dystrybucja leków powinna rozpoczynać się od producenta, następnie lek powinien być przekazywany do hurtowni, potem do apteki i na końcu trafić do pacjenta. Tylko zapewnienie funkcjonowania prawidłowego łańcucha dystrybucji, sprowadzającego się do zagwarantowania dostępności produktów leczniczych, ale również pewność ich oryginalności, właściwego przechowywania jak również otoczenie pacjenta stosowną opieką farmaceutyczną stanowi punkt wyjścia rozwiązywanego problemu istniejącego obecnie na rynku farmaceutycznym.</w:t>
            </w:r>
          </w:p>
          <w:p w14:paraId="61B9809F"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Drugim również istotnym wątkiem wpisującym się jednocześnie w zapewnienie dobra pacjenta, jest zwiększenie roli Głównego Inspektora Farmaceutycznego, który z jednej strony jako nadzorca rynku farmaceutycznego stoi na straży przestrzegania obowiązujących norm prawnych, a z drugiej jako przedstawiciel środowiska farmaceutycznego odpowiada za farmaceutów, którzy wymagają wsparcia w postaci „opiekuna” zapewniającego stanie na straży tego, aby zawód farmaceuty był możliwie wykonywany z jak najwyższą starannością i fachowością. Zwiększenie roli Głównego Inspektora Farmaceutycznego umożliwi również wsparcie w samorealizacji farmaceutów, podnoszenia ich kwalifikacji, a także rozwoju zawodowego farmaceutów, co znacząco przyczyni się do poprawy udzielanych świadczeń na rzecz pacjentów.</w:t>
            </w:r>
          </w:p>
          <w:p w14:paraId="2488479A"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lastRenderedPageBreak/>
              <w:t xml:space="preserve">Z posiadanych informacji Narodowego Funduszu Zdrowia (NFZ) oraz analiz Centrum e-Zdrowia wynika, że wciąż nierozwiązana jest sytuacja nadużyć na rynku farmaceutycznym, z którymi boryka się rozdrobniona Inspekcja Farmaceutyczna. Dla przykładu, rynek oksykodonu jest warty ok. 30 mln zł rocznie, z czego około 85-91% stanowi refundacja wypłacana przez Narodowy Fundusz Zdrowia. Zwraca uwagę systematyczny spadek udziału refundacji, co implikuje rosnący udział recept pełnopłatnych. Kontrola tych recept jest znacznie rzadsza niż refundowanych, więc są one potencjalnie wygodnym kanałem wyłudzania leków. Zidentyfikowano 10,4 tys. aptek, w których zrealizowano recepty na leki zawierające substancję czynną oksykodon, z czego w 171 aptekach zrealizowano recepty o wartości przekraczającej 50 tys. zł. Zweryfikowano czy występują apteki, w których realizowane jest wiele recept papierowych na oksykodon przy jednoczesnym wysokim udziale dopłat pacjentów w łącznej wartości zrealizowanych recept. W dotychczas zaobserwowanych przypadkach sfałszowane recepty były w większości przypadków celowo realizowane w wielu aptekach, żeby nie zwrócić uwagi farmaceutów. Z drugiej strony, mogą istnieć apteki, które biorą udział w wyłudzaniu recept i wyprowadzaniu tego typu leków za granicę, co nie jest możliwe do ustalenia bez szerszego spojrzenia na obrót tym produktem, który zapewnić może tylko wzmocniona, jednolita Inspekcja Farmaceutyczna. </w:t>
            </w:r>
          </w:p>
          <w:p w14:paraId="1B2FB1BE"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Zauważyć należy, że zgodnie z analizami Centrum e-Zdrowia liczba lekarzy wystawiających recepty na fentanyl stale rośnie podczas gdy liczba pacjentów maleje od 2017 r. Podczas analizy zidentyfikowano 32 pary lekarz wystawiający receptę – apteka, w których refundacja fentanylu dla pacjentów nieuprawnionych do refundacji przekroczyła 25 ty</w:t>
            </w:r>
            <w:r>
              <w:rPr>
                <w:rFonts w:ascii="Times New Roman" w:hAnsi="Times New Roman"/>
                <w:color w:val="000000"/>
              </w:rPr>
              <w:t>s.</w:t>
            </w:r>
            <w:r w:rsidRPr="009F3204">
              <w:rPr>
                <w:rFonts w:ascii="Times New Roman" w:hAnsi="Times New Roman"/>
                <w:color w:val="000000"/>
              </w:rPr>
              <w:t xml:space="preserve"> zł w</w:t>
            </w:r>
            <w:r w:rsidR="006C2D8F">
              <w:rPr>
                <w:rFonts w:ascii="Times New Roman" w:hAnsi="Times New Roman"/>
                <w:color w:val="000000"/>
              </w:rPr>
              <w:t> </w:t>
            </w:r>
            <w:r w:rsidRPr="009F3204">
              <w:rPr>
                <w:rFonts w:ascii="Times New Roman" w:hAnsi="Times New Roman"/>
                <w:color w:val="000000"/>
              </w:rPr>
              <w:t>danej aptece. Zidentyfikowano również apteki, w których tylko jedna osoba nieuprawniona do refundacji kupowała fentanyl z recept pochodzących od różnych lekarzy na kwotę przekraczającą 15 tys</w:t>
            </w:r>
            <w:r>
              <w:rPr>
                <w:rFonts w:ascii="Times New Roman" w:hAnsi="Times New Roman"/>
                <w:color w:val="000000"/>
              </w:rPr>
              <w:t>.</w:t>
            </w:r>
            <w:r w:rsidRPr="009F3204">
              <w:rPr>
                <w:rFonts w:ascii="Times New Roman" w:hAnsi="Times New Roman"/>
                <w:color w:val="000000"/>
              </w:rPr>
              <w:t xml:space="preserve"> zł. Analiza NFZ ujawniła, że jeden pacjent łącznie wykupił 473 recepty na lek zawierający fentanyl w odstępie mniej niż 4 dni. Zdarzyło się, że wykupiono receptę tego samego dnia w Poznaniu i Luboniu oraz dwukrotnie tego samego dnia w Poznaniu i Warszawie. Zidentyfikowano też osobę, która kupiła fentanyl w aż 33 miastach. Ustalono również, że w ciągu pięciu lat jeden pacjent zrealizował recepty na lek zawierający fentanyl z kwotą refundacji przekraczającą 2 miliony złotych. Przez wskazany okres osoba ta kupowała fentanyl jedynie w postaci aerozoli do nosa. W toku analizy stwierdzono, że ilość kupionego fentanylu pozwalałaby na stosowanie ok. 55 wziewów aerozolu dziennie, gdy zalecana dawka to maksymalnie 8 wziewów dziennie. Zidentyfikowano też dwie osoby, na które zostały wystawione i zrealizowane recepty na fentanyl po ponad 10 lat po ich śmierci. Łączna kwota nadużyć została oszacowana na poziomie około 11,2 mln złotych. </w:t>
            </w:r>
          </w:p>
          <w:p w14:paraId="0FC294DA"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Z analiz Centrum e-Zdrowia wynika, że od 1</w:t>
            </w:r>
            <w:r>
              <w:rPr>
                <w:rFonts w:ascii="Times New Roman" w:hAnsi="Times New Roman"/>
                <w:color w:val="000000"/>
              </w:rPr>
              <w:t xml:space="preserve"> stycznia </w:t>
            </w:r>
            <w:r w:rsidRPr="009F3204">
              <w:rPr>
                <w:rFonts w:ascii="Times New Roman" w:hAnsi="Times New Roman"/>
                <w:color w:val="000000"/>
              </w:rPr>
              <w:t>do 22</w:t>
            </w:r>
            <w:r>
              <w:rPr>
                <w:rFonts w:ascii="Times New Roman" w:hAnsi="Times New Roman"/>
                <w:color w:val="000000"/>
              </w:rPr>
              <w:t xml:space="preserve"> maja </w:t>
            </w:r>
            <w:r w:rsidRPr="009F3204">
              <w:rPr>
                <w:rFonts w:ascii="Times New Roman" w:hAnsi="Times New Roman"/>
                <w:color w:val="000000"/>
              </w:rPr>
              <w:t xml:space="preserve">2022 r. najwięcej recept przypadających na jednego pacjenta (95) na łączną liczbę 167 opakowań leku Tropicamid zrealizowano w 44 różnych aptekach zazwyczaj w woj. mazowieckim. Podstawową zasadą działania pacjenta była realizacja w ciągu jednego dnia nie więcej niż 3 recept, każdą w innej aptece. </w:t>
            </w:r>
          </w:p>
          <w:p w14:paraId="36D525F8"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Takie działania osób uzależnionych powodują, że wymykają się one uwadze zarówno farmaceutów jak i organów Państwowej Inspekcji Farmaceutycznej i dopiero analiza porównawcza recept przypadających na jednego pacjenta pozwala na wykrycie nieprawidłowości, które mogłyby zostać ujawnione wcześniej w sytuacji gdyby jednolita Inspekcja Farmaceutyczna mogła przeprowadzić we wszystkich aptekach stosowną kampanię na temat danego produktu leczniczego i poprzez inspekcję zweryfikować jej realizację. Naturalnym efektem usprawnienia Państwowej Inspekcji Farmaceutycznej w tym zakresie są oszczędności dla płatnika.</w:t>
            </w:r>
          </w:p>
          <w:p w14:paraId="2A1E6C78"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Wspomnieć również należy o potrzebie zwiększenia nadzoru nad dystrybuowaną za pośrednictwem aptek tzw. „marihuaną medyczną”. Warto podkreślić, że szczególną uwagą powinni zostać objęci pacjenci podmiotów leczniczych, które nie mają świadczeń w ramach NFZ, przez co nie są dostępne informacje o przechodzonych chorobach, jak np. historia leczenia uzależnień od substancji psychoaktywnych.</w:t>
            </w:r>
          </w:p>
          <w:p w14:paraId="6C33F51C"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W opisanych powyżej przypadkach powtarza się ten sam schemat ukrywania nieprawidłowości poprzez celowe realizowanie recept w wielu aptekach, żeby nie zwrócić uwagi farmaceutów. Z drugiej strony, rozdrobniona, pozbawiona koordynacji i komunikacji Inspekcja Farmaceutyczna ma znaczące trudności w ujawnieniu aptek, które biorą udział w</w:t>
            </w:r>
            <w:r w:rsidR="006C2D8F">
              <w:rPr>
                <w:rFonts w:ascii="Times New Roman" w:hAnsi="Times New Roman"/>
                <w:color w:val="000000"/>
              </w:rPr>
              <w:t> </w:t>
            </w:r>
            <w:r w:rsidRPr="009F3204">
              <w:rPr>
                <w:rFonts w:ascii="Times New Roman" w:hAnsi="Times New Roman"/>
                <w:color w:val="000000"/>
              </w:rPr>
              <w:t>wyłudzaniu recept i wyprowadzaniu leków za granicę.</w:t>
            </w:r>
          </w:p>
          <w:p w14:paraId="204F11E2"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Projektowana ustawa daje Ministrowi Zdrowia większy wpływ na Inspekcję Farmaceutyczną, a Głównemu Inspektorowi Farmaceutycznemu większe możliwości koordynacyjno-nadzorcze. Będzie on mógł bezzwłocznie, odpowiednio do potrzeb, uruchamiać posiadane siły i środki w celu zapewnienia odpowiedniej reakcji organów państwa do zagrożeń. Proponowane rozwiązanie stwarza również potencjał do utworzenia przestrzeni, w której wszelkie informacje przekazywane przez pacjentów mogą i powinny być gromadzone i przekazywane do dalszej reakcji Państwowej Inspekcji Farmaceutycznej.</w:t>
            </w:r>
          </w:p>
          <w:p w14:paraId="146DD55C" w14:textId="77777777" w:rsidR="00FA085E" w:rsidRPr="009F3204" w:rsidRDefault="00FA085E" w:rsidP="00FA085E">
            <w:pPr>
              <w:spacing w:line="240" w:lineRule="auto"/>
              <w:jc w:val="both"/>
              <w:rPr>
                <w:rFonts w:ascii="Times New Roman" w:hAnsi="Times New Roman"/>
                <w:color w:val="000000"/>
              </w:rPr>
            </w:pPr>
            <w:r w:rsidRPr="009F3204">
              <w:rPr>
                <w:rFonts w:ascii="Times New Roman" w:hAnsi="Times New Roman"/>
                <w:color w:val="000000"/>
              </w:rPr>
              <w:t>Nie bez znaczenia jest potrzeba skoordynowania polityki informacyjnej w obszarze Państwowej Inspekcji Farmaceutycznej. Istniejący sztuczny podział na inspekcję obrotu detalicznego i inspekcję wytwarzania i obrotu hurtowego jest szkodliwy z punktu widzenia odbiorców tj. zarówno pacjentów, farmaceutów, jak i pozostały personel zatrudniony w</w:t>
            </w:r>
            <w:r w:rsidR="00A10094">
              <w:rPr>
                <w:rFonts w:ascii="Times New Roman" w:hAnsi="Times New Roman"/>
                <w:color w:val="000000"/>
              </w:rPr>
              <w:t> </w:t>
            </w:r>
            <w:r w:rsidRPr="009F3204">
              <w:rPr>
                <w:rFonts w:ascii="Times New Roman" w:hAnsi="Times New Roman"/>
                <w:color w:val="000000"/>
              </w:rPr>
              <w:t>branży farmaceutycznej.</w:t>
            </w:r>
          </w:p>
          <w:p w14:paraId="549EDE1F" w14:textId="77777777" w:rsidR="00FA085E" w:rsidRDefault="00FA085E" w:rsidP="00FA085E">
            <w:pPr>
              <w:spacing w:line="240" w:lineRule="auto"/>
              <w:jc w:val="both"/>
              <w:rPr>
                <w:rFonts w:ascii="Times New Roman" w:hAnsi="Times New Roman"/>
                <w:color w:val="000000"/>
              </w:rPr>
            </w:pPr>
            <w:r w:rsidRPr="009F3204">
              <w:rPr>
                <w:rFonts w:ascii="Times New Roman" w:hAnsi="Times New Roman"/>
                <w:color w:val="000000"/>
              </w:rPr>
              <w:t xml:space="preserve">Projektowana ustawa ułatwi również współpracę pomiędzy Inspekcją </w:t>
            </w:r>
            <w:r>
              <w:rPr>
                <w:rFonts w:ascii="Times New Roman" w:hAnsi="Times New Roman"/>
                <w:color w:val="000000"/>
              </w:rPr>
              <w:t>F</w:t>
            </w:r>
            <w:r w:rsidRPr="009F3204">
              <w:rPr>
                <w:rFonts w:ascii="Times New Roman" w:hAnsi="Times New Roman"/>
                <w:color w:val="000000"/>
              </w:rPr>
              <w:t>armaceutyczną a Krajową Administracją Skarbową w obszarze przeciwdziałania nieprawidłowościom związanymi z wytwarzaniem i obrotem produktami leczniczymi oraz substancjami czynnymi. Służba Celno-Skarbowa walczy z przemytem i nielegalnym wprowadzaniem do obrotu produktów, które w rzeczywistości mogą bardziej szkodzić niż pomagać. Aspekt podatkowy w tym przypadku ma ogromne znaczenie, a fundamentalne ochrona życia i zdrowia. Dlatego niezbędne jest zacieśnienie współpracy tych służb z</w:t>
            </w:r>
            <w:r w:rsidR="00A10094">
              <w:rPr>
                <w:rFonts w:ascii="Times New Roman" w:hAnsi="Times New Roman"/>
                <w:color w:val="000000"/>
              </w:rPr>
              <w:t> </w:t>
            </w:r>
            <w:r w:rsidRPr="009F3204">
              <w:rPr>
                <w:rFonts w:ascii="Times New Roman" w:hAnsi="Times New Roman"/>
                <w:color w:val="000000"/>
              </w:rPr>
              <w:t xml:space="preserve">Głównym Inspektorem Farmaceutycznym również w obszarze obrotu detalicznego produktami leczniczymi, co pozwoli skutecznie przeciwdziałać nieprawidłowościom na rynku farmaceutycznym. Współpraca z KAS w obszarze dotychczas </w:t>
            </w:r>
            <w:r w:rsidRPr="009F3204">
              <w:rPr>
                <w:rFonts w:ascii="Times New Roman" w:hAnsi="Times New Roman"/>
                <w:color w:val="000000"/>
              </w:rPr>
              <w:lastRenderedPageBreak/>
              <w:t>nieobjętym nadzorem Państwowej Inspekcji Farmaceutycznej otworzy nowy etap w zwalczaniu przestępczości farmaceutycznej. Pozwoli to na wyeliminowanie patologii zagrażających życiu i zdrowiu pacjentów, w szczególności uszczelni obrót produktami leczniczymi. Podkreślić należy, że nadal istnieje problem braków na polskim rynku leków, który odczuwają pacjenci, a który najczęściej wynika z działań sprzecznych z prawem. Aktualnie istnieje 16 odrębnych organów, które nie są w stanie podjąć skutecznej współpracy z KAS, w szczególności w zakresie wymiany informacji, mających znaczenie dla realizacji ustawowych zadań zarówno Państwowej Inspekcji Farmaceutycznej, jak i KAS. W</w:t>
            </w:r>
            <w:r w:rsidR="00A10094">
              <w:rPr>
                <w:rFonts w:ascii="Times New Roman" w:hAnsi="Times New Roman"/>
                <w:color w:val="000000"/>
              </w:rPr>
              <w:t> </w:t>
            </w:r>
            <w:r w:rsidRPr="009F3204">
              <w:rPr>
                <w:rFonts w:ascii="Times New Roman" w:hAnsi="Times New Roman"/>
                <w:color w:val="000000"/>
              </w:rPr>
              <w:t>oparciu o przepisy projektowanej ustawy na bieżąco przekazywane będą informacje o ujawnionych próbach wprowadzenia do obrotu sfałszowanych produktów leczniczych oraz substancji czynnych, wyniki badań laboratoryjnych produktów leczniczych lub substancji czynnych, a także dane dotyczące podmiotów, które prowadziły wytwarzanie lub obrót produktami leczniczymi oraz substancjami czynnymi z naruszeniem obowiązujących przepisów prawa. Planowana pionizacja Państwowej Inspekcji Farmaceutycznej pozwoli również na zaplanowanie wspólnych szkoleń i konferencji, dotyczących wykrywania i przeciwdziałaniu naruszeń obowiązującego prawa w  zakresie wytwarzania i obrotu produktami leczniczymi oraz substancjami czynnymi.</w:t>
            </w:r>
          </w:p>
          <w:p w14:paraId="6DBC31D6" w14:textId="77777777" w:rsidR="00FA085E" w:rsidRDefault="00FA085E" w:rsidP="00FA085E">
            <w:pPr>
              <w:spacing w:line="240" w:lineRule="auto"/>
              <w:jc w:val="both"/>
              <w:rPr>
                <w:rFonts w:ascii="Times New Roman" w:hAnsi="Times New Roman"/>
                <w:color w:val="000000"/>
              </w:rPr>
            </w:pPr>
          </w:p>
          <w:p w14:paraId="67D0D221"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 xml:space="preserve">Odnosząc się do problematyki nadzoru nad laboratoriami na gruncie ustawy z dnia 27 lipca 2001 r. o diagnostyce laboratoryjnej </w:t>
            </w:r>
            <w:hyperlink r:id="rId9" w:history="1">
              <w:r w:rsidRPr="00A46EAD">
                <w:rPr>
                  <w:rStyle w:val="Hipercze"/>
                  <w:rFonts w:ascii="Times New Roman" w:hAnsi="Times New Roman"/>
                  <w:color w:val="auto"/>
                  <w:u w:val="none"/>
                </w:rPr>
                <w:t>(Dz. U. z 2022 r. poz. 134 i 974)</w:t>
              </w:r>
            </w:hyperlink>
            <w:r>
              <w:t xml:space="preserve"> </w:t>
            </w:r>
            <w:r w:rsidRPr="00083A45">
              <w:rPr>
                <w:rFonts w:ascii="Times New Roman" w:hAnsi="Times New Roman"/>
                <w:color w:val="000000"/>
              </w:rPr>
              <w:t xml:space="preserve">i </w:t>
            </w:r>
            <w:r w:rsidRPr="00083A45">
              <w:rPr>
                <w:rFonts w:ascii="Times New Roman" w:hAnsi="Times New Roman"/>
                <w:color w:val="000000"/>
                <w:spacing w:val="-2"/>
              </w:rPr>
              <w:t>ustaw</w:t>
            </w:r>
            <w:r>
              <w:rPr>
                <w:rFonts w:ascii="Times New Roman" w:hAnsi="Times New Roman"/>
                <w:color w:val="000000"/>
                <w:spacing w:val="-2"/>
              </w:rPr>
              <w:t>y</w:t>
            </w:r>
            <w:r w:rsidRPr="00083A45">
              <w:rPr>
                <w:rFonts w:ascii="Times New Roman" w:hAnsi="Times New Roman"/>
                <w:color w:val="000000"/>
                <w:spacing w:val="-2"/>
              </w:rPr>
              <w:t xml:space="preserve"> z dnia 6 września 2001 r. – Prawo farmaceutyczne (Dz. U. z 2021</w:t>
            </w:r>
            <w:r>
              <w:rPr>
                <w:rFonts w:ascii="Times New Roman" w:hAnsi="Times New Roman"/>
                <w:color w:val="000000"/>
                <w:spacing w:val="-2"/>
              </w:rPr>
              <w:t> </w:t>
            </w:r>
            <w:r w:rsidRPr="00083A45">
              <w:rPr>
                <w:rFonts w:ascii="Times New Roman" w:hAnsi="Times New Roman"/>
                <w:color w:val="000000"/>
                <w:spacing w:val="-2"/>
              </w:rPr>
              <w:t>r. poz. 1977, z późn. zm.), zwan</w:t>
            </w:r>
            <w:r>
              <w:rPr>
                <w:rFonts w:ascii="Times New Roman" w:hAnsi="Times New Roman"/>
                <w:color w:val="000000"/>
                <w:spacing w:val="-2"/>
              </w:rPr>
              <w:t>ej</w:t>
            </w:r>
            <w:r w:rsidRPr="00083A45">
              <w:rPr>
                <w:rFonts w:ascii="Times New Roman" w:hAnsi="Times New Roman"/>
                <w:color w:val="000000"/>
                <w:spacing w:val="-2"/>
              </w:rPr>
              <w:t xml:space="preserve"> dalej „PF”</w:t>
            </w:r>
            <w:r w:rsidRPr="00083A45">
              <w:rPr>
                <w:rFonts w:ascii="Times New Roman" w:hAnsi="Times New Roman"/>
                <w:color w:val="000000"/>
              </w:rPr>
              <w:t xml:space="preserve">, należy stwierdzić, że obowiązujące obecnie regulacje nie zapewniają należytego systemu nadzoru nad tego rodzaju działalnością. W obecnym stanie prawnym uprawnienia nadzorcze przypisane organom publicznym przewiduje jedynie art. 30c ustawy z dnia 27 lipca 2001 r. o diagnostyce laboratoryjnej, który przewiduje nadzór Ministra Zdrowia nad prowadzeniem szkolenia specjalizacyjnego w danej dziedzinie diagnostyki laboratoryjnej. Jest to jedyna regulacja w przedmiotowej ustawie dotycząca nadzoru w zakresie diagnostyki laboratoryjnej, brak jest natomiast przepisów określających zasady nadzoru nad faktycznym wykonywaniem działalności z zakresu medycyny laboratoryjnej. Również projekt ustawy o medycynie laboratoryjnej nie przewiduje regulacji ustanawiających nadzór nad prawidłowością wykonywania badań laboratoryjnych. Podkreślić również należy, że przepisy PF aktualnie nie przewidują nadzoru w zakresie diagnostyki laboratoryjnej. Tym samym, przedmiotowy obszar efektywnie nie jest nadzorowany.  </w:t>
            </w:r>
          </w:p>
          <w:p w14:paraId="511A31B3"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Brakuje też regulacji dotyczących sankcji prawnych za nieprzestrzeganie wymagań w zakresie jakości wykonywanych czynności diagnostyki laboratoryjnej. Obowiązujące przepisy określają wymagania i standardy dla medycznych laboratoriów diagnostycznych, jednak ich przestrzeganie w praktyce nie podlega kontroli.</w:t>
            </w:r>
            <w:r>
              <w:rPr>
                <w:rFonts w:ascii="Times New Roman" w:hAnsi="Times New Roman"/>
                <w:color w:val="000000"/>
              </w:rPr>
              <w:t xml:space="preserve"> </w:t>
            </w:r>
            <w:r w:rsidRPr="00083A45">
              <w:rPr>
                <w:rFonts w:ascii="Times New Roman" w:hAnsi="Times New Roman"/>
                <w:color w:val="000000"/>
              </w:rPr>
              <w:t xml:space="preserve">Należy zauważyć, że inspektorzy farmaceutyczni GIF i </w:t>
            </w:r>
            <w:r>
              <w:rPr>
                <w:rFonts w:ascii="Times New Roman" w:hAnsi="Times New Roman"/>
              </w:rPr>
              <w:t>wojewódzkich inspektoratów farmaceutycznych</w:t>
            </w:r>
            <w:r w:rsidRPr="00083A45">
              <w:rPr>
                <w:rFonts w:ascii="Times New Roman" w:hAnsi="Times New Roman"/>
                <w:color w:val="000000"/>
              </w:rPr>
              <w:t xml:space="preserve"> w chwili obecnej kontrolują już systemy zapewniania jakości badań produktów leczniczych, substancji czynnych oraz substancji pomocniczych. Badania obejmują również badania produktów leczniczych krwiopochodnych. Przyjąć należy, że GIF już dzisiaj nadzoruje prawidłowość wykonywania badań laboratoryjnych w laboratoriach kontroli jakości leków, o których mowa w</w:t>
            </w:r>
            <w:r>
              <w:rPr>
                <w:rFonts w:ascii="Times New Roman" w:hAnsi="Times New Roman"/>
                <w:color w:val="000000"/>
              </w:rPr>
              <w:t> </w:t>
            </w:r>
            <w:r w:rsidRPr="00083A45">
              <w:rPr>
                <w:rFonts w:ascii="Times New Roman" w:hAnsi="Times New Roman"/>
                <w:color w:val="000000"/>
              </w:rPr>
              <w:t xml:space="preserve">art. 22 PF. </w:t>
            </w:r>
            <w:r>
              <w:rPr>
                <w:rFonts w:ascii="Times New Roman" w:hAnsi="Times New Roman"/>
                <w:color w:val="000000"/>
              </w:rPr>
              <w:t>Wobec powyższego,</w:t>
            </w:r>
            <w:r w:rsidRPr="00083A45">
              <w:rPr>
                <w:rFonts w:ascii="Times New Roman" w:hAnsi="Times New Roman"/>
                <w:color w:val="000000"/>
              </w:rPr>
              <w:t xml:space="preserve"> </w:t>
            </w:r>
            <w:r>
              <w:rPr>
                <w:rFonts w:ascii="Times New Roman" w:hAnsi="Times New Roman"/>
                <w:color w:val="000000"/>
              </w:rPr>
              <w:t xml:space="preserve">organy </w:t>
            </w:r>
            <w:r w:rsidRPr="00083A45">
              <w:rPr>
                <w:rFonts w:ascii="Times New Roman" w:hAnsi="Times New Roman"/>
                <w:color w:val="000000"/>
              </w:rPr>
              <w:t>Państwowej Inspekcji Farmaceutycznej posiadają już doświadczenie w nadzorze m.in. dotyczącym wykonywania badań laboratoryjnych.</w:t>
            </w:r>
          </w:p>
          <w:p w14:paraId="74F18793"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Przypisanie kompetencji nadzorczych nad medycznymi laboratoriami diagnostycznymi organowi administracji publicznej jest działaniem właściwym i pożądanym, ze względu na zapewnienie właściwego nadzoru państwa nad daną dziedziną, zapewniając kontrolę objętą reżimem administracyjnym (decyzyjnym), którego samorząd zawodowy sprawować nie może, z oczywistych względów chociażby braku możliwości objęcia nadzorem działalności gospodarczej, co wynika ze specyfiki jego funkcjonowania. Zgodnie z raportem NIK z dnia 30 czerwca 2017 r., znak: KZD.430.001.2017, w 11 kontrolowanych jednostkach (28%) stwierdzono nieprawidłowości w funkcjonowaniu wewnątrzlaboratoryjnego systemu zarządzania jakością dotyczące nierejestrowania i nieanalizowania błędów dla poszczególnych faz procesu diagnostycznego, nieewidencjonowania warunków środowiskowych wykonywania badań laboratoryjnych oraz nieuczestniczenia w</w:t>
            </w:r>
            <w:r w:rsidR="00A10094">
              <w:rPr>
                <w:rFonts w:ascii="Times New Roman" w:hAnsi="Times New Roman"/>
                <w:color w:val="000000"/>
              </w:rPr>
              <w:t> </w:t>
            </w:r>
            <w:r w:rsidRPr="00083A45">
              <w:rPr>
                <w:rFonts w:ascii="Times New Roman" w:hAnsi="Times New Roman"/>
                <w:color w:val="000000"/>
              </w:rPr>
              <w:t>programach zewnętrznej oceny jakości wszystkich badań wykonywanych w laboratorium, dla których takie programy były prowadzone. Ponadto, NIK stwierdził, że w 10 jednostkach (25%) nie zamieszczano w formularzach zlecenia badania laboratoryjnego wymaganych informacji, w szczególności daty i godziny pobrania materiału do badania, daty i godziny przyjęcia materiału do laboratorium oraz danych osoby pobierającej materiał biologiczny. W konsekwencji, laboratorium wykonujące badanie nie zamieszczało wymaganych informacji w sprawozdaniach z przeprowadzonych badań. Powyższe wskazuje, że nadzór nad laboratoriami diagnostycznymi jest niewystarczający. Zgodnie z zaleceniem NIK należy wprowadzić system licencjonowania medycznych laboratoriów diagnostycznych powiązany z oceną jakości badań, co zapewni należyte wykonywanie czynności diagnostyki laboratoryjnej oraz wymaganą jakość badań diagnostycznych. Projektowana ustawa stanowi wypełnienie ww. wytycznych NIK.</w:t>
            </w:r>
          </w:p>
          <w:p w14:paraId="70EB13A7" w14:textId="77777777" w:rsidR="00FA085E" w:rsidRPr="00083A45" w:rsidRDefault="00FA085E" w:rsidP="00FA085E">
            <w:pPr>
              <w:spacing w:line="240" w:lineRule="auto"/>
              <w:jc w:val="both"/>
              <w:rPr>
                <w:rFonts w:ascii="Times New Roman" w:hAnsi="Times New Roman"/>
                <w:color w:val="000000"/>
              </w:rPr>
            </w:pPr>
            <w:r w:rsidRPr="00083A45">
              <w:rPr>
                <w:rFonts w:ascii="Times New Roman" w:hAnsi="Times New Roman"/>
                <w:color w:val="000000"/>
              </w:rPr>
              <w:t>Krajowa Izba Diagnostów Laboratoryjnych jest obowiązana do prowadzenia ewidencji laboratoriów. Należy jednak zauważyć, że prowadzona przez ten podmiot ewidencja stanowi jedynie wykaz działających laboratoriów, natomiast w</w:t>
            </w:r>
            <w:r>
              <w:rPr>
                <w:rFonts w:ascii="Times New Roman" w:hAnsi="Times New Roman"/>
                <w:color w:val="000000"/>
              </w:rPr>
              <w:t> </w:t>
            </w:r>
            <w:r w:rsidRPr="00083A45">
              <w:rPr>
                <w:rFonts w:ascii="Times New Roman" w:hAnsi="Times New Roman"/>
                <w:color w:val="000000"/>
              </w:rPr>
              <w:t xml:space="preserve">projektowanej ustawie przewiduje się utworzenie rejestru podmiotów zweryfikowanych pod kątem jakości wykonywanych badań, które uzyskały certyfikat Dobrej Praktyki Medycyny Laboratoryjnej. </w:t>
            </w:r>
          </w:p>
          <w:p w14:paraId="055DD440" w14:textId="77777777" w:rsidR="00FA085E" w:rsidRDefault="00FA085E" w:rsidP="00FA085E">
            <w:pPr>
              <w:pStyle w:val="Akapitzlist"/>
              <w:tabs>
                <w:tab w:val="left" w:pos="-4678"/>
              </w:tabs>
              <w:spacing w:line="240" w:lineRule="auto"/>
              <w:ind w:left="0"/>
              <w:jc w:val="both"/>
              <w:rPr>
                <w:rFonts w:cs="Calibri"/>
              </w:rPr>
            </w:pPr>
          </w:p>
          <w:p w14:paraId="7BA441FC" w14:textId="77777777" w:rsidR="00D61929" w:rsidRDefault="00FA085E" w:rsidP="000E55FB">
            <w:pPr>
              <w:spacing w:line="240" w:lineRule="auto"/>
              <w:jc w:val="both"/>
              <w:rPr>
                <w:rFonts w:ascii="Times New Roman" w:hAnsi="Times New Roman"/>
                <w:color w:val="000000"/>
                <w:spacing w:val="-2"/>
              </w:rPr>
            </w:pPr>
            <w:r>
              <w:rPr>
                <w:rFonts w:ascii="Times New Roman" w:hAnsi="Times New Roman"/>
                <w:color w:val="000000"/>
              </w:rPr>
              <w:t>Innym aspektem, do którego odnosi się przedmiot projektowanej ustawy, jest kwestia uporządkowania w PF przewidzianych tam przepisów dotyczących kontroli.</w:t>
            </w:r>
            <w:r w:rsidRPr="00083A45">
              <w:rPr>
                <w:rFonts w:ascii="Times New Roman" w:hAnsi="Times New Roman"/>
                <w:color w:val="000000"/>
                <w:spacing w:val="-2"/>
              </w:rPr>
              <w:t xml:space="preserve"> W aktualnie obowiązującej treści ustawy, przepisy regulujące zasady prowadzenia kontroli przedsiębiorców są rozmieszczone w wielu rozdziałach wchodzących w skład tej ustawy.</w:t>
            </w:r>
            <w:r>
              <w:rPr>
                <w:rFonts w:ascii="Times New Roman" w:hAnsi="Times New Roman"/>
                <w:color w:val="000000"/>
                <w:spacing w:val="-2"/>
              </w:rPr>
              <w:t xml:space="preserve"> Istnieje wobec tego potrzeba uporządkowania, ale również doprecyzowania przepisów PF w tym zakresie. </w:t>
            </w:r>
            <w:r w:rsidR="00D81292">
              <w:rPr>
                <w:rFonts w:ascii="Times New Roman" w:hAnsi="Times New Roman"/>
                <w:color w:val="000000"/>
                <w:spacing w:val="-2"/>
              </w:rPr>
              <w:t xml:space="preserve"> </w:t>
            </w:r>
          </w:p>
          <w:p w14:paraId="67845D3A" w14:textId="77777777" w:rsidR="00D81292" w:rsidRPr="00B37C80" w:rsidRDefault="00D81292" w:rsidP="000E55FB">
            <w:pPr>
              <w:spacing w:line="240" w:lineRule="auto"/>
              <w:jc w:val="both"/>
              <w:rPr>
                <w:rFonts w:ascii="Times New Roman" w:hAnsi="Times New Roman"/>
                <w:color w:val="000000"/>
              </w:rPr>
            </w:pPr>
          </w:p>
        </w:tc>
      </w:tr>
      <w:tr w:rsidR="006A701A" w:rsidRPr="008B4FE6" w14:paraId="6A9665D1" w14:textId="77777777" w:rsidTr="0023197B">
        <w:trPr>
          <w:gridAfter w:val="1"/>
          <w:wAfter w:w="10" w:type="dxa"/>
          <w:trHeight w:val="142"/>
        </w:trPr>
        <w:tc>
          <w:tcPr>
            <w:tcW w:w="10937" w:type="dxa"/>
            <w:gridSpan w:val="29"/>
            <w:shd w:val="clear" w:color="auto" w:fill="99CCFF"/>
            <w:vAlign w:val="center"/>
          </w:tcPr>
          <w:p w14:paraId="0884D2C4" w14:textId="77777777" w:rsidR="006A701A" w:rsidRPr="008B4FE6" w:rsidRDefault="0013216E" w:rsidP="00476F4C">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A1DBBA9" w14:textId="77777777" w:rsidTr="0023197B">
        <w:trPr>
          <w:gridAfter w:val="1"/>
          <w:wAfter w:w="10" w:type="dxa"/>
          <w:trHeight w:val="142"/>
        </w:trPr>
        <w:tc>
          <w:tcPr>
            <w:tcW w:w="10937" w:type="dxa"/>
            <w:gridSpan w:val="29"/>
            <w:shd w:val="clear" w:color="auto" w:fill="auto"/>
          </w:tcPr>
          <w:p w14:paraId="26CD011B" w14:textId="77777777" w:rsidR="002C4599" w:rsidRPr="00083A45" w:rsidRDefault="002C4599" w:rsidP="002C4599">
            <w:pPr>
              <w:spacing w:line="240" w:lineRule="auto"/>
              <w:jc w:val="both"/>
              <w:rPr>
                <w:rFonts w:ascii="Times New Roman" w:hAnsi="Times New Roman"/>
                <w:color w:val="000000"/>
                <w:spacing w:val="-2"/>
              </w:rPr>
            </w:pPr>
            <w:r w:rsidRPr="00F5157B">
              <w:rPr>
                <w:rFonts w:ascii="Times New Roman" w:hAnsi="Times New Roman"/>
                <w:color w:val="000000"/>
                <w:spacing w:val="-2"/>
              </w:rPr>
              <w:t xml:space="preserve">I. </w:t>
            </w:r>
            <w:r w:rsidRPr="00083A45">
              <w:rPr>
                <w:rFonts w:ascii="Times New Roman" w:hAnsi="Times New Roman"/>
                <w:color w:val="000000"/>
                <w:spacing w:val="-2"/>
              </w:rPr>
              <w:t>Pionizacja Państwowej Inspekcji Farmaceutycznej.</w:t>
            </w:r>
          </w:p>
          <w:p w14:paraId="21B03E27"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Zmiany zaproponowane w projekcie ustawy o zmianie ustawy ‒ Prawo farmaceutyczne oraz niektórych innych ustaw przewidują pionizację struktur Państwowej Inspekcji Farmaceutycznej.</w:t>
            </w:r>
            <w:r>
              <w:rPr>
                <w:rFonts w:ascii="Times New Roman" w:hAnsi="Times New Roman"/>
                <w:color w:val="000000"/>
                <w:spacing w:val="-2"/>
              </w:rPr>
              <w:t xml:space="preserve"> </w:t>
            </w:r>
            <w:r w:rsidRPr="00083A45">
              <w:rPr>
                <w:rFonts w:ascii="Times New Roman" w:hAnsi="Times New Roman"/>
                <w:color w:val="000000"/>
                <w:spacing w:val="-2"/>
              </w:rPr>
              <w:t xml:space="preserve">Pionizacja ujednolici sposób realizacji zadań przez Państwową Inspekcję Farmaceutyczną, która z dotychczasowego modelu składającego się z Głównego Inspektora Farmaceutycznego oraz 16 wojewódzkich inspektorów farmaceutycznych zostanie zastąpiona utworzeniem jednego centralnego organu administracji rządowej – Głównego Inspektora Farmaceutycznego. W konsekwencji podjęte działanie  zwiększy rolę Głównego Inspektora Farmaceutycznego jako organu nadzorującego działalność </w:t>
            </w:r>
            <w:r>
              <w:rPr>
                <w:rFonts w:ascii="Times New Roman" w:hAnsi="Times New Roman"/>
                <w:color w:val="000000"/>
                <w:spacing w:val="-2"/>
              </w:rPr>
              <w:t>GIF</w:t>
            </w:r>
            <w:r w:rsidRPr="00083A45">
              <w:rPr>
                <w:rFonts w:ascii="Times New Roman" w:hAnsi="Times New Roman"/>
                <w:color w:val="000000"/>
                <w:spacing w:val="-2"/>
              </w:rPr>
              <w:t>. Dzięki wzmocnieniu pozycji Głównego Inspektora Farmaceutycznego</w:t>
            </w:r>
            <w:r w:rsidRPr="00083A45" w:rsidDel="001D3655">
              <w:rPr>
                <w:rFonts w:ascii="Times New Roman" w:hAnsi="Times New Roman"/>
                <w:color w:val="000000"/>
                <w:spacing w:val="-2"/>
              </w:rPr>
              <w:t xml:space="preserve"> </w:t>
            </w:r>
            <w:r w:rsidRPr="00083A45">
              <w:rPr>
                <w:rFonts w:ascii="Times New Roman" w:hAnsi="Times New Roman"/>
                <w:color w:val="000000"/>
                <w:spacing w:val="-2"/>
              </w:rPr>
              <w:t>możliwe będzie zapewnienie jednolitości prawa – jeden organ decyzyjny w</w:t>
            </w:r>
            <w:r w:rsidR="00A10094">
              <w:rPr>
                <w:rFonts w:ascii="Times New Roman" w:hAnsi="Times New Roman"/>
                <w:color w:val="000000"/>
                <w:spacing w:val="-2"/>
              </w:rPr>
              <w:t> </w:t>
            </w:r>
            <w:r w:rsidRPr="00083A45">
              <w:rPr>
                <w:rFonts w:ascii="Times New Roman" w:hAnsi="Times New Roman"/>
                <w:color w:val="000000"/>
                <w:spacing w:val="-2"/>
              </w:rPr>
              <w:t xml:space="preserve">skali kraju oraz  zapewni wzrost skuteczności zarządzania jednolitą strukturą administracyjną.   </w:t>
            </w:r>
          </w:p>
          <w:p w14:paraId="014D33BD"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Przewidziano podporządkowanie wojewódzkich inspektorów farmaceutycznych Głównemu Inspektorowi Farmaceutycznemu, polegające na tym, że wojewódzcy inspektorzy farmaceutyczni staną się pracownikami </w:t>
            </w:r>
            <w:r>
              <w:rPr>
                <w:rFonts w:ascii="Times New Roman" w:hAnsi="Times New Roman"/>
                <w:color w:val="000000"/>
                <w:spacing w:val="-2"/>
              </w:rPr>
              <w:t>GIF</w:t>
            </w:r>
            <w:r w:rsidRPr="00083A45">
              <w:rPr>
                <w:rFonts w:ascii="Times New Roman" w:hAnsi="Times New Roman"/>
                <w:color w:val="000000"/>
                <w:spacing w:val="-2"/>
              </w:rPr>
              <w:t xml:space="preserve">. Będą oni kierować oddziałami </w:t>
            </w:r>
            <w:r>
              <w:rPr>
                <w:rFonts w:ascii="Times New Roman" w:hAnsi="Times New Roman"/>
                <w:color w:val="000000"/>
                <w:spacing w:val="-2"/>
              </w:rPr>
              <w:t>GIF</w:t>
            </w:r>
            <w:r w:rsidRPr="00083A45">
              <w:rPr>
                <w:rFonts w:ascii="Times New Roman" w:hAnsi="Times New Roman"/>
                <w:color w:val="000000"/>
                <w:spacing w:val="-2"/>
              </w:rPr>
              <w:t>, przy czym właściwość miejscowa oddziału</w:t>
            </w:r>
            <w:r>
              <w:rPr>
                <w:rFonts w:ascii="Times New Roman" w:hAnsi="Times New Roman"/>
                <w:color w:val="000000"/>
                <w:spacing w:val="-2"/>
              </w:rPr>
              <w:t>,</w:t>
            </w:r>
            <w:r w:rsidRPr="00083A45">
              <w:rPr>
                <w:rFonts w:ascii="Times New Roman" w:hAnsi="Times New Roman"/>
                <w:color w:val="000000"/>
                <w:spacing w:val="-2"/>
              </w:rPr>
              <w:t xml:space="preserve"> co do zasady</w:t>
            </w:r>
            <w:r>
              <w:rPr>
                <w:rFonts w:ascii="Times New Roman" w:hAnsi="Times New Roman"/>
                <w:color w:val="000000"/>
                <w:spacing w:val="-2"/>
              </w:rPr>
              <w:t>,</w:t>
            </w:r>
            <w:r w:rsidRPr="00083A45">
              <w:rPr>
                <w:rFonts w:ascii="Times New Roman" w:hAnsi="Times New Roman"/>
                <w:color w:val="000000"/>
                <w:spacing w:val="-2"/>
              </w:rPr>
              <w:t xml:space="preserve"> będzie pokrywała się z obszarem województwa. Nie wyklucza to możliwości, że obszar działania oddziału będzie obejmował więcej niż jedno województwo – bowiem właściwość co do obszaru działania zostanie określona w statucie </w:t>
            </w:r>
            <w:r>
              <w:rPr>
                <w:rFonts w:ascii="Times New Roman" w:hAnsi="Times New Roman"/>
                <w:color w:val="000000"/>
                <w:spacing w:val="-2"/>
              </w:rPr>
              <w:t>GIF</w:t>
            </w:r>
            <w:r w:rsidRPr="00083A45">
              <w:rPr>
                <w:rFonts w:ascii="Times New Roman" w:hAnsi="Times New Roman"/>
                <w:color w:val="000000"/>
                <w:spacing w:val="-2"/>
              </w:rPr>
              <w:t xml:space="preserve"> wydawanym przez Ministra Zdrowia. Wojewódzki inspektor farmaceutyczny kierujący oddziałem w województwie będzie upoważniony przez Głównego Inspektora Farmaceutycznego do wykonywania w jego imieniu zadań, przy czym przewiduje się, że będą to zadania, do których wojewódzki inspektor farmaceutyczny był dotychczas właściwy. Decyzje wydawane będą z  upoważnienia Głównego Inspektora Farmaceutycznego. Będzie to skutkowało tym, że w miejsce dotychczasowych odwołań od decyzji wojewódzkich inspektorów farmaceutycznych będzie przysługiwał stronie wniosek o ponowne rozpatrzenie sprawy, gdyż organem I instancji w sprawach dotychczas właściwych dla wojewódzkiego inspektora farmaceutycznego będzie Główny Inspektor Farmaceutyczny.</w:t>
            </w:r>
          </w:p>
          <w:p w14:paraId="09C69DC6"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Powyższe spowoduje, że jeden z najważniejszych obszarów polityki bezpieczeństwa lekowego państwa zostanie uporządkowany i skoordynowany z działaniami Ministra Zdrowia, a jednocześnie wzrośnie skuteczność zarządzania nadzorem farmaceutycznym w ramach jednolitej struktury administracyjnej. </w:t>
            </w:r>
          </w:p>
          <w:p w14:paraId="239F6CAE"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Przepisy zawarte w projekcie ustawy regulują sprawy związane ze zmianą struktury Państwowej Inspekcji Farmaceutycznej. W miejsce dotychczasowych kompetencji wojewódzkich inspektorów farmaceutycznych kompetencje te będzie posiadał Główny Inspektor Farmaceutyczny, który – jak wskazano wyżej – będzie wykonywał je przy pomocy upoważnionych przez niego wojewódzkich inspektorów farmaceutycznych kierujących oddziałami w województwie.</w:t>
            </w:r>
          </w:p>
          <w:p w14:paraId="36191395"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W projekcie przewidziano zastąpienie wyrażenia „Państwowa Inspekcja Farmaceutyczna” i „Inspekcja Farmaceutyczna” wyrażeniem „Główny Inspektor Farmaceutyczny” z uwagi na fakt, że po wprowadzonych zmianach to Główny Inspektor Farmaceutyczny będzie wykonywał wszystkie zadania przewidziane dotychczas dla Państwowej Inspekcji Farmaceutycznej. Z tego powodu w projekcie ustawy w miejscach gdzie</w:t>
            </w:r>
            <w:r>
              <w:rPr>
                <w:rFonts w:ascii="Times New Roman" w:hAnsi="Times New Roman"/>
                <w:color w:val="000000"/>
                <w:spacing w:val="-2"/>
              </w:rPr>
              <w:t xml:space="preserve"> PF</w:t>
            </w:r>
            <w:r w:rsidRPr="00083A45">
              <w:rPr>
                <w:rFonts w:ascii="Times New Roman" w:hAnsi="Times New Roman"/>
                <w:color w:val="000000"/>
                <w:spacing w:val="-2"/>
              </w:rPr>
              <w:t>, odnosiła się do wojewódzkiego inspektora farmaceutycznego zastąpiono ten organ organem przejmującym jego zadania tj. Głównym Inspektorem Farmaceutycznym.</w:t>
            </w:r>
          </w:p>
          <w:p w14:paraId="7B111E71"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W przepisach dostosowujących przewidziano, że po dniu wejścia w życie ustawy wojewódzkie inspektoraty farmaceutyczne będą podlegały włączeniu w struktury </w:t>
            </w:r>
            <w:r>
              <w:rPr>
                <w:rFonts w:ascii="Times New Roman" w:hAnsi="Times New Roman"/>
                <w:color w:val="000000"/>
                <w:spacing w:val="-2"/>
              </w:rPr>
              <w:t>GIF</w:t>
            </w:r>
            <w:r w:rsidRPr="00083A45">
              <w:rPr>
                <w:rFonts w:ascii="Times New Roman" w:hAnsi="Times New Roman"/>
                <w:color w:val="000000"/>
                <w:spacing w:val="-2"/>
              </w:rPr>
              <w:t>. Z tym dniem Główny Inspektor Farmaceutyczny wstąpi we wszelkie prawa i</w:t>
            </w:r>
            <w:r w:rsidR="00A10094">
              <w:rPr>
                <w:rFonts w:ascii="Times New Roman" w:hAnsi="Times New Roman"/>
                <w:color w:val="000000"/>
                <w:spacing w:val="-2"/>
              </w:rPr>
              <w:t> </w:t>
            </w:r>
            <w:r w:rsidRPr="00083A45">
              <w:rPr>
                <w:rFonts w:ascii="Times New Roman" w:hAnsi="Times New Roman"/>
                <w:color w:val="000000"/>
                <w:spacing w:val="-2"/>
              </w:rPr>
              <w:t>obowiązki dotychczasowych wojewódzkich inspektorów farmaceutycznych. Wszelkie mienie ruchome, należności i</w:t>
            </w:r>
            <w:r w:rsidR="00A10094">
              <w:rPr>
                <w:rFonts w:ascii="Times New Roman" w:hAnsi="Times New Roman"/>
                <w:color w:val="000000"/>
                <w:spacing w:val="-2"/>
              </w:rPr>
              <w:t> </w:t>
            </w:r>
            <w:r w:rsidRPr="00083A45">
              <w:rPr>
                <w:rFonts w:ascii="Times New Roman" w:hAnsi="Times New Roman"/>
                <w:color w:val="000000"/>
                <w:spacing w:val="-2"/>
              </w:rPr>
              <w:t>zobowiązania dotychczasowych wojewódzkich inspektorów farmaceutycznych przejmie Główny Inspektor Farmaceutyczny. Główny Inspektor Farmaceutyczny stanie się również stroną porozumień i umów zawartych przez wojewódzkich inspektorów farmaceutycznych.</w:t>
            </w:r>
          </w:p>
          <w:p w14:paraId="5AC9DF5E"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Z uwagi na fakt, że część nieruchomości wojewódzkich inspektoratów farmaceutycznych stanowi własność Skarbu Państwa i została przekazana w trwały zarząd wojewódzkim inspektoratom farmaceutycznym, przewiduje się, iż zostaną one</w:t>
            </w:r>
            <w:r>
              <w:rPr>
                <w:rFonts w:ascii="Times New Roman" w:hAnsi="Times New Roman"/>
                <w:color w:val="000000"/>
                <w:spacing w:val="-2"/>
              </w:rPr>
              <w:t>,</w:t>
            </w:r>
            <w:r w:rsidRPr="00083A45">
              <w:rPr>
                <w:rFonts w:ascii="Times New Roman" w:hAnsi="Times New Roman"/>
                <w:color w:val="000000"/>
                <w:spacing w:val="-2"/>
              </w:rPr>
              <w:t xml:space="preserve"> na wniosek Głównego </w:t>
            </w:r>
            <w:r>
              <w:rPr>
                <w:rFonts w:ascii="Times New Roman" w:hAnsi="Times New Roman"/>
                <w:color w:val="000000"/>
                <w:spacing w:val="-2"/>
              </w:rPr>
              <w:t>Inspektora</w:t>
            </w:r>
            <w:r w:rsidRPr="00083A45">
              <w:rPr>
                <w:rFonts w:ascii="Times New Roman" w:hAnsi="Times New Roman"/>
                <w:color w:val="000000"/>
                <w:spacing w:val="-2"/>
              </w:rPr>
              <w:t xml:space="preserve"> Farmaceutycznego</w:t>
            </w:r>
            <w:r>
              <w:rPr>
                <w:rFonts w:ascii="Times New Roman" w:hAnsi="Times New Roman"/>
                <w:color w:val="000000"/>
                <w:spacing w:val="-2"/>
              </w:rPr>
              <w:t>,</w:t>
            </w:r>
            <w:r w:rsidRPr="00083A45">
              <w:rPr>
                <w:rFonts w:ascii="Times New Roman" w:hAnsi="Times New Roman"/>
              </w:rPr>
              <w:t xml:space="preserve"> </w:t>
            </w:r>
            <w:r w:rsidRPr="00083A45">
              <w:rPr>
                <w:rFonts w:ascii="Times New Roman" w:hAnsi="Times New Roman"/>
                <w:color w:val="000000"/>
                <w:spacing w:val="-2"/>
              </w:rPr>
              <w:t xml:space="preserve">przeznaczone na potrzeby </w:t>
            </w:r>
            <w:r>
              <w:rPr>
                <w:rFonts w:ascii="Times New Roman" w:hAnsi="Times New Roman"/>
                <w:color w:val="000000"/>
                <w:spacing w:val="-2"/>
              </w:rPr>
              <w:t>GIF</w:t>
            </w:r>
            <w:r w:rsidRPr="00083A45">
              <w:rPr>
                <w:rFonts w:ascii="Times New Roman" w:hAnsi="Times New Roman"/>
                <w:color w:val="000000"/>
                <w:spacing w:val="-2"/>
              </w:rPr>
              <w:t>. Przepis ten wejdzie w życie po upływie 14 dni od dnia ogłoszenia  ustawy.</w:t>
            </w:r>
          </w:p>
          <w:p w14:paraId="0D8AFEFB"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Przewiduje się, że w strukturze </w:t>
            </w:r>
            <w:r>
              <w:rPr>
                <w:rFonts w:ascii="Times New Roman" w:hAnsi="Times New Roman"/>
                <w:color w:val="000000"/>
                <w:spacing w:val="-2"/>
              </w:rPr>
              <w:t>GIF</w:t>
            </w:r>
            <w:r w:rsidRPr="00083A45">
              <w:rPr>
                <w:rFonts w:ascii="Times New Roman" w:hAnsi="Times New Roman"/>
                <w:color w:val="000000"/>
                <w:spacing w:val="-2"/>
              </w:rPr>
              <w:t xml:space="preserve"> powstanie komórka organizacyjna realizująca zadania</w:t>
            </w:r>
            <w:r w:rsidRPr="00083A45">
              <w:rPr>
                <w:rFonts w:ascii="Times New Roman" w:hAnsi="Times New Roman"/>
              </w:rPr>
              <w:t xml:space="preserve"> </w:t>
            </w:r>
            <w:r w:rsidRPr="00083A45">
              <w:rPr>
                <w:rFonts w:ascii="Times New Roman" w:hAnsi="Times New Roman"/>
                <w:color w:val="000000"/>
                <w:spacing w:val="-2"/>
              </w:rPr>
              <w:t xml:space="preserve">Mazowieckiego Wojewódzkiego Inspektora Farmaceutycznego, gdyż zgodnie z projektowaną regulacją centrala </w:t>
            </w:r>
            <w:r>
              <w:rPr>
                <w:rFonts w:ascii="Times New Roman" w:hAnsi="Times New Roman"/>
                <w:color w:val="000000"/>
                <w:spacing w:val="-2"/>
              </w:rPr>
              <w:t>GIF</w:t>
            </w:r>
            <w:r w:rsidRPr="00083A45">
              <w:rPr>
                <w:rFonts w:ascii="Times New Roman" w:hAnsi="Times New Roman"/>
                <w:color w:val="000000"/>
                <w:spacing w:val="-2"/>
              </w:rPr>
              <w:t xml:space="preserve"> przejmuje zadania oddziału, którego obszar pokrywa się z obszarem województwa mazowieckiego.</w:t>
            </w:r>
          </w:p>
          <w:p w14:paraId="286490E4" w14:textId="77777777" w:rsidR="002C4599" w:rsidRPr="00083A45" w:rsidRDefault="002C4599" w:rsidP="002C4599">
            <w:pPr>
              <w:spacing w:line="240" w:lineRule="auto"/>
              <w:jc w:val="both"/>
              <w:rPr>
                <w:rFonts w:ascii="Times New Roman" w:hAnsi="Times New Roman"/>
                <w:color w:val="000000"/>
                <w:spacing w:val="-2"/>
              </w:rPr>
            </w:pPr>
          </w:p>
          <w:p w14:paraId="35174D07"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II. Nadzór nad medycznymi laboratoriami diagnostycznymi</w:t>
            </w:r>
          </w:p>
          <w:p w14:paraId="59F2C2FC"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Zmiany zaproponowane w projekcie ustawy o zmianie ustawy ‒ Prawo farmaceutyczne oraz niektórych innych ustaw przewidują wprowadzenie zasad nadzoru nad medycznymi laboratoriami diagnostycznymi w rozumieniu ustawy </w:t>
            </w:r>
            <w:r w:rsidRPr="00F621C7">
              <w:rPr>
                <w:rFonts w:ascii="Times New Roman" w:hAnsi="Times New Roman"/>
                <w:color w:val="000000"/>
              </w:rPr>
              <w:t xml:space="preserve">z dnia </w:t>
            </w:r>
            <w:r w:rsidRPr="00083A45">
              <w:rPr>
                <w:rFonts w:ascii="Times New Roman" w:hAnsi="Times New Roman"/>
                <w:color w:val="000000"/>
              </w:rPr>
              <w:t>27 lipca 2001 r.</w:t>
            </w:r>
            <w:r w:rsidRPr="00F621C7">
              <w:rPr>
                <w:rFonts w:ascii="Times New Roman" w:hAnsi="Times New Roman"/>
                <w:color w:val="000000"/>
              </w:rPr>
              <w:t xml:space="preserve"> o </w:t>
            </w:r>
            <w:r w:rsidRPr="00083A45">
              <w:rPr>
                <w:rFonts w:ascii="Times New Roman" w:hAnsi="Times New Roman"/>
                <w:color w:val="000000"/>
              </w:rPr>
              <w:t>diagnostyce</w:t>
            </w:r>
            <w:r w:rsidRPr="00F621C7">
              <w:rPr>
                <w:rFonts w:ascii="Times New Roman" w:hAnsi="Times New Roman"/>
                <w:color w:val="000000"/>
              </w:rPr>
              <w:t xml:space="preserve"> laboratoryjnej</w:t>
            </w:r>
            <w:r w:rsidRPr="00083A45">
              <w:rPr>
                <w:rFonts w:ascii="Times New Roman" w:hAnsi="Times New Roman"/>
                <w:color w:val="000000"/>
                <w:spacing w:val="-2"/>
              </w:rPr>
              <w:t>.</w:t>
            </w:r>
          </w:p>
          <w:p w14:paraId="512F154A"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Mając na względzie zwiększenie jakości wykonywanych czynności medycyny laboratoryjnej, zakłada się powierzenie nadzoru nad medycznymi laboratoriami diagnostycznymi Głównemu Inspektorowi Farmaceutycznemu. Jest to nowe rozwiązanie, które ma zapewnić wysoką jakość usług świadczonych przez medyczne laboratoria diagnostyczne. </w:t>
            </w:r>
            <w:r w:rsidR="00F62C95">
              <w:rPr>
                <w:rFonts w:ascii="Times New Roman" w:hAnsi="Times New Roman"/>
                <w:color w:val="000000"/>
                <w:spacing w:val="-2"/>
              </w:rPr>
              <w:t>Kontrolę</w:t>
            </w:r>
            <w:r w:rsidRPr="00083A45">
              <w:rPr>
                <w:rFonts w:ascii="Times New Roman" w:hAnsi="Times New Roman"/>
                <w:color w:val="000000"/>
                <w:spacing w:val="-2"/>
              </w:rPr>
              <w:t xml:space="preserve"> medycznych laboratoriów diagnostycznych przeprowadzać będą inspektorzy do spraw medycyny laboratoryjnej upoważnieni przez Głównego Inspektora Farmaceutycznego. </w:t>
            </w:r>
          </w:p>
          <w:p w14:paraId="16508643"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Podjęcie działalności polegającej na prowadzeniu medycznego laboratorium diagnostycznego będzie wymagało uzyskania wpisu do Krajowego Rejestru Medycznych Laboratoriów Diagnostycznych, zwanego dalej „Rejestrem”. Rejestr będzie prowadzony przez Głównego Inspektora Farmaceutycznego. Podmioty ubiegające się o wpis do Rejestru będą musiały dysponować pomieszczeniami oraz wyposażeniem odpowiednim do zakresu wykonywanych badań i zatrudniać kierownika </w:t>
            </w:r>
            <w:r w:rsidRPr="00083A45">
              <w:rPr>
                <w:rFonts w:ascii="Times New Roman" w:hAnsi="Times New Roman"/>
                <w:color w:val="000000"/>
                <w:spacing w:val="-2"/>
              </w:rPr>
              <w:lastRenderedPageBreak/>
              <w:t xml:space="preserve">laboratorium w pełnym wymiarze czasu pracy oraz dołączyć do wniosku dokumentację dotyczącą miejsca prowadzenia działalności sporządzoną zgodnie z wymaganiami Dobrej Praktyki Medycyny Laboratoryjnej. Minister </w:t>
            </w:r>
            <w:r>
              <w:rPr>
                <w:rFonts w:ascii="Times New Roman" w:hAnsi="Times New Roman"/>
                <w:color w:val="000000"/>
                <w:spacing w:val="-2"/>
              </w:rPr>
              <w:t>Z</w:t>
            </w:r>
            <w:r w:rsidRPr="00083A45">
              <w:rPr>
                <w:rFonts w:ascii="Times New Roman" w:hAnsi="Times New Roman"/>
                <w:color w:val="000000"/>
                <w:spacing w:val="-2"/>
              </w:rPr>
              <w:t xml:space="preserve">drowia, w drodze rozporządzenia, będzie określał m.in. wymagania Dobrej Praktyki Medycyny Laboratoryjnej, mając na względzie rodzaj wykonywanych czynności medycyny laboratoryjnej, zapewnienie ich odpowiedniej jakości, przechowywania i transportu materiału biologicznego. Medyczne laboratoria diagnostyczne będą obowiązane do przestrzegania tych wymagań. Również w drodze rozporządzenia zostanie określony wzór wniosku o wpis do Rejestru. Przed wpisem podmiotu do Rejestru, Główny Inspektor Farmaceutyczny będzie podejmował decyzję o konieczności przeprowadzenia </w:t>
            </w:r>
            <w:r w:rsidR="00F62C95">
              <w:rPr>
                <w:rFonts w:ascii="Times New Roman" w:hAnsi="Times New Roman"/>
                <w:color w:val="000000"/>
                <w:spacing w:val="-2"/>
              </w:rPr>
              <w:t>kontroli</w:t>
            </w:r>
            <w:r w:rsidRPr="00083A45">
              <w:rPr>
                <w:rFonts w:ascii="Times New Roman" w:hAnsi="Times New Roman"/>
                <w:color w:val="000000"/>
                <w:spacing w:val="-2"/>
              </w:rPr>
              <w:t xml:space="preserve"> albo jej braku, w oparciu o analizę ryzyka przeprowadzoną przez inspektora do spraw medycyny laboratoryjnej.</w:t>
            </w:r>
          </w:p>
          <w:p w14:paraId="2A3B6BAB" w14:textId="77777777" w:rsidR="002C4599" w:rsidRPr="0068624E" w:rsidRDefault="002C4599" w:rsidP="002C4599">
            <w:pPr>
              <w:spacing w:line="240" w:lineRule="auto"/>
              <w:jc w:val="both"/>
              <w:rPr>
                <w:rFonts w:ascii="Times New Roman" w:hAnsi="Times New Roman"/>
              </w:rPr>
            </w:pPr>
            <w:r w:rsidRPr="00083A45">
              <w:rPr>
                <w:rFonts w:ascii="Times New Roman" w:hAnsi="Times New Roman"/>
                <w:color w:val="000000"/>
                <w:spacing w:val="-2"/>
              </w:rPr>
              <w:t xml:space="preserve">Rejestr będzie prowadził Główny Inspektor Farmaceutyczny w systemie teleinformatycznym i będzie on jawny. Administratorem danych zawartych w Rejestrze będzie Główny Inspektor Farmaceutyczny, a administratorem systemu będzie jednostka podległa </w:t>
            </w:r>
            <w:r>
              <w:rPr>
                <w:rFonts w:ascii="Times New Roman" w:hAnsi="Times New Roman"/>
                <w:color w:val="000000"/>
                <w:spacing w:val="-2"/>
              </w:rPr>
              <w:t>M</w:t>
            </w:r>
            <w:r w:rsidRPr="00083A45">
              <w:rPr>
                <w:rFonts w:ascii="Times New Roman" w:hAnsi="Times New Roman"/>
                <w:color w:val="000000"/>
                <w:spacing w:val="-2"/>
              </w:rPr>
              <w:t xml:space="preserve">inistrowi </w:t>
            </w:r>
            <w:r>
              <w:rPr>
                <w:rFonts w:ascii="Times New Roman" w:hAnsi="Times New Roman"/>
                <w:color w:val="000000"/>
                <w:spacing w:val="-2"/>
              </w:rPr>
              <w:t>Z</w:t>
            </w:r>
            <w:r w:rsidRPr="00083A45">
              <w:rPr>
                <w:rFonts w:ascii="Times New Roman" w:hAnsi="Times New Roman"/>
                <w:color w:val="000000"/>
                <w:spacing w:val="-2"/>
              </w:rPr>
              <w:t xml:space="preserve">drowia właściwa w zakresie systemów informacyjnych w ochronie zdrowia. Za złożenie wniosku o wpis do Rejestru </w:t>
            </w:r>
            <w:r w:rsidRPr="00715F55">
              <w:rPr>
                <w:rFonts w:ascii="Times New Roman" w:hAnsi="Times New Roman"/>
                <w:color w:val="000000"/>
                <w:spacing w:val="-2"/>
              </w:rPr>
              <w:t>będzie pobierana opłata w wysokości 100% przeciętnego miesięcznego</w:t>
            </w:r>
            <w:r w:rsidRPr="00083A45">
              <w:rPr>
                <w:rFonts w:ascii="Times New Roman" w:hAnsi="Times New Roman"/>
                <w:color w:val="000000"/>
                <w:spacing w:val="-2"/>
              </w:rPr>
              <w:t xml:space="preserve"> wynagrodzenia w sektorze przedsiębiorstw bez wypłaty nagród z zysku za ubiegły rok, ogłaszanego w drodze obwieszczenia, przez Prezesa Głównego Urzędu Statystycznego w Dzienniku Urzędowym Rzeczypospolitej Polskiej „Monitor Polski”. </w:t>
            </w:r>
            <w:r>
              <w:rPr>
                <w:rFonts w:ascii="Times New Roman" w:hAnsi="Times New Roman"/>
              </w:rPr>
              <w:t>Zakładana w</w:t>
            </w:r>
            <w:r w:rsidRPr="00083A45">
              <w:rPr>
                <w:rFonts w:ascii="Times New Roman" w:hAnsi="Times New Roman"/>
              </w:rPr>
              <w:t>ysokość opłaty za wpis do Rejestru jest adekwatna do kosztów związanych z prowadzeniem przedmiotowego rejestru. Rozwiązanie przyjęte w projekcie jest ponadto analogiczne do regulacji odnoszących się do Krajowego Rejestru Wytwórców, Importerów oraz Dystrybutorów Substancji Czynnych. Należy jednocześnie stwierdzić, że przyjęte założenia przewidują niższe kwoty opłat niż w przypadku innych działalności reglamentowanych nadzorowanych przez ograny Państwowej Inspekcji Farmaceutycznej (np. prowadzenie hurtowni farmaceutycznej albo apteki).</w:t>
            </w:r>
            <w:r>
              <w:rPr>
                <w:rFonts w:ascii="Times New Roman" w:hAnsi="Times New Roman"/>
              </w:rPr>
              <w:t xml:space="preserve"> </w:t>
            </w:r>
            <w:r w:rsidRPr="00083A45">
              <w:rPr>
                <w:rFonts w:ascii="Times New Roman" w:hAnsi="Times New Roman"/>
                <w:color w:val="000000"/>
                <w:spacing w:val="-2"/>
              </w:rPr>
              <w:t>Za złożenie wniosku o</w:t>
            </w:r>
            <w:r w:rsidR="00A10094">
              <w:rPr>
                <w:rFonts w:ascii="Times New Roman" w:hAnsi="Times New Roman"/>
                <w:color w:val="000000"/>
                <w:spacing w:val="-2"/>
              </w:rPr>
              <w:t> </w:t>
            </w:r>
            <w:r w:rsidRPr="00083A45">
              <w:rPr>
                <w:rFonts w:ascii="Times New Roman" w:hAnsi="Times New Roman"/>
                <w:color w:val="000000"/>
                <w:spacing w:val="-2"/>
              </w:rPr>
              <w:t>zmianę w Rejestrze będzie pobierana opłata w wysokości połowy przeciętnego miesięcznego wynagrodzenia.</w:t>
            </w:r>
            <w:r>
              <w:rPr>
                <w:rFonts w:ascii="Times New Roman" w:hAnsi="Times New Roman"/>
                <w:color w:val="000000"/>
                <w:spacing w:val="-2"/>
              </w:rPr>
              <w:t xml:space="preserve"> </w:t>
            </w:r>
            <w:r>
              <w:rPr>
                <w:rFonts w:ascii="Times New Roman" w:hAnsi="Times New Roman"/>
                <w:color w:val="000000"/>
              </w:rPr>
              <w:t xml:space="preserve"> Projektowany r</w:t>
            </w:r>
            <w:r w:rsidRPr="00083A45">
              <w:rPr>
                <w:rFonts w:ascii="Times New Roman" w:hAnsi="Times New Roman"/>
                <w:color w:val="000000"/>
              </w:rPr>
              <w:t>ejest</w:t>
            </w:r>
            <w:r>
              <w:rPr>
                <w:rFonts w:ascii="Times New Roman" w:hAnsi="Times New Roman"/>
                <w:color w:val="000000"/>
              </w:rPr>
              <w:t>r bę</w:t>
            </w:r>
            <w:r w:rsidRPr="00083A45">
              <w:rPr>
                <w:rFonts w:ascii="Times New Roman" w:hAnsi="Times New Roman"/>
                <w:color w:val="000000"/>
              </w:rPr>
              <w:t xml:space="preserve">dzie miał zatem charakter zbliżony do rejestru działalności regulowanej, o którym mowa w ustawie </w:t>
            </w:r>
            <w:r w:rsidRPr="000F7F40">
              <w:rPr>
                <w:rFonts w:ascii="Times New Roman" w:hAnsi="Times New Roman"/>
                <w:color w:val="000000"/>
              </w:rPr>
              <w:t xml:space="preserve">z dnia 6 marca 2018 r. ‒ Prawo przedsiębiorców </w:t>
            </w:r>
            <w:r w:rsidRPr="00083A45">
              <w:rPr>
                <w:rFonts w:ascii="Times New Roman" w:hAnsi="Times New Roman"/>
                <w:color w:val="000000"/>
              </w:rPr>
              <w:t>– Prawo przedsiębiorców</w:t>
            </w:r>
            <w:r>
              <w:rPr>
                <w:rFonts w:ascii="Times New Roman" w:hAnsi="Times New Roman"/>
                <w:color w:val="000000"/>
              </w:rPr>
              <w:t xml:space="preserve"> </w:t>
            </w:r>
            <w:r w:rsidRPr="00083A45">
              <w:rPr>
                <w:rFonts w:ascii="Times New Roman" w:hAnsi="Times New Roman"/>
                <w:color w:val="000000"/>
                <w:spacing w:val="-2"/>
              </w:rPr>
              <w:t>(Dz. U. z 2021 r. poz. 162, z</w:t>
            </w:r>
            <w:r>
              <w:rPr>
                <w:rFonts w:ascii="Times New Roman" w:hAnsi="Times New Roman"/>
                <w:color w:val="000000"/>
                <w:spacing w:val="-2"/>
              </w:rPr>
              <w:t> </w:t>
            </w:r>
            <w:r w:rsidRPr="00083A45">
              <w:rPr>
                <w:rFonts w:ascii="Times New Roman" w:hAnsi="Times New Roman"/>
                <w:color w:val="000000"/>
                <w:spacing w:val="-2"/>
              </w:rPr>
              <w:t>późn. zm.)</w:t>
            </w:r>
            <w:r w:rsidRPr="00083A45">
              <w:rPr>
                <w:rFonts w:ascii="Times New Roman" w:hAnsi="Times New Roman"/>
                <w:color w:val="000000"/>
              </w:rPr>
              <w:t>, tzn. będzie instrumentem reglamentacji działalności, nie zaś jedynie bazą danych o podmiotach taką działalność wykonujących. Rozwiązanie takie jest niezbędne dla umożliwienia organowi administracji publicznej podejmowania działań władczych i</w:t>
            </w:r>
            <w:r>
              <w:rPr>
                <w:rFonts w:ascii="Times New Roman" w:hAnsi="Times New Roman"/>
                <w:color w:val="000000"/>
              </w:rPr>
              <w:t> </w:t>
            </w:r>
            <w:r w:rsidRPr="00083A45">
              <w:rPr>
                <w:rFonts w:ascii="Times New Roman" w:hAnsi="Times New Roman"/>
                <w:color w:val="000000"/>
              </w:rPr>
              <w:t xml:space="preserve">nadzorczych wobec podmiotów wykonujących taką działalność. </w:t>
            </w:r>
          </w:p>
          <w:p w14:paraId="449E42DB"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Główny Inspektor Farmaceutyczny na wniosek przedsiębiorcy będzie mógł, w drodze decyzji, odmówić dokonania wpisu, dokonać zmiany wpisu a w przypadku naruszenia wymagań przez przedsiębiorcę wykreślić podmiot z Rejestru. Główny Inspektor Farmaceutyczny będzie mógł odmówić dokonania wpisu do Rejestru w przypadku, gdy w okresie 3 lat przed dniem złożenia wniosku wnioskodawca został z niego wykreślony z powodu naruszenia przepisów prawa koniecznych do uzyskania wpisu, jak również w przypadku, gdy podmiot prowadzący medyczne laboratorium diagnostyczne nie usunął w</w:t>
            </w:r>
            <w:r w:rsidR="00A10094">
              <w:rPr>
                <w:rFonts w:ascii="Times New Roman" w:hAnsi="Times New Roman"/>
                <w:color w:val="000000"/>
                <w:spacing w:val="-2"/>
              </w:rPr>
              <w:t> </w:t>
            </w:r>
            <w:r w:rsidRPr="00083A45">
              <w:rPr>
                <w:rFonts w:ascii="Times New Roman" w:hAnsi="Times New Roman"/>
                <w:color w:val="000000"/>
                <w:spacing w:val="-2"/>
              </w:rPr>
              <w:t>wyznaczonym terminie uchybień stwierdzonych w drodze decyzji.  W przypadku, gdy przedsiębiorca zawnioskuje o wykreślenie z Rejestru Główny Inspektor Farmaceutyczny będzie mógł odmówić takiego</w:t>
            </w:r>
            <w:r w:rsidRPr="00083A45" w:rsidDel="00403A58">
              <w:rPr>
                <w:rFonts w:ascii="Times New Roman" w:hAnsi="Times New Roman"/>
                <w:color w:val="000000"/>
                <w:spacing w:val="-2"/>
              </w:rPr>
              <w:t xml:space="preserve"> </w:t>
            </w:r>
            <w:r w:rsidRPr="00083A45">
              <w:rPr>
                <w:rFonts w:ascii="Times New Roman" w:hAnsi="Times New Roman"/>
                <w:color w:val="000000"/>
                <w:spacing w:val="-2"/>
              </w:rPr>
              <w:t>wykreślenia jeżeli w dacie złożenia wniosku o wykreślenie toczy się postępowanie wszczęte z urzędu w przedmiocie wykreślenia wnioskodawcy z Rejestru.</w:t>
            </w:r>
          </w:p>
          <w:p w14:paraId="0677AD32"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Główny Inspektor Farmaceutyczny wykreśli medyczne laboratorium diagnostyczne z Rejestru:</w:t>
            </w:r>
          </w:p>
          <w:p w14:paraId="383BFE47" w14:textId="77777777" w:rsidR="002C4599" w:rsidRPr="00083A45" w:rsidRDefault="002C4599" w:rsidP="002C4599">
            <w:pPr>
              <w:numPr>
                <w:ilvl w:val="0"/>
                <w:numId w:val="10"/>
              </w:numPr>
              <w:spacing w:line="240" w:lineRule="auto"/>
              <w:ind w:left="426"/>
              <w:jc w:val="both"/>
              <w:rPr>
                <w:rFonts w:ascii="Times New Roman" w:hAnsi="Times New Roman"/>
                <w:color w:val="000000"/>
                <w:spacing w:val="-2"/>
              </w:rPr>
            </w:pPr>
            <w:r w:rsidRPr="00083A45">
              <w:rPr>
                <w:rFonts w:ascii="Times New Roman" w:hAnsi="Times New Roman"/>
                <w:color w:val="000000"/>
                <w:spacing w:val="-2"/>
              </w:rPr>
              <w:t>na wniosek podmiotu prowadzącego medyczne laboratorium diagnostyczne, który zaprzestał wykonywania działalności objętej wpisem;</w:t>
            </w:r>
          </w:p>
          <w:p w14:paraId="7096BC96" w14:textId="77777777" w:rsidR="002C4599" w:rsidRPr="00083A45" w:rsidRDefault="002C4599" w:rsidP="002C4599">
            <w:pPr>
              <w:numPr>
                <w:ilvl w:val="0"/>
                <w:numId w:val="10"/>
              </w:numPr>
              <w:spacing w:line="240" w:lineRule="auto"/>
              <w:ind w:left="426"/>
              <w:jc w:val="both"/>
              <w:rPr>
                <w:rFonts w:ascii="Times New Roman" w:hAnsi="Times New Roman"/>
                <w:color w:val="000000"/>
                <w:spacing w:val="-2"/>
              </w:rPr>
            </w:pPr>
            <w:r w:rsidRPr="00083A45">
              <w:rPr>
                <w:rFonts w:ascii="Times New Roman" w:hAnsi="Times New Roman"/>
                <w:color w:val="000000"/>
                <w:spacing w:val="-2"/>
              </w:rPr>
              <w:t>w przypadku, gdy podmiot prowadzący medyczne laboratorium diagnostyczne przestał spełniać wymogi określone przepisami prawa konieczne do uzyskania wpisu;</w:t>
            </w:r>
          </w:p>
          <w:p w14:paraId="61CDBBAE" w14:textId="77777777" w:rsidR="002C4599" w:rsidRPr="00083A45" w:rsidRDefault="002C4599" w:rsidP="002C4599">
            <w:pPr>
              <w:numPr>
                <w:ilvl w:val="0"/>
                <w:numId w:val="10"/>
              </w:numPr>
              <w:spacing w:line="240" w:lineRule="auto"/>
              <w:ind w:left="426"/>
              <w:jc w:val="both"/>
              <w:rPr>
                <w:rFonts w:ascii="Times New Roman" w:hAnsi="Times New Roman"/>
                <w:color w:val="000000"/>
                <w:spacing w:val="-2"/>
              </w:rPr>
            </w:pPr>
            <w:r w:rsidRPr="00083A45">
              <w:rPr>
                <w:rFonts w:ascii="Times New Roman" w:hAnsi="Times New Roman"/>
                <w:color w:val="000000"/>
                <w:spacing w:val="-2"/>
              </w:rPr>
              <w:t xml:space="preserve">jeżeli podmiot prowadzący medyczne laboratorium diagnostyczne prowadzący laboratorium nie usunął w wyznaczonym terminie uchybień stwierdzonych w drodze decyzji. </w:t>
            </w:r>
          </w:p>
          <w:p w14:paraId="2CA5DF59"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Główny Inspektor Farmaceutyczny będzie mógł wykreślić medyczne laboratorium diagnostyczne z Rejestru gdy</w:t>
            </w:r>
            <w:r>
              <w:rPr>
                <w:rFonts w:ascii="Times New Roman" w:hAnsi="Times New Roman"/>
                <w:color w:val="000000"/>
                <w:spacing w:val="-2"/>
              </w:rPr>
              <w:t xml:space="preserve"> </w:t>
            </w:r>
            <w:r w:rsidRPr="00083A45">
              <w:rPr>
                <w:rFonts w:ascii="Times New Roman" w:hAnsi="Times New Roman"/>
                <w:color w:val="000000"/>
                <w:spacing w:val="-2"/>
              </w:rPr>
              <w:t>stwierdzi naruszanie obowiązków przez medyczne laboratorium diagnostyczne, takich jak:</w:t>
            </w:r>
          </w:p>
          <w:p w14:paraId="72762AB4" w14:textId="77777777" w:rsidR="002C4599" w:rsidRPr="00083A45" w:rsidRDefault="002C4599" w:rsidP="002C4599">
            <w:pPr>
              <w:numPr>
                <w:ilvl w:val="0"/>
                <w:numId w:val="14"/>
              </w:numPr>
              <w:spacing w:line="240" w:lineRule="auto"/>
              <w:jc w:val="both"/>
              <w:rPr>
                <w:rFonts w:ascii="Times New Roman" w:hAnsi="Times New Roman"/>
                <w:color w:val="000000"/>
                <w:spacing w:val="-2"/>
              </w:rPr>
            </w:pPr>
            <w:r w:rsidRPr="00083A45">
              <w:rPr>
                <w:rFonts w:ascii="Times New Roman" w:hAnsi="Times New Roman"/>
                <w:color w:val="000000"/>
                <w:spacing w:val="-2"/>
              </w:rPr>
              <w:t>przestrzeganie wymagań Dobrej Praktyki Medycyny Laboratoryjnej;</w:t>
            </w:r>
          </w:p>
          <w:p w14:paraId="3A511F45" w14:textId="77777777" w:rsidR="002C4599" w:rsidRPr="00083A45" w:rsidRDefault="002C4599" w:rsidP="002C4599">
            <w:pPr>
              <w:numPr>
                <w:ilvl w:val="0"/>
                <w:numId w:val="14"/>
              </w:numPr>
              <w:spacing w:line="240" w:lineRule="auto"/>
              <w:jc w:val="both"/>
              <w:rPr>
                <w:rFonts w:ascii="Times New Roman" w:hAnsi="Times New Roman"/>
                <w:color w:val="000000"/>
                <w:spacing w:val="-2"/>
              </w:rPr>
            </w:pPr>
            <w:r w:rsidRPr="00083A45">
              <w:rPr>
                <w:rFonts w:ascii="Times New Roman" w:hAnsi="Times New Roman"/>
                <w:color w:val="000000"/>
                <w:spacing w:val="-2"/>
              </w:rPr>
              <w:t>stosowanie systemu jakości określającego obowiązki, procesy i środki zarządzania ryzykiem związane z prowadzoną działalnością;</w:t>
            </w:r>
          </w:p>
          <w:p w14:paraId="552978DA" w14:textId="77777777" w:rsidR="002C4599" w:rsidRPr="00083A45" w:rsidRDefault="002C4599" w:rsidP="002C4599">
            <w:pPr>
              <w:numPr>
                <w:ilvl w:val="0"/>
                <w:numId w:val="14"/>
              </w:numPr>
              <w:spacing w:line="240" w:lineRule="auto"/>
              <w:jc w:val="both"/>
              <w:rPr>
                <w:rFonts w:ascii="Times New Roman" w:hAnsi="Times New Roman"/>
                <w:color w:val="000000"/>
                <w:spacing w:val="-2"/>
              </w:rPr>
            </w:pPr>
            <w:r w:rsidRPr="00083A45">
              <w:rPr>
                <w:rFonts w:ascii="Times New Roman" w:hAnsi="Times New Roman"/>
                <w:color w:val="000000"/>
                <w:spacing w:val="-2"/>
              </w:rPr>
              <w:t>prowadzenie, przechowywanie i aktualizacja procedur systemu jakości obowiązujących w laboratorium;</w:t>
            </w:r>
          </w:p>
          <w:p w14:paraId="330E146B" w14:textId="77777777" w:rsidR="002C4599" w:rsidRPr="00083A45" w:rsidRDefault="002C4599" w:rsidP="002C4599">
            <w:pPr>
              <w:numPr>
                <w:ilvl w:val="0"/>
                <w:numId w:val="14"/>
              </w:numPr>
              <w:spacing w:line="240" w:lineRule="auto"/>
              <w:jc w:val="both"/>
              <w:rPr>
                <w:rFonts w:ascii="Times New Roman" w:hAnsi="Times New Roman"/>
                <w:color w:val="000000"/>
                <w:spacing w:val="-2"/>
              </w:rPr>
            </w:pPr>
            <w:r w:rsidRPr="00083A45">
              <w:rPr>
                <w:rFonts w:ascii="Times New Roman" w:hAnsi="Times New Roman"/>
                <w:color w:val="000000"/>
                <w:spacing w:val="-2"/>
              </w:rPr>
              <w:t>zapewnienie obecności kierownika laboratorium w czasie pracy laboratorium, a w przypadku jego nieobecności wyznaczenie jego zastępcy spełniającego wymagania określone dla kierownika laboratorium;</w:t>
            </w:r>
          </w:p>
          <w:p w14:paraId="3E3222D0" w14:textId="77777777" w:rsidR="002C4599" w:rsidRPr="00083A45" w:rsidRDefault="002C4599" w:rsidP="002C4599">
            <w:pPr>
              <w:numPr>
                <w:ilvl w:val="0"/>
                <w:numId w:val="14"/>
              </w:numPr>
              <w:spacing w:line="240" w:lineRule="auto"/>
              <w:jc w:val="both"/>
              <w:rPr>
                <w:rFonts w:ascii="Times New Roman" w:hAnsi="Times New Roman"/>
                <w:color w:val="000000"/>
                <w:spacing w:val="-2"/>
              </w:rPr>
            </w:pPr>
            <w:r w:rsidRPr="00083A45">
              <w:rPr>
                <w:rFonts w:ascii="Times New Roman" w:hAnsi="Times New Roman"/>
                <w:color w:val="000000"/>
                <w:spacing w:val="-2"/>
              </w:rPr>
              <w:t>pełnienie przez kierownika funkcji w więcej niż jednym laboratorium diagnostycznym.</w:t>
            </w:r>
          </w:p>
          <w:p w14:paraId="246E6C84"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Przewiduje się możliwość zawarcia umowy o wykonanie czynności medycyny laboratoryjnej z innym podmiotem wpisanym do Rejestru. </w:t>
            </w:r>
            <w:r w:rsidRPr="00083A45">
              <w:rPr>
                <w:rFonts w:ascii="Times New Roman" w:hAnsi="Times New Roman"/>
              </w:rPr>
              <w:t>M</w:t>
            </w:r>
            <w:r w:rsidRPr="00083A45">
              <w:rPr>
                <w:rFonts w:ascii="Times New Roman" w:hAnsi="Times New Roman"/>
                <w:color w:val="000000"/>
                <w:spacing w:val="-2"/>
              </w:rPr>
              <w:t>edyczne laboratorium diagnostyczne, które zawarło taką umowę przekazuje jej kopię do Głównego Inspektora Farmaceutycznego.</w:t>
            </w:r>
          </w:p>
          <w:p w14:paraId="3B45CD75" w14:textId="77777777" w:rsidR="002C4599" w:rsidRPr="00083A45" w:rsidRDefault="00F62C95" w:rsidP="002C4599">
            <w:pPr>
              <w:spacing w:line="240" w:lineRule="auto"/>
              <w:jc w:val="both"/>
              <w:rPr>
                <w:rFonts w:ascii="Times New Roman" w:hAnsi="Times New Roman"/>
                <w:color w:val="000000"/>
                <w:spacing w:val="-2"/>
              </w:rPr>
            </w:pPr>
            <w:r>
              <w:rPr>
                <w:rFonts w:ascii="Times New Roman" w:hAnsi="Times New Roman"/>
                <w:color w:val="000000"/>
                <w:spacing w:val="-2"/>
              </w:rPr>
              <w:t>Kontrolę</w:t>
            </w:r>
            <w:r w:rsidR="002C4599" w:rsidRPr="00083A45">
              <w:rPr>
                <w:rFonts w:ascii="Times New Roman" w:hAnsi="Times New Roman"/>
                <w:color w:val="000000"/>
                <w:spacing w:val="-2"/>
              </w:rPr>
              <w:t xml:space="preserve"> medycznych laboratoriów diagnostycznych wykonują inspektorzy do spraw medycyny laboratoryjnej upoważnieni przez Głównego Inspektora Farmaceutycznego. Przewiduje się możliwość przeprowadzenia </w:t>
            </w:r>
            <w:r>
              <w:rPr>
                <w:rFonts w:ascii="Times New Roman" w:hAnsi="Times New Roman"/>
                <w:color w:val="000000"/>
                <w:spacing w:val="-2"/>
              </w:rPr>
              <w:t>kontroli</w:t>
            </w:r>
            <w:r w:rsidR="002C4599" w:rsidRPr="00083A45">
              <w:rPr>
                <w:rFonts w:ascii="Times New Roman" w:hAnsi="Times New Roman"/>
                <w:color w:val="000000"/>
                <w:spacing w:val="-2"/>
              </w:rPr>
              <w:t xml:space="preserve"> doraźnej w przypadku podejrzenia braku przestrzegania przez podmiot prowadzący medyczne laboratorium diagnostyczne przepisów ustawy.</w:t>
            </w:r>
          </w:p>
          <w:p w14:paraId="7FE7E29B"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Na podstawie ustaleń </w:t>
            </w:r>
            <w:r w:rsidR="00F62C95">
              <w:rPr>
                <w:rFonts w:ascii="Times New Roman" w:hAnsi="Times New Roman"/>
                <w:color w:val="000000"/>
                <w:spacing w:val="-2"/>
              </w:rPr>
              <w:t>kontroli</w:t>
            </w:r>
            <w:r w:rsidRPr="00083A45">
              <w:rPr>
                <w:rFonts w:ascii="Times New Roman" w:hAnsi="Times New Roman"/>
                <w:color w:val="000000"/>
                <w:spacing w:val="-2"/>
              </w:rPr>
              <w:t xml:space="preserve"> Główny Inspektor Farmaceutyczny będzie mógł w drodze decyzji:</w:t>
            </w:r>
          </w:p>
          <w:p w14:paraId="7DED6418" w14:textId="77777777" w:rsidR="002C4599" w:rsidRPr="00083A45" w:rsidRDefault="002C4599" w:rsidP="002C4599">
            <w:pPr>
              <w:numPr>
                <w:ilvl w:val="0"/>
                <w:numId w:val="11"/>
              </w:numPr>
              <w:spacing w:line="240" w:lineRule="auto"/>
              <w:ind w:left="426"/>
              <w:jc w:val="both"/>
              <w:rPr>
                <w:rFonts w:ascii="Times New Roman" w:hAnsi="Times New Roman"/>
                <w:color w:val="000000"/>
                <w:spacing w:val="-2"/>
              </w:rPr>
            </w:pPr>
            <w:r w:rsidRPr="00083A45">
              <w:rPr>
                <w:rFonts w:ascii="Times New Roman" w:hAnsi="Times New Roman"/>
                <w:color w:val="000000"/>
                <w:spacing w:val="-2"/>
              </w:rPr>
              <w:t xml:space="preserve">wstrzymać wykonywanie działalności laboratorium w całości albo w części do czasu usunięcia stwierdzonych uchybień; w decyzji określa się termin usunięcia stwierdzonych uchybień; </w:t>
            </w:r>
          </w:p>
          <w:p w14:paraId="1725DC71" w14:textId="77777777" w:rsidR="002C4599" w:rsidRPr="00083A45" w:rsidRDefault="002C4599" w:rsidP="002C4599">
            <w:pPr>
              <w:numPr>
                <w:ilvl w:val="0"/>
                <w:numId w:val="11"/>
              </w:numPr>
              <w:spacing w:line="240" w:lineRule="auto"/>
              <w:ind w:left="426"/>
              <w:jc w:val="both"/>
              <w:rPr>
                <w:rFonts w:ascii="Times New Roman" w:hAnsi="Times New Roman"/>
                <w:color w:val="000000"/>
                <w:spacing w:val="-2"/>
              </w:rPr>
            </w:pPr>
            <w:r w:rsidRPr="00083A45">
              <w:rPr>
                <w:rFonts w:ascii="Times New Roman" w:hAnsi="Times New Roman"/>
                <w:color w:val="000000"/>
                <w:spacing w:val="-2"/>
              </w:rPr>
              <w:t>wykreślić medyczne laboratorium diagnostyczne z Rejestru, jeżeli podmiot prowadzący laboratorium nie usunął w wyznaczonym terminie uchybień stwierdzonych w drodze decyzji.</w:t>
            </w:r>
          </w:p>
          <w:p w14:paraId="228687EF"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lastRenderedPageBreak/>
              <w:t xml:space="preserve">W celu sprawdzenia czy medyczne laboratorium diagnostyczne wykonuje badania w sposób prawidłowy, Główny Inspektor Farmaceutyczny będzie mógł przekazać medycznemu laboratorium diagnostycznemu próbkę do przeprowadzenia badania, tzw. próbkę kontrolną. Koszt badania próbki kontrolnej ponosi podmiot prowadzący medyczne laboratorium diagnostyczne. Po przeprowadzeniu badań próbki kontrolnej medyczne laboratorium diagnostyczne przekazuje Głównemu Inspektorowi Farmaceutycznemu wyniki badań, wraz z dokumentacją stanowiącą wydruk z urządzenia, na którym przeprowadzono badanie i materiałami niezbędnymi do przeprowadzenia badania próbki kontrolnej. </w:t>
            </w:r>
            <w:r w:rsidRPr="00083A45">
              <w:rPr>
                <w:rFonts w:ascii="Times New Roman" w:hAnsi="Times New Roman"/>
              </w:rPr>
              <w:t>Główny Inspektor Farmaceutyczny będzie przekazywał do danego laboratorium tylko takie próbki, które są możliwe do przebadania. Sprawując nadzór nad laboratoriami będzie miał wiedzę na temat profilu działalności każdego certyfikowanego laboratorium.</w:t>
            </w:r>
          </w:p>
          <w:p w14:paraId="1E19AE19"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W przypadku gdy rozbieżność między wynikami badań przeprowadzonymi przez dane laboratorium a wynikami badań przeprowadzonych przez Głównego Inspektora Farmaceutycznego uzasadnia podejrzenie, że działalność laboratorium może powodować zagrożenie dla życia lub zdrowia, Główny Inspektor Farmaceutyczny będzie mógł nakazać wstrzymanie wykonywania działalności medycznego laboratorium diagnostycznego do czasu usunięcia stwierdzonych uchybień na okres 6 miesięcy. W takim przypadku podmiot prowadzący medyczne laboratorium diagnostyczne może wystąpić do Głównego Inspektora Farmaceutycznego z wnioskiem o ponowne przeprowadzenie badania próbki kontrolnej na własny koszt. W przypadku jeżeli podmiot prowadzący medyczne laboratorium diagnostyczne nie wystąpił o ponowne przeprowadzenie próbki kontrolnej w okresie wskazanym w decyzji albo w sytuacji gdy wyniki badań próbki kontrolnej ponownie wykazują istotną rozbieżność, Główny Inspektor Farmaceutyczny wykreśla medyczne laboratorium diagnostyczne z Rejestru.</w:t>
            </w:r>
          </w:p>
          <w:p w14:paraId="5A38B97E"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W przypadku stwierdzenia rozbieżności, która nie stanowi zagrożenia dla życia lub zdrowia Główny Inspektor </w:t>
            </w:r>
            <w:r>
              <w:rPr>
                <w:rFonts w:ascii="Times New Roman" w:hAnsi="Times New Roman"/>
                <w:color w:val="000000"/>
                <w:spacing w:val="-2"/>
              </w:rPr>
              <w:t>F</w:t>
            </w:r>
            <w:r w:rsidRPr="00083A45">
              <w:rPr>
                <w:rFonts w:ascii="Times New Roman" w:hAnsi="Times New Roman"/>
                <w:color w:val="000000"/>
                <w:spacing w:val="-2"/>
              </w:rPr>
              <w:t>armaceutyczny nakazuje usunięcie stwierdzonych uchybień. W przypadku nieusunięcia uchybień Główny Inspektor Farmaceutyczny wykreśla medyczne laboratorium diagnostyczne z Rejestru.</w:t>
            </w:r>
          </w:p>
          <w:p w14:paraId="4D30EA65"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W projekcie przewidziano, że każdy podmiot prowadzący czynności z zakresu medycznych badań laboratoryjnych bez uzyskania wpisu do Rejestru podlega karze pieniężnej w wysokości do 500</w:t>
            </w:r>
            <w:r>
              <w:rPr>
                <w:rFonts w:ascii="Times New Roman" w:hAnsi="Times New Roman"/>
                <w:color w:val="000000"/>
                <w:spacing w:val="-2"/>
              </w:rPr>
              <w:t xml:space="preserve"> tys.</w:t>
            </w:r>
            <w:r w:rsidRPr="00083A45">
              <w:rPr>
                <w:rFonts w:ascii="Times New Roman" w:hAnsi="Times New Roman"/>
                <w:color w:val="000000"/>
                <w:spacing w:val="-2"/>
              </w:rPr>
              <w:t xml:space="preserve"> zł. Karze  pieniężnej w wysokości do 20</w:t>
            </w:r>
            <w:r>
              <w:rPr>
                <w:rFonts w:ascii="Times New Roman" w:hAnsi="Times New Roman"/>
                <w:color w:val="000000"/>
                <w:spacing w:val="-2"/>
              </w:rPr>
              <w:t xml:space="preserve"> tys.</w:t>
            </w:r>
            <w:r w:rsidRPr="00083A45">
              <w:rPr>
                <w:rFonts w:ascii="Times New Roman" w:hAnsi="Times New Roman"/>
                <w:color w:val="000000"/>
                <w:spacing w:val="-2"/>
              </w:rPr>
              <w:t xml:space="preserve"> zł będzie podlegał ten kto nie przekazuje Głównemu Inspektorowi Farmaceutycznemu kopii umowy o wykonanie czynności medycyny laboratoryjnej.</w:t>
            </w:r>
          </w:p>
          <w:p w14:paraId="689CF370"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W celu prawidłowego nadzoru nad medycznymi laboratoriami diagnostycznymi przewiduje się, że Centralny Ośrodek Badań Jakości w Diagnostyce Laboratoryjnej działający na podstawie zarządzenia Ministra Zdrowia z dnia 11 czerwca 2010 r. w</w:t>
            </w:r>
            <w:r w:rsidR="00A10094">
              <w:rPr>
                <w:rFonts w:ascii="Times New Roman" w:hAnsi="Times New Roman"/>
                <w:color w:val="000000"/>
                <w:spacing w:val="-2"/>
              </w:rPr>
              <w:t> </w:t>
            </w:r>
            <w:r w:rsidRPr="00083A45">
              <w:rPr>
                <w:rFonts w:ascii="Times New Roman" w:hAnsi="Times New Roman"/>
                <w:color w:val="000000"/>
                <w:spacing w:val="-2"/>
              </w:rPr>
              <w:t>sprawie Centralnego Ośrodka Badań Jakości w Diagnostyce Laboratoryjnej (Dz. Urz. Min. Zdrow. poz. 45 oraz z 2017 r. poz. 88) oraz Centralny Ośrodek Badań Jakości w Diagnostyce Mikrobiologicznej działający na podstawie zarządzenia Ministra Zdrowia z dnia 11 czerwca 2010 r. w sprawie Centralnego Ośrodka Badań Jakości w Diagnostyce Mikrobiologicznej (Dz. Urz. Min. Zdrow. poz. 44 oraz z 2017 r. poz. 89),</w:t>
            </w:r>
            <w:r w:rsidRPr="00083A45">
              <w:rPr>
                <w:rFonts w:ascii="Times New Roman" w:hAnsi="Times New Roman"/>
                <w:color w:val="000000"/>
                <w:spacing w:val="-2"/>
              </w:rPr>
              <w:tab/>
              <w:t>będą podlegały włączeniu w struktury Głównego Inspektoratu Farmaceutycznego. W tym celu zaproponowano regulacje dostosowujące.</w:t>
            </w:r>
          </w:p>
          <w:p w14:paraId="68340C37" w14:textId="77777777" w:rsidR="002C4599"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Z uwagi na fakt, że obowiązek uzyskania wpisu do Rejestru jest nowością przewiduje się, że podmioty, które w dniu wejścia w życie niniejszej ustawy prowadzą medyczne laboratoria diagnostyczne, mają obowiązek złożyć wniosek o wpis do Rejestru, w terminie 36 miesięcy od dnia wejścia w życie tego przepisu.</w:t>
            </w:r>
          </w:p>
          <w:p w14:paraId="2FC595D7" w14:textId="77777777" w:rsidR="002C4599" w:rsidRPr="00083A45" w:rsidRDefault="002C4599" w:rsidP="002C4599">
            <w:pPr>
              <w:spacing w:line="240" w:lineRule="auto"/>
              <w:jc w:val="both"/>
              <w:rPr>
                <w:rFonts w:ascii="Times New Roman" w:hAnsi="Times New Roman"/>
                <w:color w:val="000000"/>
                <w:spacing w:val="-2"/>
              </w:rPr>
            </w:pPr>
          </w:p>
          <w:p w14:paraId="4A12163F"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III. Kontrola </w:t>
            </w:r>
          </w:p>
          <w:p w14:paraId="32EC511E"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Projekt ustawy zakłada dodanie nowego rozdziału dotyczącego kontroli przeprowadzanych przez Głównego Inspektora Farmaceutycznego, który będzie kompleksowo regulował te zagadnienia.</w:t>
            </w:r>
            <w:r w:rsidR="00F62C95">
              <w:rPr>
                <w:rFonts w:ascii="Times New Roman" w:hAnsi="Times New Roman"/>
                <w:color w:val="000000"/>
                <w:spacing w:val="-2"/>
              </w:rPr>
              <w:t xml:space="preserve"> </w:t>
            </w:r>
            <w:r w:rsidR="00F62C95">
              <w:t xml:space="preserve"> </w:t>
            </w:r>
            <w:r w:rsidR="00F62C95" w:rsidRPr="00F62C95">
              <w:rPr>
                <w:rFonts w:ascii="Times New Roman" w:hAnsi="Times New Roman"/>
                <w:color w:val="000000"/>
                <w:spacing w:val="-2"/>
              </w:rPr>
              <w:t>Przede wszystkim proponuje się ze sztucznym podziałem na 2 instytucje – kontrolę i inspekcję. W myśl zaproponowanych przepisów pozostanie tylko jedna z nich – kontrola.</w:t>
            </w:r>
            <w:r w:rsidRPr="00083A45">
              <w:rPr>
                <w:rFonts w:ascii="Times New Roman" w:hAnsi="Times New Roman"/>
                <w:color w:val="000000"/>
                <w:spacing w:val="-2"/>
              </w:rPr>
              <w:t xml:space="preserve"> Przewiduje się uchylenie art. 37at ust. 1‒7, art. 37au, art. 119, art. 120b, art. 122b‒art. 122g, art. 122k, art. 123 ust. 1</w:t>
            </w:r>
            <w:r w:rsidRPr="00083A45">
              <w:rPr>
                <w:rFonts w:ascii="Times New Roman" w:hAnsi="Times New Roman"/>
              </w:rPr>
              <w:t xml:space="preserve"> </w:t>
            </w:r>
            <w:r w:rsidRPr="00083A45">
              <w:rPr>
                <w:rFonts w:ascii="Times New Roman" w:hAnsi="Times New Roman"/>
                <w:color w:val="000000"/>
                <w:spacing w:val="-2"/>
              </w:rPr>
              <w:t xml:space="preserve">PF, co jest związane z dodaniem w tej ustawie rozdziału 8a, który kompleksowo odnosi się do kwestii uregulowanych w uchylanych przepisach. Uchylenie przedmiotowych przepisów oraz usystematyzowanie tych regulacji w ramach jednej jednostki systematycznej (rozdziału) jest więc uzasadnione. W projekcie wskazano, że Główny Inspektor Farmaceutyczny będzie mógł przeprowadzać kontrolę działalności każdego podmiotu, który może posiadać, dokonywać obrotu lub pośredniczyć w obrocie produktami leczniczymi, substancjami czynnymi lub substancjami pomocniczymi w zakresie prawidłowości tych czynności oraz jakości i warunków przechowywania tych produktów lub substancji, z wyłączeniem osób fizycznych posiadających produkty lecznicze na własne potrzeby lecznicze. Ponadto przewiduje się przepis o kontroli o charakterze sprawdzającym, pozwalającej na weryfikację wykonania przez posiadacza zezwolenia decyzji zobowiązujących do usunięcia naruszeń prawa stwierdzonych podczas wcześniejszej </w:t>
            </w:r>
            <w:r w:rsidR="00F62C95">
              <w:rPr>
                <w:rFonts w:ascii="Times New Roman" w:hAnsi="Times New Roman"/>
                <w:color w:val="000000"/>
                <w:spacing w:val="-2"/>
              </w:rPr>
              <w:t>kontroli</w:t>
            </w:r>
            <w:r w:rsidRPr="00083A45">
              <w:rPr>
                <w:rFonts w:ascii="Times New Roman" w:hAnsi="Times New Roman"/>
                <w:color w:val="000000"/>
                <w:spacing w:val="-2"/>
              </w:rPr>
              <w:t>.</w:t>
            </w:r>
          </w:p>
          <w:p w14:paraId="2EF0CAC2"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Projektowane przepisy określają sposób i terminy wszczęcia kontroli planowej oraz przesłanki uzasadniające przeprowadzenie kontroli doraźnej. O terminie rozpoczęcia kontroli planowej Główny Inspektor Farmaceutyczny zawiadamia co najmniej na 30 dni przed planowanym terminem kontroli.</w:t>
            </w:r>
          </w:p>
          <w:p w14:paraId="669F4CAA"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Proponowane regulacje mają również na celu przyznanie Głównemu Inspektorowi Farmaceutycznemu kompetencji do sprawdzenia rzetelności i terminowości prowadzenia przez przedsiębiorców ewidencji transakcji zbycia i nabycia produktów leczniczych, weryfikacji dokumentów, których dane zawiera ewidencja oraz sprawdzania dokumentów związanych z</w:t>
            </w:r>
            <w:r w:rsidR="00A10094">
              <w:rPr>
                <w:rFonts w:ascii="Times New Roman" w:hAnsi="Times New Roman"/>
                <w:color w:val="000000"/>
                <w:spacing w:val="-2"/>
              </w:rPr>
              <w:t> </w:t>
            </w:r>
            <w:r w:rsidRPr="00083A45">
              <w:rPr>
                <w:rFonts w:ascii="Times New Roman" w:hAnsi="Times New Roman"/>
                <w:color w:val="000000"/>
                <w:spacing w:val="-2"/>
              </w:rPr>
              <w:t xml:space="preserve">odmową realizacji zamówień na produkty objęte refundacją, bez konieczności przeprowadzania postępowania kontrolnego. Organ będzie miał również możliwość weryfikacji danych zawartych w ww. ewidencjach i dokumentach. Wprowadzenie takiej regulacji ma na </w:t>
            </w:r>
            <w:r w:rsidR="00F62C95">
              <w:rPr>
                <w:rFonts w:ascii="Times New Roman" w:hAnsi="Times New Roman"/>
                <w:color w:val="000000"/>
                <w:spacing w:val="-2"/>
              </w:rPr>
              <w:t>celu ograniczenie uciążliwości kontroli</w:t>
            </w:r>
            <w:r w:rsidRPr="00083A45">
              <w:rPr>
                <w:rFonts w:ascii="Times New Roman" w:hAnsi="Times New Roman"/>
                <w:color w:val="000000"/>
                <w:spacing w:val="-2"/>
              </w:rPr>
              <w:t xml:space="preserve"> dla przedsiębiorcy, zwłaszcza w sytuacjach uzyskania informacji od innych organów lub podmiotów o mogących istnieć nieprawidłowościach. Dla przeprowadzenia analizy i</w:t>
            </w:r>
            <w:r w:rsidR="00A10094">
              <w:rPr>
                <w:rFonts w:ascii="Times New Roman" w:hAnsi="Times New Roman"/>
                <w:color w:val="000000"/>
                <w:spacing w:val="-2"/>
              </w:rPr>
              <w:t> </w:t>
            </w:r>
            <w:r w:rsidRPr="00083A45">
              <w:rPr>
                <w:rFonts w:ascii="Times New Roman" w:hAnsi="Times New Roman"/>
                <w:color w:val="000000"/>
                <w:spacing w:val="-2"/>
              </w:rPr>
              <w:t xml:space="preserve">weryfikacji ww. informacji, zawartych w dokumentach, nie </w:t>
            </w:r>
            <w:r w:rsidR="00F62C95">
              <w:rPr>
                <w:rFonts w:ascii="Times New Roman" w:hAnsi="Times New Roman"/>
                <w:color w:val="000000"/>
                <w:spacing w:val="-2"/>
              </w:rPr>
              <w:t>jest konieczne przeprowadzenie kontroli</w:t>
            </w:r>
            <w:r w:rsidRPr="00083A45">
              <w:rPr>
                <w:rFonts w:ascii="Times New Roman" w:hAnsi="Times New Roman"/>
                <w:color w:val="000000"/>
                <w:spacing w:val="-2"/>
              </w:rPr>
              <w:t xml:space="preserve"> w miejscu prowadzenia działalności gospodarczej, która wiąże się z pewnymi utrudnieniami dla przedsiębiorcy.</w:t>
            </w:r>
          </w:p>
          <w:p w14:paraId="084D0DF2"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lastRenderedPageBreak/>
              <w:t>Przewiduje się określenie zakresu informacji zawartych w upoważnieniu do przeprowadzenia kontroli udzielonym przez Głównego Inspektora Farmaceutycznego</w:t>
            </w:r>
            <w:r w:rsidRPr="00083A45" w:rsidDel="0006019B">
              <w:rPr>
                <w:rFonts w:ascii="Times New Roman" w:hAnsi="Times New Roman"/>
                <w:color w:val="000000"/>
                <w:spacing w:val="-2"/>
              </w:rPr>
              <w:t xml:space="preserve"> </w:t>
            </w:r>
            <w:r w:rsidRPr="00083A45">
              <w:rPr>
                <w:rFonts w:ascii="Times New Roman" w:hAnsi="Times New Roman"/>
                <w:color w:val="000000"/>
                <w:spacing w:val="-2"/>
              </w:rPr>
              <w:t xml:space="preserve">oraz wskazanie kto przeprowadza kontrolę oraz kto może w niej uczestniczyć. Przewiduje się, że jeżeli nie jest możliwe doręczenie upoważnienia do przeprowadzenia kontroli, kontrolę można rozpocząć bez konieczności doręczenia upoważnienia. W takim przypadku upoważnienie do przeprowadzenia </w:t>
            </w:r>
            <w:r w:rsidR="00F62C95">
              <w:rPr>
                <w:rFonts w:ascii="Times New Roman" w:hAnsi="Times New Roman"/>
                <w:color w:val="000000"/>
                <w:spacing w:val="-2"/>
              </w:rPr>
              <w:t>kontroli</w:t>
            </w:r>
            <w:r w:rsidRPr="00083A45">
              <w:rPr>
                <w:rFonts w:ascii="Times New Roman" w:hAnsi="Times New Roman"/>
                <w:color w:val="000000"/>
                <w:spacing w:val="-2"/>
              </w:rPr>
              <w:t xml:space="preserve"> doręcza się kontrolowanemu bez zbędnej zwłoki. Wprowadzenie przepisu tej treści jest uzasadnione powszechnymi w praktyce sytuacjami, w których przedsiębiorcy blokują przeprowadzenie i</w:t>
            </w:r>
            <w:r w:rsidR="00F62C95">
              <w:rPr>
                <w:rFonts w:ascii="Times New Roman" w:hAnsi="Times New Roman"/>
                <w:color w:val="000000"/>
                <w:spacing w:val="-2"/>
              </w:rPr>
              <w:t>kontroli</w:t>
            </w:r>
            <w:r w:rsidRPr="00083A45">
              <w:rPr>
                <w:rFonts w:ascii="Times New Roman" w:hAnsi="Times New Roman"/>
                <w:color w:val="000000"/>
                <w:spacing w:val="-2"/>
              </w:rPr>
              <w:t>, uniemożliwiając doręczenie im upoważnienia do kontroli. Projektowane przepisy pozwalają także na przeprowadzenie kontroli doraźnej również poza godzinami deklarowanej aktywności, jeżeli jest to uzasadnione zagrożeniem dla jakości, bezpieczeństwa stosowania lub skuteczności produktów leczniczych lub wyrobów medycznych.</w:t>
            </w:r>
          </w:p>
          <w:p w14:paraId="0F1CBDE1"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Przewiduje się wprowadzenie regulacji zobowiązującej Osobę Kompetentną, Osobę Wykwalifikowaną, Osobę Odpowiedzialną i kierownika apteki do udziału w czynnościach kontrolnych prowadzonych w miejscu wykonywania obowiązków przez te osoby. W ocenie projektodawcy takie rozwiązanie jest konieczne przez wzgląd na kluczową rolę ww. osób w prowadzeniu działalności kontrolowanych podmiotów oraz specyfikę wykonywanych przez nie funkcji. Personel kontrolowanego będzie obowiązany do składania wyjaśnień istotnych dla prowadzonej kontroli. Wprowadza się</w:t>
            </w:r>
            <w:r w:rsidR="00F62C95">
              <w:rPr>
                <w:rFonts w:ascii="Times New Roman" w:hAnsi="Times New Roman"/>
                <w:color w:val="000000"/>
                <w:spacing w:val="-2"/>
              </w:rPr>
              <w:t xml:space="preserve"> też możliwość przeprowadzenia kontroli</w:t>
            </w:r>
            <w:r w:rsidRPr="00083A45">
              <w:rPr>
                <w:rFonts w:ascii="Times New Roman" w:hAnsi="Times New Roman"/>
                <w:color w:val="000000"/>
                <w:spacing w:val="-2"/>
              </w:rPr>
              <w:t xml:space="preserve"> w hurtowni farmaceutycznej pod nieobecność osób umocowanych do reprezentowania kontrolowanego. W takiej sytuacji przeprowadzenie </w:t>
            </w:r>
            <w:r w:rsidR="00F62C95">
              <w:rPr>
                <w:rFonts w:ascii="Times New Roman" w:hAnsi="Times New Roman"/>
                <w:color w:val="000000"/>
                <w:spacing w:val="-2"/>
              </w:rPr>
              <w:t>kontroli</w:t>
            </w:r>
            <w:r w:rsidRPr="00083A45">
              <w:rPr>
                <w:rFonts w:ascii="Times New Roman" w:hAnsi="Times New Roman"/>
                <w:color w:val="000000"/>
                <w:spacing w:val="-2"/>
              </w:rPr>
              <w:t xml:space="preserve"> będzie możliwe przy obecności pracowników lub przywołanego świadka, będącego funkcjonariuszem publicznym. Treść przepisu jest analogiczna do regulacji z art. 50 ust. 5 </w:t>
            </w:r>
            <w:r>
              <w:rPr>
                <w:rFonts w:ascii="Times New Roman" w:hAnsi="Times New Roman"/>
                <w:color w:val="000000"/>
                <w:spacing w:val="-2"/>
              </w:rPr>
              <w:t>ustawy z dnia 6 marca 2018 r. –</w:t>
            </w:r>
            <w:r w:rsidRPr="00083A45">
              <w:rPr>
                <w:rFonts w:ascii="Times New Roman" w:hAnsi="Times New Roman"/>
                <w:color w:val="000000"/>
                <w:spacing w:val="-2"/>
              </w:rPr>
              <w:t xml:space="preserve"> Prawo przedsiębiorców.</w:t>
            </w:r>
          </w:p>
          <w:p w14:paraId="5CAD26B8"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Projektowane regulacje doprecyzowują i poszerzają zakres uprawnień inspektorów podczas kontroli, w szczególności w zakresie wstępu i oględzin miejsc wykonywania działalności, w tym środków przewozowych wykorzystywanych w prowadzonej działalności. Praktyka pokazuje, że  taka zmiana jest konieczna i uzasadniona, albowiem w obecnym stanie faktycznym kontrolowani uniemożliwiają dostęp do pomieszczeń, pojazdów, schowków itd., co do których istnieje uzasadnione podejrzenie, że służą one do faktycznego prowadzenia działalności z zakresu wytwarzania i dystrybucji produktów leczniczych. Doprecyzowano przepisy w zakresie żądania przez inspektorów dokumentacji związanej z</w:t>
            </w:r>
            <w:r w:rsidR="00A10094">
              <w:rPr>
                <w:rFonts w:ascii="Times New Roman" w:hAnsi="Times New Roman"/>
                <w:color w:val="000000"/>
                <w:spacing w:val="-2"/>
              </w:rPr>
              <w:t> </w:t>
            </w:r>
            <w:r w:rsidRPr="00083A45">
              <w:rPr>
                <w:rFonts w:ascii="Times New Roman" w:hAnsi="Times New Roman"/>
                <w:color w:val="000000"/>
                <w:spacing w:val="-2"/>
              </w:rPr>
              <w:t xml:space="preserve">prowadzoną działalnością. Ma to zapobiegać sytuacjom w których kontrolowany podmiot nie przekazuje kluczowych dokumentów niezbędnych do odtworzenia schematu prowadzenia działalności. W obu wskazanych powyżej przypadkach przedsiębiorcy uzasadniają swoje działania brakiem stosownej regulacji. Ponadto wprowadzono możliwość legitymowania osób przebywających w miejscu prowadzenia </w:t>
            </w:r>
            <w:r w:rsidR="00F62C95">
              <w:rPr>
                <w:rFonts w:ascii="Times New Roman" w:hAnsi="Times New Roman"/>
                <w:color w:val="000000"/>
                <w:spacing w:val="-2"/>
              </w:rPr>
              <w:t>kontroli</w:t>
            </w:r>
            <w:r w:rsidRPr="00083A45">
              <w:rPr>
                <w:rFonts w:ascii="Times New Roman" w:hAnsi="Times New Roman"/>
                <w:color w:val="000000"/>
                <w:spacing w:val="-2"/>
              </w:rPr>
              <w:t xml:space="preserve"> oraz zobowiązania kontrolowanego do usunięcia uchybień porządkowych i organizacyjnych, w szczególności do usunięcia osób przeszkadzających w wykonywaniu kontroli. Przewiduje się nałożenie na kontrolowanego obowiązku współpracy z kontrolerami i doprecyzowuje zakres czynności, do których kontrolowany jest obowiązany w toku </w:t>
            </w:r>
            <w:r w:rsidR="00F62C95">
              <w:rPr>
                <w:rFonts w:ascii="Times New Roman" w:hAnsi="Times New Roman"/>
                <w:color w:val="000000"/>
                <w:spacing w:val="-2"/>
              </w:rPr>
              <w:t>kontroli</w:t>
            </w:r>
            <w:r w:rsidRPr="00083A45">
              <w:rPr>
                <w:rFonts w:ascii="Times New Roman" w:hAnsi="Times New Roman"/>
                <w:color w:val="000000"/>
                <w:spacing w:val="-2"/>
              </w:rPr>
              <w:t>. Przewiduje się, że kontrolerzy prowadzący kontrolę będą mogli swobodnie poruszać się po terenie objętym kontrolą, nie będą mieli obowiązku uzyskiwania przepustek i nie będą podlegać przeszukaniu. Uniemożliwi to obstrukcję kontroli przez kontrolowanych. Praktyka pokazuje bowiem, że kontrolowani stosują przepisy swoich wewnętrznych regulaminów obiektów, w których jest wykonywana działalność gospodarcza, do opóźniania lub utrudniania przeprowadzenia czynności kontrolnych przez kontrolerów.</w:t>
            </w:r>
          </w:p>
          <w:p w14:paraId="79B353B5"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Uregulowano również kwestie sporządzania </w:t>
            </w:r>
            <w:r w:rsidR="00F62C95">
              <w:rPr>
                <w:rFonts w:ascii="Times New Roman" w:hAnsi="Times New Roman"/>
                <w:color w:val="000000"/>
                <w:spacing w:val="-2"/>
              </w:rPr>
              <w:t>raportów</w:t>
            </w:r>
            <w:r w:rsidRPr="00083A45">
              <w:rPr>
                <w:rFonts w:ascii="Times New Roman" w:hAnsi="Times New Roman"/>
                <w:color w:val="000000"/>
                <w:spacing w:val="-2"/>
              </w:rPr>
              <w:t xml:space="preserve"> z kontroli oraz prowadzenia książki kontroli.</w:t>
            </w:r>
          </w:p>
          <w:p w14:paraId="6F9F320C"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Dodano przepisy, zgodnie z którymi podczas przeprowadzania kontroli inspektor farmaceutyczny, inspektor do spraw wytwarzania Głównego Inspektoratu Farmaceutycznego, inspektor do spraw obrotu hurtowego </w:t>
            </w:r>
            <w:r>
              <w:rPr>
                <w:rFonts w:ascii="Times New Roman" w:hAnsi="Times New Roman"/>
                <w:color w:val="000000"/>
                <w:spacing w:val="-2"/>
              </w:rPr>
              <w:t>GIF</w:t>
            </w:r>
            <w:r w:rsidRPr="00083A45">
              <w:rPr>
                <w:rFonts w:ascii="Times New Roman" w:hAnsi="Times New Roman"/>
                <w:color w:val="000000"/>
                <w:spacing w:val="-2"/>
              </w:rPr>
              <w:t xml:space="preserve"> oraz inspektor do spraw medycyny laboratoryjnej będzie mógł dokonać zabezpieczenia dowodów, jeżeli jest to niezbędne dla potrzeb kontroli. Określono procedurę zabezpieczania dowodów zgromadzonych w toku </w:t>
            </w:r>
            <w:r w:rsidR="00F62C95">
              <w:rPr>
                <w:rFonts w:ascii="Times New Roman" w:hAnsi="Times New Roman"/>
                <w:color w:val="000000"/>
                <w:spacing w:val="-2"/>
              </w:rPr>
              <w:t>kontroli</w:t>
            </w:r>
            <w:r w:rsidRPr="00083A45">
              <w:rPr>
                <w:rFonts w:ascii="Times New Roman" w:hAnsi="Times New Roman"/>
                <w:color w:val="000000"/>
                <w:spacing w:val="-2"/>
              </w:rPr>
              <w:t xml:space="preserve">. W obecnym stanie prawnym brak jest takich uregulowań. Zaproponowano w konsekwencji penalizację bezprawnego naruszenia zabezpieczenia dowodów pozostawionych w siedzibie kontrolowanego oraz bezprawnego wykorzystania lub usunięcia dowodów lub produktów zabezpieczonych w toku </w:t>
            </w:r>
            <w:r w:rsidR="00F62C95">
              <w:rPr>
                <w:rFonts w:ascii="Times New Roman" w:hAnsi="Times New Roman"/>
                <w:color w:val="000000"/>
                <w:spacing w:val="-2"/>
              </w:rPr>
              <w:t>kontroli</w:t>
            </w:r>
            <w:r w:rsidRPr="00083A45">
              <w:rPr>
                <w:rFonts w:ascii="Times New Roman" w:hAnsi="Times New Roman"/>
                <w:color w:val="000000"/>
                <w:spacing w:val="-2"/>
              </w:rPr>
              <w:t>. Uzasadnieniem objęcia karalnością tego rodzaju zachowań jest potrzeba należytego zabezpieczenia dowodów lub produktów zabezpieczonych w toku kontroli.</w:t>
            </w:r>
          </w:p>
          <w:p w14:paraId="494FFAC2"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 xml:space="preserve">Dodano przepis, zgodnie z którym inspektorzy podczas przeprowadzania kontroli będą korzystali z ochrony przewidzianej w ustawie z dnia 6 czerwca 1997 r. </w:t>
            </w:r>
            <w:r>
              <w:rPr>
                <w:rFonts w:ascii="Times New Roman" w:hAnsi="Times New Roman"/>
                <w:color w:val="000000"/>
                <w:spacing w:val="-2"/>
              </w:rPr>
              <w:t>–</w:t>
            </w:r>
            <w:r w:rsidRPr="00083A45">
              <w:rPr>
                <w:rFonts w:ascii="Times New Roman" w:hAnsi="Times New Roman"/>
                <w:color w:val="000000"/>
                <w:spacing w:val="-2"/>
              </w:rPr>
              <w:t xml:space="preserve"> Kodeks karny, dla funkcjonariuszy publicznych. Powyższe powinno zapewnić bezpieczeństwo inspektorów.</w:t>
            </w:r>
          </w:p>
          <w:p w14:paraId="1C53BCD2"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Dodano przepis wprowadzający odesłanie do ustawy</w:t>
            </w:r>
            <w:r w:rsidRPr="00083A45">
              <w:rPr>
                <w:rFonts w:ascii="Times New Roman" w:hAnsi="Times New Roman"/>
              </w:rPr>
              <w:t xml:space="preserve"> </w:t>
            </w:r>
            <w:r w:rsidRPr="00083A45">
              <w:rPr>
                <w:rFonts w:ascii="Times New Roman" w:hAnsi="Times New Roman"/>
                <w:color w:val="000000"/>
                <w:spacing w:val="-2"/>
              </w:rPr>
              <w:t xml:space="preserve">z dnia 14 czerwca 1960 r. </w:t>
            </w:r>
            <w:r>
              <w:rPr>
                <w:rFonts w:ascii="Times New Roman" w:hAnsi="Times New Roman"/>
                <w:color w:val="000000"/>
                <w:spacing w:val="-2"/>
              </w:rPr>
              <w:t>–</w:t>
            </w:r>
            <w:r w:rsidRPr="00083A45">
              <w:rPr>
                <w:rFonts w:ascii="Times New Roman" w:hAnsi="Times New Roman"/>
                <w:color w:val="000000"/>
                <w:spacing w:val="-2"/>
              </w:rPr>
              <w:t xml:space="preserve"> Kodeks postępowania administracyjnego w zakresie doręczeń korespondencji w toku postępowania kontrolnego i pokontrolnego. Przyjęcie takiego rozwiązania jest niezbędne ze względu na konieczność uregulowania i zabezpieczenia skuteczności doręczeń w toku tych postępowań. Praktyka wskazuje, że najczęstszym sposobem na utrudnienie bądź opóźnienie działań organów kontroli jest niepodejmowanie korespondencji przez przedsiębiorców lub ich pełnomocników. Wyraźne odwołanie do przepisów Kodeksu postępowania administracyjnego jednoznacznie wskaże na możliwość zastosowania przewidzianych w nim instytucji, m.in. doręczenie zastępcze.</w:t>
            </w:r>
          </w:p>
          <w:p w14:paraId="537F7DAF" w14:textId="77777777" w:rsidR="00BE06F6"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W projekcie ustawy zawarto przepis, że do kontroli w zakresie nieuregulowanym w przepisach ustawy stosuje się przepisy rozdziału 5 ustawy z dnia 6 marca 2018 r. ‒ Prawo przedsiębiorców. Do kontroli podmiotów niebędących przedsiębiorcami przepisy rozdziału 5 ww. ustawy stosuje się odpowiednio. Przepis dodano z uwagi na fakt, że nie wszystkie podmioty podlegające kontroli będą przedsiębiorcami.</w:t>
            </w:r>
            <w:r w:rsidR="00BE06F6" w:rsidRPr="00083A45">
              <w:rPr>
                <w:rFonts w:ascii="Times New Roman" w:hAnsi="Times New Roman"/>
                <w:color w:val="000000"/>
                <w:spacing w:val="-2"/>
              </w:rPr>
              <w:t xml:space="preserve">   </w:t>
            </w:r>
          </w:p>
          <w:p w14:paraId="5D0581A8" w14:textId="77777777" w:rsidR="00560F2D" w:rsidRPr="00083A45" w:rsidRDefault="00560F2D" w:rsidP="00BE06F6">
            <w:pPr>
              <w:spacing w:line="240" w:lineRule="auto"/>
              <w:jc w:val="both"/>
              <w:rPr>
                <w:rFonts w:ascii="Times New Roman" w:hAnsi="Times New Roman"/>
                <w:color w:val="000000"/>
                <w:spacing w:val="-2"/>
              </w:rPr>
            </w:pPr>
          </w:p>
          <w:p w14:paraId="374BF721" w14:textId="77777777" w:rsidR="00160564" w:rsidRDefault="00160564" w:rsidP="00BE06F6">
            <w:pPr>
              <w:spacing w:line="240" w:lineRule="auto"/>
              <w:jc w:val="both"/>
              <w:rPr>
                <w:rFonts w:ascii="Times New Roman" w:hAnsi="Times New Roman"/>
                <w:color w:val="000000"/>
                <w:spacing w:val="-2"/>
              </w:rPr>
            </w:pPr>
            <w:r>
              <w:rPr>
                <w:rFonts w:ascii="Times New Roman" w:hAnsi="Times New Roman"/>
                <w:color w:val="000000"/>
                <w:spacing w:val="-2"/>
              </w:rPr>
              <w:t>IV. Wprowadzenie opłaty rocznej za posiadanie zezwoleń i wpisów do rejestru.</w:t>
            </w:r>
          </w:p>
          <w:p w14:paraId="78547272" w14:textId="77777777" w:rsidR="00160564" w:rsidRDefault="00160564" w:rsidP="00BE06F6">
            <w:pPr>
              <w:spacing w:line="240" w:lineRule="auto"/>
              <w:jc w:val="both"/>
              <w:rPr>
                <w:rFonts w:ascii="Times New Roman" w:hAnsi="Times New Roman"/>
              </w:rPr>
            </w:pPr>
            <w:r>
              <w:rPr>
                <w:rFonts w:ascii="Times New Roman" w:hAnsi="Times New Roman"/>
              </w:rPr>
              <w:lastRenderedPageBreak/>
              <w:t>Projektowany rozdział 7b „Opłata roczna” dodawany do ustawy – Prawo farmaceutyczne zakłada wprowadzenie do polskiego porządku prawnego modelu współfinansowania nadzoru nad wytwarzaniem, importem, obrotem i</w:t>
            </w:r>
            <w:r w:rsidR="00A10094">
              <w:rPr>
                <w:rFonts w:ascii="Times New Roman" w:hAnsi="Times New Roman"/>
              </w:rPr>
              <w:t> </w:t>
            </w:r>
            <w:r>
              <w:rPr>
                <w:rFonts w:ascii="Times New Roman" w:hAnsi="Times New Roman"/>
              </w:rPr>
              <w:t>pośrednictwem w obrocie produktami leczniczymi oraz nad wytwarzaniem, importem i dystrybucją substancji czynnych przez uczestników rynku farmaceutycznego.</w:t>
            </w:r>
          </w:p>
          <w:p w14:paraId="5AB767DD" w14:textId="77777777" w:rsidR="00160564" w:rsidRPr="00160564" w:rsidRDefault="00160564" w:rsidP="00160564">
            <w:pPr>
              <w:spacing w:line="240" w:lineRule="auto"/>
              <w:jc w:val="both"/>
              <w:rPr>
                <w:rFonts w:ascii="Times New Roman" w:hAnsi="Times New Roman"/>
                <w:color w:val="000000"/>
                <w:spacing w:val="-2"/>
              </w:rPr>
            </w:pPr>
            <w:r w:rsidRPr="00160564">
              <w:rPr>
                <w:rFonts w:ascii="Times New Roman" w:hAnsi="Times New Roman"/>
                <w:color w:val="000000"/>
                <w:spacing w:val="-2"/>
              </w:rPr>
              <w:t>Wprowadzenie opłaty rocznej dla podmiotów prowadzących działalność nadzorowaną przez GIF uzasadnione jest koniecznością zwiększenia poziomu finansowania tego organu w sposób, który z jednej strony pozwoli na skuteczne bieżące wykonywanie poszerzanych niniejszą ustawą kompetencji, a z drugiej strony zapewni środki finansowe na rozwój narzędzi wykorzystywanych przez GIF w jego działalności – w szczególności w obszarach analityki danych i informatyzacji. Z uwagi na brak możliwości alokacji wystarczających środków finansowych w ramach środków, o których mowa w art. 131c ust. 1 ustawy z dnia 27 sierpnia 2004 r. o świadczeniach opieki zdrowotnej finansowanych ze środków publicznych (Dz. U. z 2021</w:t>
            </w:r>
            <w:r w:rsidR="00A10094">
              <w:rPr>
                <w:rFonts w:ascii="Times New Roman" w:hAnsi="Times New Roman"/>
                <w:color w:val="000000"/>
                <w:spacing w:val="-2"/>
              </w:rPr>
              <w:t> </w:t>
            </w:r>
            <w:r w:rsidRPr="00160564">
              <w:rPr>
                <w:rFonts w:ascii="Times New Roman" w:hAnsi="Times New Roman"/>
                <w:color w:val="000000"/>
                <w:spacing w:val="-2"/>
              </w:rPr>
              <w:t>r. poz. 1285, z późn. zm.) oraz pozostałych środków budżetowych, partycypowanie w kosztach związanych z nadzorem nad rynkiem farmaceutycznym podmiotów na nim funkcjonującym jest zasadniczo jedynym sposobem zapewnienia realnej i</w:t>
            </w:r>
            <w:r w:rsidR="00A10094">
              <w:rPr>
                <w:rFonts w:ascii="Times New Roman" w:hAnsi="Times New Roman"/>
                <w:color w:val="000000"/>
                <w:spacing w:val="-2"/>
              </w:rPr>
              <w:t> </w:t>
            </w:r>
            <w:r w:rsidRPr="00160564">
              <w:rPr>
                <w:rFonts w:ascii="Times New Roman" w:hAnsi="Times New Roman"/>
                <w:color w:val="000000"/>
                <w:spacing w:val="-2"/>
              </w:rPr>
              <w:t>skutecznej działalności GIF.</w:t>
            </w:r>
          </w:p>
          <w:p w14:paraId="49186B37" w14:textId="77777777" w:rsidR="00160564" w:rsidRPr="00160564" w:rsidRDefault="00160564" w:rsidP="00160564">
            <w:pPr>
              <w:spacing w:line="240" w:lineRule="auto"/>
              <w:jc w:val="both"/>
              <w:rPr>
                <w:rFonts w:ascii="Times New Roman" w:hAnsi="Times New Roman"/>
                <w:color w:val="000000"/>
                <w:spacing w:val="-2"/>
              </w:rPr>
            </w:pPr>
            <w:r w:rsidRPr="00160564">
              <w:rPr>
                <w:rFonts w:ascii="Times New Roman" w:hAnsi="Times New Roman"/>
                <w:color w:val="000000"/>
                <w:spacing w:val="-2"/>
              </w:rPr>
              <w:t>Projektowane rozwiązania zakładają, że podmioty prowadzące reglamentowaną przez GIF działalność gospodarczą w</w:t>
            </w:r>
            <w:r w:rsidR="00A10094">
              <w:rPr>
                <w:rFonts w:ascii="Times New Roman" w:hAnsi="Times New Roman"/>
                <w:color w:val="000000"/>
                <w:spacing w:val="-2"/>
              </w:rPr>
              <w:t> </w:t>
            </w:r>
            <w:r w:rsidRPr="00160564">
              <w:rPr>
                <w:rFonts w:ascii="Times New Roman" w:hAnsi="Times New Roman"/>
                <w:color w:val="000000"/>
                <w:spacing w:val="-2"/>
              </w:rPr>
              <w:t>zakresie wytwarzania i importu produktów leczniczych, obrotu hurtowego produktami leczniczymi, obrotu detalicznego produktami leczniczymi, pośrednictwa w obrocie produktami leczniczymi oraz wytwarzania, importu i dystrybucji substancji czynnych będą zobowiązane do uiszczania rocznej opłaty powiązanej z odpowiednimi zezwoleniami bądź wpisami do rejestru działalności regulowanej. Stawki zasadnicze tej opłaty zostały zróżnicowane przez wzgląd na kategorię podmiotów i</w:t>
            </w:r>
            <w:r w:rsidR="00A10094">
              <w:rPr>
                <w:rFonts w:ascii="Times New Roman" w:hAnsi="Times New Roman"/>
                <w:color w:val="000000"/>
                <w:spacing w:val="-2"/>
              </w:rPr>
              <w:t> </w:t>
            </w:r>
            <w:r w:rsidRPr="00160564">
              <w:rPr>
                <w:rFonts w:ascii="Times New Roman" w:hAnsi="Times New Roman"/>
                <w:color w:val="000000"/>
                <w:spacing w:val="-2"/>
              </w:rPr>
              <w:t>związaną z nimi uśrednioną skalę działalności objętej zezwoleniem lub wpisem. Podmioty co do zasady mniejsze (apteki punkty apteczne) będą zobowiązane uiszczać odpowiednio niższe opłaty roczne niż podmioty co do zasady duże (wytwórcy). Projektowane stawki to:</w:t>
            </w:r>
          </w:p>
          <w:p w14:paraId="202A44F7" w14:textId="77777777" w:rsidR="00556FD4" w:rsidRDefault="00160564" w:rsidP="00160564">
            <w:pPr>
              <w:pStyle w:val="Akapitzlist"/>
              <w:numPr>
                <w:ilvl w:val="0"/>
                <w:numId w:val="43"/>
              </w:numPr>
              <w:spacing w:line="240" w:lineRule="auto"/>
              <w:jc w:val="both"/>
              <w:rPr>
                <w:rFonts w:ascii="Times New Roman" w:hAnsi="Times New Roman"/>
                <w:color w:val="000000"/>
                <w:spacing w:val="-2"/>
              </w:rPr>
            </w:pPr>
            <w:r w:rsidRPr="00556FD4">
              <w:rPr>
                <w:rFonts w:ascii="Times New Roman" w:hAnsi="Times New Roman"/>
                <w:color w:val="000000"/>
                <w:spacing w:val="-2"/>
              </w:rPr>
              <w:t>250 zł od zezwolenia na prowadzenie punktu aptecznego;</w:t>
            </w:r>
          </w:p>
          <w:p w14:paraId="25221A32" w14:textId="77777777" w:rsidR="00556FD4" w:rsidRDefault="00160564" w:rsidP="00160564">
            <w:pPr>
              <w:pStyle w:val="Akapitzlist"/>
              <w:numPr>
                <w:ilvl w:val="0"/>
                <w:numId w:val="43"/>
              </w:numPr>
              <w:spacing w:line="240" w:lineRule="auto"/>
              <w:jc w:val="both"/>
              <w:rPr>
                <w:rFonts w:ascii="Times New Roman" w:hAnsi="Times New Roman"/>
                <w:color w:val="000000"/>
                <w:spacing w:val="-2"/>
              </w:rPr>
            </w:pPr>
            <w:r w:rsidRPr="00556FD4">
              <w:rPr>
                <w:rFonts w:ascii="Times New Roman" w:hAnsi="Times New Roman"/>
                <w:color w:val="000000"/>
                <w:spacing w:val="-2"/>
              </w:rPr>
              <w:t>500 zł od zezwolenia na prowadzenie apteki ogólnodostępnej;</w:t>
            </w:r>
          </w:p>
          <w:p w14:paraId="31D05DAC" w14:textId="77777777" w:rsidR="00556FD4" w:rsidRDefault="00160564" w:rsidP="00160564">
            <w:pPr>
              <w:pStyle w:val="Akapitzlist"/>
              <w:numPr>
                <w:ilvl w:val="0"/>
                <w:numId w:val="43"/>
              </w:numPr>
              <w:spacing w:line="240" w:lineRule="auto"/>
              <w:jc w:val="both"/>
              <w:rPr>
                <w:rFonts w:ascii="Times New Roman" w:hAnsi="Times New Roman"/>
                <w:color w:val="000000"/>
                <w:spacing w:val="-2"/>
              </w:rPr>
            </w:pPr>
            <w:r w:rsidRPr="00556FD4">
              <w:rPr>
                <w:rFonts w:ascii="Times New Roman" w:hAnsi="Times New Roman"/>
                <w:color w:val="000000"/>
                <w:spacing w:val="-2"/>
              </w:rPr>
              <w:t>1000 zł od zezwolenia na prowadzenie hurtowni farmaceutycznej albo wpisu do Krajowego Rejestru Pośredników w</w:t>
            </w:r>
            <w:r w:rsidR="00A10094" w:rsidRPr="00556FD4">
              <w:rPr>
                <w:rFonts w:ascii="Times New Roman" w:hAnsi="Times New Roman"/>
                <w:color w:val="000000"/>
                <w:spacing w:val="-2"/>
              </w:rPr>
              <w:t> </w:t>
            </w:r>
            <w:r w:rsidRPr="00556FD4">
              <w:rPr>
                <w:rFonts w:ascii="Times New Roman" w:hAnsi="Times New Roman"/>
                <w:color w:val="000000"/>
                <w:spacing w:val="-2"/>
              </w:rPr>
              <w:t>Obrocie Produktami Leczniczymi;</w:t>
            </w:r>
          </w:p>
          <w:p w14:paraId="5CF9F7AC" w14:textId="53605602" w:rsidR="00160564" w:rsidRPr="00556FD4" w:rsidRDefault="00160564" w:rsidP="00160564">
            <w:pPr>
              <w:pStyle w:val="Akapitzlist"/>
              <w:numPr>
                <w:ilvl w:val="0"/>
                <w:numId w:val="43"/>
              </w:numPr>
              <w:spacing w:line="240" w:lineRule="auto"/>
              <w:jc w:val="both"/>
              <w:rPr>
                <w:rFonts w:ascii="Times New Roman" w:hAnsi="Times New Roman"/>
                <w:color w:val="000000"/>
                <w:spacing w:val="-2"/>
              </w:rPr>
            </w:pPr>
            <w:r w:rsidRPr="00556FD4">
              <w:rPr>
                <w:rFonts w:ascii="Times New Roman" w:hAnsi="Times New Roman"/>
                <w:color w:val="000000"/>
                <w:spacing w:val="-2"/>
              </w:rPr>
              <w:t>3000 zł od zezwolenia na wytwarzania lub import produktów leczniczych albo wpisu do Krajowego Rejestru Wytwórców, Importerów oraz Dystrybutorów Substancji Czynnych.</w:t>
            </w:r>
          </w:p>
          <w:p w14:paraId="7C9F7386" w14:textId="77777777" w:rsidR="00B76101" w:rsidRDefault="00B76101" w:rsidP="00160564">
            <w:pPr>
              <w:spacing w:line="240" w:lineRule="auto"/>
              <w:jc w:val="both"/>
              <w:rPr>
                <w:rFonts w:ascii="Times New Roman" w:hAnsi="Times New Roman"/>
                <w:color w:val="000000"/>
                <w:spacing w:val="-2"/>
              </w:rPr>
            </w:pPr>
            <w:r w:rsidRPr="00B76101">
              <w:rPr>
                <w:rFonts w:ascii="Times New Roman" w:hAnsi="Times New Roman"/>
                <w:color w:val="000000"/>
                <w:spacing w:val="-2"/>
              </w:rPr>
              <w:t>Projekt przewiduje również, że opłata roczna obejmująca sumę opłat za zezwolenia lub wpisy będzie powiększana o wysokość 0,02% przychodu rocznego uzyskanego w poprzednim roku podatkowym, przy czym wobec mikroprzedsiębiorców, o</w:t>
            </w:r>
            <w:r w:rsidR="00A10094">
              <w:rPr>
                <w:rFonts w:ascii="Times New Roman" w:hAnsi="Times New Roman"/>
                <w:color w:val="000000"/>
                <w:spacing w:val="-2"/>
              </w:rPr>
              <w:t> </w:t>
            </w:r>
            <w:r w:rsidRPr="00B76101">
              <w:rPr>
                <w:rFonts w:ascii="Times New Roman" w:hAnsi="Times New Roman"/>
                <w:color w:val="000000"/>
                <w:spacing w:val="-2"/>
              </w:rPr>
              <w:t>których mowa w art. 7 ust. 1 pkt 1 ustawy z dnia 6 marca 2018 r. – Prawo przedsiębiorców, zachowana zostanie stawka podstawowa. Zgodnie z tym założeniem podmioty objęte projektowanymi regulacjami będą zobowiązane powiększyć uiszczaną opłatę o 200 zł od każdego 1 000 000 zł przychodu.</w:t>
            </w:r>
          </w:p>
          <w:p w14:paraId="0C1FC70E" w14:textId="77777777" w:rsidR="002C4599" w:rsidRPr="00C41C34" w:rsidRDefault="002C4599" w:rsidP="002C4599">
            <w:pPr>
              <w:spacing w:line="240" w:lineRule="auto"/>
              <w:jc w:val="both"/>
              <w:rPr>
                <w:rFonts w:ascii="Times New Roman" w:hAnsi="Times New Roman"/>
                <w:color w:val="000000"/>
                <w:spacing w:val="-2"/>
              </w:rPr>
            </w:pPr>
            <w:r w:rsidRPr="00C41C34">
              <w:rPr>
                <w:rFonts w:ascii="Times New Roman" w:hAnsi="Times New Roman"/>
                <w:color w:val="000000"/>
                <w:spacing w:val="-2"/>
              </w:rPr>
              <w:t xml:space="preserve">Wymaga podkreślenia, że rozwiązania regulacyjne przewidujące współfinansowanie danego obszaru działalności gospodarczej przez podmioty tę działalność wykonujące nie są </w:t>
            </w:r>
            <w:r w:rsidRPr="00F621C7">
              <w:rPr>
                <w:rFonts w:ascii="Times New Roman" w:hAnsi="Times New Roman"/>
                <w:i/>
                <w:color w:val="000000"/>
                <w:spacing w:val="-2"/>
              </w:rPr>
              <w:t>novum</w:t>
            </w:r>
            <w:r w:rsidRPr="00C41C34">
              <w:rPr>
                <w:rFonts w:ascii="Times New Roman" w:hAnsi="Times New Roman"/>
                <w:color w:val="000000"/>
                <w:spacing w:val="-2"/>
              </w:rPr>
              <w:t xml:space="preserve"> zarówno w polskim systemie prawnym. Współdzielenie kosztów między płatnikiem publicznym a przedsiębiorcami występuje na przykład na gruncie przepisów o</w:t>
            </w:r>
            <w:r w:rsidR="00A10094">
              <w:rPr>
                <w:rFonts w:ascii="Times New Roman" w:hAnsi="Times New Roman"/>
                <w:color w:val="000000"/>
                <w:spacing w:val="-2"/>
              </w:rPr>
              <w:t> </w:t>
            </w:r>
            <w:r w:rsidRPr="00C41C34">
              <w:rPr>
                <w:rFonts w:ascii="Times New Roman" w:hAnsi="Times New Roman"/>
                <w:color w:val="000000"/>
                <w:spacing w:val="-2"/>
              </w:rPr>
              <w:t>nadzorze nad rynkiem kapitałowym. Przepisy te przewidują, że koszty ponoszone przez Komisję Nadzoru Finansowego w</w:t>
            </w:r>
            <w:r w:rsidR="00A10094">
              <w:rPr>
                <w:rFonts w:ascii="Times New Roman" w:hAnsi="Times New Roman"/>
                <w:color w:val="000000"/>
                <w:spacing w:val="-2"/>
              </w:rPr>
              <w:t> </w:t>
            </w:r>
            <w:r w:rsidRPr="00C41C34">
              <w:rPr>
                <w:rFonts w:ascii="Times New Roman" w:hAnsi="Times New Roman"/>
                <w:color w:val="000000"/>
                <w:spacing w:val="-2"/>
              </w:rPr>
              <w:t>zakresie nadzoru nad rynkiem kapitałowym pokrywane są między innymi z opłat przewidzianych w przepisach o</w:t>
            </w:r>
            <w:r w:rsidR="006C2D8F">
              <w:rPr>
                <w:rFonts w:ascii="Times New Roman" w:hAnsi="Times New Roman"/>
                <w:color w:val="000000"/>
                <w:spacing w:val="-2"/>
              </w:rPr>
              <w:t> </w:t>
            </w:r>
            <w:r w:rsidRPr="00C41C34">
              <w:rPr>
                <w:rFonts w:ascii="Times New Roman" w:hAnsi="Times New Roman"/>
                <w:color w:val="000000"/>
                <w:spacing w:val="-2"/>
              </w:rPr>
              <w:t xml:space="preserve">funduszach inwestycyjnych, giełdach towarowych, obrocie instrumentami finansowymi i ofercie publicznej oraz środki wpłacane przez banki z tytułu nadzoru bankowego. Wskazane przepisy przewidują zarówno roczne opłaty o ustalonej liczbowo stawce sztywnej (np. za zezwolenie na zarządzanie sekurytyzowanymi wierzytelnościami funduszu sekurytyzacyjnego albo za zezwolenie na prowadzenie rachunków i rejestrów towarów giełdowych), jak również opłaty, których stawka określana jest w wartościach procentowych (np. wpłata z tytułu nadzoru bankowego albo opłata roczna zarządzającego alternatywną spółką inwestycyjną). </w:t>
            </w:r>
          </w:p>
          <w:p w14:paraId="3A2422CD" w14:textId="77777777" w:rsidR="002C4599" w:rsidRPr="00C41C34" w:rsidRDefault="002C4599" w:rsidP="002C4599">
            <w:pPr>
              <w:spacing w:line="240" w:lineRule="auto"/>
              <w:jc w:val="both"/>
              <w:rPr>
                <w:rFonts w:ascii="Times New Roman" w:hAnsi="Times New Roman"/>
                <w:color w:val="000000"/>
                <w:spacing w:val="-2"/>
              </w:rPr>
            </w:pPr>
            <w:r w:rsidRPr="00C41C34">
              <w:rPr>
                <w:rFonts w:ascii="Times New Roman" w:hAnsi="Times New Roman"/>
                <w:color w:val="000000"/>
                <w:spacing w:val="-2"/>
              </w:rPr>
              <w:t>Finansowanie albo współfinansowanie organów nadzorujących rynek farmaceutyczny ze środków pochodzących od podmiotów nadzorowanych – czy to w formie opłat jednorazowych, rocznych opłat licencyjnych lub opłat związanych z</w:t>
            </w:r>
            <w:r w:rsidR="00A10094">
              <w:rPr>
                <w:rFonts w:ascii="Times New Roman" w:hAnsi="Times New Roman"/>
                <w:color w:val="000000"/>
                <w:spacing w:val="-2"/>
              </w:rPr>
              <w:t> </w:t>
            </w:r>
            <w:r w:rsidRPr="00C41C34">
              <w:rPr>
                <w:rFonts w:ascii="Times New Roman" w:hAnsi="Times New Roman"/>
                <w:color w:val="000000"/>
                <w:spacing w:val="-2"/>
              </w:rPr>
              <w:t>innymi działaniami tych organów (np. zatwierdzenie raportu albo przeprowadzenie inspekcji) jest powszechną praktyką w</w:t>
            </w:r>
            <w:r w:rsidR="00A10094">
              <w:rPr>
                <w:rFonts w:ascii="Times New Roman" w:hAnsi="Times New Roman"/>
                <w:color w:val="000000"/>
                <w:spacing w:val="-2"/>
              </w:rPr>
              <w:t> </w:t>
            </w:r>
            <w:r w:rsidRPr="00C41C34">
              <w:rPr>
                <w:rFonts w:ascii="Times New Roman" w:hAnsi="Times New Roman"/>
                <w:color w:val="000000"/>
                <w:spacing w:val="-2"/>
              </w:rPr>
              <w:t xml:space="preserve">państwach członkowskich Unii Europejskiej lub państwach członkowskich Europejskiego Porozumienia o Wolnym Handlu (EFTA) – stronach umowy o Europejskim Obszarze Gospodarczym oraz w Wielkiej Brytanii. Jako przykład można podać dane pochodzące ze sprawozdań finansowych irlandzkiej agencji lekowej (HPRA) lub jej brytyjskiej odpowiedniczki (MHRA). Zgodnie z raportem rocznym z funkcjonowania HPRA za 2019 </w:t>
            </w:r>
            <w:r>
              <w:rPr>
                <w:rFonts w:ascii="Times New Roman" w:hAnsi="Times New Roman"/>
                <w:color w:val="000000"/>
                <w:spacing w:val="-2"/>
              </w:rPr>
              <w:t>r.</w:t>
            </w:r>
            <w:r w:rsidRPr="00C41C34">
              <w:rPr>
                <w:rFonts w:ascii="Times New Roman" w:hAnsi="Times New Roman"/>
                <w:color w:val="000000"/>
                <w:spacing w:val="-2"/>
              </w:rPr>
              <w:t>, wpływy z opłat (Fee Income) wyniosły w tym roku 27</w:t>
            </w:r>
            <w:r>
              <w:rPr>
                <w:rFonts w:ascii="Times New Roman" w:hAnsi="Times New Roman"/>
                <w:color w:val="000000"/>
                <w:spacing w:val="-2"/>
              </w:rPr>
              <w:t>.</w:t>
            </w:r>
            <w:r w:rsidRPr="00C41C34">
              <w:rPr>
                <w:rFonts w:ascii="Times New Roman" w:hAnsi="Times New Roman"/>
                <w:color w:val="000000"/>
                <w:spacing w:val="-2"/>
              </w:rPr>
              <w:t>932</w:t>
            </w:r>
            <w:r>
              <w:rPr>
                <w:rFonts w:ascii="Times New Roman" w:hAnsi="Times New Roman"/>
                <w:color w:val="000000"/>
                <w:spacing w:val="-2"/>
              </w:rPr>
              <w:t>.</w:t>
            </w:r>
            <w:r w:rsidRPr="00C41C34">
              <w:rPr>
                <w:rFonts w:ascii="Times New Roman" w:hAnsi="Times New Roman"/>
                <w:color w:val="000000"/>
                <w:spacing w:val="-2"/>
              </w:rPr>
              <w:t>876 euro, co stanowiło około 82% całego finansowania agencji i było kwotą ok. 5,6 raza większą niż środki przekazane przez irlandzki departament finansowania zdrowia (Department of Health Funding). Z kolei raport z działalności MHRA za lata 2019/2020  wskazuje, że wpływy z opłat (income from fee generating activities) wyniósł w tym okresie 104</w:t>
            </w:r>
            <w:r>
              <w:rPr>
                <w:rFonts w:ascii="Times New Roman" w:hAnsi="Times New Roman"/>
                <w:color w:val="000000"/>
                <w:spacing w:val="-2"/>
              </w:rPr>
              <w:t>.</w:t>
            </w:r>
            <w:r w:rsidRPr="00C41C34">
              <w:rPr>
                <w:rFonts w:ascii="Times New Roman" w:hAnsi="Times New Roman"/>
                <w:color w:val="000000"/>
                <w:spacing w:val="-2"/>
              </w:rPr>
              <w:t>600</w:t>
            </w:r>
            <w:r>
              <w:rPr>
                <w:rFonts w:ascii="Times New Roman" w:hAnsi="Times New Roman"/>
                <w:color w:val="000000"/>
                <w:spacing w:val="-2"/>
              </w:rPr>
              <w:t>.</w:t>
            </w:r>
            <w:r w:rsidRPr="00C41C34">
              <w:rPr>
                <w:rFonts w:ascii="Times New Roman" w:hAnsi="Times New Roman"/>
                <w:color w:val="000000"/>
                <w:spacing w:val="-2"/>
              </w:rPr>
              <w:t xml:space="preserve">000 funtów szterlingów, co stanowiło ok. 67% całego finansowania agencji. Nawet przy założeniu, że wszystkie pozostałe środki finansowe wykorzystywane przez MHRA pochodziły bezpośrednio ze środków budżetowych (co byłoby założeniem nieprawidłowym, ponieważ nieoszacowana w sprawozdaniu część wpływów MHRA pochodzi z prowadzonych przez agencję badań naukowych), proporcja wpływów pochodzący od podmiotów nadzorowanych do wpływów pochodzących od płatnika publicznego wynosi ok. 2:1. </w:t>
            </w:r>
          </w:p>
          <w:p w14:paraId="1757ED97" w14:textId="77777777" w:rsidR="002C4599" w:rsidRPr="00C41C34" w:rsidRDefault="002C4599" w:rsidP="002C4599">
            <w:pPr>
              <w:spacing w:line="240" w:lineRule="auto"/>
              <w:jc w:val="both"/>
              <w:rPr>
                <w:rFonts w:ascii="Times New Roman" w:hAnsi="Times New Roman"/>
                <w:color w:val="000000"/>
                <w:spacing w:val="-2"/>
              </w:rPr>
            </w:pPr>
            <w:r w:rsidRPr="00C41C34">
              <w:rPr>
                <w:rFonts w:ascii="Times New Roman" w:hAnsi="Times New Roman"/>
                <w:color w:val="000000"/>
                <w:spacing w:val="-2"/>
              </w:rPr>
              <w:t>Obie wskazane powyżej agencje lekowe pobierają od podmiotów przez siebie nadzorowanych nie tylko opłaty jednorazowe, ale również szereg opłat rocznych, w tym opłat za zezwolenia na prowadzenie działalności gospodarczej w zakresie obrotu i</w:t>
            </w:r>
            <w:r w:rsidR="00A10094">
              <w:rPr>
                <w:rFonts w:ascii="Times New Roman" w:hAnsi="Times New Roman"/>
                <w:color w:val="000000"/>
                <w:spacing w:val="-2"/>
              </w:rPr>
              <w:t> </w:t>
            </w:r>
            <w:r w:rsidRPr="00C41C34">
              <w:rPr>
                <w:rFonts w:ascii="Times New Roman" w:hAnsi="Times New Roman"/>
                <w:color w:val="000000"/>
                <w:spacing w:val="-2"/>
              </w:rPr>
              <w:t>wytwarzania produktów leczniczych.</w:t>
            </w:r>
          </w:p>
          <w:p w14:paraId="2342688A" w14:textId="77777777" w:rsidR="00160564" w:rsidRDefault="002C4599" w:rsidP="002C4599">
            <w:pPr>
              <w:spacing w:line="240" w:lineRule="auto"/>
              <w:jc w:val="both"/>
              <w:rPr>
                <w:rFonts w:ascii="Times New Roman" w:hAnsi="Times New Roman"/>
                <w:color w:val="000000"/>
                <w:spacing w:val="-2"/>
              </w:rPr>
            </w:pPr>
            <w:r w:rsidRPr="00C41C34">
              <w:rPr>
                <w:rFonts w:ascii="Times New Roman" w:hAnsi="Times New Roman"/>
                <w:color w:val="000000"/>
                <w:spacing w:val="-2"/>
              </w:rPr>
              <w:lastRenderedPageBreak/>
              <w:t>Finansowanie albo współfinansowanie organów nadzorujących rynek farmaceutyczny ze środków pochodzących od podmiotów nadzorowanych występują również w Bułgarii, Chorwacji, Danii, Łotwie, Finlandii i Belgii.</w:t>
            </w:r>
          </w:p>
          <w:p w14:paraId="45B12FD4" w14:textId="77777777" w:rsidR="002C4599" w:rsidRDefault="002C4599" w:rsidP="00BE06F6">
            <w:pPr>
              <w:spacing w:line="240" w:lineRule="auto"/>
              <w:jc w:val="both"/>
              <w:rPr>
                <w:rFonts w:ascii="Times New Roman" w:hAnsi="Times New Roman"/>
                <w:color w:val="000000"/>
                <w:spacing w:val="-2"/>
              </w:rPr>
            </w:pPr>
          </w:p>
          <w:p w14:paraId="3984AC9C" w14:textId="77777777" w:rsidR="00D81292" w:rsidRDefault="00D81292" w:rsidP="00BE06F6">
            <w:pPr>
              <w:spacing w:line="240" w:lineRule="auto"/>
              <w:jc w:val="both"/>
              <w:rPr>
                <w:rFonts w:ascii="Times New Roman" w:hAnsi="Times New Roman"/>
                <w:color w:val="000000"/>
                <w:spacing w:val="-2"/>
              </w:rPr>
            </w:pPr>
            <w:r>
              <w:rPr>
                <w:rFonts w:ascii="Times New Roman" w:hAnsi="Times New Roman"/>
                <w:color w:val="000000"/>
                <w:spacing w:val="-2"/>
              </w:rPr>
              <w:t>V. Pozostały zakres</w:t>
            </w:r>
          </w:p>
          <w:p w14:paraId="31DEB949" w14:textId="77777777" w:rsidR="002C4599" w:rsidRPr="00083A45" w:rsidRDefault="002C4599" w:rsidP="002C4599">
            <w:pPr>
              <w:spacing w:line="240" w:lineRule="auto"/>
              <w:jc w:val="both"/>
              <w:rPr>
                <w:rFonts w:ascii="Times New Roman" w:hAnsi="Times New Roman"/>
                <w:color w:val="000000"/>
                <w:spacing w:val="-2"/>
              </w:rPr>
            </w:pPr>
            <w:r>
              <w:rPr>
                <w:rFonts w:ascii="Times New Roman" w:hAnsi="Times New Roman"/>
                <w:color w:val="000000"/>
                <w:spacing w:val="-2"/>
              </w:rPr>
              <w:t>Projekt przewiduje ponadto</w:t>
            </w:r>
            <w:r w:rsidRPr="00083A45">
              <w:rPr>
                <w:rFonts w:ascii="Times New Roman" w:hAnsi="Times New Roman"/>
                <w:color w:val="000000"/>
                <w:spacing w:val="-2"/>
              </w:rPr>
              <w:t xml:space="preserve"> zmianę w ustawie z dnia 11 grudnia 2018 r. o elektromobilności i paliwach alternatywnych (Dz. U. z 202</w:t>
            </w:r>
            <w:r>
              <w:rPr>
                <w:rFonts w:ascii="Times New Roman" w:hAnsi="Times New Roman"/>
                <w:color w:val="000000"/>
                <w:spacing w:val="-2"/>
              </w:rPr>
              <w:t>2</w:t>
            </w:r>
            <w:r w:rsidRPr="00083A45">
              <w:rPr>
                <w:rFonts w:ascii="Times New Roman" w:hAnsi="Times New Roman"/>
                <w:color w:val="000000"/>
                <w:spacing w:val="-2"/>
              </w:rPr>
              <w:t xml:space="preserve"> r. poz. </w:t>
            </w:r>
            <w:r w:rsidRPr="0017691B">
              <w:rPr>
                <w:rFonts w:ascii="Times New Roman" w:hAnsi="Times New Roman"/>
                <w:color w:val="000000"/>
                <w:spacing w:val="-2"/>
              </w:rPr>
              <w:t>1083</w:t>
            </w:r>
            <w:r>
              <w:rPr>
                <w:rFonts w:ascii="Times New Roman" w:hAnsi="Times New Roman"/>
                <w:color w:val="000000"/>
                <w:spacing w:val="-2"/>
              </w:rPr>
              <w:t xml:space="preserve"> </w:t>
            </w:r>
            <w:r w:rsidRPr="00083A45">
              <w:rPr>
                <w:rFonts w:ascii="Times New Roman" w:hAnsi="Times New Roman"/>
                <w:color w:val="000000"/>
                <w:spacing w:val="-2"/>
              </w:rPr>
              <w:t xml:space="preserve">i </w:t>
            </w:r>
            <w:r>
              <w:rPr>
                <w:rFonts w:ascii="Times New Roman" w:hAnsi="Times New Roman"/>
                <w:color w:val="000000"/>
                <w:spacing w:val="-2"/>
              </w:rPr>
              <w:t>1260</w:t>
            </w:r>
            <w:r w:rsidRPr="00083A45">
              <w:rPr>
                <w:rFonts w:ascii="Times New Roman" w:hAnsi="Times New Roman"/>
                <w:color w:val="000000"/>
                <w:spacing w:val="-2"/>
              </w:rPr>
              <w:t>) polegającą na wyłączeniu Głównego Inspektora Farmaceutycznego z obowiązku zapewnienia 50% udziału pojazdów elektrycznych we flocie użytkowanych pojazdów kierując się istniejącymi w przedmiotowej ustawie zwolnieniami z tego obowiązku. Projektowany przepis wejdzie w życie z dniem 1 stycznia 2025</w:t>
            </w:r>
            <w:r>
              <w:rPr>
                <w:rFonts w:ascii="Times New Roman" w:hAnsi="Times New Roman"/>
                <w:color w:val="000000"/>
                <w:spacing w:val="-2"/>
              </w:rPr>
              <w:t> </w:t>
            </w:r>
            <w:r w:rsidRPr="00083A45">
              <w:rPr>
                <w:rFonts w:ascii="Times New Roman" w:hAnsi="Times New Roman"/>
                <w:color w:val="000000"/>
                <w:spacing w:val="-2"/>
              </w:rPr>
              <w:t>r. tak jak odpowiedni przepis w ustawie z dnia 11 grudnia 2018 r. o elektromobilności i paliwach alternatywnych. Przewidziano również regulację przejściową, zgodnie z którą do Głównego Inspektora Farmaceutycznego nie stosuje się art. 68 ustawy z dnia 11 grudnia 2018</w:t>
            </w:r>
            <w:r w:rsidR="00A10094">
              <w:rPr>
                <w:rFonts w:ascii="Times New Roman" w:hAnsi="Times New Roman"/>
                <w:color w:val="000000"/>
                <w:spacing w:val="-2"/>
              </w:rPr>
              <w:t> </w:t>
            </w:r>
            <w:r w:rsidRPr="00083A45">
              <w:rPr>
                <w:rFonts w:ascii="Times New Roman" w:hAnsi="Times New Roman"/>
                <w:color w:val="000000"/>
                <w:spacing w:val="-2"/>
              </w:rPr>
              <w:t>r. o elektromobilności i paliwach alternatywnych. Przepis ten stanowi, że naczelny lub centralny organ administracji państwowej, o którym mowa w art. 34, zapewnia, aby udział pojazdów elektrycznych we flocie użytkowanych pojazdów wynosił co najmniej:</w:t>
            </w:r>
          </w:p>
          <w:p w14:paraId="4876EC7A" w14:textId="77777777" w:rsidR="002C4599" w:rsidRPr="00083A45"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1) 10% – od dnia 1 stycznia 2022 r.;</w:t>
            </w:r>
          </w:p>
          <w:p w14:paraId="155ADEB0" w14:textId="77777777" w:rsidR="006A701A" w:rsidRPr="00B37C80" w:rsidRDefault="002C4599" w:rsidP="002C4599">
            <w:pPr>
              <w:spacing w:line="240" w:lineRule="auto"/>
              <w:jc w:val="both"/>
              <w:rPr>
                <w:rFonts w:ascii="Times New Roman" w:hAnsi="Times New Roman"/>
                <w:color w:val="000000"/>
                <w:spacing w:val="-2"/>
              </w:rPr>
            </w:pPr>
            <w:r w:rsidRPr="00083A45">
              <w:rPr>
                <w:rFonts w:ascii="Times New Roman" w:hAnsi="Times New Roman"/>
                <w:color w:val="000000"/>
                <w:spacing w:val="-2"/>
              </w:rPr>
              <w:t>2) 20% – od dnia 1 stycznia 2023 r.</w:t>
            </w:r>
          </w:p>
        </w:tc>
      </w:tr>
      <w:tr w:rsidR="006A701A" w:rsidRPr="008B4FE6" w14:paraId="5D64CBD2" w14:textId="77777777" w:rsidTr="0023197B">
        <w:trPr>
          <w:gridAfter w:val="1"/>
          <w:wAfter w:w="10" w:type="dxa"/>
          <w:trHeight w:val="307"/>
        </w:trPr>
        <w:tc>
          <w:tcPr>
            <w:tcW w:w="10937" w:type="dxa"/>
            <w:gridSpan w:val="29"/>
            <w:shd w:val="clear" w:color="auto" w:fill="99CCFF"/>
            <w:vAlign w:val="center"/>
          </w:tcPr>
          <w:p w14:paraId="41B5254D" w14:textId="77777777" w:rsidR="006A701A" w:rsidRPr="008B4FE6" w:rsidRDefault="009E3C4B" w:rsidP="00476F4C">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B124B69" w14:textId="77777777" w:rsidTr="0023197B">
        <w:trPr>
          <w:gridAfter w:val="1"/>
          <w:wAfter w:w="10" w:type="dxa"/>
          <w:trHeight w:val="142"/>
        </w:trPr>
        <w:tc>
          <w:tcPr>
            <w:tcW w:w="10937" w:type="dxa"/>
            <w:gridSpan w:val="29"/>
            <w:shd w:val="clear" w:color="auto" w:fill="auto"/>
          </w:tcPr>
          <w:p w14:paraId="7EEC10C0" w14:textId="77777777" w:rsidR="002C4599" w:rsidRDefault="002C4599" w:rsidP="002C4599">
            <w:pPr>
              <w:spacing w:line="240" w:lineRule="auto"/>
              <w:jc w:val="both"/>
              <w:rPr>
                <w:rFonts w:ascii="Times New Roman" w:hAnsi="Times New Roman"/>
                <w:color w:val="000000"/>
                <w:spacing w:val="-2"/>
              </w:rPr>
            </w:pPr>
            <w:r w:rsidRPr="00C35162">
              <w:rPr>
                <w:rFonts w:ascii="Times New Roman" w:hAnsi="Times New Roman"/>
                <w:color w:val="000000"/>
                <w:spacing w:val="-2"/>
              </w:rPr>
              <w:t>Projekt</w:t>
            </w:r>
            <w:r>
              <w:rPr>
                <w:rFonts w:ascii="Times New Roman" w:hAnsi="Times New Roman"/>
                <w:color w:val="000000"/>
                <w:spacing w:val="-2"/>
              </w:rPr>
              <w:t>owana ustawa</w:t>
            </w:r>
            <w:r w:rsidRPr="00C35162">
              <w:rPr>
                <w:rFonts w:ascii="Times New Roman" w:hAnsi="Times New Roman"/>
                <w:color w:val="000000"/>
                <w:spacing w:val="-2"/>
              </w:rPr>
              <w:t xml:space="preserve"> zawiera rozwiązania stanowiące domenę prawa krajowego. Rozwiązania przyjęte w innych krajach </w:t>
            </w:r>
            <w:r>
              <w:rPr>
                <w:rFonts w:ascii="Times New Roman" w:hAnsi="Times New Roman"/>
                <w:color w:val="000000"/>
                <w:spacing w:val="-2"/>
              </w:rPr>
              <w:t xml:space="preserve">– poza omówioną wcześniej kwestią </w:t>
            </w:r>
            <w:r w:rsidRPr="00C41C34">
              <w:rPr>
                <w:rFonts w:ascii="Times New Roman" w:hAnsi="Times New Roman"/>
                <w:color w:val="000000"/>
                <w:spacing w:val="-2"/>
              </w:rPr>
              <w:t>współfinansowani</w:t>
            </w:r>
            <w:r>
              <w:rPr>
                <w:rFonts w:ascii="Times New Roman" w:hAnsi="Times New Roman"/>
                <w:color w:val="000000"/>
                <w:spacing w:val="-2"/>
              </w:rPr>
              <w:t>a</w:t>
            </w:r>
            <w:r w:rsidRPr="00C41C34">
              <w:rPr>
                <w:rFonts w:ascii="Times New Roman" w:hAnsi="Times New Roman"/>
                <w:color w:val="000000"/>
                <w:spacing w:val="-2"/>
              </w:rPr>
              <w:t xml:space="preserve"> organów nadzorujących rynek farmaceutyczny </w:t>
            </w:r>
            <w:r>
              <w:rPr>
                <w:rFonts w:ascii="Times New Roman" w:hAnsi="Times New Roman"/>
                <w:color w:val="000000"/>
                <w:spacing w:val="-2"/>
              </w:rPr>
              <w:t xml:space="preserve">– </w:t>
            </w:r>
            <w:r w:rsidRPr="00C35162">
              <w:rPr>
                <w:rFonts w:ascii="Times New Roman" w:hAnsi="Times New Roman"/>
                <w:color w:val="000000"/>
                <w:spacing w:val="-2"/>
              </w:rPr>
              <w:t>pozostają bez wpływ</w:t>
            </w:r>
            <w:r>
              <w:rPr>
                <w:rFonts w:ascii="Times New Roman" w:hAnsi="Times New Roman"/>
                <w:color w:val="000000"/>
                <w:spacing w:val="-2"/>
              </w:rPr>
              <w:t>u na projektowaną ustawę.</w:t>
            </w:r>
          </w:p>
          <w:p w14:paraId="414B914F" w14:textId="77777777" w:rsidR="00087FE6" w:rsidRPr="00B37C80" w:rsidRDefault="002C4599" w:rsidP="00035D54">
            <w:pPr>
              <w:spacing w:line="240" w:lineRule="auto"/>
              <w:jc w:val="both"/>
              <w:rPr>
                <w:rFonts w:ascii="Times New Roman" w:hAnsi="Times New Roman"/>
                <w:color w:val="000000"/>
                <w:spacing w:val="-2"/>
              </w:rPr>
            </w:pPr>
            <w:r>
              <w:rPr>
                <w:rFonts w:ascii="Times New Roman" w:hAnsi="Times New Roman"/>
                <w:color w:val="000000"/>
                <w:spacing w:val="-2"/>
              </w:rPr>
              <w:t xml:space="preserve">Dyrektywa 2001/83/WE </w:t>
            </w:r>
            <w:r w:rsidRPr="00E906FB">
              <w:rPr>
                <w:rFonts w:ascii="Times New Roman" w:hAnsi="Times New Roman"/>
                <w:color w:val="000000"/>
                <w:spacing w:val="-2"/>
              </w:rPr>
              <w:t>Parlamentu Europejskiego i Rady w sprawie wspólnotowego kodeksu odnoszącego się do produktów leczniczych stosowanych u ludzi</w:t>
            </w:r>
            <w:r>
              <w:rPr>
                <w:rFonts w:ascii="Times New Roman" w:hAnsi="Times New Roman"/>
                <w:color w:val="000000"/>
                <w:spacing w:val="-2"/>
              </w:rPr>
              <w:t xml:space="preserve"> </w:t>
            </w:r>
            <w:r w:rsidRPr="00AD6140">
              <w:rPr>
                <w:rFonts w:ascii="Times New Roman" w:hAnsi="Times New Roman"/>
                <w:color w:val="000000"/>
                <w:spacing w:val="-2"/>
              </w:rPr>
              <w:t>(Dz.</w:t>
            </w:r>
            <w:r>
              <w:rPr>
                <w:rFonts w:ascii="Times New Roman" w:hAnsi="Times New Roman"/>
                <w:color w:val="000000"/>
                <w:spacing w:val="-2"/>
              </w:rPr>
              <w:t xml:space="preserve"> </w:t>
            </w:r>
            <w:r w:rsidRPr="00AD6140">
              <w:rPr>
                <w:rFonts w:ascii="Times New Roman" w:hAnsi="Times New Roman"/>
                <w:color w:val="000000"/>
                <w:spacing w:val="-2"/>
              </w:rPr>
              <w:t>Urz.</w:t>
            </w:r>
            <w:r>
              <w:rPr>
                <w:rFonts w:ascii="Times New Roman" w:hAnsi="Times New Roman"/>
                <w:color w:val="000000"/>
                <w:spacing w:val="-2"/>
              </w:rPr>
              <w:t xml:space="preserve"> </w:t>
            </w:r>
            <w:r w:rsidRPr="00AD6140">
              <w:rPr>
                <w:rFonts w:ascii="Times New Roman" w:hAnsi="Times New Roman"/>
                <w:color w:val="000000"/>
                <w:spacing w:val="-2"/>
              </w:rPr>
              <w:t>UE</w:t>
            </w:r>
            <w:r>
              <w:rPr>
                <w:rFonts w:ascii="Times New Roman" w:hAnsi="Times New Roman"/>
                <w:color w:val="000000"/>
                <w:spacing w:val="-2"/>
              </w:rPr>
              <w:t xml:space="preserve"> </w:t>
            </w:r>
            <w:r w:rsidRPr="00AD6140">
              <w:rPr>
                <w:rFonts w:ascii="Times New Roman" w:hAnsi="Times New Roman"/>
                <w:color w:val="000000"/>
                <w:spacing w:val="-2"/>
              </w:rPr>
              <w:t>L 311</w:t>
            </w:r>
            <w:r>
              <w:rPr>
                <w:rFonts w:ascii="Times New Roman" w:hAnsi="Times New Roman"/>
                <w:color w:val="000000"/>
                <w:spacing w:val="-2"/>
              </w:rPr>
              <w:t xml:space="preserve"> z </w:t>
            </w:r>
            <w:r w:rsidRPr="00AD6140">
              <w:rPr>
                <w:rFonts w:ascii="Times New Roman" w:hAnsi="Times New Roman"/>
                <w:color w:val="000000"/>
                <w:spacing w:val="-2"/>
              </w:rPr>
              <w:t>28</w:t>
            </w:r>
            <w:r>
              <w:rPr>
                <w:rFonts w:ascii="Times New Roman" w:hAnsi="Times New Roman"/>
                <w:color w:val="000000"/>
                <w:spacing w:val="-2"/>
              </w:rPr>
              <w:t>.11.2001</w:t>
            </w:r>
            <w:r w:rsidRPr="00AD6140">
              <w:rPr>
                <w:rFonts w:ascii="Times New Roman" w:hAnsi="Times New Roman"/>
                <w:color w:val="000000"/>
                <w:spacing w:val="-2"/>
              </w:rPr>
              <w:t xml:space="preserve">, str. 67) </w:t>
            </w:r>
            <w:r>
              <w:rPr>
                <w:rFonts w:ascii="Times New Roman" w:hAnsi="Times New Roman"/>
                <w:color w:val="000000"/>
                <w:spacing w:val="-2"/>
              </w:rPr>
              <w:t>zawiera regulacje dotyczące kontroli i inspekcji, które są wdrożone w państwach członkowskich Unii Europejskich, również w Rzeczypospolitej Polskiej. Projektowana ustawa tylko je systematyzuje, włączając je do osobnego rozdziału ustawy i nie jest sprzeczna z ww. dyrektywą.</w:t>
            </w:r>
          </w:p>
        </w:tc>
      </w:tr>
      <w:tr w:rsidR="006A701A" w:rsidRPr="008B4FE6" w14:paraId="53B4C6AF" w14:textId="77777777" w:rsidTr="0023197B">
        <w:trPr>
          <w:gridAfter w:val="1"/>
          <w:wAfter w:w="10" w:type="dxa"/>
          <w:trHeight w:val="359"/>
        </w:trPr>
        <w:tc>
          <w:tcPr>
            <w:tcW w:w="10937" w:type="dxa"/>
            <w:gridSpan w:val="29"/>
            <w:shd w:val="clear" w:color="auto" w:fill="99CCFF"/>
            <w:vAlign w:val="center"/>
          </w:tcPr>
          <w:p w14:paraId="57E3A81A" w14:textId="77777777" w:rsidR="006A701A" w:rsidRPr="008B4FE6" w:rsidRDefault="006A701A" w:rsidP="00476F4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577DF856" w14:textId="77777777" w:rsidTr="0023197B">
        <w:trPr>
          <w:gridAfter w:val="1"/>
          <w:wAfter w:w="10" w:type="dxa"/>
          <w:trHeight w:val="142"/>
        </w:trPr>
        <w:tc>
          <w:tcPr>
            <w:tcW w:w="2668" w:type="dxa"/>
            <w:gridSpan w:val="3"/>
            <w:shd w:val="clear" w:color="auto" w:fill="auto"/>
          </w:tcPr>
          <w:p w14:paraId="59370E3A" w14:textId="77777777" w:rsidR="00260F33" w:rsidRPr="008B4FE6" w:rsidRDefault="00260F33" w:rsidP="0023197B">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30299B11" w14:textId="77777777" w:rsidR="00260F33" w:rsidRPr="008B4FE6" w:rsidRDefault="00563199" w:rsidP="0023197B">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472EA667" w14:textId="77777777" w:rsidR="00260F33" w:rsidRPr="008B4FE6" w:rsidRDefault="00260F33" w:rsidP="0023197B">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63B2A557" w14:textId="77777777" w:rsidR="00260F33" w:rsidRPr="008B4FE6" w:rsidRDefault="00260F33" w:rsidP="0023197B">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BE06F6" w:rsidRPr="008B4FE6" w14:paraId="13B36AAD" w14:textId="77777777" w:rsidTr="0023197B">
        <w:trPr>
          <w:gridAfter w:val="1"/>
          <w:wAfter w:w="10" w:type="dxa"/>
          <w:trHeight w:val="142"/>
        </w:trPr>
        <w:tc>
          <w:tcPr>
            <w:tcW w:w="2668" w:type="dxa"/>
            <w:gridSpan w:val="3"/>
            <w:shd w:val="clear" w:color="auto" w:fill="auto"/>
          </w:tcPr>
          <w:p w14:paraId="16ACCD24" w14:textId="77777777" w:rsidR="00BE06F6" w:rsidRPr="00EB52E1" w:rsidRDefault="00BE06F6" w:rsidP="00717CED">
            <w:pPr>
              <w:pStyle w:val="CZWSPPKTODNONIKAczwsppunkwodnonika"/>
              <w:ind w:left="0"/>
            </w:pPr>
            <w:r w:rsidRPr="00EB52E1">
              <w:t>Główny Inspektor Farmaceutyczny</w:t>
            </w:r>
            <w:r w:rsidR="00F82DF7">
              <w:t xml:space="preserve"> </w:t>
            </w:r>
          </w:p>
        </w:tc>
        <w:tc>
          <w:tcPr>
            <w:tcW w:w="2292" w:type="dxa"/>
            <w:gridSpan w:val="8"/>
            <w:shd w:val="clear" w:color="auto" w:fill="auto"/>
          </w:tcPr>
          <w:p w14:paraId="7E46A601" w14:textId="77777777" w:rsidR="00BE06F6" w:rsidRPr="00EB52E1" w:rsidRDefault="00BE06F6" w:rsidP="00BE06F6">
            <w:pPr>
              <w:pStyle w:val="CZWSPPKTODNONIKAczwsppunkwodnonika"/>
              <w:ind w:left="0"/>
            </w:pPr>
            <w:r w:rsidRPr="00EB52E1">
              <w:t>1 podmiot</w:t>
            </w:r>
          </w:p>
        </w:tc>
        <w:tc>
          <w:tcPr>
            <w:tcW w:w="2996" w:type="dxa"/>
            <w:gridSpan w:val="12"/>
            <w:shd w:val="clear" w:color="auto" w:fill="auto"/>
          </w:tcPr>
          <w:p w14:paraId="775B82F3" w14:textId="77777777" w:rsidR="00BE06F6" w:rsidRPr="00EB52E1" w:rsidRDefault="00BE06F6" w:rsidP="00BE06F6">
            <w:pPr>
              <w:pStyle w:val="CZWSPPKTODNONIKAczwsppunkwodnonika"/>
            </w:pPr>
            <w:r w:rsidRPr="00EB52E1">
              <w:t>Dane własne organu (GIF)</w:t>
            </w:r>
          </w:p>
        </w:tc>
        <w:tc>
          <w:tcPr>
            <w:tcW w:w="2981" w:type="dxa"/>
            <w:gridSpan w:val="6"/>
            <w:shd w:val="clear" w:color="auto" w:fill="auto"/>
          </w:tcPr>
          <w:p w14:paraId="0CBB9798" w14:textId="77777777" w:rsidR="00BE06F6" w:rsidRPr="00EB52E1" w:rsidRDefault="0001290C" w:rsidP="0068624E">
            <w:pPr>
              <w:pStyle w:val="CZWSPPKTODNONIKAczwsppunkwodnonika"/>
              <w:ind w:left="0"/>
              <w:jc w:val="left"/>
            </w:pPr>
            <w:r>
              <w:t>Realizacja zadań przewidzianych w projekcie ustawy</w:t>
            </w:r>
            <w:r w:rsidR="00BE06F6">
              <w:t>.</w:t>
            </w:r>
          </w:p>
        </w:tc>
      </w:tr>
      <w:tr w:rsidR="00BE06F6" w:rsidRPr="008B4FE6" w14:paraId="6E263098" w14:textId="77777777" w:rsidTr="0023197B">
        <w:trPr>
          <w:gridAfter w:val="1"/>
          <w:wAfter w:w="10" w:type="dxa"/>
          <w:trHeight w:val="142"/>
        </w:trPr>
        <w:tc>
          <w:tcPr>
            <w:tcW w:w="2668" w:type="dxa"/>
            <w:gridSpan w:val="3"/>
            <w:shd w:val="clear" w:color="auto" w:fill="auto"/>
          </w:tcPr>
          <w:p w14:paraId="65103B1F" w14:textId="77777777" w:rsidR="00BE06F6" w:rsidRPr="00EB52E1" w:rsidRDefault="00BE06F6" w:rsidP="00717CED">
            <w:pPr>
              <w:pStyle w:val="CZWSPPKTODNONIKAczwsppunkwodnonika"/>
              <w:ind w:left="0"/>
            </w:pPr>
            <w:r>
              <w:t>Wojewódzcy inspektorzy farmaceutyczni</w:t>
            </w:r>
          </w:p>
        </w:tc>
        <w:tc>
          <w:tcPr>
            <w:tcW w:w="2292" w:type="dxa"/>
            <w:gridSpan w:val="8"/>
            <w:shd w:val="clear" w:color="auto" w:fill="auto"/>
          </w:tcPr>
          <w:p w14:paraId="3AB91105" w14:textId="77777777" w:rsidR="00BE06F6" w:rsidRPr="00EB52E1" w:rsidRDefault="00BE06F6" w:rsidP="00BE06F6">
            <w:pPr>
              <w:pStyle w:val="CZWSPPKTODNONIKAczwsppunkwodnonika"/>
              <w:ind w:left="0"/>
            </w:pPr>
            <w:r>
              <w:t>16 podmiotów</w:t>
            </w:r>
          </w:p>
        </w:tc>
        <w:tc>
          <w:tcPr>
            <w:tcW w:w="2996" w:type="dxa"/>
            <w:gridSpan w:val="12"/>
            <w:shd w:val="clear" w:color="auto" w:fill="auto"/>
          </w:tcPr>
          <w:p w14:paraId="68CEB0D9" w14:textId="77777777" w:rsidR="00BE06F6" w:rsidRPr="00EB52E1" w:rsidRDefault="00BE06F6" w:rsidP="00BE06F6">
            <w:pPr>
              <w:pStyle w:val="CZWSPPKTODNONIKAczwsppunkwodnonika"/>
            </w:pPr>
            <w:r w:rsidRPr="00EB52E1">
              <w:t>Dane własne organu (GIF)</w:t>
            </w:r>
          </w:p>
        </w:tc>
        <w:tc>
          <w:tcPr>
            <w:tcW w:w="2981" w:type="dxa"/>
            <w:gridSpan w:val="6"/>
            <w:shd w:val="clear" w:color="auto" w:fill="auto"/>
          </w:tcPr>
          <w:p w14:paraId="5C637256" w14:textId="77777777" w:rsidR="00BE06F6" w:rsidRPr="00EB52E1" w:rsidRDefault="00F82DF7" w:rsidP="0068624E">
            <w:pPr>
              <w:pStyle w:val="CZWSPPKTODNONIKAczwsppunkwodnonika"/>
              <w:ind w:left="0"/>
              <w:jc w:val="left"/>
            </w:pPr>
            <w:r>
              <w:t xml:space="preserve">Zmiana </w:t>
            </w:r>
            <w:r w:rsidR="00BE06F6">
              <w:t>podległoś</w:t>
            </w:r>
            <w:r w:rsidR="00F5550A">
              <w:t>ci</w:t>
            </w:r>
            <w:r w:rsidR="00BE06F6">
              <w:t xml:space="preserve"> </w:t>
            </w:r>
            <w:r>
              <w:t>wobec Głównego Inspektora Farmaceutycznego</w:t>
            </w:r>
          </w:p>
        </w:tc>
      </w:tr>
      <w:tr w:rsidR="00BE06F6" w:rsidRPr="008B4FE6" w14:paraId="2EAF10C5" w14:textId="77777777" w:rsidTr="0023197B">
        <w:trPr>
          <w:gridAfter w:val="1"/>
          <w:wAfter w:w="10" w:type="dxa"/>
          <w:trHeight w:val="142"/>
        </w:trPr>
        <w:tc>
          <w:tcPr>
            <w:tcW w:w="2668" w:type="dxa"/>
            <w:gridSpan w:val="3"/>
            <w:shd w:val="clear" w:color="auto" w:fill="auto"/>
          </w:tcPr>
          <w:p w14:paraId="4A2331E0" w14:textId="77777777" w:rsidR="00BE06F6" w:rsidRDefault="00BE06F6" w:rsidP="00717CED">
            <w:pPr>
              <w:pStyle w:val="CZWSPPKTODNONIKAczwsppunkwodnonika"/>
              <w:ind w:left="0"/>
            </w:pPr>
            <w:r>
              <w:t>Laboratoria wchodzące w skład w</w:t>
            </w:r>
            <w:r w:rsidRPr="0003580D">
              <w:t>ojewódz</w:t>
            </w:r>
            <w:r>
              <w:t>kich</w:t>
            </w:r>
            <w:r w:rsidRPr="0003580D">
              <w:t xml:space="preserve"> inspektor</w:t>
            </w:r>
            <w:r>
              <w:t>atów</w:t>
            </w:r>
            <w:r w:rsidRPr="0003580D">
              <w:t xml:space="preserve"> farmaceutyczn</w:t>
            </w:r>
            <w:r>
              <w:t>ych</w:t>
            </w:r>
          </w:p>
        </w:tc>
        <w:tc>
          <w:tcPr>
            <w:tcW w:w="2292" w:type="dxa"/>
            <w:gridSpan w:val="8"/>
            <w:shd w:val="clear" w:color="auto" w:fill="auto"/>
          </w:tcPr>
          <w:p w14:paraId="433D458D" w14:textId="77777777" w:rsidR="00BE06F6" w:rsidRDefault="00BE06F6" w:rsidP="00BE06F6">
            <w:pPr>
              <w:pStyle w:val="CZWSPPKTODNONIKAczwsppunkwodnonika"/>
              <w:ind w:left="0"/>
            </w:pPr>
            <w:r>
              <w:t>8 podmiotów</w:t>
            </w:r>
          </w:p>
        </w:tc>
        <w:tc>
          <w:tcPr>
            <w:tcW w:w="2996" w:type="dxa"/>
            <w:gridSpan w:val="12"/>
            <w:shd w:val="clear" w:color="auto" w:fill="auto"/>
          </w:tcPr>
          <w:p w14:paraId="20A210A2" w14:textId="77777777" w:rsidR="00BE06F6" w:rsidRPr="0003580D" w:rsidRDefault="00BE06F6" w:rsidP="00BE06F6">
            <w:pPr>
              <w:pStyle w:val="CZWSPPKTODNONIKAczwsppunkwodnonika"/>
            </w:pPr>
            <w:r w:rsidRPr="00EB52E1">
              <w:t xml:space="preserve">Dane własne </w:t>
            </w:r>
            <w:r w:rsidRPr="0003580D">
              <w:t>organu (GIF)</w:t>
            </w:r>
          </w:p>
        </w:tc>
        <w:tc>
          <w:tcPr>
            <w:tcW w:w="2981" w:type="dxa"/>
            <w:gridSpan w:val="6"/>
            <w:shd w:val="clear" w:color="auto" w:fill="auto"/>
          </w:tcPr>
          <w:p w14:paraId="0464EB99" w14:textId="77777777" w:rsidR="00BE06F6" w:rsidRPr="0003580D" w:rsidRDefault="00BE06F6" w:rsidP="0068624E">
            <w:pPr>
              <w:pStyle w:val="CZWSPPKTODNONIKAczwsppunkwodnonika"/>
              <w:ind w:left="0"/>
              <w:jc w:val="left"/>
            </w:pPr>
            <w:r>
              <w:t>Bezpośrednia podległość Głównemu Inspektorowi Farmaceutycznemu</w:t>
            </w:r>
          </w:p>
        </w:tc>
      </w:tr>
      <w:tr w:rsidR="00BE06F6" w:rsidRPr="008B4FE6" w14:paraId="03B04F08" w14:textId="77777777" w:rsidTr="0023197B">
        <w:trPr>
          <w:gridAfter w:val="1"/>
          <w:wAfter w:w="10" w:type="dxa"/>
          <w:trHeight w:val="142"/>
        </w:trPr>
        <w:tc>
          <w:tcPr>
            <w:tcW w:w="2668" w:type="dxa"/>
            <w:gridSpan w:val="3"/>
            <w:shd w:val="clear" w:color="auto" w:fill="auto"/>
          </w:tcPr>
          <w:p w14:paraId="0D231449" w14:textId="77777777" w:rsidR="00BE06F6" w:rsidRPr="00EB52E1" w:rsidRDefault="00BE06F6" w:rsidP="00717CED">
            <w:pPr>
              <w:pStyle w:val="CZWSPPKTODNONIKAczwsppunkwodnonika"/>
              <w:ind w:left="0"/>
            </w:pPr>
            <w:r>
              <w:t>Medyczne laboratoria diagnostyczne</w:t>
            </w:r>
          </w:p>
        </w:tc>
        <w:tc>
          <w:tcPr>
            <w:tcW w:w="2292" w:type="dxa"/>
            <w:gridSpan w:val="8"/>
            <w:shd w:val="clear" w:color="auto" w:fill="auto"/>
          </w:tcPr>
          <w:p w14:paraId="15CDE946" w14:textId="77777777" w:rsidR="00BE06F6" w:rsidRPr="00EB52E1" w:rsidRDefault="0006069A" w:rsidP="0006069A">
            <w:pPr>
              <w:pStyle w:val="CZWSPPKTODNONIKAczwsppunkwodnonika"/>
              <w:ind w:left="0"/>
            </w:pPr>
            <w:r>
              <w:t>2 730</w:t>
            </w:r>
          </w:p>
        </w:tc>
        <w:tc>
          <w:tcPr>
            <w:tcW w:w="2996" w:type="dxa"/>
            <w:gridSpan w:val="12"/>
            <w:shd w:val="clear" w:color="auto" w:fill="auto"/>
          </w:tcPr>
          <w:p w14:paraId="177AD11D" w14:textId="77777777" w:rsidR="00BE06F6" w:rsidRPr="00EB52E1" w:rsidRDefault="00131AB6" w:rsidP="00BE06F6">
            <w:pPr>
              <w:pStyle w:val="CZWSPPKTODNONIKAczwsppunkwodnonika"/>
            </w:pPr>
            <w:r w:rsidRPr="00131AB6">
              <w:t>Krajowa Rada Diagnostów Laboratoryjnych</w:t>
            </w:r>
            <w:r w:rsidR="0006069A">
              <w:t xml:space="preserve"> – dane na podstawie rejestru, który może nie obejmować wszystkich medycznych laboratoriów diagnostycznych</w:t>
            </w:r>
          </w:p>
        </w:tc>
        <w:tc>
          <w:tcPr>
            <w:tcW w:w="2981" w:type="dxa"/>
            <w:gridSpan w:val="6"/>
            <w:shd w:val="clear" w:color="auto" w:fill="auto"/>
          </w:tcPr>
          <w:p w14:paraId="5DB4FF3A" w14:textId="77777777" w:rsidR="00BE06F6" w:rsidRPr="00EB52E1" w:rsidRDefault="00BE06F6" w:rsidP="0068624E">
            <w:pPr>
              <w:pStyle w:val="CZWSPPKTODNONIKAczwsppunkwodnonika"/>
              <w:ind w:left="0"/>
              <w:jc w:val="left"/>
            </w:pPr>
            <w:r>
              <w:t>Będą podlegały inspekcji Głównego Inspektora Farmaceutycznego. Będzie konieczne uzyskanie wpisu do Rejestru prowadzonego przez Głównego Inspektora Farmaceutycznego.</w:t>
            </w:r>
          </w:p>
        </w:tc>
      </w:tr>
      <w:tr w:rsidR="00BE06F6" w:rsidRPr="008B4FE6" w14:paraId="071B21DD" w14:textId="77777777" w:rsidTr="0023197B">
        <w:trPr>
          <w:gridAfter w:val="1"/>
          <w:wAfter w:w="10" w:type="dxa"/>
          <w:trHeight w:val="142"/>
        </w:trPr>
        <w:tc>
          <w:tcPr>
            <w:tcW w:w="2668" w:type="dxa"/>
            <w:gridSpan w:val="3"/>
            <w:shd w:val="clear" w:color="auto" w:fill="auto"/>
          </w:tcPr>
          <w:p w14:paraId="1DD49C28" w14:textId="77777777" w:rsidR="00BE06F6" w:rsidRPr="00EB52E1" w:rsidRDefault="00BE06F6" w:rsidP="00717CED">
            <w:pPr>
              <w:pStyle w:val="CZWSPPKTODNONIKAczwsppunkwodnonika"/>
              <w:ind w:left="0"/>
            </w:pPr>
            <w:r>
              <w:t>Podmioty podlegające kontroli albo inspekcji prowadzonej przez organy Państwowej Inspekcji Farmaceutycznej</w:t>
            </w:r>
          </w:p>
        </w:tc>
        <w:tc>
          <w:tcPr>
            <w:tcW w:w="2292" w:type="dxa"/>
            <w:gridSpan w:val="8"/>
            <w:shd w:val="clear" w:color="auto" w:fill="auto"/>
          </w:tcPr>
          <w:p w14:paraId="0077717E" w14:textId="77777777" w:rsidR="00BE06F6" w:rsidRPr="00EB52E1" w:rsidRDefault="00CB4685" w:rsidP="00BE06F6">
            <w:pPr>
              <w:pStyle w:val="CZWSPPKTODNONIKAczwsppunkwodnonika"/>
              <w:ind w:left="0"/>
            </w:pPr>
            <w:r>
              <w:t xml:space="preserve">ok. 26 250 </w:t>
            </w:r>
          </w:p>
        </w:tc>
        <w:tc>
          <w:tcPr>
            <w:tcW w:w="2996" w:type="dxa"/>
            <w:gridSpan w:val="12"/>
            <w:shd w:val="clear" w:color="auto" w:fill="auto"/>
          </w:tcPr>
          <w:p w14:paraId="0149A2C7" w14:textId="77777777" w:rsidR="00BE06F6" w:rsidRPr="00EB52E1" w:rsidRDefault="00CB4685" w:rsidP="00BE06F6">
            <w:pPr>
              <w:pStyle w:val="CZWSPPKTODNONIKAczwsppunkwodnonika"/>
            </w:pPr>
            <w:r w:rsidRPr="00CB4685">
              <w:t>Dane własne organu (GIF)</w:t>
            </w:r>
          </w:p>
        </w:tc>
        <w:tc>
          <w:tcPr>
            <w:tcW w:w="2981" w:type="dxa"/>
            <w:gridSpan w:val="6"/>
            <w:shd w:val="clear" w:color="auto" w:fill="auto"/>
          </w:tcPr>
          <w:p w14:paraId="00F66206" w14:textId="77777777" w:rsidR="00BE06F6" w:rsidRPr="00EB52E1" w:rsidRDefault="00BE06F6" w:rsidP="009F32C8">
            <w:pPr>
              <w:pStyle w:val="CZWSPPKTODNONIKAczwsppunkwodnonika"/>
              <w:ind w:left="0"/>
              <w:jc w:val="left"/>
            </w:pPr>
            <w:r>
              <w:t>Doszczegółowienie przepisów w</w:t>
            </w:r>
            <w:r w:rsidR="009F32C8">
              <w:t> </w:t>
            </w:r>
            <w:r>
              <w:t>zakresie przeprowadzania kontroli i inspekcji.</w:t>
            </w:r>
          </w:p>
        </w:tc>
      </w:tr>
      <w:tr w:rsidR="002A318A" w:rsidRPr="008B4FE6" w14:paraId="2AB4E568" w14:textId="77777777" w:rsidTr="0023197B">
        <w:trPr>
          <w:gridAfter w:val="1"/>
          <w:wAfter w:w="10" w:type="dxa"/>
          <w:trHeight w:val="142"/>
        </w:trPr>
        <w:tc>
          <w:tcPr>
            <w:tcW w:w="2668" w:type="dxa"/>
            <w:gridSpan w:val="3"/>
            <w:shd w:val="clear" w:color="auto" w:fill="auto"/>
          </w:tcPr>
          <w:p w14:paraId="36EEBD6D" w14:textId="77777777" w:rsidR="002A318A" w:rsidRDefault="002A318A" w:rsidP="002A318A">
            <w:pPr>
              <w:pStyle w:val="CZWSPPKTODNONIKAczwsppunkwodnonika"/>
              <w:ind w:left="0"/>
            </w:pPr>
            <w:r>
              <w:t>Sklepy ogólnodostępne (spożywcze, spożywczo- przemysłowe), stacje paliw, które prowadzą obrót produktami leczniczymi</w:t>
            </w:r>
          </w:p>
        </w:tc>
        <w:tc>
          <w:tcPr>
            <w:tcW w:w="2292" w:type="dxa"/>
            <w:gridSpan w:val="8"/>
            <w:shd w:val="clear" w:color="auto" w:fill="auto"/>
          </w:tcPr>
          <w:p w14:paraId="7FE5BEEE" w14:textId="77777777" w:rsidR="002A318A" w:rsidRDefault="009F32C8" w:rsidP="00BE06F6">
            <w:pPr>
              <w:pStyle w:val="CZWSPPKTODNONIKAczwsppunkwodnonika"/>
              <w:ind w:left="0"/>
            </w:pPr>
            <w:r>
              <w:t>o</w:t>
            </w:r>
            <w:r w:rsidR="002A318A">
              <w:t>k. 115 000</w:t>
            </w:r>
          </w:p>
        </w:tc>
        <w:tc>
          <w:tcPr>
            <w:tcW w:w="2996" w:type="dxa"/>
            <w:gridSpan w:val="12"/>
            <w:shd w:val="clear" w:color="auto" w:fill="auto"/>
          </w:tcPr>
          <w:p w14:paraId="2BDAAA5F" w14:textId="77777777" w:rsidR="002A318A" w:rsidRPr="00CB4685" w:rsidRDefault="002A318A" w:rsidP="00BE06F6">
            <w:pPr>
              <w:pStyle w:val="CZWSPPKTODNONIKAczwsppunkwodnonika"/>
            </w:pPr>
            <w:r>
              <w:t>Dane własne organu (GIF)</w:t>
            </w:r>
          </w:p>
        </w:tc>
        <w:tc>
          <w:tcPr>
            <w:tcW w:w="2981" w:type="dxa"/>
            <w:gridSpan w:val="6"/>
            <w:shd w:val="clear" w:color="auto" w:fill="auto"/>
          </w:tcPr>
          <w:p w14:paraId="7EC6C65D" w14:textId="77777777" w:rsidR="002A318A" w:rsidRDefault="009F32C8" w:rsidP="0068624E">
            <w:pPr>
              <w:pStyle w:val="CZWSPPKTODNONIKAczwsppunkwodnonika"/>
              <w:ind w:left="0"/>
              <w:jc w:val="left"/>
            </w:pPr>
            <w:r>
              <w:t>Doszczegółowienie przepisów w </w:t>
            </w:r>
            <w:r w:rsidR="002A318A">
              <w:t>zakresie przeprowadzania kontroli i inspekcji.</w:t>
            </w:r>
          </w:p>
        </w:tc>
      </w:tr>
      <w:tr w:rsidR="006A701A" w:rsidRPr="008B4FE6" w14:paraId="1BBE5470" w14:textId="77777777" w:rsidTr="0023197B">
        <w:trPr>
          <w:gridAfter w:val="1"/>
          <w:wAfter w:w="10" w:type="dxa"/>
          <w:trHeight w:val="302"/>
        </w:trPr>
        <w:tc>
          <w:tcPr>
            <w:tcW w:w="10937" w:type="dxa"/>
            <w:gridSpan w:val="29"/>
            <w:shd w:val="clear" w:color="auto" w:fill="99CCFF"/>
            <w:vAlign w:val="center"/>
          </w:tcPr>
          <w:p w14:paraId="78D197ED" w14:textId="77777777" w:rsidR="006A701A" w:rsidRPr="008B4FE6" w:rsidRDefault="001B3460" w:rsidP="00476F4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391B54EE" w14:textId="77777777" w:rsidTr="0023197B">
        <w:trPr>
          <w:gridAfter w:val="1"/>
          <w:wAfter w:w="10" w:type="dxa"/>
          <w:trHeight w:val="342"/>
        </w:trPr>
        <w:tc>
          <w:tcPr>
            <w:tcW w:w="10937" w:type="dxa"/>
            <w:gridSpan w:val="29"/>
            <w:shd w:val="clear" w:color="auto" w:fill="FFFFFF"/>
          </w:tcPr>
          <w:p w14:paraId="6FBA118B" w14:textId="511FD983" w:rsidR="005C6473" w:rsidRPr="00DF715B" w:rsidRDefault="005C6473" w:rsidP="005C6473">
            <w:pPr>
              <w:pStyle w:val="ODNONIKSPECtreodnonikadoodnonika"/>
              <w:ind w:left="113" w:firstLine="0"/>
            </w:pPr>
            <w:r w:rsidRPr="00DF715B">
              <w:t>Przedmiotowy projekt zost</w:t>
            </w:r>
            <w:r w:rsidR="00556FD4">
              <w:t xml:space="preserve">ał przekazany do </w:t>
            </w:r>
            <w:r w:rsidRPr="00DF715B">
              <w:t>uzgodnień oraz przedstawiony do konsultacji publicznych</w:t>
            </w:r>
            <w:r w:rsidR="00F5550A">
              <w:t xml:space="preserve"> i </w:t>
            </w:r>
            <w:r w:rsidR="00F5550A" w:rsidRPr="00DF715B">
              <w:t xml:space="preserve"> opiniowania</w:t>
            </w:r>
            <w:r w:rsidRPr="00DF715B">
              <w:t xml:space="preserve">, z </w:t>
            </w:r>
            <w:r>
              <w:t>30</w:t>
            </w:r>
            <w:r w:rsidRPr="00DF715B">
              <w:t>-dniowym terminem na zgłaszanie uwag, do następujących podmiotów:</w:t>
            </w:r>
          </w:p>
          <w:p w14:paraId="503FFEED" w14:textId="77777777" w:rsidR="005C6473" w:rsidRPr="00DF715B" w:rsidRDefault="005C6473" w:rsidP="0068624E">
            <w:pPr>
              <w:pStyle w:val="ODNONIKSPECtreodnonikadoodnonika"/>
              <w:numPr>
                <w:ilvl w:val="0"/>
                <w:numId w:val="13"/>
              </w:numPr>
              <w:ind w:left="567" w:hanging="425"/>
            </w:pPr>
            <w:r w:rsidRPr="00DF715B">
              <w:t>Business Centre Club;</w:t>
            </w:r>
          </w:p>
          <w:p w14:paraId="4223A6A2" w14:textId="77777777" w:rsidR="005C6473" w:rsidRPr="00DF715B" w:rsidRDefault="005C6473" w:rsidP="0068624E">
            <w:pPr>
              <w:pStyle w:val="ODNONIKSPECtreodnonikadoodnonika"/>
              <w:numPr>
                <w:ilvl w:val="0"/>
                <w:numId w:val="13"/>
              </w:numPr>
              <w:ind w:left="567" w:hanging="425"/>
            </w:pPr>
            <w:r w:rsidRPr="00DF715B">
              <w:t>Federacji Związków Zawodowych Pracowników Ochrony Zdrowia i Pomocy Społecznej;</w:t>
            </w:r>
          </w:p>
          <w:p w14:paraId="6CBC7B34" w14:textId="77777777" w:rsidR="005C6473" w:rsidRPr="00DF715B" w:rsidRDefault="005C6473" w:rsidP="0068624E">
            <w:pPr>
              <w:pStyle w:val="ODNONIKSPECtreodnonikadoodnonika"/>
              <w:numPr>
                <w:ilvl w:val="0"/>
                <w:numId w:val="13"/>
              </w:numPr>
              <w:ind w:left="567" w:hanging="425"/>
            </w:pPr>
            <w:r w:rsidRPr="00DF715B">
              <w:t>Forum Związków Zawodowych;</w:t>
            </w:r>
          </w:p>
          <w:p w14:paraId="15CF5861" w14:textId="77777777" w:rsidR="005C6473" w:rsidRPr="00DF715B" w:rsidRDefault="005C6473" w:rsidP="0068624E">
            <w:pPr>
              <w:pStyle w:val="ODNONIKSPECtreodnonikadoodnonika"/>
              <w:numPr>
                <w:ilvl w:val="0"/>
                <w:numId w:val="13"/>
              </w:numPr>
              <w:ind w:left="567" w:hanging="425"/>
            </w:pPr>
            <w:r w:rsidRPr="00DF715B">
              <w:t>Izby Gospodarczej „Farmacja Polska”;</w:t>
            </w:r>
          </w:p>
          <w:p w14:paraId="4E7E36A9" w14:textId="77777777" w:rsidR="005C6473" w:rsidRPr="00DF715B" w:rsidRDefault="005C6473" w:rsidP="0068624E">
            <w:pPr>
              <w:pStyle w:val="ODNONIKSPECtreodnonikadoodnonika"/>
              <w:numPr>
                <w:ilvl w:val="0"/>
                <w:numId w:val="13"/>
              </w:numPr>
              <w:ind w:left="567" w:hanging="425"/>
            </w:pPr>
            <w:r w:rsidRPr="00DF715B">
              <w:t>Konfederacji Lewiatan;</w:t>
            </w:r>
          </w:p>
          <w:p w14:paraId="5B03DECA" w14:textId="77777777" w:rsidR="000518F2" w:rsidRDefault="000518F2" w:rsidP="0068624E">
            <w:pPr>
              <w:pStyle w:val="ODNONIKSPECtreodnonikadoodnonika"/>
              <w:numPr>
                <w:ilvl w:val="0"/>
                <w:numId w:val="13"/>
              </w:numPr>
              <w:ind w:left="567" w:hanging="425"/>
            </w:pPr>
            <w:r>
              <w:t>Pracodawców RP;</w:t>
            </w:r>
          </w:p>
          <w:p w14:paraId="3E86CCB7" w14:textId="77777777" w:rsidR="00531DB5" w:rsidRDefault="00531DB5" w:rsidP="0068624E">
            <w:pPr>
              <w:pStyle w:val="ODNONIKSPECtreodnonikadoodnonika"/>
              <w:numPr>
                <w:ilvl w:val="0"/>
                <w:numId w:val="13"/>
              </w:numPr>
              <w:ind w:left="567" w:hanging="425"/>
            </w:pPr>
            <w:r>
              <w:t>Rzecznika Małych i Średnich Przedsiębiorców;</w:t>
            </w:r>
          </w:p>
          <w:p w14:paraId="54686072" w14:textId="77777777" w:rsidR="005C6473" w:rsidRPr="00DF715B" w:rsidRDefault="005C6473" w:rsidP="0068624E">
            <w:pPr>
              <w:pStyle w:val="ODNONIKSPECtreodnonikadoodnonika"/>
              <w:numPr>
                <w:ilvl w:val="0"/>
                <w:numId w:val="13"/>
              </w:numPr>
              <w:ind w:left="567" w:hanging="425"/>
            </w:pPr>
            <w:r w:rsidRPr="00DF715B">
              <w:t>Naczelnej Izby Aptekarskiej;</w:t>
            </w:r>
          </w:p>
          <w:p w14:paraId="4348D8B2" w14:textId="77777777" w:rsidR="005C6473" w:rsidRPr="00DF715B" w:rsidRDefault="005C6473" w:rsidP="0068624E">
            <w:pPr>
              <w:pStyle w:val="ODNONIKSPECtreodnonikadoodnonika"/>
              <w:numPr>
                <w:ilvl w:val="0"/>
                <w:numId w:val="13"/>
              </w:numPr>
              <w:ind w:left="567" w:hanging="425"/>
            </w:pPr>
            <w:r w:rsidRPr="00DF715B">
              <w:t>Narodowego Instytutu Leków;</w:t>
            </w:r>
          </w:p>
          <w:p w14:paraId="5CADF1FD" w14:textId="77777777" w:rsidR="005C6473" w:rsidRPr="00DF715B" w:rsidRDefault="005C6473" w:rsidP="0068624E">
            <w:pPr>
              <w:pStyle w:val="ODNONIKSPECtreodnonikadoodnonika"/>
              <w:numPr>
                <w:ilvl w:val="0"/>
                <w:numId w:val="13"/>
              </w:numPr>
              <w:ind w:left="567" w:hanging="425"/>
            </w:pPr>
            <w:r w:rsidRPr="00DF715B">
              <w:t>Niezależnego Samorządnego Związku Zawodowego „Solidarność”;</w:t>
            </w:r>
          </w:p>
          <w:p w14:paraId="18296223" w14:textId="77777777" w:rsidR="005C6473" w:rsidRPr="00DF715B" w:rsidRDefault="005C6473" w:rsidP="0068624E">
            <w:pPr>
              <w:pStyle w:val="ODNONIKSPECtreodnonikadoodnonika"/>
              <w:numPr>
                <w:ilvl w:val="0"/>
                <w:numId w:val="13"/>
              </w:numPr>
              <w:ind w:left="567" w:hanging="425"/>
            </w:pPr>
            <w:r w:rsidRPr="00DF715B">
              <w:lastRenderedPageBreak/>
              <w:t>Ogólnopolskiego Porozumienia Związków Zawodowych;</w:t>
            </w:r>
          </w:p>
          <w:p w14:paraId="06A6896C" w14:textId="77777777" w:rsidR="005C6473" w:rsidRPr="00DF715B" w:rsidRDefault="005C6473" w:rsidP="0068624E">
            <w:pPr>
              <w:pStyle w:val="ODNONIKSPECtreodnonikadoodnonika"/>
              <w:numPr>
                <w:ilvl w:val="0"/>
                <w:numId w:val="13"/>
              </w:numPr>
              <w:ind w:left="567" w:hanging="425"/>
            </w:pPr>
            <w:r w:rsidRPr="00DF715B">
              <w:t>Ogólnopolskiej Izby Gospodarczej POLMED;</w:t>
            </w:r>
          </w:p>
          <w:p w14:paraId="3DF2AA42" w14:textId="77777777" w:rsidR="005C6473" w:rsidRPr="00DF715B" w:rsidRDefault="005C6473" w:rsidP="0068624E">
            <w:pPr>
              <w:pStyle w:val="ODNONIKSPECtreodnonikadoodnonika"/>
              <w:numPr>
                <w:ilvl w:val="0"/>
                <w:numId w:val="13"/>
              </w:numPr>
              <w:ind w:left="567" w:hanging="425"/>
            </w:pPr>
            <w:r w:rsidRPr="00DF715B">
              <w:t>Polskiej Organizacji Handlu i Dystrybucji;</w:t>
            </w:r>
          </w:p>
          <w:p w14:paraId="217A7E65" w14:textId="77777777" w:rsidR="005C6473" w:rsidRPr="00DF715B" w:rsidRDefault="005C6473" w:rsidP="0068624E">
            <w:pPr>
              <w:pStyle w:val="ODNONIKSPECtreodnonikadoodnonika"/>
              <w:numPr>
                <w:ilvl w:val="0"/>
                <w:numId w:val="13"/>
              </w:numPr>
              <w:ind w:left="567" w:hanging="425"/>
            </w:pPr>
            <w:r w:rsidRPr="00DF715B">
              <w:t>Polskiego Towarzystwa Farmaceutycznego;</w:t>
            </w:r>
          </w:p>
          <w:p w14:paraId="734FA90D" w14:textId="77777777" w:rsidR="005C6473" w:rsidRPr="00DF715B" w:rsidRDefault="005C6473" w:rsidP="0068624E">
            <w:pPr>
              <w:pStyle w:val="ODNONIKSPECtreodnonikadoodnonika"/>
              <w:numPr>
                <w:ilvl w:val="0"/>
                <w:numId w:val="13"/>
              </w:numPr>
              <w:ind w:left="567" w:hanging="425"/>
            </w:pPr>
            <w:r w:rsidRPr="00DF715B">
              <w:t>Polskiego Związku Pracodawców Przemysłu Farmaceutycznego;</w:t>
            </w:r>
          </w:p>
          <w:p w14:paraId="5215590C" w14:textId="77777777" w:rsidR="005C6473" w:rsidRPr="00DF715B" w:rsidRDefault="0010398F" w:rsidP="0068624E">
            <w:pPr>
              <w:pStyle w:val="ODNONIKSPECtreodnonikadoodnonika"/>
              <w:numPr>
                <w:ilvl w:val="0"/>
                <w:numId w:val="13"/>
              </w:numPr>
              <w:ind w:left="567" w:hanging="425"/>
            </w:pPr>
            <w:r>
              <w:t>Krajowi Producenci Leków;</w:t>
            </w:r>
          </w:p>
          <w:p w14:paraId="18060EFB" w14:textId="77777777" w:rsidR="005C6473" w:rsidRPr="00DF715B" w:rsidRDefault="005C6473" w:rsidP="0068624E">
            <w:pPr>
              <w:pStyle w:val="ODNONIKSPECtreodnonikadoodnonika"/>
              <w:numPr>
                <w:ilvl w:val="0"/>
                <w:numId w:val="13"/>
              </w:numPr>
              <w:ind w:left="567" w:hanging="425"/>
            </w:pPr>
            <w:r w:rsidRPr="00DF715B">
              <w:t xml:space="preserve">Rady Dialogu Społecznego; </w:t>
            </w:r>
          </w:p>
          <w:p w14:paraId="3B79830F" w14:textId="77777777" w:rsidR="005C6473" w:rsidRPr="00DF715B" w:rsidRDefault="005C6473" w:rsidP="0068624E">
            <w:pPr>
              <w:pStyle w:val="ODNONIKSPECtreodnonikadoodnonika"/>
              <w:numPr>
                <w:ilvl w:val="0"/>
                <w:numId w:val="13"/>
              </w:numPr>
              <w:ind w:left="567" w:hanging="425"/>
            </w:pPr>
            <w:r w:rsidRPr="00DF715B">
              <w:t>Związku Pracodawców Innowacyjnych Firm Farmaceutycznych INFARMA;</w:t>
            </w:r>
          </w:p>
          <w:p w14:paraId="3FA5A20D" w14:textId="77777777" w:rsidR="005C6473" w:rsidRPr="00DF715B" w:rsidRDefault="005C6473" w:rsidP="0068624E">
            <w:pPr>
              <w:pStyle w:val="ODNONIKSPECtreodnonikadoodnonika"/>
              <w:numPr>
                <w:ilvl w:val="0"/>
                <w:numId w:val="13"/>
              </w:numPr>
              <w:ind w:left="567" w:hanging="425"/>
            </w:pPr>
            <w:r w:rsidRPr="00DF715B">
              <w:t>Związku Przedsiębiorców i Pracodawców;</w:t>
            </w:r>
          </w:p>
          <w:p w14:paraId="5046B120" w14:textId="77777777" w:rsidR="00D4415C" w:rsidRDefault="005C6473" w:rsidP="0068624E">
            <w:pPr>
              <w:pStyle w:val="ODNONIKSPECtreodnonikadoodnonika"/>
              <w:numPr>
                <w:ilvl w:val="0"/>
                <w:numId w:val="13"/>
              </w:numPr>
              <w:ind w:left="567" w:hanging="425"/>
            </w:pPr>
            <w:r w:rsidRPr="00DF715B">
              <w:t>Związku Rzemiosła Polskiego</w:t>
            </w:r>
            <w:r w:rsidR="00D4415C">
              <w:t>;</w:t>
            </w:r>
          </w:p>
          <w:p w14:paraId="430601C0" w14:textId="77777777" w:rsidR="00D4415C" w:rsidRDefault="00D4415C" w:rsidP="0068624E">
            <w:pPr>
              <w:pStyle w:val="ODNONIKSPECtreodnonikadoodnonika"/>
              <w:numPr>
                <w:ilvl w:val="0"/>
                <w:numId w:val="13"/>
              </w:numPr>
              <w:ind w:left="567" w:hanging="425"/>
            </w:pPr>
            <w:r>
              <w:t>Polsk</w:t>
            </w:r>
            <w:r w:rsidR="00F5550A">
              <w:t>iej</w:t>
            </w:r>
            <w:r>
              <w:t xml:space="preserve"> Izb</w:t>
            </w:r>
            <w:r w:rsidR="00F5550A">
              <w:t>y</w:t>
            </w:r>
            <w:r>
              <w:t xml:space="preserve"> Przemysłu Farmaceutycznego i Wyrobów Medycznych POLFARMED;</w:t>
            </w:r>
          </w:p>
          <w:p w14:paraId="587DF685" w14:textId="77777777" w:rsidR="00D4415C" w:rsidRDefault="00D4415C" w:rsidP="0068624E">
            <w:pPr>
              <w:pStyle w:val="ODNONIKSPECtreodnonikadoodnonika"/>
              <w:numPr>
                <w:ilvl w:val="0"/>
                <w:numId w:val="13"/>
              </w:numPr>
              <w:ind w:left="567" w:hanging="425"/>
            </w:pPr>
            <w:r>
              <w:t>Federacj</w:t>
            </w:r>
            <w:r w:rsidR="00F5550A">
              <w:t>i</w:t>
            </w:r>
            <w:r>
              <w:t xml:space="preserve"> Związków Pracodawców Ochrony Zdrowia „Porozumienie Zielonogórskie”;</w:t>
            </w:r>
          </w:p>
          <w:p w14:paraId="73672900" w14:textId="77777777" w:rsidR="00D4415C" w:rsidRDefault="00D4415C" w:rsidP="0068624E">
            <w:pPr>
              <w:pStyle w:val="ODNONIKSPECtreodnonikadoodnonika"/>
              <w:numPr>
                <w:ilvl w:val="0"/>
                <w:numId w:val="13"/>
              </w:numPr>
              <w:ind w:left="567" w:hanging="425"/>
            </w:pPr>
            <w:r>
              <w:t>Polskie</w:t>
            </w:r>
            <w:r w:rsidR="00F5550A">
              <w:t>go</w:t>
            </w:r>
            <w:r>
              <w:t xml:space="preserve"> Stowarzyszeni</w:t>
            </w:r>
            <w:r w:rsidR="00F5550A">
              <w:t>a</w:t>
            </w:r>
            <w:r>
              <w:t xml:space="preserve"> Producentów i Importerów Leków Weterynaryjnych POLPROWET;</w:t>
            </w:r>
          </w:p>
          <w:p w14:paraId="579CD94A" w14:textId="77777777" w:rsidR="00D4415C" w:rsidRDefault="00D4415C" w:rsidP="0068624E">
            <w:pPr>
              <w:pStyle w:val="ODNONIKSPECtreodnonikadoodnonika"/>
              <w:numPr>
                <w:ilvl w:val="0"/>
                <w:numId w:val="13"/>
              </w:numPr>
              <w:ind w:left="567" w:hanging="425"/>
            </w:pPr>
            <w:r>
              <w:t>Krajow</w:t>
            </w:r>
            <w:r w:rsidR="00F5550A">
              <w:t>ej</w:t>
            </w:r>
            <w:r>
              <w:t xml:space="preserve"> Izb</w:t>
            </w:r>
            <w:r w:rsidR="00F5550A">
              <w:t>y</w:t>
            </w:r>
            <w:r>
              <w:t xml:space="preserve"> Diagnostów Laboratoryjnych</w:t>
            </w:r>
            <w:r w:rsidR="00F5550A">
              <w:t>;</w:t>
            </w:r>
          </w:p>
          <w:p w14:paraId="3748C220" w14:textId="77777777" w:rsidR="00D4415C" w:rsidRDefault="00D4415C" w:rsidP="0068624E">
            <w:pPr>
              <w:pStyle w:val="ODNONIKSPECtreodnonikadoodnonika"/>
              <w:numPr>
                <w:ilvl w:val="0"/>
                <w:numId w:val="13"/>
              </w:numPr>
              <w:ind w:left="567" w:hanging="425"/>
              <w:rPr>
                <w:color w:val="000000"/>
                <w:spacing w:val="-2"/>
              </w:rPr>
            </w:pPr>
            <w:r w:rsidRPr="006840B2">
              <w:rPr>
                <w:color w:val="000000"/>
                <w:spacing w:val="-2"/>
              </w:rPr>
              <w:t>Instytut</w:t>
            </w:r>
            <w:r>
              <w:rPr>
                <w:color w:val="000000"/>
                <w:spacing w:val="-2"/>
              </w:rPr>
              <w:t>u</w:t>
            </w:r>
            <w:r w:rsidRPr="006840B2">
              <w:rPr>
                <w:color w:val="000000"/>
                <w:spacing w:val="-2"/>
              </w:rPr>
              <w:t xml:space="preserve"> Hematologii i Transfuzjologii w Warszawie;</w:t>
            </w:r>
          </w:p>
          <w:p w14:paraId="7D4C2215" w14:textId="77777777" w:rsidR="005C6473" w:rsidRDefault="00D4415C" w:rsidP="0068624E">
            <w:pPr>
              <w:pStyle w:val="ODNONIKSPECtreodnonikadoodnonika"/>
              <w:numPr>
                <w:ilvl w:val="0"/>
                <w:numId w:val="13"/>
              </w:numPr>
              <w:ind w:left="567" w:hanging="425"/>
            </w:pPr>
            <w:r w:rsidRPr="006840B2">
              <w:rPr>
                <w:color w:val="000000"/>
                <w:spacing w:val="-2"/>
              </w:rPr>
              <w:t>Narodow</w:t>
            </w:r>
            <w:r>
              <w:rPr>
                <w:color w:val="000000"/>
                <w:spacing w:val="-2"/>
              </w:rPr>
              <w:t>ego</w:t>
            </w:r>
            <w:r w:rsidRPr="006840B2">
              <w:rPr>
                <w:color w:val="000000"/>
                <w:spacing w:val="-2"/>
              </w:rPr>
              <w:t xml:space="preserve"> Instytut</w:t>
            </w:r>
            <w:r>
              <w:rPr>
                <w:color w:val="000000"/>
                <w:spacing w:val="-2"/>
              </w:rPr>
              <w:t>u</w:t>
            </w:r>
            <w:r w:rsidRPr="006840B2">
              <w:rPr>
                <w:color w:val="000000"/>
                <w:spacing w:val="-2"/>
              </w:rPr>
              <w:t xml:space="preserve"> Zdrowia Publicznego PZH – Państwow</w:t>
            </w:r>
            <w:r>
              <w:rPr>
                <w:color w:val="000000"/>
                <w:spacing w:val="-2"/>
              </w:rPr>
              <w:t>ego</w:t>
            </w:r>
            <w:r w:rsidRPr="006840B2">
              <w:rPr>
                <w:color w:val="000000"/>
                <w:spacing w:val="-2"/>
              </w:rPr>
              <w:t xml:space="preserve"> Instytut</w:t>
            </w:r>
            <w:r>
              <w:rPr>
                <w:color w:val="000000"/>
                <w:spacing w:val="-2"/>
              </w:rPr>
              <w:t>u</w:t>
            </w:r>
            <w:r w:rsidRPr="006840B2">
              <w:rPr>
                <w:color w:val="000000"/>
                <w:spacing w:val="-2"/>
              </w:rPr>
              <w:t xml:space="preserve"> Badawcz</w:t>
            </w:r>
            <w:r>
              <w:rPr>
                <w:color w:val="000000"/>
                <w:spacing w:val="-2"/>
              </w:rPr>
              <w:t>ego</w:t>
            </w:r>
            <w:r w:rsidR="00F82DF7">
              <w:t>;</w:t>
            </w:r>
          </w:p>
          <w:p w14:paraId="6CC48560" w14:textId="77777777" w:rsidR="00F82DF7" w:rsidRDefault="00F82DF7" w:rsidP="0068624E">
            <w:pPr>
              <w:pStyle w:val="ODNONIKSPECtreodnonikadoodnonika"/>
              <w:numPr>
                <w:ilvl w:val="0"/>
                <w:numId w:val="13"/>
              </w:numPr>
              <w:ind w:left="567" w:hanging="425"/>
            </w:pPr>
            <w:r w:rsidRPr="00F82DF7">
              <w:t>Federacj</w:t>
            </w:r>
            <w:r w:rsidR="00F5550A">
              <w:t>i</w:t>
            </w:r>
            <w:r w:rsidRPr="00F82DF7">
              <w:t xml:space="preserve"> Przedsiębiorców Polski</w:t>
            </w:r>
            <w:r w:rsidR="00F5550A">
              <w:t>c</w:t>
            </w:r>
            <w:r w:rsidRPr="00F82DF7">
              <w:t>h</w:t>
            </w:r>
            <w:r w:rsidR="00F5550A">
              <w:t>;</w:t>
            </w:r>
          </w:p>
          <w:p w14:paraId="4A3D968E" w14:textId="77777777" w:rsidR="00F5550A" w:rsidRDefault="00F5550A" w:rsidP="0068624E">
            <w:pPr>
              <w:pStyle w:val="ODNONIKSPECtreodnonikadoodnonika"/>
              <w:numPr>
                <w:ilvl w:val="0"/>
                <w:numId w:val="13"/>
              </w:numPr>
              <w:ind w:left="567" w:hanging="425"/>
            </w:pPr>
            <w:r>
              <w:t>Prokuratorii Generalnej</w:t>
            </w:r>
            <w:r w:rsidR="001119BF">
              <w:t xml:space="preserve"> Rzeczypospolitej Polskiej;</w:t>
            </w:r>
          </w:p>
          <w:p w14:paraId="37C5A7F8" w14:textId="77777777" w:rsidR="001119BF" w:rsidRDefault="001119BF" w:rsidP="0068624E">
            <w:pPr>
              <w:pStyle w:val="ODNONIKSPECtreodnonikadoodnonika"/>
              <w:numPr>
                <w:ilvl w:val="0"/>
                <w:numId w:val="13"/>
              </w:numPr>
              <w:ind w:left="567" w:hanging="425"/>
            </w:pPr>
            <w:r>
              <w:t>Prezesa Urzędu Ochrony Konkurencji i Konsumentów;</w:t>
            </w:r>
          </w:p>
          <w:p w14:paraId="34C99B87" w14:textId="77777777" w:rsidR="00531DB5" w:rsidRDefault="001119BF" w:rsidP="00531DB5">
            <w:pPr>
              <w:pStyle w:val="ODNONIKSPECtreodnonikadoodnonika"/>
              <w:numPr>
                <w:ilvl w:val="0"/>
                <w:numId w:val="13"/>
              </w:numPr>
              <w:ind w:left="567" w:hanging="425"/>
            </w:pPr>
            <w:r>
              <w:t>Prezesa Urzędu Ochrony Danych Osobowych</w:t>
            </w:r>
            <w:r w:rsidR="00531DB5">
              <w:t>;</w:t>
            </w:r>
          </w:p>
          <w:p w14:paraId="356059FE" w14:textId="77777777" w:rsidR="00531DB5" w:rsidRDefault="00531DB5" w:rsidP="00531DB5">
            <w:pPr>
              <w:pStyle w:val="ODNONIKSPECtreodnonikadoodnonika"/>
              <w:numPr>
                <w:ilvl w:val="0"/>
                <w:numId w:val="13"/>
              </w:numPr>
              <w:ind w:left="567" w:hanging="425"/>
            </w:pPr>
            <w:r>
              <w:t>Centralnego Ośrodka Badań Jakości w Diagnostyce Laboratoryjnej;</w:t>
            </w:r>
          </w:p>
          <w:p w14:paraId="4C6937D8" w14:textId="77777777" w:rsidR="00531DB5" w:rsidRDefault="00531DB5" w:rsidP="00531DB5">
            <w:pPr>
              <w:pStyle w:val="ODNONIKSPECtreodnonikadoodnonika"/>
              <w:numPr>
                <w:ilvl w:val="0"/>
                <w:numId w:val="13"/>
              </w:numPr>
              <w:ind w:left="567" w:hanging="425"/>
            </w:pPr>
            <w:r>
              <w:t>Centralnego Ośrodka Badań Jakości w Diagnostyce Mikrobiologicznej;</w:t>
            </w:r>
          </w:p>
          <w:p w14:paraId="7B9039C0" w14:textId="77777777" w:rsidR="001119BF" w:rsidRDefault="00531DB5" w:rsidP="00531DB5">
            <w:pPr>
              <w:pStyle w:val="ODNONIKSPECtreodnonikadoodnonika"/>
              <w:numPr>
                <w:ilvl w:val="0"/>
                <w:numId w:val="13"/>
              </w:numPr>
              <w:ind w:left="567" w:hanging="425"/>
            </w:pPr>
            <w:r>
              <w:t>Stowarzyszenia: Profesjonalne Laboratoria Medyczne</w:t>
            </w:r>
            <w:r w:rsidR="001119BF">
              <w:t xml:space="preserve">. </w:t>
            </w:r>
          </w:p>
          <w:p w14:paraId="6704643F" w14:textId="77777777" w:rsidR="005C6473" w:rsidRPr="00DF715B" w:rsidRDefault="005C6473" w:rsidP="0068624E">
            <w:pPr>
              <w:pStyle w:val="ODNONIKSPECtreodnonikadoodnonika"/>
              <w:ind w:left="0" w:firstLine="0"/>
            </w:pPr>
          </w:p>
          <w:p w14:paraId="2E86BB80" w14:textId="4E2B8260" w:rsidR="005C6473" w:rsidRPr="00DF715B" w:rsidRDefault="005C6473" w:rsidP="0068624E">
            <w:pPr>
              <w:pStyle w:val="ODNONIKSPECtreodnonikadoodnonika"/>
              <w:ind w:left="0" w:firstLine="0"/>
              <w:jc w:val="both"/>
            </w:pPr>
            <w:r w:rsidRPr="00DF715B">
              <w:t xml:space="preserve">Projekt </w:t>
            </w:r>
            <w:r w:rsidR="00D4415C">
              <w:t>ustawy</w:t>
            </w:r>
            <w:r w:rsidRPr="00DF715B">
              <w:t xml:space="preserve"> zosta</w:t>
            </w:r>
            <w:r w:rsidR="00E17DAC">
              <w:t>ł</w:t>
            </w:r>
            <w:r w:rsidRPr="00DF715B">
              <w:t xml:space="preserve"> zamieszczony w Biuletynie Informacji Publicznej na stronie podmiotowej Ministerstwa Zdrowia, stosownie do wymogów art. 5 ustawy z dnia 7 lipca 2005 r. o działalności lobbingowej w procesie stanowienia prawa (Dz. U. z 2017 r. poz. 248) oraz zgodnie z § 52 ust. 1 uchwały nr 190 Rady Ministrów z dnia 29 października 2013 r. – Regulamin prac Rady Ministrów (M.P. z</w:t>
            </w:r>
            <w:r w:rsidR="00A10094">
              <w:t> </w:t>
            </w:r>
            <w:r w:rsidR="00261327" w:rsidRPr="00DF715B">
              <w:t>20</w:t>
            </w:r>
            <w:r w:rsidR="00261327">
              <w:t>22</w:t>
            </w:r>
            <w:r w:rsidR="00261327" w:rsidRPr="00DF715B">
              <w:t xml:space="preserve"> </w:t>
            </w:r>
            <w:r w:rsidRPr="00DF715B">
              <w:t xml:space="preserve">r. poz. </w:t>
            </w:r>
            <w:r w:rsidR="00261327">
              <w:t>348</w:t>
            </w:r>
            <w:r w:rsidRPr="00DF715B">
              <w:t xml:space="preserve">, </w:t>
            </w:r>
            <w:r>
              <w:t xml:space="preserve">z późn. zm.) </w:t>
            </w:r>
            <w:r w:rsidRPr="00DF715B">
              <w:t xml:space="preserve">projekt </w:t>
            </w:r>
            <w:r w:rsidR="00E17DAC">
              <w:t xml:space="preserve">ustawy </w:t>
            </w:r>
            <w:r w:rsidRPr="00DF715B">
              <w:t>zosta</w:t>
            </w:r>
            <w:r w:rsidR="00E17DAC">
              <w:t>ł</w:t>
            </w:r>
            <w:r w:rsidRPr="00DF715B">
              <w:t xml:space="preserve"> opublikowany na stronie Rządowego Centrum Legislacji w zakładce Rządowy Proces Legislacyjny.</w:t>
            </w:r>
          </w:p>
          <w:p w14:paraId="01D3E596" w14:textId="77777777" w:rsidR="006A701A" w:rsidRPr="00F82DF7" w:rsidRDefault="005C6473" w:rsidP="005C6473">
            <w:pPr>
              <w:spacing w:line="240" w:lineRule="auto"/>
              <w:jc w:val="both"/>
              <w:rPr>
                <w:rFonts w:ascii="Times New Roman" w:hAnsi="Times New Roman"/>
                <w:color w:val="000000"/>
                <w:spacing w:val="-2"/>
              </w:rPr>
            </w:pPr>
            <w:r w:rsidRPr="00B667F2">
              <w:rPr>
                <w:rFonts w:ascii="Times New Roman" w:hAnsi="Times New Roman"/>
                <w:sz w:val="20"/>
                <w:szCs w:val="20"/>
              </w:rPr>
              <w:t xml:space="preserve">Wyniki konsultacji publicznych i opiniowania zostaną przedstawione w raporcie dołączonym do niniejszej </w:t>
            </w:r>
            <w:r w:rsidR="001119BF">
              <w:rPr>
                <w:rFonts w:ascii="Times New Roman" w:hAnsi="Times New Roman"/>
                <w:sz w:val="20"/>
                <w:szCs w:val="20"/>
              </w:rPr>
              <w:t>O</w:t>
            </w:r>
            <w:r w:rsidRPr="00B667F2">
              <w:rPr>
                <w:rFonts w:ascii="Times New Roman" w:hAnsi="Times New Roman"/>
                <w:sz w:val="20"/>
                <w:szCs w:val="20"/>
              </w:rPr>
              <w:t>ceny.</w:t>
            </w:r>
          </w:p>
        </w:tc>
      </w:tr>
      <w:tr w:rsidR="006A701A" w:rsidRPr="008B4FE6" w14:paraId="5B9BDF3F" w14:textId="77777777" w:rsidTr="0023197B">
        <w:trPr>
          <w:gridAfter w:val="1"/>
          <w:wAfter w:w="10" w:type="dxa"/>
          <w:trHeight w:val="363"/>
        </w:trPr>
        <w:tc>
          <w:tcPr>
            <w:tcW w:w="10937" w:type="dxa"/>
            <w:gridSpan w:val="29"/>
            <w:shd w:val="clear" w:color="auto" w:fill="99CCFF"/>
            <w:vAlign w:val="center"/>
          </w:tcPr>
          <w:p w14:paraId="6895F318" w14:textId="77777777" w:rsidR="006A701A" w:rsidRPr="008B4FE6" w:rsidRDefault="006A701A" w:rsidP="00476F4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0861EA" w:rsidRPr="008B4FE6" w14:paraId="2422E028" w14:textId="77777777" w:rsidTr="0023197B">
        <w:trPr>
          <w:gridAfter w:val="1"/>
          <w:wAfter w:w="10" w:type="dxa"/>
          <w:trHeight w:val="142"/>
        </w:trPr>
        <w:tc>
          <w:tcPr>
            <w:tcW w:w="10937" w:type="dxa"/>
            <w:gridSpan w:val="29"/>
            <w:shd w:val="clear" w:color="auto" w:fill="FFFFFF"/>
          </w:tcPr>
          <w:p w14:paraId="05D05393" w14:textId="77777777" w:rsidR="000861EA" w:rsidRPr="00DC1AFD" w:rsidRDefault="000861EA" w:rsidP="00476F4C">
            <w:pPr>
              <w:numPr>
                <w:ilvl w:val="0"/>
                <w:numId w:val="5"/>
              </w:numPr>
              <w:spacing w:before="40" w:after="40" w:line="240" w:lineRule="auto"/>
              <w:ind w:left="322" w:hanging="322"/>
              <w:jc w:val="both"/>
              <w:rPr>
                <w:rFonts w:ascii="Times New Roman" w:hAnsi="Times New Roman"/>
                <w:b/>
                <w:color w:val="000000"/>
                <w:sz w:val="21"/>
                <w:szCs w:val="21"/>
              </w:rPr>
            </w:pPr>
            <w:r w:rsidRPr="00DC1AFD">
              <w:rPr>
                <w:rFonts w:ascii="Times New Roman" w:hAnsi="Times New Roman"/>
                <w:b/>
                <w:color w:val="000000"/>
                <w:sz w:val="21"/>
                <w:szCs w:val="21"/>
              </w:rPr>
              <w:t xml:space="preserve">Skutki finansowe </w:t>
            </w:r>
            <w:r w:rsidR="00BE376D">
              <w:rPr>
                <w:rFonts w:ascii="Times New Roman" w:hAnsi="Times New Roman"/>
                <w:b/>
                <w:color w:val="000000"/>
                <w:sz w:val="21"/>
                <w:szCs w:val="21"/>
              </w:rPr>
              <w:t>całości ustawy (</w:t>
            </w:r>
            <w:r w:rsidR="00CC5968" w:rsidRPr="00DC1AFD">
              <w:rPr>
                <w:rFonts w:ascii="Times New Roman" w:hAnsi="Times New Roman"/>
                <w:b/>
                <w:color w:val="000000"/>
                <w:sz w:val="21"/>
                <w:szCs w:val="21"/>
              </w:rPr>
              <w:t>włączenia wojewódzkich inspektoratów farmaceutycznych w struktury Głównego Inspektoratu Farmaceutycznego</w:t>
            </w:r>
            <w:r w:rsidR="00F82DF7">
              <w:rPr>
                <w:rFonts w:ascii="Times New Roman" w:hAnsi="Times New Roman"/>
                <w:b/>
                <w:color w:val="000000"/>
                <w:sz w:val="21"/>
                <w:szCs w:val="21"/>
              </w:rPr>
              <w:t xml:space="preserve"> </w:t>
            </w:r>
            <w:r w:rsidR="00BE376D">
              <w:rPr>
                <w:rFonts w:ascii="Times New Roman" w:hAnsi="Times New Roman"/>
                <w:b/>
                <w:color w:val="000000"/>
                <w:sz w:val="21"/>
                <w:szCs w:val="21"/>
              </w:rPr>
              <w:t xml:space="preserve">oraz </w:t>
            </w:r>
            <w:r w:rsidR="00BE376D" w:rsidRPr="008004CC">
              <w:rPr>
                <w:rFonts w:ascii="Times New Roman" w:hAnsi="Times New Roman"/>
                <w:b/>
                <w:color w:val="000000"/>
                <w:sz w:val="21"/>
                <w:szCs w:val="21"/>
              </w:rPr>
              <w:t>przejęcia nadzoru nad medycznymi laboratoriami diagnostycznymi</w:t>
            </w:r>
            <w:r w:rsidR="00BE376D">
              <w:rPr>
                <w:rFonts w:ascii="Times New Roman" w:hAnsi="Times New Roman"/>
                <w:b/>
                <w:color w:val="000000"/>
                <w:sz w:val="21"/>
                <w:szCs w:val="21"/>
              </w:rPr>
              <w:t>)</w:t>
            </w:r>
          </w:p>
        </w:tc>
      </w:tr>
      <w:tr w:rsidR="00260F33" w:rsidRPr="008B4FE6" w14:paraId="37EB3855" w14:textId="77777777" w:rsidTr="0023197B">
        <w:trPr>
          <w:gridAfter w:val="1"/>
          <w:wAfter w:w="10" w:type="dxa"/>
          <w:trHeight w:val="142"/>
        </w:trPr>
        <w:tc>
          <w:tcPr>
            <w:tcW w:w="3133" w:type="dxa"/>
            <w:gridSpan w:val="4"/>
            <w:vMerge w:val="restart"/>
            <w:shd w:val="clear" w:color="auto" w:fill="FFFFFF"/>
          </w:tcPr>
          <w:p w14:paraId="68FE2962" w14:textId="77777777" w:rsidR="00260F33" w:rsidRPr="00C53F26" w:rsidRDefault="00821717" w:rsidP="0023197B">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85493B">
              <w:rPr>
                <w:rFonts w:ascii="Times New Roman" w:hAnsi="Times New Roman"/>
                <w:color w:val="000000"/>
                <w:sz w:val="21"/>
                <w:szCs w:val="21"/>
              </w:rPr>
              <w:t>202</w:t>
            </w:r>
            <w:r w:rsidR="00844F34">
              <w:rPr>
                <w:rFonts w:ascii="Times New Roman" w:hAnsi="Times New Roman"/>
                <w:color w:val="000000"/>
                <w:sz w:val="21"/>
                <w:szCs w:val="21"/>
              </w:rPr>
              <w:t>2</w:t>
            </w:r>
            <w:r w:rsidR="00DC102B">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7986800C" w14:textId="77777777" w:rsidR="00260F33" w:rsidRPr="00C53F26" w:rsidRDefault="00260F33" w:rsidP="0023197B">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3C7B7CE4" w14:textId="77777777" w:rsidTr="0023197B">
        <w:trPr>
          <w:gridAfter w:val="1"/>
          <w:wAfter w:w="10" w:type="dxa"/>
          <w:trHeight w:val="142"/>
        </w:trPr>
        <w:tc>
          <w:tcPr>
            <w:tcW w:w="3133" w:type="dxa"/>
            <w:gridSpan w:val="4"/>
            <w:vMerge/>
            <w:shd w:val="clear" w:color="auto" w:fill="FFFFFF"/>
          </w:tcPr>
          <w:p w14:paraId="55DCE4FA" w14:textId="77777777" w:rsidR="0057668E" w:rsidRPr="00C53F26" w:rsidRDefault="0057668E" w:rsidP="0023197B">
            <w:pPr>
              <w:spacing w:before="40" w:after="40" w:line="240" w:lineRule="auto"/>
              <w:rPr>
                <w:rFonts w:ascii="Times New Roman" w:hAnsi="Times New Roman"/>
                <w:i/>
                <w:color w:val="000000"/>
                <w:sz w:val="21"/>
                <w:szCs w:val="21"/>
              </w:rPr>
            </w:pPr>
          </w:p>
        </w:tc>
        <w:tc>
          <w:tcPr>
            <w:tcW w:w="569" w:type="dxa"/>
            <w:gridSpan w:val="2"/>
            <w:shd w:val="clear" w:color="auto" w:fill="FFFFFF"/>
          </w:tcPr>
          <w:p w14:paraId="16492B55"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10100D8F"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52E4EAD5"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311DCF3"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4F561B83"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356A4423"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8C4BA7F"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E33746D"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57064EB7"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2806A982"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22A1B0B4" w14:textId="77777777" w:rsidR="0057668E" w:rsidRPr="00C53F26" w:rsidRDefault="0057668E" w:rsidP="0023197B">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004A004" w14:textId="77777777" w:rsidR="0057668E" w:rsidRPr="00C53F26" w:rsidRDefault="0057668E" w:rsidP="0023197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604E1E" w:rsidRPr="008B4FE6" w14:paraId="7B655D88" w14:textId="77777777" w:rsidTr="0023197B">
        <w:trPr>
          <w:trHeight w:val="321"/>
        </w:trPr>
        <w:tc>
          <w:tcPr>
            <w:tcW w:w="3133" w:type="dxa"/>
            <w:gridSpan w:val="4"/>
            <w:shd w:val="clear" w:color="auto" w:fill="FFFFFF"/>
            <w:vAlign w:val="center"/>
          </w:tcPr>
          <w:p w14:paraId="6872FC96" w14:textId="77777777" w:rsidR="00604E1E" w:rsidRPr="00C53F26" w:rsidRDefault="00604E1E" w:rsidP="00604E1E">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14:paraId="1E50E474" w14:textId="77777777" w:rsidR="00604E1E" w:rsidRPr="00604E1E" w:rsidRDefault="00604E1E" w:rsidP="00604E1E">
            <w:pPr>
              <w:spacing w:line="240" w:lineRule="auto"/>
              <w:jc w:val="right"/>
              <w:rPr>
                <w:rFonts w:ascii="Times New Roman" w:hAnsi="Times New Roman"/>
                <w:b/>
                <w:color w:val="000000"/>
                <w:sz w:val="21"/>
                <w:szCs w:val="21"/>
              </w:rPr>
            </w:pPr>
            <w:r w:rsidRPr="00604E1E">
              <w:rPr>
                <w:rFonts w:ascii="Times New Roman" w:hAnsi="Times New Roman"/>
                <w:b/>
                <w:color w:val="000000"/>
                <w:sz w:val="16"/>
                <w:szCs w:val="16"/>
              </w:rPr>
              <w:t>27,0</w:t>
            </w:r>
          </w:p>
        </w:tc>
        <w:tc>
          <w:tcPr>
            <w:tcW w:w="570" w:type="dxa"/>
            <w:gridSpan w:val="2"/>
            <w:shd w:val="clear" w:color="auto" w:fill="FFFFFF"/>
            <w:vAlign w:val="center"/>
          </w:tcPr>
          <w:p w14:paraId="20590771"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27,8</w:t>
            </w:r>
          </w:p>
        </w:tc>
        <w:tc>
          <w:tcPr>
            <w:tcW w:w="570" w:type="dxa"/>
            <w:gridSpan w:val="2"/>
            <w:shd w:val="clear" w:color="auto" w:fill="FFFFFF"/>
            <w:vAlign w:val="center"/>
          </w:tcPr>
          <w:p w14:paraId="127F309A"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28,6</w:t>
            </w:r>
          </w:p>
        </w:tc>
        <w:tc>
          <w:tcPr>
            <w:tcW w:w="569" w:type="dxa"/>
            <w:gridSpan w:val="3"/>
            <w:shd w:val="clear" w:color="auto" w:fill="FFFFFF"/>
            <w:vAlign w:val="center"/>
          </w:tcPr>
          <w:p w14:paraId="3478406A"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29,4</w:t>
            </w:r>
          </w:p>
        </w:tc>
        <w:tc>
          <w:tcPr>
            <w:tcW w:w="570" w:type="dxa"/>
            <w:gridSpan w:val="2"/>
            <w:shd w:val="clear" w:color="auto" w:fill="FFFFFF"/>
            <w:vAlign w:val="center"/>
          </w:tcPr>
          <w:p w14:paraId="044BEC64"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51,2</w:t>
            </w:r>
          </w:p>
        </w:tc>
        <w:tc>
          <w:tcPr>
            <w:tcW w:w="570" w:type="dxa"/>
            <w:shd w:val="clear" w:color="auto" w:fill="FFFFFF"/>
            <w:vAlign w:val="center"/>
          </w:tcPr>
          <w:p w14:paraId="6FB86F8C"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31,1</w:t>
            </w:r>
          </w:p>
        </w:tc>
        <w:tc>
          <w:tcPr>
            <w:tcW w:w="570" w:type="dxa"/>
            <w:gridSpan w:val="3"/>
            <w:shd w:val="clear" w:color="auto" w:fill="FFFFFF"/>
            <w:vAlign w:val="center"/>
          </w:tcPr>
          <w:p w14:paraId="119C490B"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32,1</w:t>
            </w:r>
          </w:p>
        </w:tc>
        <w:tc>
          <w:tcPr>
            <w:tcW w:w="569" w:type="dxa"/>
            <w:gridSpan w:val="3"/>
            <w:shd w:val="clear" w:color="auto" w:fill="FFFFFF"/>
            <w:vAlign w:val="center"/>
          </w:tcPr>
          <w:p w14:paraId="33AAF626"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33,0</w:t>
            </w:r>
          </w:p>
        </w:tc>
        <w:tc>
          <w:tcPr>
            <w:tcW w:w="570" w:type="dxa"/>
            <w:gridSpan w:val="2"/>
            <w:shd w:val="clear" w:color="auto" w:fill="FFFFFF"/>
            <w:vAlign w:val="center"/>
          </w:tcPr>
          <w:p w14:paraId="40B1F0C3"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34,1</w:t>
            </w:r>
          </w:p>
        </w:tc>
        <w:tc>
          <w:tcPr>
            <w:tcW w:w="570" w:type="dxa"/>
            <w:gridSpan w:val="2"/>
            <w:shd w:val="clear" w:color="auto" w:fill="FFFFFF"/>
            <w:vAlign w:val="center"/>
          </w:tcPr>
          <w:p w14:paraId="056E4455"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35,1</w:t>
            </w:r>
          </w:p>
        </w:tc>
        <w:tc>
          <w:tcPr>
            <w:tcW w:w="570" w:type="dxa"/>
            <w:shd w:val="clear" w:color="auto" w:fill="FFFFFF"/>
            <w:vAlign w:val="center"/>
          </w:tcPr>
          <w:p w14:paraId="72401C09"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36,2</w:t>
            </w:r>
          </w:p>
        </w:tc>
        <w:tc>
          <w:tcPr>
            <w:tcW w:w="1547" w:type="dxa"/>
            <w:gridSpan w:val="3"/>
            <w:shd w:val="clear" w:color="auto" w:fill="FFFFFF"/>
            <w:vAlign w:val="center"/>
          </w:tcPr>
          <w:p w14:paraId="20807716" w14:textId="77777777" w:rsidR="00604E1E" w:rsidRPr="00604E1E" w:rsidRDefault="00604E1E" w:rsidP="00604E1E">
            <w:pPr>
              <w:spacing w:line="240" w:lineRule="auto"/>
              <w:jc w:val="right"/>
              <w:rPr>
                <w:rFonts w:ascii="Times New Roman" w:hAnsi="Times New Roman"/>
                <w:b/>
                <w:color w:val="000000"/>
                <w:sz w:val="16"/>
                <w:szCs w:val="16"/>
              </w:rPr>
            </w:pPr>
            <w:r w:rsidRPr="00604E1E">
              <w:rPr>
                <w:rFonts w:ascii="Times New Roman" w:hAnsi="Times New Roman"/>
                <w:b/>
                <w:color w:val="000000"/>
                <w:sz w:val="16"/>
                <w:szCs w:val="16"/>
              </w:rPr>
              <w:t>365,</w:t>
            </w:r>
            <w:r w:rsidR="00B05E40">
              <w:rPr>
                <w:rFonts w:ascii="Times New Roman" w:hAnsi="Times New Roman"/>
                <w:b/>
                <w:color w:val="000000"/>
                <w:sz w:val="16"/>
                <w:szCs w:val="16"/>
              </w:rPr>
              <w:t>6</w:t>
            </w:r>
          </w:p>
        </w:tc>
      </w:tr>
      <w:tr w:rsidR="0076690C" w:rsidRPr="008B4FE6" w14:paraId="496032FA" w14:textId="77777777" w:rsidTr="0023197B">
        <w:trPr>
          <w:trHeight w:val="321"/>
        </w:trPr>
        <w:tc>
          <w:tcPr>
            <w:tcW w:w="3133" w:type="dxa"/>
            <w:gridSpan w:val="4"/>
            <w:shd w:val="clear" w:color="auto" w:fill="FFFFFF"/>
            <w:vAlign w:val="center"/>
          </w:tcPr>
          <w:p w14:paraId="7AC222BD" w14:textId="77777777" w:rsidR="0076690C" w:rsidRPr="00C53F26" w:rsidRDefault="0076690C" w:rsidP="0023197B">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04BBA214" w14:textId="77777777" w:rsidR="0076690C" w:rsidRPr="00A163FB"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27,0</w:t>
            </w:r>
          </w:p>
        </w:tc>
        <w:tc>
          <w:tcPr>
            <w:tcW w:w="570" w:type="dxa"/>
            <w:gridSpan w:val="2"/>
            <w:shd w:val="clear" w:color="auto" w:fill="FFFFFF"/>
            <w:vAlign w:val="center"/>
          </w:tcPr>
          <w:p w14:paraId="2D457EA8"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27,8</w:t>
            </w:r>
          </w:p>
        </w:tc>
        <w:tc>
          <w:tcPr>
            <w:tcW w:w="570" w:type="dxa"/>
            <w:gridSpan w:val="2"/>
            <w:shd w:val="clear" w:color="auto" w:fill="FFFFFF"/>
            <w:vAlign w:val="center"/>
          </w:tcPr>
          <w:p w14:paraId="5E18BF02"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28,6</w:t>
            </w:r>
          </w:p>
        </w:tc>
        <w:tc>
          <w:tcPr>
            <w:tcW w:w="569" w:type="dxa"/>
            <w:gridSpan w:val="3"/>
            <w:shd w:val="clear" w:color="auto" w:fill="FFFFFF"/>
            <w:vAlign w:val="center"/>
          </w:tcPr>
          <w:p w14:paraId="7664909B"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29,4</w:t>
            </w:r>
          </w:p>
        </w:tc>
        <w:tc>
          <w:tcPr>
            <w:tcW w:w="570" w:type="dxa"/>
            <w:gridSpan w:val="2"/>
            <w:shd w:val="clear" w:color="auto" w:fill="FFFFFF"/>
            <w:vAlign w:val="center"/>
          </w:tcPr>
          <w:p w14:paraId="0B0C8532" w14:textId="77777777" w:rsidR="0076690C" w:rsidRPr="00344153"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51,2</w:t>
            </w:r>
          </w:p>
        </w:tc>
        <w:tc>
          <w:tcPr>
            <w:tcW w:w="570" w:type="dxa"/>
            <w:shd w:val="clear" w:color="auto" w:fill="FFFFFF"/>
            <w:vAlign w:val="center"/>
          </w:tcPr>
          <w:p w14:paraId="7A5E7E71"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31,1</w:t>
            </w:r>
          </w:p>
        </w:tc>
        <w:tc>
          <w:tcPr>
            <w:tcW w:w="570" w:type="dxa"/>
            <w:gridSpan w:val="3"/>
            <w:shd w:val="clear" w:color="auto" w:fill="FFFFFF"/>
            <w:vAlign w:val="center"/>
          </w:tcPr>
          <w:p w14:paraId="1625A67F"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32,1</w:t>
            </w:r>
          </w:p>
        </w:tc>
        <w:tc>
          <w:tcPr>
            <w:tcW w:w="569" w:type="dxa"/>
            <w:gridSpan w:val="3"/>
            <w:shd w:val="clear" w:color="auto" w:fill="FFFFFF"/>
            <w:vAlign w:val="center"/>
          </w:tcPr>
          <w:p w14:paraId="3D7109EA"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33,0</w:t>
            </w:r>
          </w:p>
        </w:tc>
        <w:tc>
          <w:tcPr>
            <w:tcW w:w="570" w:type="dxa"/>
            <w:gridSpan w:val="2"/>
            <w:shd w:val="clear" w:color="auto" w:fill="FFFFFF"/>
            <w:vAlign w:val="center"/>
          </w:tcPr>
          <w:p w14:paraId="34961D31"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34,1</w:t>
            </w:r>
          </w:p>
        </w:tc>
        <w:tc>
          <w:tcPr>
            <w:tcW w:w="570" w:type="dxa"/>
            <w:gridSpan w:val="2"/>
            <w:shd w:val="clear" w:color="auto" w:fill="FFFFFF"/>
            <w:vAlign w:val="center"/>
          </w:tcPr>
          <w:p w14:paraId="7DEAA9B4"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35,1</w:t>
            </w:r>
          </w:p>
        </w:tc>
        <w:tc>
          <w:tcPr>
            <w:tcW w:w="570" w:type="dxa"/>
            <w:shd w:val="clear" w:color="auto" w:fill="FFFFFF"/>
            <w:vAlign w:val="center"/>
          </w:tcPr>
          <w:p w14:paraId="2E7D547B" w14:textId="77777777" w:rsidR="0076690C" w:rsidRPr="00BE2D98"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36,2</w:t>
            </w:r>
          </w:p>
        </w:tc>
        <w:tc>
          <w:tcPr>
            <w:tcW w:w="1547" w:type="dxa"/>
            <w:gridSpan w:val="3"/>
            <w:shd w:val="clear" w:color="auto" w:fill="FFFFFF"/>
            <w:vAlign w:val="center"/>
          </w:tcPr>
          <w:p w14:paraId="191EB05A" w14:textId="77777777" w:rsidR="0076690C" w:rsidRPr="0076690C" w:rsidRDefault="00604E1E" w:rsidP="0023197B">
            <w:pPr>
              <w:spacing w:line="240" w:lineRule="auto"/>
              <w:jc w:val="right"/>
              <w:rPr>
                <w:rFonts w:ascii="Times New Roman" w:hAnsi="Times New Roman"/>
                <w:color w:val="000000"/>
                <w:sz w:val="16"/>
                <w:szCs w:val="16"/>
              </w:rPr>
            </w:pPr>
            <w:r>
              <w:rPr>
                <w:rFonts w:ascii="Times New Roman" w:hAnsi="Times New Roman"/>
                <w:color w:val="000000"/>
                <w:sz w:val="16"/>
                <w:szCs w:val="16"/>
              </w:rPr>
              <w:t>365,</w:t>
            </w:r>
            <w:r w:rsidR="00B05E40">
              <w:rPr>
                <w:rFonts w:ascii="Times New Roman" w:hAnsi="Times New Roman"/>
                <w:color w:val="000000"/>
                <w:sz w:val="16"/>
                <w:szCs w:val="16"/>
              </w:rPr>
              <w:t>6</w:t>
            </w:r>
          </w:p>
        </w:tc>
      </w:tr>
      <w:tr w:rsidR="0076690C" w:rsidRPr="008B4FE6" w14:paraId="50753BAD" w14:textId="77777777" w:rsidTr="0023197B">
        <w:trPr>
          <w:trHeight w:val="321"/>
        </w:trPr>
        <w:tc>
          <w:tcPr>
            <w:tcW w:w="3133" w:type="dxa"/>
            <w:gridSpan w:val="4"/>
            <w:shd w:val="clear" w:color="auto" w:fill="FFFFFF"/>
            <w:vAlign w:val="center"/>
          </w:tcPr>
          <w:p w14:paraId="0A908933" w14:textId="77777777" w:rsidR="0076690C" w:rsidRPr="00C53F26" w:rsidRDefault="0076690C" w:rsidP="0023197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5EC1DFA"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2E46DF5B"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6FF3703C" w14:textId="77777777" w:rsidR="0076690C" w:rsidRPr="00B37C80" w:rsidRDefault="0076690C" w:rsidP="0023197B">
            <w:pPr>
              <w:spacing w:line="240" w:lineRule="auto"/>
              <w:rPr>
                <w:rFonts w:ascii="Times New Roman" w:hAnsi="Times New Roman"/>
                <w:color w:val="000000"/>
                <w:sz w:val="21"/>
                <w:szCs w:val="21"/>
              </w:rPr>
            </w:pPr>
          </w:p>
        </w:tc>
        <w:tc>
          <w:tcPr>
            <w:tcW w:w="569" w:type="dxa"/>
            <w:gridSpan w:val="3"/>
            <w:shd w:val="clear" w:color="auto" w:fill="FFFFFF"/>
          </w:tcPr>
          <w:p w14:paraId="6925A741"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648E5362" w14:textId="77777777" w:rsidR="0076690C" w:rsidRPr="00B37C80" w:rsidRDefault="0076690C" w:rsidP="0023197B">
            <w:pPr>
              <w:spacing w:line="240" w:lineRule="auto"/>
              <w:rPr>
                <w:rFonts w:ascii="Times New Roman" w:hAnsi="Times New Roman"/>
                <w:color w:val="000000"/>
                <w:sz w:val="21"/>
                <w:szCs w:val="21"/>
              </w:rPr>
            </w:pPr>
          </w:p>
        </w:tc>
        <w:tc>
          <w:tcPr>
            <w:tcW w:w="570" w:type="dxa"/>
            <w:shd w:val="clear" w:color="auto" w:fill="FFFFFF"/>
          </w:tcPr>
          <w:p w14:paraId="4321D096"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3"/>
            <w:shd w:val="clear" w:color="auto" w:fill="FFFFFF"/>
          </w:tcPr>
          <w:p w14:paraId="034BD93F" w14:textId="77777777" w:rsidR="0076690C" w:rsidRPr="00B37C80" w:rsidRDefault="0076690C" w:rsidP="0023197B">
            <w:pPr>
              <w:spacing w:line="240" w:lineRule="auto"/>
              <w:rPr>
                <w:rFonts w:ascii="Times New Roman" w:hAnsi="Times New Roman"/>
                <w:color w:val="000000"/>
                <w:sz w:val="21"/>
                <w:szCs w:val="21"/>
              </w:rPr>
            </w:pPr>
          </w:p>
        </w:tc>
        <w:tc>
          <w:tcPr>
            <w:tcW w:w="569" w:type="dxa"/>
            <w:gridSpan w:val="3"/>
            <w:shd w:val="clear" w:color="auto" w:fill="FFFFFF"/>
          </w:tcPr>
          <w:p w14:paraId="0FD9F5B2"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37B35CCC"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76FBD240" w14:textId="77777777" w:rsidR="0076690C" w:rsidRPr="00B37C80" w:rsidRDefault="0076690C" w:rsidP="0023197B">
            <w:pPr>
              <w:spacing w:line="240" w:lineRule="auto"/>
              <w:rPr>
                <w:rFonts w:ascii="Times New Roman" w:hAnsi="Times New Roman"/>
                <w:color w:val="000000"/>
                <w:sz w:val="21"/>
                <w:szCs w:val="21"/>
              </w:rPr>
            </w:pPr>
          </w:p>
        </w:tc>
        <w:tc>
          <w:tcPr>
            <w:tcW w:w="570" w:type="dxa"/>
            <w:shd w:val="clear" w:color="auto" w:fill="FFFFFF"/>
          </w:tcPr>
          <w:p w14:paraId="35BDE0C7" w14:textId="77777777" w:rsidR="0076690C" w:rsidRPr="00B37C80" w:rsidRDefault="0076690C" w:rsidP="0023197B">
            <w:pPr>
              <w:spacing w:line="240" w:lineRule="auto"/>
              <w:rPr>
                <w:rFonts w:ascii="Times New Roman" w:hAnsi="Times New Roman"/>
                <w:color w:val="000000"/>
                <w:sz w:val="21"/>
                <w:szCs w:val="21"/>
              </w:rPr>
            </w:pPr>
          </w:p>
        </w:tc>
        <w:tc>
          <w:tcPr>
            <w:tcW w:w="1547" w:type="dxa"/>
            <w:gridSpan w:val="3"/>
            <w:shd w:val="clear" w:color="auto" w:fill="FFFFFF"/>
          </w:tcPr>
          <w:p w14:paraId="50651220" w14:textId="77777777" w:rsidR="0076690C" w:rsidRPr="00B37C80" w:rsidRDefault="0076690C" w:rsidP="0023197B">
            <w:pPr>
              <w:spacing w:line="240" w:lineRule="auto"/>
              <w:rPr>
                <w:rFonts w:ascii="Times New Roman" w:hAnsi="Times New Roman"/>
                <w:color w:val="000000"/>
                <w:spacing w:val="-2"/>
                <w:sz w:val="21"/>
                <w:szCs w:val="21"/>
              </w:rPr>
            </w:pPr>
          </w:p>
        </w:tc>
      </w:tr>
      <w:tr w:rsidR="0076690C" w:rsidRPr="008B4FE6" w14:paraId="7FAC2A33" w14:textId="77777777" w:rsidTr="0023197B">
        <w:trPr>
          <w:trHeight w:val="321"/>
        </w:trPr>
        <w:tc>
          <w:tcPr>
            <w:tcW w:w="3133" w:type="dxa"/>
            <w:gridSpan w:val="4"/>
            <w:shd w:val="clear" w:color="auto" w:fill="FFFFFF"/>
            <w:vAlign w:val="center"/>
          </w:tcPr>
          <w:p w14:paraId="3C7F44D3" w14:textId="77777777" w:rsidR="0076690C" w:rsidRPr="00C53F26" w:rsidRDefault="0076690C" w:rsidP="0023197B">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980187B"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423831FA"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00E21113" w14:textId="77777777" w:rsidR="0076690C" w:rsidRPr="00B37C80" w:rsidRDefault="0076690C" w:rsidP="0023197B">
            <w:pPr>
              <w:spacing w:line="240" w:lineRule="auto"/>
              <w:rPr>
                <w:rFonts w:ascii="Times New Roman" w:hAnsi="Times New Roman"/>
                <w:color w:val="000000"/>
                <w:sz w:val="21"/>
                <w:szCs w:val="21"/>
              </w:rPr>
            </w:pPr>
          </w:p>
        </w:tc>
        <w:tc>
          <w:tcPr>
            <w:tcW w:w="569" w:type="dxa"/>
            <w:gridSpan w:val="3"/>
            <w:shd w:val="clear" w:color="auto" w:fill="FFFFFF"/>
          </w:tcPr>
          <w:p w14:paraId="7BB5C3CA"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07251DF0" w14:textId="77777777" w:rsidR="0076690C" w:rsidRPr="00B37C80" w:rsidRDefault="0076690C" w:rsidP="0023197B">
            <w:pPr>
              <w:spacing w:line="240" w:lineRule="auto"/>
              <w:rPr>
                <w:rFonts w:ascii="Times New Roman" w:hAnsi="Times New Roman"/>
                <w:color w:val="000000"/>
                <w:sz w:val="21"/>
                <w:szCs w:val="21"/>
              </w:rPr>
            </w:pPr>
          </w:p>
        </w:tc>
        <w:tc>
          <w:tcPr>
            <w:tcW w:w="570" w:type="dxa"/>
            <w:shd w:val="clear" w:color="auto" w:fill="FFFFFF"/>
          </w:tcPr>
          <w:p w14:paraId="35FA4173"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3"/>
            <w:shd w:val="clear" w:color="auto" w:fill="FFFFFF"/>
          </w:tcPr>
          <w:p w14:paraId="5CADBAA2" w14:textId="77777777" w:rsidR="0076690C" w:rsidRPr="00B37C80" w:rsidRDefault="0076690C" w:rsidP="0023197B">
            <w:pPr>
              <w:spacing w:line="240" w:lineRule="auto"/>
              <w:rPr>
                <w:rFonts w:ascii="Times New Roman" w:hAnsi="Times New Roman"/>
                <w:color w:val="000000"/>
                <w:sz w:val="21"/>
                <w:szCs w:val="21"/>
              </w:rPr>
            </w:pPr>
          </w:p>
        </w:tc>
        <w:tc>
          <w:tcPr>
            <w:tcW w:w="569" w:type="dxa"/>
            <w:gridSpan w:val="3"/>
            <w:shd w:val="clear" w:color="auto" w:fill="FFFFFF"/>
          </w:tcPr>
          <w:p w14:paraId="0FDDBB3C"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4864B33B" w14:textId="77777777" w:rsidR="0076690C" w:rsidRPr="00B37C80" w:rsidRDefault="0076690C" w:rsidP="0023197B">
            <w:pPr>
              <w:spacing w:line="240" w:lineRule="auto"/>
              <w:rPr>
                <w:rFonts w:ascii="Times New Roman" w:hAnsi="Times New Roman"/>
                <w:color w:val="000000"/>
                <w:sz w:val="21"/>
                <w:szCs w:val="21"/>
              </w:rPr>
            </w:pPr>
          </w:p>
        </w:tc>
        <w:tc>
          <w:tcPr>
            <w:tcW w:w="570" w:type="dxa"/>
            <w:gridSpan w:val="2"/>
            <w:shd w:val="clear" w:color="auto" w:fill="FFFFFF"/>
          </w:tcPr>
          <w:p w14:paraId="5A3CAE61" w14:textId="77777777" w:rsidR="0076690C" w:rsidRPr="00B37C80" w:rsidRDefault="0076690C" w:rsidP="0023197B">
            <w:pPr>
              <w:spacing w:line="240" w:lineRule="auto"/>
              <w:rPr>
                <w:rFonts w:ascii="Times New Roman" w:hAnsi="Times New Roman"/>
                <w:color w:val="000000"/>
                <w:sz w:val="21"/>
                <w:szCs w:val="21"/>
              </w:rPr>
            </w:pPr>
          </w:p>
        </w:tc>
        <w:tc>
          <w:tcPr>
            <w:tcW w:w="570" w:type="dxa"/>
            <w:shd w:val="clear" w:color="auto" w:fill="FFFFFF"/>
          </w:tcPr>
          <w:p w14:paraId="64FAB82C" w14:textId="77777777" w:rsidR="0076690C" w:rsidRPr="00B37C80" w:rsidRDefault="0076690C" w:rsidP="0023197B">
            <w:pPr>
              <w:spacing w:line="240" w:lineRule="auto"/>
              <w:rPr>
                <w:rFonts w:ascii="Times New Roman" w:hAnsi="Times New Roman"/>
                <w:color w:val="000000"/>
                <w:sz w:val="21"/>
                <w:szCs w:val="21"/>
              </w:rPr>
            </w:pPr>
          </w:p>
        </w:tc>
        <w:tc>
          <w:tcPr>
            <w:tcW w:w="1547" w:type="dxa"/>
            <w:gridSpan w:val="3"/>
            <w:shd w:val="clear" w:color="auto" w:fill="FFFFFF"/>
          </w:tcPr>
          <w:p w14:paraId="01785045" w14:textId="77777777" w:rsidR="0076690C" w:rsidRPr="00B37C80" w:rsidRDefault="0076690C" w:rsidP="0023197B">
            <w:pPr>
              <w:spacing w:line="240" w:lineRule="auto"/>
              <w:rPr>
                <w:rFonts w:ascii="Times New Roman" w:hAnsi="Times New Roman"/>
                <w:color w:val="000000"/>
                <w:spacing w:val="-2"/>
                <w:sz w:val="21"/>
                <w:szCs w:val="21"/>
              </w:rPr>
            </w:pPr>
          </w:p>
        </w:tc>
      </w:tr>
      <w:tr w:rsidR="0084683F" w:rsidRPr="004E3C2D" w14:paraId="504DEA77" w14:textId="77777777" w:rsidTr="0023197B">
        <w:trPr>
          <w:trHeight w:val="321"/>
        </w:trPr>
        <w:tc>
          <w:tcPr>
            <w:tcW w:w="3133" w:type="dxa"/>
            <w:gridSpan w:val="4"/>
            <w:shd w:val="clear" w:color="auto" w:fill="FFFFFF"/>
            <w:vAlign w:val="center"/>
          </w:tcPr>
          <w:p w14:paraId="0ADBDD25" w14:textId="77777777" w:rsidR="0084683F" w:rsidRPr="00C53F26" w:rsidRDefault="0084683F" w:rsidP="0084683F">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14:paraId="2FBF81C6" w14:textId="77777777" w:rsidR="0084683F" w:rsidRPr="0084683F" w:rsidRDefault="0084683F" w:rsidP="0084683F">
            <w:pPr>
              <w:spacing w:line="240" w:lineRule="auto"/>
              <w:rPr>
                <w:rFonts w:ascii="Times New Roman" w:hAnsi="Times New Roman"/>
                <w:b/>
                <w:color w:val="000000"/>
                <w:sz w:val="16"/>
                <w:szCs w:val="16"/>
              </w:rPr>
            </w:pPr>
            <w:r w:rsidRPr="0084683F">
              <w:rPr>
                <w:rFonts w:ascii="Times New Roman" w:hAnsi="Times New Roman"/>
                <w:b/>
                <w:color w:val="000000"/>
                <w:sz w:val="16"/>
              </w:rPr>
              <w:t>16,9</w:t>
            </w:r>
          </w:p>
        </w:tc>
        <w:tc>
          <w:tcPr>
            <w:tcW w:w="570" w:type="dxa"/>
            <w:gridSpan w:val="2"/>
            <w:shd w:val="clear" w:color="auto" w:fill="FFFFFF"/>
            <w:vAlign w:val="center"/>
          </w:tcPr>
          <w:p w14:paraId="60E25EA5" w14:textId="77777777" w:rsidR="0084683F" w:rsidRPr="0084683F" w:rsidRDefault="0084683F" w:rsidP="00CA1074">
            <w:pPr>
              <w:rPr>
                <w:rFonts w:ascii="Times New Roman" w:hAnsi="Times New Roman"/>
                <w:b/>
                <w:color w:val="000000"/>
                <w:sz w:val="16"/>
                <w:szCs w:val="16"/>
              </w:rPr>
            </w:pPr>
            <w:r w:rsidRPr="0084683F">
              <w:rPr>
                <w:rFonts w:ascii="Times New Roman" w:hAnsi="Times New Roman"/>
                <w:b/>
                <w:color w:val="000000"/>
                <w:sz w:val="16"/>
                <w:szCs w:val="16"/>
              </w:rPr>
              <w:t>15,</w:t>
            </w:r>
            <w:r w:rsidR="00CA1074">
              <w:rPr>
                <w:rFonts w:ascii="Times New Roman" w:hAnsi="Times New Roman"/>
                <w:b/>
                <w:color w:val="000000"/>
                <w:sz w:val="16"/>
                <w:szCs w:val="16"/>
              </w:rPr>
              <w:t>7</w:t>
            </w:r>
          </w:p>
        </w:tc>
        <w:tc>
          <w:tcPr>
            <w:tcW w:w="570" w:type="dxa"/>
            <w:gridSpan w:val="2"/>
            <w:shd w:val="clear" w:color="auto" w:fill="FFFFFF"/>
            <w:vAlign w:val="center"/>
          </w:tcPr>
          <w:p w14:paraId="6755D859"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14,4</w:t>
            </w:r>
          </w:p>
        </w:tc>
        <w:tc>
          <w:tcPr>
            <w:tcW w:w="569" w:type="dxa"/>
            <w:gridSpan w:val="3"/>
            <w:shd w:val="clear" w:color="auto" w:fill="FFFFFF"/>
            <w:vAlign w:val="center"/>
          </w:tcPr>
          <w:p w14:paraId="6359CA90"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14,7</w:t>
            </w:r>
          </w:p>
        </w:tc>
        <w:tc>
          <w:tcPr>
            <w:tcW w:w="570" w:type="dxa"/>
            <w:gridSpan w:val="2"/>
            <w:shd w:val="clear" w:color="auto" w:fill="FFFFFF"/>
            <w:vAlign w:val="center"/>
          </w:tcPr>
          <w:p w14:paraId="06BCD64D"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15,1</w:t>
            </w:r>
          </w:p>
        </w:tc>
        <w:tc>
          <w:tcPr>
            <w:tcW w:w="570" w:type="dxa"/>
            <w:shd w:val="clear" w:color="auto" w:fill="FFFFFF"/>
            <w:vAlign w:val="center"/>
          </w:tcPr>
          <w:p w14:paraId="1575EF3D"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15,4</w:t>
            </w:r>
          </w:p>
        </w:tc>
        <w:tc>
          <w:tcPr>
            <w:tcW w:w="570" w:type="dxa"/>
            <w:gridSpan w:val="3"/>
            <w:shd w:val="clear" w:color="auto" w:fill="FFFFFF"/>
            <w:vAlign w:val="center"/>
          </w:tcPr>
          <w:p w14:paraId="6867B187"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15,8</w:t>
            </w:r>
          </w:p>
        </w:tc>
        <w:tc>
          <w:tcPr>
            <w:tcW w:w="569" w:type="dxa"/>
            <w:gridSpan w:val="3"/>
            <w:shd w:val="clear" w:color="auto" w:fill="FFFFFF"/>
            <w:vAlign w:val="center"/>
          </w:tcPr>
          <w:p w14:paraId="6D1274FC"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16,2</w:t>
            </w:r>
          </w:p>
        </w:tc>
        <w:tc>
          <w:tcPr>
            <w:tcW w:w="570" w:type="dxa"/>
            <w:gridSpan w:val="2"/>
            <w:shd w:val="clear" w:color="auto" w:fill="FFFFFF"/>
            <w:vAlign w:val="center"/>
          </w:tcPr>
          <w:p w14:paraId="781EEBCB"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16,7</w:t>
            </w:r>
          </w:p>
        </w:tc>
        <w:tc>
          <w:tcPr>
            <w:tcW w:w="570" w:type="dxa"/>
            <w:gridSpan w:val="2"/>
            <w:shd w:val="clear" w:color="auto" w:fill="FFFFFF"/>
            <w:vAlign w:val="center"/>
          </w:tcPr>
          <w:p w14:paraId="5548BB83"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17,0</w:t>
            </w:r>
          </w:p>
        </w:tc>
        <w:tc>
          <w:tcPr>
            <w:tcW w:w="570" w:type="dxa"/>
            <w:shd w:val="clear" w:color="auto" w:fill="FFFFFF"/>
            <w:vAlign w:val="center"/>
          </w:tcPr>
          <w:p w14:paraId="624E78AA"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17,4</w:t>
            </w:r>
          </w:p>
        </w:tc>
        <w:tc>
          <w:tcPr>
            <w:tcW w:w="1547" w:type="dxa"/>
            <w:gridSpan w:val="3"/>
            <w:shd w:val="clear" w:color="auto" w:fill="FFFFFF"/>
            <w:vAlign w:val="center"/>
          </w:tcPr>
          <w:p w14:paraId="7777F70F" w14:textId="77777777" w:rsidR="0084683F" w:rsidRPr="0084683F" w:rsidRDefault="0084683F" w:rsidP="00CA1074">
            <w:pPr>
              <w:jc w:val="right"/>
              <w:rPr>
                <w:rFonts w:ascii="Times New Roman" w:hAnsi="Times New Roman"/>
                <w:b/>
                <w:color w:val="000000"/>
                <w:sz w:val="16"/>
                <w:szCs w:val="16"/>
              </w:rPr>
            </w:pPr>
            <w:r w:rsidRPr="0084683F">
              <w:rPr>
                <w:rFonts w:ascii="Times New Roman" w:hAnsi="Times New Roman"/>
                <w:b/>
                <w:color w:val="000000"/>
                <w:sz w:val="16"/>
                <w:szCs w:val="16"/>
              </w:rPr>
              <w:t>175,</w:t>
            </w:r>
            <w:r w:rsidR="00CA1074">
              <w:rPr>
                <w:rFonts w:ascii="Times New Roman" w:hAnsi="Times New Roman"/>
                <w:b/>
                <w:color w:val="000000"/>
                <w:sz w:val="16"/>
                <w:szCs w:val="16"/>
              </w:rPr>
              <w:t>3</w:t>
            </w:r>
          </w:p>
        </w:tc>
      </w:tr>
      <w:tr w:rsidR="00725C00" w:rsidRPr="004E3C2D" w14:paraId="0EE1912D" w14:textId="77777777" w:rsidTr="0023197B">
        <w:trPr>
          <w:trHeight w:val="321"/>
        </w:trPr>
        <w:tc>
          <w:tcPr>
            <w:tcW w:w="3133" w:type="dxa"/>
            <w:gridSpan w:val="4"/>
            <w:shd w:val="clear" w:color="auto" w:fill="FFFFFF"/>
            <w:vAlign w:val="center"/>
          </w:tcPr>
          <w:p w14:paraId="5828C659" w14:textId="77777777" w:rsidR="00725C00" w:rsidRPr="00C53F26" w:rsidRDefault="00725C00" w:rsidP="00725C00">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budżet </w:t>
            </w:r>
            <w:r w:rsidRPr="005B059D">
              <w:rPr>
                <w:rFonts w:ascii="Times New Roman" w:hAnsi="Times New Roman"/>
                <w:color w:val="000000"/>
                <w:sz w:val="21"/>
                <w:szCs w:val="21"/>
              </w:rPr>
              <w:t>państwa</w:t>
            </w:r>
          </w:p>
        </w:tc>
        <w:tc>
          <w:tcPr>
            <w:tcW w:w="569" w:type="dxa"/>
            <w:gridSpan w:val="2"/>
            <w:shd w:val="clear" w:color="auto" w:fill="FFFFFF"/>
            <w:vAlign w:val="center"/>
          </w:tcPr>
          <w:p w14:paraId="2F4E2C7C" w14:textId="77777777" w:rsidR="00725C00" w:rsidRPr="00B211FA" w:rsidRDefault="0084683F" w:rsidP="00725C00">
            <w:pPr>
              <w:spacing w:line="240" w:lineRule="auto"/>
              <w:rPr>
                <w:rFonts w:ascii="Times New Roman" w:hAnsi="Times New Roman"/>
                <w:color w:val="000000"/>
                <w:sz w:val="16"/>
                <w:szCs w:val="16"/>
              </w:rPr>
            </w:pPr>
            <w:r>
              <w:rPr>
                <w:rFonts w:ascii="Times New Roman" w:hAnsi="Times New Roman"/>
                <w:color w:val="000000"/>
                <w:sz w:val="16"/>
              </w:rPr>
              <w:t>16,9</w:t>
            </w:r>
          </w:p>
        </w:tc>
        <w:tc>
          <w:tcPr>
            <w:tcW w:w="570" w:type="dxa"/>
            <w:gridSpan w:val="2"/>
            <w:shd w:val="clear" w:color="auto" w:fill="FFFFFF"/>
            <w:vAlign w:val="center"/>
          </w:tcPr>
          <w:p w14:paraId="650D56F4" w14:textId="77777777" w:rsidR="00725C00" w:rsidRPr="00B211FA" w:rsidRDefault="0084683F" w:rsidP="00CA1074">
            <w:pPr>
              <w:rPr>
                <w:rFonts w:ascii="Times New Roman" w:hAnsi="Times New Roman"/>
                <w:color w:val="000000"/>
                <w:sz w:val="16"/>
                <w:szCs w:val="16"/>
              </w:rPr>
            </w:pPr>
            <w:r>
              <w:rPr>
                <w:rFonts w:ascii="Times New Roman" w:hAnsi="Times New Roman"/>
                <w:color w:val="000000"/>
                <w:sz w:val="16"/>
                <w:szCs w:val="16"/>
              </w:rPr>
              <w:t>15,</w:t>
            </w:r>
            <w:r w:rsidR="00CA1074">
              <w:rPr>
                <w:rFonts w:ascii="Times New Roman" w:hAnsi="Times New Roman"/>
                <w:color w:val="000000"/>
                <w:sz w:val="16"/>
                <w:szCs w:val="16"/>
              </w:rPr>
              <w:t>7</w:t>
            </w:r>
          </w:p>
        </w:tc>
        <w:tc>
          <w:tcPr>
            <w:tcW w:w="570" w:type="dxa"/>
            <w:gridSpan w:val="2"/>
            <w:shd w:val="clear" w:color="auto" w:fill="FFFFFF"/>
            <w:vAlign w:val="center"/>
          </w:tcPr>
          <w:p w14:paraId="4BCDBA89" w14:textId="77777777" w:rsidR="00725C00" w:rsidRPr="00B211FA" w:rsidRDefault="0084683F" w:rsidP="00725C00">
            <w:pPr>
              <w:rPr>
                <w:rFonts w:ascii="Times New Roman" w:hAnsi="Times New Roman"/>
                <w:color w:val="000000"/>
                <w:sz w:val="16"/>
                <w:szCs w:val="16"/>
              </w:rPr>
            </w:pPr>
            <w:r>
              <w:rPr>
                <w:rFonts w:ascii="Times New Roman" w:hAnsi="Times New Roman"/>
                <w:color w:val="000000"/>
                <w:sz w:val="16"/>
                <w:szCs w:val="16"/>
              </w:rPr>
              <w:t>14,4</w:t>
            </w:r>
          </w:p>
        </w:tc>
        <w:tc>
          <w:tcPr>
            <w:tcW w:w="569" w:type="dxa"/>
            <w:gridSpan w:val="3"/>
            <w:shd w:val="clear" w:color="auto" w:fill="FFFFFF"/>
            <w:vAlign w:val="center"/>
          </w:tcPr>
          <w:p w14:paraId="2E7A0930"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14,7</w:t>
            </w:r>
          </w:p>
        </w:tc>
        <w:tc>
          <w:tcPr>
            <w:tcW w:w="570" w:type="dxa"/>
            <w:gridSpan w:val="2"/>
            <w:shd w:val="clear" w:color="auto" w:fill="FFFFFF"/>
            <w:vAlign w:val="center"/>
          </w:tcPr>
          <w:p w14:paraId="1ABF541A"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15,1</w:t>
            </w:r>
          </w:p>
        </w:tc>
        <w:tc>
          <w:tcPr>
            <w:tcW w:w="570" w:type="dxa"/>
            <w:shd w:val="clear" w:color="auto" w:fill="FFFFFF"/>
            <w:vAlign w:val="center"/>
          </w:tcPr>
          <w:p w14:paraId="390A1EDF" w14:textId="77777777" w:rsidR="00725C00" w:rsidRPr="00051869" w:rsidRDefault="0084683F" w:rsidP="00B76F8B">
            <w:pPr>
              <w:rPr>
                <w:rFonts w:ascii="Times New Roman" w:hAnsi="Times New Roman"/>
                <w:color w:val="000000"/>
                <w:sz w:val="16"/>
                <w:szCs w:val="16"/>
              </w:rPr>
            </w:pPr>
            <w:r>
              <w:rPr>
                <w:rFonts w:ascii="Times New Roman" w:hAnsi="Times New Roman"/>
                <w:color w:val="000000"/>
                <w:sz w:val="16"/>
                <w:szCs w:val="16"/>
              </w:rPr>
              <w:t>15,4</w:t>
            </w:r>
          </w:p>
        </w:tc>
        <w:tc>
          <w:tcPr>
            <w:tcW w:w="570" w:type="dxa"/>
            <w:gridSpan w:val="3"/>
            <w:shd w:val="clear" w:color="auto" w:fill="FFFFFF"/>
            <w:vAlign w:val="center"/>
          </w:tcPr>
          <w:p w14:paraId="544F180B"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15,8</w:t>
            </w:r>
          </w:p>
        </w:tc>
        <w:tc>
          <w:tcPr>
            <w:tcW w:w="569" w:type="dxa"/>
            <w:gridSpan w:val="3"/>
            <w:shd w:val="clear" w:color="auto" w:fill="FFFFFF"/>
            <w:vAlign w:val="center"/>
          </w:tcPr>
          <w:p w14:paraId="795A3F53"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16,2</w:t>
            </w:r>
          </w:p>
        </w:tc>
        <w:tc>
          <w:tcPr>
            <w:tcW w:w="570" w:type="dxa"/>
            <w:gridSpan w:val="2"/>
            <w:shd w:val="clear" w:color="auto" w:fill="FFFFFF"/>
            <w:vAlign w:val="center"/>
          </w:tcPr>
          <w:p w14:paraId="163C517C"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16,7</w:t>
            </w:r>
          </w:p>
        </w:tc>
        <w:tc>
          <w:tcPr>
            <w:tcW w:w="570" w:type="dxa"/>
            <w:gridSpan w:val="2"/>
            <w:shd w:val="clear" w:color="auto" w:fill="FFFFFF"/>
            <w:vAlign w:val="center"/>
          </w:tcPr>
          <w:p w14:paraId="230EBF1E"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17,0</w:t>
            </w:r>
          </w:p>
        </w:tc>
        <w:tc>
          <w:tcPr>
            <w:tcW w:w="570" w:type="dxa"/>
            <w:shd w:val="clear" w:color="auto" w:fill="FFFFFF"/>
            <w:vAlign w:val="center"/>
          </w:tcPr>
          <w:p w14:paraId="07C696CD"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17,4</w:t>
            </w:r>
          </w:p>
        </w:tc>
        <w:tc>
          <w:tcPr>
            <w:tcW w:w="1547" w:type="dxa"/>
            <w:gridSpan w:val="3"/>
            <w:shd w:val="clear" w:color="auto" w:fill="FFFFFF"/>
            <w:vAlign w:val="center"/>
          </w:tcPr>
          <w:p w14:paraId="6893F316" w14:textId="77777777" w:rsidR="00725C00" w:rsidRPr="00051869" w:rsidRDefault="0084683F" w:rsidP="00CA1074">
            <w:pPr>
              <w:jc w:val="right"/>
              <w:rPr>
                <w:rFonts w:ascii="Times New Roman" w:hAnsi="Times New Roman"/>
                <w:color w:val="000000"/>
                <w:sz w:val="16"/>
                <w:szCs w:val="16"/>
              </w:rPr>
            </w:pPr>
            <w:r>
              <w:rPr>
                <w:rFonts w:ascii="Times New Roman" w:hAnsi="Times New Roman"/>
                <w:color w:val="000000"/>
                <w:sz w:val="16"/>
                <w:szCs w:val="16"/>
              </w:rPr>
              <w:t>175,</w:t>
            </w:r>
            <w:r w:rsidR="00CA1074">
              <w:rPr>
                <w:rFonts w:ascii="Times New Roman" w:hAnsi="Times New Roman"/>
                <w:color w:val="000000"/>
                <w:sz w:val="16"/>
                <w:szCs w:val="16"/>
              </w:rPr>
              <w:t>3</w:t>
            </w:r>
          </w:p>
        </w:tc>
      </w:tr>
      <w:tr w:rsidR="004E3C2D" w:rsidRPr="008B4FE6" w14:paraId="5FEFD2A6" w14:textId="77777777" w:rsidTr="0023197B">
        <w:trPr>
          <w:trHeight w:val="321"/>
        </w:trPr>
        <w:tc>
          <w:tcPr>
            <w:tcW w:w="3133" w:type="dxa"/>
            <w:gridSpan w:val="4"/>
            <w:shd w:val="clear" w:color="auto" w:fill="FFFFFF"/>
            <w:vAlign w:val="center"/>
          </w:tcPr>
          <w:p w14:paraId="7E8B1A53" w14:textId="77777777" w:rsidR="004E3C2D" w:rsidRPr="00C53F26" w:rsidRDefault="004E3C2D" w:rsidP="0023197B">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97DDE16" w14:textId="77777777" w:rsidR="004E3C2D" w:rsidRPr="00B37C80"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2CBDB641" w14:textId="77777777" w:rsidR="004E3C2D" w:rsidRPr="00B37C80"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0505A14D" w14:textId="77777777" w:rsidR="004E3C2D" w:rsidRPr="00B37C80" w:rsidRDefault="004E3C2D" w:rsidP="0023197B">
            <w:pPr>
              <w:spacing w:line="240" w:lineRule="auto"/>
              <w:rPr>
                <w:rFonts w:ascii="Times New Roman" w:hAnsi="Times New Roman"/>
                <w:color w:val="000000"/>
                <w:sz w:val="21"/>
                <w:szCs w:val="21"/>
              </w:rPr>
            </w:pPr>
          </w:p>
        </w:tc>
        <w:tc>
          <w:tcPr>
            <w:tcW w:w="569" w:type="dxa"/>
            <w:gridSpan w:val="3"/>
            <w:shd w:val="clear" w:color="auto" w:fill="FFFFFF"/>
          </w:tcPr>
          <w:p w14:paraId="4409B79A"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43D5645D" w14:textId="77777777" w:rsidR="004E3C2D" w:rsidRPr="00051869" w:rsidRDefault="004E3C2D" w:rsidP="0023197B">
            <w:pPr>
              <w:spacing w:line="240" w:lineRule="auto"/>
              <w:rPr>
                <w:rFonts w:ascii="Times New Roman" w:hAnsi="Times New Roman"/>
                <w:color w:val="000000"/>
                <w:sz w:val="21"/>
                <w:szCs w:val="21"/>
              </w:rPr>
            </w:pPr>
          </w:p>
        </w:tc>
        <w:tc>
          <w:tcPr>
            <w:tcW w:w="570" w:type="dxa"/>
            <w:shd w:val="clear" w:color="auto" w:fill="FFFFFF"/>
          </w:tcPr>
          <w:p w14:paraId="6C782052"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3"/>
            <w:shd w:val="clear" w:color="auto" w:fill="FFFFFF"/>
          </w:tcPr>
          <w:p w14:paraId="577CD024" w14:textId="77777777" w:rsidR="004E3C2D" w:rsidRPr="00051869" w:rsidRDefault="004E3C2D" w:rsidP="0023197B">
            <w:pPr>
              <w:spacing w:line="240" w:lineRule="auto"/>
              <w:rPr>
                <w:rFonts w:ascii="Times New Roman" w:hAnsi="Times New Roman"/>
                <w:color w:val="000000"/>
                <w:sz w:val="21"/>
                <w:szCs w:val="21"/>
              </w:rPr>
            </w:pPr>
          </w:p>
        </w:tc>
        <w:tc>
          <w:tcPr>
            <w:tcW w:w="569" w:type="dxa"/>
            <w:gridSpan w:val="3"/>
            <w:shd w:val="clear" w:color="auto" w:fill="FFFFFF"/>
          </w:tcPr>
          <w:p w14:paraId="6A49D3B6"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2D4BD6C4"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517AFB63" w14:textId="77777777" w:rsidR="004E3C2D" w:rsidRPr="00051869" w:rsidRDefault="004E3C2D" w:rsidP="0023197B">
            <w:pPr>
              <w:spacing w:line="240" w:lineRule="auto"/>
              <w:rPr>
                <w:rFonts w:ascii="Times New Roman" w:hAnsi="Times New Roman"/>
                <w:color w:val="000000"/>
                <w:sz w:val="21"/>
                <w:szCs w:val="21"/>
              </w:rPr>
            </w:pPr>
          </w:p>
        </w:tc>
        <w:tc>
          <w:tcPr>
            <w:tcW w:w="570" w:type="dxa"/>
            <w:shd w:val="clear" w:color="auto" w:fill="FFFFFF"/>
          </w:tcPr>
          <w:p w14:paraId="760AEB2A" w14:textId="77777777" w:rsidR="004E3C2D" w:rsidRPr="00051869" w:rsidRDefault="004E3C2D" w:rsidP="0023197B">
            <w:pPr>
              <w:spacing w:line="240" w:lineRule="auto"/>
              <w:rPr>
                <w:rFonts w:ascii="Times New Roman" w:hAnsi="Times New Roman"/>
                <w:color w:val="000000"/>
                <w:sz w:val="21"/>
                <w:szCs w:val="21"/>
              </w:rPr>
            </w:pPr>
          </w:p>
        </w:tc>
        <w:tc>
          <w:tcPr>
            <w:tcW w:w="1547" w:type="dxa"/>
            <w:gridSpan w:val="3"/>
            <w:shd w:val="clear" w:color="auto" w:fill="FFFFFF"/>
          </w:tcPr>
          <w:p w14:paraId="1BECA12C" w14:textId="77777777" w:rsidR="004E3C2D" w:rsidRPr="00051869" w:rsidRDefault="004E3C2D" w:rsidP="0023197B">
            <w:pPr>
              <w:spacing w:line="240" w:lineRule="auto"/>
              <w:rPr>
                <w:rFonts w:ascii="Times New Roman" w:hAnsi="Times New Roman"/>
                <w:color w:val="000000"/>
                <w:spacing w:val="-2"/>
                <w:sz w:val="21"/>
                <w:szCs w:val="21"/>
              </w:rPr>
            </w:pPr>
          </w:p>
        </w:tc>
      </w:tr>
      <w:tr w:rsidR="004E3C2D" w:rsidRPr="008B4FE6" w14:paraId="09741649" w14:textId="77777777" w:rsidTr="0023197B">
        <w:trPr>
          <w:trHeight w:val="321"/>
        </w:trPr>
        <w:tc>
          <w:tcPr>
            <w:tcW w:w="3133" w:type="dxa"/>
            <w:gridSpan w:val="4"/>
            <w:shd w:val="clear" w:color="auto" w:fill="FFFFFF"/>
            <w:vAlign w:val="center"/>
          </w:tcPr>
          <w:p w14:paraId="0E7116F4" w14:textId="77777777" w:rsidR="004E3C2D" w:rsidRPr="00C53F26" w:rsidRDefault="004E3C2D" w:rsidP="0023197B">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38A50A8" w14:textId="77777777" w:rsidR="004E3C2D" w:rsidRPr="00B37C80"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0C44F17C" w14:textId="77777777" w:rsidR="004E3C2D" w:rsidRPr="00B37C80"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4BF0DB37" w14:textId="77777777" w:rsidR="004E3C2D" w:rsidRPr="00B37C80" w:rsidRDefault="004E3C2D" w:rsidP="0023197B">
            <w:pPr>
              <w:spacing w:line="240" w:lineRule="auto"/>
              <w:rPr>
                <w:rFonts w:ascii="Times New Roman" w:hAnsi="Times New Roman"/>
                <w:color w:val="000000"/>
                <w:sz w:val="21"/>
                <w:szCs w:val="21"/>
              </w:rPr>
            </w:pPr>
          </w:p>
        </w:tc>
        <w:tc>
          <w:tcPr>
            <w:tcW w:w="569" w:type="dxa"/>
            <w:gridSpan w:val="3"/>
            <w:shd w:val="clear" w:color="auto" w:fill="FFFFFF"/>
          </w:tcPr>
          <w:p w14:paraId="7216BD85"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6D7190C6" w14:textId="77777777" w:rsidR="004E3C2D" w:rsidRPr="00051869" w:rsidRDefault="004E3C2D" w:rsidP="0023197B">
            <w:pPr>
              <w:spacing w:line="240" w:lineRule="auto"/>
              <w:rPr>
                <w:rFonts w:ascii="Times New Roman" w:hAnsi="Times New Roman"/>
                <w:color w:val="000000"/>
                <w:sz w:val="21"/>
                <w:szCs w:val="21"/>
              </w:rPr>
            </w:pPr>
          </w:p>
        </w:tc>
        <w:tc>
          <w:tcPr>
            <w:tcW w:w="570" w:type="dxa"/>
            <w:shd w:val="clear" w:color="auto" w:fill="FFFFFF"/>
          </w:tcPr>
          <w:p w14:paraId="38CBE6B4"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3"/>
            <w:shd w:val="clear" w:color="auto" w:fill="FFFFFF"/>
          </w:tcPr>
          <w:p w14:paraId="015E5B17" w14:textId="77777777" w:rsidR="004E3C2D" w:rsidRPr="00051869" w:rsidRDefault="004E3C2D" w:rsidP="0023197B">
            <w:pPr>
              <w:spacing w:line="240" w:lineRule="auto"/>
              <w:rPr>
                <w:rFonts w:ascii="Times New Roman" w:hAnsi="Times New Roman"/>
                <w:color w:val="000000"/>
                <w:sz w:val="21"/>
                <w:szCs w:val="21"/>
              </w:rPr>
            </w:pPr>
          </w:p>
        </w:tc>
        <w:tc>
          <w:tcPr>
            <w:tcW w:w="569" w:type="dxa"/>
            <w:gridSpan w:val="3"/>
            <w:shd w:val="clear" w:color="auto" w:fill="FFFFFF"/>
          </w:tcPr>
          <w:p w14:paraId="1BD930B6"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762E8829" w14:textId="77777777" w:rsidR="004E3C2D" w:rsidRPr="00051869" w:rsidRDefault="004E3C2D" w:rsidP="0023197B">
            <w:pPr>
              <w:spacing w:line="240" w:lineRule="auto"/>
              <w:rPr>
                <w:rFonts w:ascii="Times New Roman" w:hAnsi="Times New Roman"/>
                <w:color w:val="000000"/>
                <w:sz w:val="21"/>
                <w:szCs w:val="21"/>
              </w:rPr>
            </w:pPr>
          </w:p>
        </w:tc>
        <w:tc>
          <w:tcPr>
            <w:tcW w:w="570" w:type="dxa"/>
            <w:gridSpan w:val="2"/>
            <w:shd w:val="clear" w:color="auto" w:fill="FFFFFF"/>
          </w:tcPr>
          <w:p w14:paraId="722A94A0" w14:textId="77777777" w:rsidR="004E3C2D" w:rsidRPr="00051869" w:rsidRDefault="004E3C2D" w:rsidP="0023197B">
            <w:pPr>
              <w:spacing w:line="240" w:lineRule="auto"/>
              <w:rPr>
                <w:rFonts w:ascii="Times New Roman" w:hAnsi="Times New Roman"/>
                <w:color w:val="000000"/>
                <w:sz w:val="21"/>
                <w:szCs w:val="21"/>
              </w:rPr>
            </w:pPr>
          </w:p>
        </w:tc>
        <w:tc>
          <w:tcPr>
            <w:tcW w:w="570" w:type="dxa"/>
            <w:shd w:val="clear" w:color="auto" w:fill="FFFFFF"/>
          </w:tcPr>
          <w:p w14:paraId="6694ACCB" w14:textId="77777777" w:rsidR="004E3C2D" w:rsidRPr="00051869" w:rsidRDefault="004E3C2D" w:rsidP="0023197B">
            <w:pPr>
              <w:spacing w:line="240" w:lineRule="auto"/>
              <w:rPr>
                <w:rFonts w:ascii="Times New Roman" w:hAnsi="Times New Roman"/>
                <w:color w:val="000000"/>
                <w:sz w:val="21"/>
                <w:szCs w:val="21"/>
              </w:rPr>
            </w:pPr>
          </w:p>
        </w:tc>
        <w:tc>
          <w:tcPr>
            <w:tcW w:w="1547" w:type="dxa"/>
            <w:gridSpan w:val="3"/>
            <w:shd w:val="clear" w:color="auto" w:fill="FFFFFF"/>
          </w:tcPr>
          <w:p w14:paraId="70B5CC86" w14:textId="77777777" w:rsidR="004E3C2D" w:rsidRPr="00051869" w:rsidRDefault="004E3C2D" w:rsidP="0023197B">
            <w:pPr>
              <w:spacing w:line="240" w:lineRule="auto"/>
              <w:rPr>
                <w:rFonts w:ascii="Times New Roman" w:hAnsi="Times New Roman"/>
                <w:color w:val="000000"/>
                <w:spacing w:val="-2"/>
                <w:sz w:val="21"/>
                <w:szCs w:val="21"/>
              </w:rPr>
            </w:pPr>
          </w:p>
        </w:tc>
      </w:tr>
      <w:tr w:rsidR="0084683F" w:rsidRPr="008B4FE6" w14:paraId="6C1C3EEC" w14:textId="77777777" w:rsidTr="000C1961">
        <w:trPr>
          <w:trHeight w:val="321"/>
        </w:trPr>
        <w:tc>
          <w:tcPr>
            <w:tcW w:w="3133" w:type="dxa"/>
            <w:gridSpan w:val="4"/>
            <w:shd w:val="clear" w:color="auto" w:fill="FFFFFF"/>
            <w:vAlign w:val="center"/>
          </w:tcPr>
          <w:p w14:paraId="4587ADAF" w14:textId="77777777" w:rsidR="0084683F" w:rsidRPr="00C53F26" w:rsidRDefault="0084683F" w:rsidP="0084683F">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14:paraId="011EF123" w14:textId="77777777" w:rsidR="0084683F" w:rsidRPr="0084683F" w:rsidRDefault="0084683F" w:rsidP="0084683F">
            <w:pPr>
              <w:spacing w:line="240" w:lineRule="auto"/>
              <w:rPr>
                <w:rFonts w:ascii="Times New Roman" w:hAnsi="Times New Roman"/>
                <w:b/>
                <w:color w:val="000000"/>
                <w:sz w:val="16"/>
                <w:szCs w:val="16"/>
              </w:rPr>
            </w:pPr>
            <w:r w:rsidRPr="0084683F">
              <w:rPr>
                <w:rFonts w:ascii="Times New Roman" w:hAnsi="Times New Roman"/>
                <w:b/>
                <w:color w:val="000000"/>
                <w:sz w:val="16"/>
                <w:szCs w:val="16"/>
              </w:rPr>
              <w:t>10,1</w:t>
            </w:r>
          </w:p>
        </w:tc>
        <w:tc>
          <w:tcPr>
            <w:tcW w:w="570" w:type="dxa"/>
            <w:gridSpan w:val="2"/>
            <w:shd w:val="clear" w:color="auto" w:fill="FFFFFF"/>
            <w:vAlign w:val="center"/>
          </w:tcPr>
          <w:p w14:paraId="1B158809" w14:textId="77777777" w:rsidR="0084683F" w:rsidRPr="0084683F" w:rsidRDefault="0084683F" w:rsidP="00CA1074">
            <w:pPr>
              <w:rPr>
                <w:rFonts w:ascii="Times New Roman" w:hAnsi="Times New Roman"/>
                <w:b/>
                <w:color w:val="000000"/>
                <w:sz w:val="16"/>
                <w:szCs w:val="16"/>
              </w:rPr>
            </w:pPr>
            <w:r w:rsidRPr="0084683F">
              <w:rPr>
                <w:rFonts w:ascii="Times New Roman" w:hAnsi="Times New Roman"/>
                <w:b/>
                <w:color w:val="000000"/>
                <w:sz w:val="16"/>
                <w:szCs w:val="16"/>
              </w:rPr>
              <w:t>12,</w:t>
            </w:r>
            <w:r w:rsidR="00CA1074">
              <w:rPr>
                <w:rFonts w:ascii="Times New Roman" w:hAnsi="Times New Roman"/>
                <w:b/>
                <w:color w:val="000000"/>
                <w:sz w:val="16"/>
                <w:szCs w:val="16"/>
              </w:rPr>
              <w:t>1</w:t>
            </w:r>
          </w:p>
        </w:tc>
        <w:tc>
          <w:tcPr>
            <w:tcW w:w="570" w:type="dxa"/>
            <w:gridSpan w:val="2"/>
            <w:shd w:val="clear" w:color="auto" w:fill="FFFFFF"/>
            <w:vAlign w:val="center"/>
          </w:tcPr>
          <w:p w14:paraId="24107D37"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14,2</w:t>
            </w:r>
          </w:p>
        </w:tc>
        <w:tc>
          <w:tcPr>
            <w:tcW w:w="569" w:type="dxa"/>
            <w:gridSpan w:val="3"/>
            <w:shd w:val="clear" w:color="auto" w:fill="FFFFFF"/>
            <w:vAlign w:val="center"/>
          </w:tcPr>
          <w:p w14:paraId="27A071F3"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14,7</w:t>
            </w:r>
          </w:p>
        </w:tc>
        <w:tc>
          <w:tcPr>
            <w:tcW w:w="570" w:type="dxa"/>
            <w:gridSpan w:val="2"/>
            <w:shd w:val="clear" w:color="auto" w:fill="FFFFFF"/>
            <w:vAlign w:val="center"/>
          </w:tcPr>
          <w:p w14:paraId="514033A2"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36,1</w:t>
            </w:r>
          </w:p>
        </w:tc>
        <w:tc>
          <w:tcPr>
            <w:tcW w:w="570" w:type="dxa"/>
            <w:shd w:val="clear" w:color="auto" w:fill="FFFFFF"/>
            <w:vAlign w:val="center"/>
          </w:tcPr>
          <w:p w14:paraId="2709A076"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15,7</w:t>
            </w:r>
          </w:p>
        </w:tc>
        <w:tc>
          <w:tcPr>
            <w:tcW w:w="570" w:type="dxa"/>
            <w:gridSpan w:val="3"/>
            <w:shd w:val="clear" w:color="auto" w:fill="FFFFFF"/>
            <w:vAlign w:val="center"/>
          </w:tcPr>
          <w:p w14:paraId="375D9F7E"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16,3</w:t>
            </w:r>
          </w:p>
        </w:tc>
        <w:tc>
          <w:tcPr>
            <w:tcW w:w="569" w:type="dxa"/>
            <w:gridSpan w:val="3"/>
            <w:shd w:val="clear" w:color="auto" w:fill="FFFFFF"/>
            <w:vAlign w:val="center"/>
          </w:tcPr>
          <w:p w14:paraId="1DBC6956"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16,8</w:t>
            </w:r>
          </w:p>
        </w:tc>
        <w:tc>
          <w:tcPr>
            <w:tcW w:w="570" w:type="dxa"/>
            <w:gridSpan w:val="2"/>
            <w:shd w:val="clear" w:color="auto" w:fill="FFFFFF"/>
            <w:vAlign w:val="center"/>
          </w:tcPr>
          <w:p w14:paraId="6021C36F"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17,4</w:t>
            </w:r>
          </w:p>
        </w:tc>
        <w:tc>
          <w:tcPr>
            <w:tcW w:w="570" w:type="dxa"/>
            <w:gridSpan w:val="2"/>
            <w:shd w:val="clear" w:color="auto" w:fill="FFFFFF"/>
            <w:vAlign w:val="center"/>
          </w:tcPr>
          <w:p w14:paraId="0A536633"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18,1</w:t>
            </w:r>
          </w:p>
        </w:tc>
        <w:tc>
          <w:tcPr>
            <w:tcW w:w="570" w:type="dxa"/>
            <w:shd w:val="clear" w:color="auto" w:fill="FFFFFF"/>
            <w:vAlign w:val="center"/>
          </w:tcPr>
          <w:p w14:paraId="3C846315" w14:textId="77777777" w:rsidR="0084683F" w:rsidRPr="0084683F" w:rsidRDefault="0084683F" w:rsidP="0084683F">
            <w:pPr>
              <w:rPr>
                <w:rFonts w:ascii="Times New Roman" w:hAnsi="Times New Roman"/>
                <w:b/>
                <w:color w:val="000000"/>
                <w:sz w:val="16"/>
                <w:szCs w:val="16"/>
              </w:rPr>
            </w:pPr>
            <w:r w:rsidRPr="0084683F">
              <w:rPr>
                <w:rFonts w:ascii="Times New Roman" w:hAnsi="Times New Roman"/>
                <w:b/>
                <w:color w:val="000000"/>
                <w:sz w:val="16"/>
                <w:szCs w:val="16"/>
              </w:rPr>
              <w:t>18,8</w:t>
            </w:r>
          </w:p>
        </w:tc>
        <w:tc>
          <w:tcPr>
            <w:tcW w:w="1547" w:type="dxa"/>
            <w:gridSpan w:val="3"/>
            <w:shd w:val="clear" w:color="auto" w:fill="FFFFFF"/>
            <w:vAlign w:val="center"/>
          </w:tcPr>
          <w:p w14:paraId="3DD9EB14" w14:textId="77777777" w:rsidR="0084683F" w:rsidRPr="00D82A3F" w:rsidRDefault="0084683F" w:rsidP="00CA1074">
            <w:pPr>
              <w:jc w:val="right"/>
              <w:rPr>
                <w:rFonts w:ascii="Times New Roman" w:hAnsi="Times New Roman"/>
                <w:b/>
                <w:color w:val="000000"/>
                <w:sz w:val="16"/>
                <w:szCs w:val="16"/>
              </w:rPr>
            </w:pPr>
            <w:r>
              <w:rPr>
                <w:rFonts w:ascii="Times New Roman" w:hAnsi="Times New Roman"/>
                <w:b/>
                <w:color w:val="000000"/>
                <w:sz w:val="16"/>
                <w:szCs w:val="16"/>
              </w:rPr>
              <w:t>190,</w:t>
            </w:r>
            <w:r w:rsidR="00CA1074">
              <w:rPr>
                <w:rFonts w:ascii="Times New Roman" w:hAnsi="Times New Roman"/>
                <w:b/>
                <w:color w:val="000000"/>
                <w:sz w:val="16"/>
                <w:szCs w:val="16"/>
              </w:rPr>
              <w:t>3</w:t>
            </w:r>
          </w:p>
        </w:tc>
      </w:tr>
      <w:tr w:rsidR="00725C00" w:rsidRPr="008B4FE6" w14:paraId="629C8154" w14:textId="77777777" w:rsidTr="00434AD0">
        <w:trPr>
          <w:trHeight w:val="321"/>
        </w:trPr>
        <w:tc>
          <w:tcPr>
            <w:tcW w:w="3133" w:type="dxa"/>
            <w:gridSpan w:val="4"/>
            <w:shd w:val="clear" w:color="auto" w:fill="FFFFFF"/>
            <w:vAlign w:val="center"/>
          </w:tcPr>
          <w:p w14:paraId="12A6C9B7" w14:textId="77777777" w:rsidR="00725C00" w:rsidRPr="00C53F26" w:rsidRDefault="00725C00" w:rsidP="00725C0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23952D33" w14:textId="77777777" w:rsidR="00725C00" w:rsidRPr="000F48D7" w:rsidRDefault="0084683F" w:rsidP="00725C00">
            <w:pPr>
              <w:spacing w:line="240" w:lineRule="auto"/>
              <w:rPr>
                <w:rFonts w:ascii="Times New Roman" w:hAnsi="Times New Roman"/>
                <w:color w:val="000000"/>
                <w:sz w:val="16"/>
                <w:szCs w:val="16"/>
              </w:rPr>
            </w:pPr>
            <w:r>
              <w:rPr>
                <w:rFonts w:ascii="Times New Roman" w:hAnsi="Times New Roman"/>
                <w:color w:val="000000"/>
                <w:sz w:val="16"/>
                <w:szCs w:val="16"/>
              </w:rPr>
              <w:t>10,1</w:t>
            </w:r>
          </w:p>
        </w:tc>
        <w:tc>
          <w:tcPr>
            <w:tcW w:w="570" w:type="dxa"/>
            <w:gridSpan w:val="2"/>
            <w:shd w:val="clear" w:color="auto" w:fill="FFFFFF"/>
            <w:vAlign w:val="center"/>
          </w:tcPr>
          <w:p w14:paraId="2CF3CE74" w14:textId="77777777" w:rsidR="00725C00" w:rsidRPr="000F48D7" w:rsidRDefault="0084683F" w:rsidP="00CA1074">
            <w:pPr>
              <w:rPr>
                <w:rFonts w:ascii="Times New Roman" w:hAnsi="Times New Roman"/>
                <w:color w:val="000000"/>
                <w:sz w:val="16"/>
                <w:szCs w:val="16"/>
              </w:rPr>
            </w:pPr>
            <w:r>
              <w:rPr>
                <w:rFonts w:ascii="Times New Roman" w:hAnsi="Times New Roman"/>
                <w:color w:val="000000"/>
                <w:sz w:val="16"/>
                <w:szCs w:val="16"/>
              </w:rPr>
              <w:t>12,</w:t>
            </w:r>
            <w:r w:rsidR="00CA1074">
              <w:rPr>
                <w:rFonts w:ascii="Times New Roman" w:hAnsi="Times New Roman"/>
                <w:color w:val="000000"/>
                <w:sz w:val="16"/>
                <w:szCs w:val="16"/>
              </w:rPr>
              <w:t>1</w:t>
            </w:r>
          </w:p>
        </w:tc>
        <w:tc>
          <w:tcPr>
            <w:tcW w:w="570" w:type="dxa"/>
            <w:gridSpan w:val="2"/>
            <w:shd w:val="clear" w:color="auto" w:fill="FFFFFF"/>
            <w:vAlign w:val="center"/>
          </w:tcPr>
          <w:p w14:paraId="2043F236" w14:textId="77777777" w:rsidR="00725C00" w:rsidRPr="000F48D7" w:rsidRDefault="0084683F" w:rsidP="00725C00">
            <w:pPr>
              <w:rPr>
                <w:rFonts w:ascii="Times New Roman" w:hAnsi="Times New Roman"/>
                <w:color w:val="000000"/>
                <w:sz w:val="16"/>
                <w:szCs w:val="16"/>
              </w:rPr>
            </w:pPr>
            <w:r>
              <w:rPr>
                <w:rFonts w:ascii="Times New Roman" w:hAnsi="Times New Roman"/>
                <w:color w:val="000000"/>
                <w:sz w:val="16"/>
                <w:szCs w:val="16"/>
              </w:rPr>
              <w:t>14,2</w:t>
            </w:r>
          </w:p>
        </w:tc>
        <w:tc>
          <w:tcPr>
            <w:tcW w:w="569" w:type="dxa"/>
            <w:gridSpan w:val="3"/>
            <w:shd w:val="clear" w:color="auto" w:fill="FFFFFF"/>
            <w:vAlign w:val="center"/>
          </w:tcPr>
          <w:p w14:paraId="69AFD2B0"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14,7</w:t>
            </w:r>
          </w:p>
        </w:tc>
        <w:tc>
          <w:tcPr>
            <w:tcW w:w="570" w:type="dxa"/>
            <w:gridSpan w:val="2"/>
            <w:shd w:val="clear" w:color="auto" w:fill="FFFFFF"/>
            <w:vAlign w:val="center"/>
          </w:tcPr>
          <w:p w14:paraId="1932984F"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36,1</w:t>
            </w:r>
          </w:p>
        </w:tc>
        <w:tc>
          <w:tcPr>
            <w:tcW w:w="570" w:type="dxa"/>
            <w:shd w:val="clear" w:color="auto" w:fill="FFFFFF"/>
            <w:vAlign w:val="center"/>
          </w:tcPr>
          <w:p w14:paraId="4509D788"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15,7</w:t>
            </w:r>
          </w:p>
        </w:tc>
        <w:tc>
          <w:tcPr>
            <w:tcW w:w="570" w:type="dxa"/>
            <w:gridSpan w:val="3"/>
            <w:shd w:val="clear" w:color="auto" w:fill="FFFFFF"/>
            <w:vAlign w:val="center"/>
          </w:tcPr>
          <w:p w14:paraId="259E452A" w14:textId="77777777" w:rsidR="00725C00" w:rsidRPr="00051869" w:rsidRDefault="0084683F" w:rsidP="00D82A3F">
            <w:pPr>
              <w:rPr>
                <w:rFonts w:ascii="Times New Roman" w:hAnsi="Times New Roman"/>
                <w:color w:val="000000"/>
                <w:sz w:val="16"/>
                <w:szCs w:val="16"/>
              </w:rPr>
            </w:pPr>
            <w:r>
              <w:rPr>
                <w:rFonts w:ascii="Times New Roman" w:hAnsi="Times New Roman"/>
                <w:color w:val="000000"/>
                <w:sz w:val="16"/>
                <w:szCs w:val="16"/>
              </w:rPr>
              <w:t>16,3</w:t>
            </w:r>
          </w:p>
        </w:tc>
        <w:tc>
          <w:tcPr>
            <w:tcW w:w="569" w:type="dxa"/>
            <w:gridSpan w:val="3"/>
            <w:shd w:val="clear" w:color="auto" w:fill="FFFFFF"/>
            <w:vAlign w:val="center"/>
          </w:tcPr>
          <w:p w14:paraId="43D01E0C"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16,8</w:t>
            </w:r>
          </w:p>
        </w:tc>
        <w:tc>
          <w:tcPr>
            <w:tcW w:w="570" w:type="dxa"/>
            <w:gridSpan w:val="2"/>
            <w:shd w:val="clear" w:color="auto" w:fill="FFFFFF"/>
            <w:vAlign w:val="center"/>
          </w:tcPr>
          <w:p w14:paraId="221D7845" w14:textId="77777777" w:rsidR="00725C00" w:rsidRPr="00051869" w:rsidRDefault="0084683F" w:rsidP="00725C00">
            <w:pPr>
              <w:rPr>
                <w:rFonts w:ascii="Times New Roman" w:hAnsi="Times New Roman"/>
                <w:color w:val="000000"/>
                <w:sz w:val="16"/>
                <w:szCs w:val="16"/>
              </w:rPr>
            </w:pPr>
            <w:r>
              <w:rPr>
                <w:rFonts w:ascii="Times New Roman" w:hAnsi="Times New Roman"/>
                <w:color w:val="000000"/>
                <w:sz w:val="16"/>
                <w:szCs w:val="16"/>
              </w:rPr>
              <w:t>17,4</w:t>
            </w:r>
          </w:p>
        </w:tc>
        <w:tc>
          <w:tcPr>
            <w:tcW w:w="570" w:type="dxa"/>
            <w:gridSpan w:val="2"/>
            <w:shd w:val="clear" w:color="auto" w:fill="FFFFFF"/>
            <w:vAlign w:val="center"/>
          </w:tcPr>
          <w:p w14:paraId="5F9BB499"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18,1</w:t>
            </w:r>
          </w:p>
        </w:tc>
        <w:tc>
          <w:tcPr>
            <w:tcW w:w="570" w:type="dxa"/>
            <w:shd w:val="clear" w:color="auto" w:fill="FFFFFF"/>
            <w:vAlign w:val="center"/>
          </w:tcPr>
          <w:p w14:paraId="736C40FF" w14:textId="77777777" w:rsidR="00725C00" w:rsidRPr="00051869" w:rsidRDefault="0084683F" w:rsidP="00ED366A">
            <w:pPr>
              <w:rPr>
                <w:rFonts w:ascii="Times New Roman" w:hAnsi="Times New Roman"/>
                <w:color w:val="000000"/>
                <w:sz w:val="16"/>
                <w:szCs w:val="16"/>
              </w:rPr>
            </w:pPr>
            <w:r>
              <w:rPr>
                <w:rFonts w:ascii="Times New Roman" w:hAnsi="Times New Roman"/>
                <w:color w:val="000000"/>
                <w:sz w:val="16"/>
                <w:szCs w:val="16"/>
              </w:rPr>
              <w:t>18,8</w:t>
            </w:r>
          </w:p>
        </w:tc>
        <w:tc>
          <w:tcPr>
            <w:tcW w:w="1547" w:type="dxa"/>
            <w:gridSpan w:val="3"/>
            <w:shd w:val="clear" w:color="auto" w:fill="FFFFFF"/>
            <w:vAlign w:val="center"/>
          </w:tcPr>
          <w:p w14:paraId="1B067AAA" w14:textId="77777777" w:rsidR="00725C00" w:rsidRPr="00051869" w:rsidRDefault="0084683F" w:rsidP="00CA1074">
            <w:pPr>
              <w:jc w:val="right"/>
              <w:rPr>
                <w:rFonts w:ascii="Times New Roman" w:hAnsi="Times New Roman"/>
                <w:color w:val="000000"/>
                <w:sz w:val="16"/>
                <w:szCs w:val="16"/>
              </w:rPr>
            </w:pPr>
            <w:r>
              <w:rPr>
                <w:rFonts w:ascii="Times New Roman" w:hAnsi="Times New Roman"/>
                <w:color w:val="000000"/>
                <w:sz w:val="16"/>
                <w:szCs w:val="16"/>
              </w:rPr>
              <w:t>190,</w:t>
            </w:r>
            <w:r w:rsidR="00CA1074">
              <w:rPr>
                <w:rFonts w:ascii="Times New Roman" w:hAnsi="Times New Roman"/>
                <w:color w:val="000000"/>
                <w:sz w:val="16"/>
                <w:szCs w:val="16"/>
              </w:rPr>
              <w:t>3</w:t>
            </w:r>
          </w:p>
        </w:tc>
      </w:tr>
      <w:tr w:rsidR="00887204" w:rsidRPr="008B4FE6" w14:paraId="69EFCFA2" w14:textId="77777777" w:rsidTr="0023197B">
        <w:trPr>
          <w:trHeight w:val="321"/>
        </w:trPr>
        <w:tc>
          <w:tcPr>
            <w:tcW w:w="3133" w:type="dxa"/>
            <w:gridSpan w:val="4"/>
            <w:shd w:val="clear" w:color="auto" w:fill="FFFFFF"/>
            <w:vAlign w:val="center"/>
          </w:tcPr>
          <w:p w14:paraId="291A6ED9" w14:textId="77777777" w:rsidR="00887204" w:rsidRPr="00C53F26" w:rsidRDefault="00887204" w:rsidP="0088720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61B53EB"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116F5D74"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7860E103" w14:textId="77777777" w:rsidR="00887204" w:rsidRPr="00B37C80" w:rsidRDefault="00887204" w:rsidP="00887204">
            <w:pPr>
              <w:spacing w:line="240" w:lineRule="auto"/>
              <w:rPr>
                <w:rFonts w:ascii="Times New Roman" w:hAnsi="Times New Roman"/>
                <w:color w:val="000000"/>
                <w:sz w:val="21"/>
                <w:szCs w:val="21"/>
              </w:rPr>
            </w:pPr>
          </w:p>
        </w:tc>
        <w:tc>
          <w:tcPr>
            <w:tcW w:w="569" w:type="dxa"/>
            <w:gridSpan w:val="3"/>
            <w:shd w:val="clear" w:color="auto" w:fill="FFFFFF"/>
          </w:tcPr>
          <w:p w14:paraId="37A520EF"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54ED3994" w14:textId="77777777" w:rsidR="00887204" w:rsidRPr="00B37C80" w:rsidRDefault="00887204" w:rsidP="00887204">
            <w:pPr>
              <w:spacing w:line="240" w:lineRule="auto"/>
              <w:rPr>
                <w:rFonts w:ascii="Times New Roman" w:hAnsi="Times New Roman"/>
                <w:color w:val="000000"/>
                <w:sz w:val="21"/>
                <w:szCs w:val="21"/>
              </w:rPr>
            </w:pPr>
          </w:p>
        </w:tc>
        <w:tc>
          <w:tcPr>
            <w:tcW w:w="570" w:type="dxa"/>
            <w:shd w:val="clear" w:color="auto" w:fill="FFFFFF"/>
          </w:tcPr>
          <w:p w14:paraId="2BC6CAEB"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3"/>
            <w:shd w:val="clear" w:color="auto" w:fill="FFFFFF"/>
          </w:tcPr>
          <w:p w14:paraId="04635F48" w14:textId="77777777" w:rsidR="00887204" w:rsidRPr="00B37C80" w:rsidRDefault="00887204" w:rsidP="00887204">
            <w:pPr>
              <w:spacing w:line="240" w:lineRule="auto"/>
              <w:rPr>
                <w:rFonts w:ascii="Times New Roman" w:hAnsi="Times New Roman"/>
                <w:color w:val="000000"/>
                <w:sz w:val="21"/>
                <w:szCs w:val="21"/>
              </w:rPr>
            </w:pPr>
          </w:p>
        </w:tc>
        <w:tc>
          <w:tcPr>
            <w:tcW w:w="569" w:type="dxa"/>
            <w:gridSpan w:val="3"/>
            <w:shd w:val="clear" w:color="auto" w:fill="FFFFFF"/>
          </w:tcPr>
          <w:p w14:paraId="734B12B0"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2218D95C"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2E5755CC" w14:textId="77777777" w:rsidR="00887204" w:rsidRPr="00B37C80" w:rsidRDefault="00887204" w:rsidP="00887204">
            <w:pPr>
              <w:spacing w:line="240" w:lineRule="auto"/>
              <w:rPr>
                <w:rFonts w:ascii="Times New Roman" w:hAnsi="Times New Roman"/>
                <w:color w:val="000000"/>
                <w:sz w:val="21"/>
                <w:szCs w:val="21"/>
              </w:rPr>
            </w:pPr>
          </w:p>
        </w:tc>
        <w:tc>
          <w:tcPr>
            <w:tcW w:w="570" w:type="dxa"/>
            <w:shd w:val="clear" w:color="auto" w:fill="FFFFFF"/>
          </w:tcPr>
          <w:p w14:paraId="67832F80" w14:textId="77777777" w:rsidR="00887204" w:rsidRPr="00B37C80" w:rsidRDefault="00887204" w:rsidP="00887204">
            <w:pPr>
              <w:spacing w:line="240" w:lineRule="auto"/>
              <w:rPr>
                <w:rFonts w:ascii="Times New Roman" w:hAnsi="Times New Roman"/>
                <w:color w:val="000000"/>
                <w:sz w:val="21"/>
                <w:szCs w:val="21"/>
              </w:rPr>
            </w:pPr>
          </w:p>
        </w:tc>
        <w:tc>
          <w:tcPr>
            <w:tcW w:w="1547" w:type="dxa"/>
            <w:gridSpan w:val="3"/>
            <w:shd w:val="clear" w:color="auto" w:fill="FFFFFF"/>
          </w:tcPr>
          <w:p w14:paraId="2EC22AC7" w14:textId="77777777" w:rsidR="00887204" w:rsidRPr="00B37C80" w:rsidRDefault="00887204" w:rsidP="00887204">
            <w:pPr>
              <w:spacing w:line="240" w:lineRule="auto"/>
              <w:rPr>
                <w:rFonts w:ascii="Times New Roman" w:hAnsi="Times New Roman"/>
                <w:color w:val="000000"/>
                <w:spacing w:val="-2"/>
                <w:sz w:val="21"/>
                <w:szCs w:val="21"/>
              </w:rPr>
            </w:pPr>
          </w:p>
        </w:tc>
      </w:tr>
      <w:tr w:rsidR="00887204" w:rsidRPr="008B4FE6" w14:paraId="097CF536" w14:textId="77777777" w:rsidTr="0023197B">
        <w:trPr>
          <w:trHeight w:val="321"/>
        </w:trPr>
        <w:tc>
          <w:tcPr>
            <w:tcW w:w="3133" w:type="dxa"/>
            <w:gridSpan w:val="4"/>
            <w:shd w:val="clear" w:color="auto" w:fill="FFFFFF"/>
            <w:vAlign w:val="center"/>
          </w:tcPr>
          <w:p w14:paraId="2FFD74A9" w14:textId="77777777" w:rsidR="00887204" w:rsidRPr="00C53F26" w:rsidRDefault="00887204" w:rsidP="0088720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9714612"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7999EFBC"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218EFF47" w14:textId="77777777" w:rsidR="00887204" w:rsidRPr="00B37C80" w:rsidRDefault="00887204" w:rsidP="00887204">
            <w:pPr>
              <w:spacing w:line="240" w:lineRule="auto"/>
              <w:rPr>
                <w:rFonts w:ascii="Times New Roman" w:hAnsi="Times New Roman"/>
                <w:color w:val="000000"/>
                <w:sz w:val="21"/>
                <w:szCs w:val="21"/>
              </w:rPr>
            </w:pPr>
          </w:p>
        </w:tc>
        <w:tc>
          <w:tcPr>
            <w:tcW w:w="569" w:type="dxa"/>
            <w:gridSpan w:val="3"/>
            <w:shd w:val="clear" w:color="auto" w:fill="FFFFFF"/>
          </w:tcPr>
          <w:p w14:paraId="05E40390"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17696AB4" w14:textId="77777777" w:rsidR="00887204" w:rsidRPr="00B37C80" w:rsidRDefault="00887204" w:rsidP="00887204">
            <w:pPr>
              <w:spacing w:line="240" w:lineRule="auto"/>
              <w:rPr>
                <w:rFonts w:ascii="Times New Roman" w:hAnsi="Times New Roman"/>
                <w:color w:val="000000"/>
                <w:sz w:val="21"/>
                <w:szCs w:val="21"/>
              </w:rPr>
            </w:pPr>
          </w:p>
        </w:tc>
        <w:tc>
          <w:tcPr>
            <w:tcW w:w="570" w:type="dxa"/>
            <w:shd w:val="clear" w:color="auto" w:fill="FFFFFF"/>
          </w:tcPr>
          <w:p w14:paraId="422F487E"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3"/>
            <w:shd w:val="clear" w:color="auto" w:fill="FFFFFF"/>
          </w:tcPr>
          <w:p w14:paraId="2AFCE018" w14:textId="77777777" w:rsidR="00887204" w:rsidRPr="00B37C80" w:rsidRDefault="00887204" w:rsidP="00887204">
            <w:pPr>
              <w:spacing w:line="240" w:lineRule="auto"/>
              <w:rPr>
                <w:rFonts w:ascii="Times New Roman" w:hAnsi="Times New Roman"/>
                <w:color w:val="000000"/>
                <w:sz w:val="21"/>
                <w:szCs w:val="21"/>
              </w:rPr>
            </w:pPr>
          </w:p>
        </w:tc>
        <w:tc>
          <w:tcPr>
            <w:tcW w:w="569" w:type="dxa"/>
            <w:gridSpan w:val="3"/>
            <w:shd w:val="clear" w:color="auto" w:fill="FFFFFF"/>
          </w:tcPr>
          <w:p w14:paraId="422DB5C9"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6EA3BB48" w14:textId="77777777" w:rsidR="00887204" w:rsidRPr="00B37C80" w:rsidRDefault="00887204" w:rsidP="00887204">
            <w:pPr>
              <w:spacing w:line="240" w:lineRule="auto"/>
              <w:rPr>
                <w:rFonts w:ascii="Times New Roman" w:hAnsi="Times New Roman"/>
                <w:color w:val="000000"/>
                <w:sz w:val="21"/>
                <w:szCs w:val="21"/>
              </w:rPr>
            </w:pPr>
          </w:p>
        </w:tc>
        <w:tc>
          <w:tcPr>
            <w:tcW w:w="570" w:type="dxa"/>
            <w:gridSpan w:val="2"/>
            <w:shd w:val="clear" w:color="auto" w:fill="FFFFFF"/>
          </w:tcPr>
          <w:p w14:paraId="1A549C24" w14:textId="77777777" w:rsidR="00887204" w:rsidRPr="00B37C80" w:rsidRDefault="00887204" w:rsidP="00887204">
            <w:pPr>
              <w:spacing w:line="240" w:lineRule="auto"/>
              <w:rPr>
                <w:rFonts w:ascii="Times New Roman" w:hAnsi="Times New Roman"/>
                <w:color w:val="000000"/>
                <w:sz w:val="21"/>
                <w:szCs w:val="21"/>
              </w:rPr>
            </w:pPr>
          </w:p>
        </w:tc>
        <w:tc>
          <w:tcPr>
            <w:tcW w:w="570" w:type="dxa"/>
            <w:shd w:val="clear" w:color="auto" w:fill="FFFFFF"/>
          </w:tcPr>
          <w:p w14:paraId="3AF6C29B" w14:textId="77777777" w:rsidR="00887204" w:rsidRPr="00B37C80" w:rsidRDefault="00887204" w:rsidP="00887204">
            <w:pPr>
              <w:spacing w:line="240" w:lineRule="auto"/>
              <w:rPr>
                <w:rFonts w:ascii="Times New Roman" w:hAnsi="Times New Roman"/>
                <w:color w:val="000000"/>
                <w:sz w:val="21"/>
                <w:szCs w:val="21"/>
              </w:rPr>
            </w:pPr>
          </w:p>
        </w:tc>
        <w:tc>
          <w:tcPr>
            <w:tcW w:w="1547" w:type="dxa"/>
            <w:gridSpan w:val="3"/>
            <w:shd w:val="clear" w:color="auto" w:fill="FFFFFF"/>
          </w:tcPr>
          <w:p w14:paraId="2794909F" w14:textId="77777777" w:rsidR="00887204" w:rsidRPr="00B37C80" w:rsidRDefault="00887204" w:rsidP="00887204">
            <w:pPr>
              <w:spacing w:line="240" w:lineRule="auto"/>
              <w:rPr>
                <w:rFonts w:ascii="Times New Roman" w:hAnsi="Times New Roman"/>
                <w:color w:val="000000"/>
                <w:spacing w:val="-2"/>
                <w:sz w:val="21"/>
                <w:szCs w:val="21"/>
              </w:rPr>
            </w:pPr>
          </w:p>
        </w:tc>
      </w:tr>
      <w:tr w:rsidR="00887204" w:rsidRPr="008B4FE6" w14:paraId="334A1619" w14:textId="77777777" w:rsidTr="0068624E">
        <w:trPr>
          <w:gridAfter w:val="1"/>
          <w:wAfter w:w="10" w:type="dxa"/>
          <w:trHeight w:val="348"/>
        </w:trPr>
        <w:tc>
          <w:tcPr>
            <w:tcW w:w="1526" w:type="dxa"/>
            <w:shd w:val="clear" w:color="auto" w:fill="FFFFFF"/>
            <w:vAlign w:val="center"/>
          </w:tcPr>
          <w:p w14:paraId="19D7DD1B" w14:textId="77777777" w:rsidR="00887204" w:rsidRPr="00C53F26" w:rsidRDefault="00887204" w:rsidP="00887204">
            <w:pPr>
              <w:spacing w:line="240" w:lineRule="auto"/>
              <w:rPr>
                <w:rFonts w:ascii="Times New Roman" w:hAnsi="Times New Roman"/>
                <w:color w:val="000000"/>
                <w:sz w:val="21"/>
                <w:szCs w:val="21"/>
              </w:rPr>
            </w:pPr>
            <w:r>
              <w:rPr>
                <w:rFonts w:ascii="Times New Roman" w:hAnsi="Times New Roman"/>
                <w:color w:val="000000"/>
                <w:sz w:val="21"/>
                <w:szCs w:val="21"/>
              </w:rPr>
              <w:t>Źródła finansowania</w:t>
            </w:r>
          </w:p>
        </w:tc>
        <w:tc>
          <w:tcPr>
            <w:tcW w:w="9411" w:type="dxa"/>
            <w:gridSpan w:val="28"/>
            <w:shd w:val="clear" w:color="auto" w:fill="FFFFFF"/>
            <w:vAlign w:val="center"/>
          </w:tcPr>
          <w:p w14:paraId="784968E5" w14:textId="76357C68" w:rsidR="00887204" w:rsidRPr="00E17DAC" w:rsidRDefault="00887204" w:rsidP="00623C6E">
            <w:pPr>
              <w:spacing w:line="240" w:lineRule="auto"/>
              <w:jc w:val="both"/>
              <w:rPr>
                <w:rFonts w:ascii="Times New Roman" w:hAnsi="Times New Roman"/>
                <w:b/>
                <w:color w:val="000000"/>
              </w:rPr>
            </w:pPr>
            <w:r>
              <w:rPr>
                <w:rFonts w:ascii="Times New Roman" w:hAnsi="Times New Roman"/>
                <w:color w:val="000000"/>
                <w:sz w:val="21"/>
                <w:szCs w:val="21"/>
              </w:rPr>
              <w:t>Regulacje zawarte w ustawie spowodują przesunięcie środków pomiędzy częściami, zwiększając dochody i</w:t>
            </w:r>
            <w:r w:rsidR="006C2D8F">
              <w:rPr>
                <w:rFonts w:ascii="Times New Roman" w:hAnsi="Times New Roman"/>
                <w:color w:val="000000"/>
                <w:sz w:val="21"/>
                <w:szCs w:val="21"/>
              </w:rPr>
              <w:t> </w:t>
            </w:r>
            <w:r>
              <w:rPr>
                <w:rFonts w:ascii="Times New Roman" w:hAnsi="Times New Roman"/>
                <w:color w:val="000000"/>
                <w:sz w:val="21"/>
                <w:szCs w:val="21"/>
              </w:rPr>
              <w:t>wydatki części 46 – Zdrowie oraz zmniejszając dochody i wydatki w części 85 – Województwa.</w:t>
            </w:r>
            <w:r w:rsidR="00623C6E">
              <w:rPr>
                <w:rFonts w:ascii="Times New Roman" w:hAnsi="Times New Roman"/>
                <w:color w:val="000000"/>
                <w:sz w:val="21"/>
                <w:szCs w:val="21"/>
              </w:rPr>
              <w:t xml:space="preserve"> </w:t>
            </w:r>
            <w:r w:rsidR="00623C6E">
              <w:rPr>
                <w:rFonts w:ascii="Times New Roman" w:hAnsi="Times New Roman"/>
                <w:color w:val="000000"/>
              </w:rPr>
              <w:t xml:space="preserve"> </w:t>
            </w:r>
            <w:r w:rsidR="00362F5A">
              <w:t xml:space="preserve"> </w:t>
            </w:r>
            <w:r w:rsidR="00362F5A" w:rsidRPr="00362F5A">
              <w:rPr>
                <w:rFonts w:ascii="Times New Roman" w:hAnsi="Times New Roman"/>
                <w:color w:val="000000"/>
              </w:rPr>
              <w:t>Dodatkowe wydatki związane z wprowadzeniem projektu ustawy będą sfinansowane w</w:t>
            </w:r>
            <w:r w:rsidR="00362F5A">
              <w:rPr>
                <w:rFonts w:ascii="Times New Roman" w:hAnsi="Times New Roman"/>
                <w:color w:val="000000"/>
              </w:rPr>
              <w:t xml:space="preserve"> </w:t>
            </w:r>
            <w:r w:rsidR="00362F5A" w:rsidRPr="00362F5A">
              <w:rPr>
                <w:rFonts w:ascii="Times New Roman" w:hAnsi="Times New Roman"/>
                <w:color w:val="000000"/>
              </w:rPr>
              <w:t>ramach środków 7% przeznaczonych na finansowanie ochrony zdrowia, o których mowa</w:t>
            </w:r>
            <w:r w:rsidR="00362F5A">
              <w:rPr>
                <w:rFonts w:ascii="Times New Roman" w:hAnsi="Times New Roman"/>
                <w:color w:val="000000"/>
              </w:rPr>
              <w:t xml:space="preserve"> </w:t>
            </w:r>
            <w:r w:rsidR="00362F5A" w:rsidRPr="00362F5A">
              <w:rPr>
                <w:rFonts w:ascii="Times New Roman" w:hAnsi="Times New Roman"/>
                <w:color w:val="000000"/>
              </w:rPr>
              <w:t>w art. 131c ustawy z dnia z dnia 27 sierpnia 2004 r. o świadczeniach opieki zdrowotnej</w:t>
            </w:r>
            <w:r w:rsidR="00362F5A">
              <w:rPr>
                <w:rFonts w:ascii="Times New Roman" w:hAnsi="Times New Roman"/>
                <w:color w:val="000000"/>
              </w:rPr>
              <w:t xml:space="preserve"> </w:t>
            </w:r>
            <w:r w:rsidR="00362F5A" w:rsidRPr="00362F5A">
              <w:rPr>
                <w:rFonts w:ascii="Times New Roman" w:hAnsi="Times New Roman"/>
                <w:color w:val="000000"/>
              </w:rPr>
              <w:t>finansowanych ze środków publicznych, w tym w ramach rezerwy celowej będącej w</w:t>
            </w:r>
            <w:r w:rsidR="00362F5A">
              <w:rPr>
                <w:rFonts w:ascii="Times New Roman" w:hAnsi="Times New Roman"/>
                <w:color w:val="000000"/>
              </w:rPr>
              <w:t xml:space="preserve"> </w:t>
            </w:r>
            <w:r w:rsidR="00362F5A" w:rsidRPr="00362F5A">
              <w:rPr>
                <w:rFonts w:ascii="Times New Roman" w:hAnsi="Times New Roman"/>
                <w:color w:val="000000"/>
              </w:rPr>
              <w:t>dyspozycji Ministra Zdrowia</w:t>
            </w:r>
            <w:r w:rsidR="0073656D">
              <w:rPr>
                <w:rFonts w:ascii="Times New Roman" w:hAnsi="Times New Roman"/>
                <w:color w:val="000000"/>
              </w:rPr>
              <w:t>. W związku z tym nie będzie konieczności ponoszenia dodatkowych wydatków przez budżet państwa oraz możliwości wnioskowania o dodatkowe środki z budżetu.</w:t>
            </w:r>
          </w:p>
        </w:tc>
      </w:tr>
      <w:tr w:rsidR="00887204" w:rsidRPr="008B4FE6" w14:paraId="2715BA71" w14:textId="77777777" w:rsidTr="0068624E">
        <w:trPr>
          <w:gridAfter w:val="1"/>
          <w:wAfter w:w="10" w:type="dxa"/>
          <w:trHeight w:val="1926"/>
        </w:trPr>
        <w:tc>
          <w:tcPr>
            <w:tcW w:w="1526" w:type="dxa"/>
            <w:shd w:val="clear" w:color="auto" w:fill="FFFFFF"/>
            <w:vAlign w:val="center"/>
          </w:tcPr>
          <w:p w14:paraId="3C3E8F21" w14:textId="77777777" w:rsidR="00887204" w:rsidRPr="00C53F26"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9411" w:type="dxa"/>
            <w:gridSpan w:val="28"/>
            <w:shd w:val="clear" w:color="auto" w:fill="FFFFFF"/>
          </w:tcPr>
          <w:p w14:paraId="4705BADB" w14:textId="77777777" w:rsidR="00887204" w:rsidRPr="00B05E40" w:rsidRDefault="00887204" w:rsidP="0068624E">
            <w:pPr>
              <w:pStyle w:val="Akapitzlist"/>
              <w:numPr>
                <w:ilvl w:val="0"/>
                <w:numId w:val="24"/>
              </w:numPr>
              <w:spacing w:line="240" w:lineRule="auto"/>
              <w:ind w:left="324"/>
              <w:jc w:val="both"/>
              <w:rPr>
                <w:rFonts w:ascii="Times New Roman" w:hAnsi="Times New Roman"/>
                <w:b/>
                <w:bCs/>
                <w:color w:val="000000"/>
                <w:sz w:val="21"/>
                <w:szCs w:val="21"/>
                <w:u w:val="single"/>
              </w:rPr>
            </w:pPr>
            <w:r w:rsidRPr="00B05E40">
              <w:rPr>
                <w:rFonts w:ascii="Times New Roman" w:hAnsi="Times New Roman"/>
                <w:b/>
                <w:bCs/>
                <w:color w:val="000000"/>
                <w:sz w:val="21"/>
                <w:szCs w:val="21"/>
                <w:u w:val="single"/>
              </w:rPr>
              <w:t>Skutki dla sektora finansów publicznych, w tym zmiany w budżecie państwa w części 46 – Zdrowie oraz części 85 – Województwa, zostały opracowane na podstawie następujących założeń:</w:t>
            </w:r>
          </w:p>
          <w:p w14:paraId="41DE438B" w14:textId="77777777" w:rsidR="00887204" w:rsidRPr="00A71735" w:rsidRDefault="00887204" w:rsidP="00887204">
            <w:pPr>
              <w:pStyle w:val="Akapitzlist"/>
              <w:spacing w:line="240" w:lineRule="auto"/>
              <w:ind w:left="340"/>
              <w:jc w:val="both"/>
              <w:rPr>
                <w:rFonts w:ascii="Times New Roman" w:hAnsi="Times New Roman"/>
                <w:color w:val="000000"/>
                <w:sz w:val="21"/>
                <w:szCs w:val="21"/>
              </w:rPr>
            </w:pPr>
          </w:p>
          <w:p w14:paraId="06D1F920" w14:textId="77777777" w:rsidR="00887204" w:rsidRPr="00A71735" w:rsidRDefault="00887204" w:rsidP="00EC56B5">
            <w:pPr>
              <w:pStyle w:val="Akapitzlist"/>
              <w:numPr>
                <w:ilvl w:val="0"/>
                <w:numId w:val="6"/>
              </w:numPr>
              <w:spacing w:line="240" w:lineRule="auto"/>
              <w:jc w:val="both"/>
              <w:rPr>
                <w:rFonts w:ascii="Times New Roman" w:hAnsi="Times New Roman"/>
                <w:b/>
                <w:color w:val="000000"/>
                <w:sz w:val="21"/>
                <w:szCs w:val="21"/>
              </w:rPr>
            </w:pPr>
            <w:r w:rsidRPr="00A71735">
              <w:rPr>
                <w:rFonts w:ascii="Times New Roman" w:hAnsi="Times New Roman"/>
                <w:b/>
                <w:color w:val="000000"/>
                <w:sz w:val="21"/>
                <w:szCs w:val="21"/>
              </w:rPr>
              <w:t>Skutki finansowe włączenia wojewódzkich inspektoratów farmaceutycznych w struktury Głównego Inspektoratu Farmaceutycznego</w:t>
            </w:r>
          </w:p>
          <w:p w14:paraId="404EFAFF" w14:textId="77777777" w:rsidR="00887204" w:rsidRPr="00A71735" w:rsidRDefault="00887204" w:rsidP="00EC56B5">
            <w:pPr>
              <w:pStyle w:val="Akapitzlist"/>
              <w:numPr>
                <w:ilvl w:val="0"/>
                <w:numId w:val="25"/>
              </w:numPr>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Zwiększenie za</w:t>
            </w:r>
            <w:r w:rsidR="008061F0" w:rsidRPr="00A71735">
              <w:rPr>
                <w:rFonts w:ascii="Times New Roman" w:hAnsi="Times New Roman"/>
                <w:color w:val="000000"/>
                <w:sz w:val="21"/>
                <w:szCs w:val="21"/>
              </w:rPr>
              <w:t xml:space="preserve">trudnienia szacowane jest na </w:t>
            </w:r>
            <w:r w:rsidR="00D82A3F">
              <w:rPr>
                <w:rFonts w:ascii="Times New Roman" w:hAnsi="Times New Roman"/>
                <w:color w:val="000000"/>
                <w:sz w:val="21"/>
                <w:szCs w:val="21"/>
              </w:rPr>
              <w:t>30</w:t>
            </w:r>
            <w:r w:rsidR="00D82A3F" w:rsidRPr="00A71735">
              <w:rPr>
                <w:rFonts w:ascii="Times New Roman" w:hAnsi="Times New Roman"/>
                <w:color w:val="000000"/>
                <w:sz w:val="21"/>
                <w:szCs w:val="21"/>
              </w:rPr>
              <w:t xml:space="preserve"> etat</w:t>
            </w:r>
            <w:r w:rsidR="00D82A3F">
              <w:rPr>
                <w:rFonts w:ascii="Times New Roman" w:hAnsi="Times New Roman"/>
                <w:color w:val="000000"/>
                <w:sz w:val="21"/>
                <w:szCs w:val="21"/>
              </w:rPr>
              <w:t>ów</w:t>
            </w:r>
            <w:r w:rsidR="00D82A3F" w:rsidRPr="00A71735">
              <w:rPr>
                <w:rFonts w:ascii="Times New Roman" w:hAnsi="Times New Roman"/>
                <w:color w:val="000000"/>
                <w:sz w:val="21"/>
                <w:szCs w:val="21"/>
              </w:rPr>
              <w:t xml:space="preserve"> </w:t>
            </w:r>
            <w:r w:rsidRPr="00A71735">
              <w:rPr>
                <w:rFonts w:ascii="Times New Roman" w:hAnsi="Times New Roman"/>
                <w:color w:val="000000"/>
                <w:sz w:val="21"/>
                <w:szCs w:val="21"/>
              </w:rPr>
              <w:t xml:space="preserve">w tym: </w:t>
            </w:r>
          </w:p>
          <w:p w14:paraId="30FFCF38" w14:textId="77777777" w:rsidR="00887204" w:rsidRPr="00A71735" w:rsidRDefault="000A33D7" w:rsidP="00EC56B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 xml:space="preserve">14 etatów na poziomie centrali </w:t>
            </w:r>
            <w:r w:rsidR="00BE26BF" w:rsidRPr="00A71735">
              <w:rPr>
                <w:rFonts w:ascii="Times New Roman" w:hAnsi="Times New Roman"/>
                <w:color w:val="000000"/>
                <w:spacing w:val="-2"/>
              </w:rPr>
              <w:t>GIF</w:t>
            </w:r>
            <w:r w:rsidRPr="00A71735">
              <w:rPr>
                <w:rFonts w:ascii="Times New Roman" w:hAnsi="Times New Roman"/>
                <w:color w:val="000000"/>
                <w:sz w:val="21"/>
                <w:szCs w:val="21"/>
              </w:rPr>
              <w:t>, w tym: 10 etatów do obsługi prawnej, oraz 4 etaty do obsługi administracyjnej oraz organizacyjnej,</w:t>
            </w:r>
          </w:p>
          <w:p w14:paraId="60BD753A" w14:textId="77777777" w:rsidR="00887204" w:rsidRPr="00A71735" w:rsidRDefault="00D82A3F" w:rsidP="00EC56B5">
            <w:pPr>
              <w:pStyle w:val="Akapitzlist"/>
              <w:numPr>
                <w:ilvl w:val="0"/>
                <w:numId w:val="26"/>
              </w:numPr>
              <w:spacing w:line="240" w:lineRule="auto"/>
              <w:ind w:left="1741" w:hanging="283"/>
              <w:jc w:val="both"/>
              <w:rPr>
                <w:rFonts w:ascii="Times New Roman" w:hAnsi="Times New Roman"/>
                <w:color w:val="000000"/>
                <w:sz w:val="21"/>
                <w:szCs w:val="21"/>
              </w:rPr>
            </w:pPr>
            <w:r>
              <w:rPr>
                <w:rFonts w:ascii="Times New Roman" w:hAnsi="Times New Roman"/>
                <w:color w:val="000000"/>
                <w:sz w:val="21"/>
                <w:szCs w:val="21"/>
              </w:rPr>
              <w:t>16</w:t>
            </w:r>
            <w:r w:rsidRPr="00A71735">
              <w:rPr>
                <w:rFonts w:ascii="Times New Roman" w:hAnsi="Times New Roman"/>
                <w:color w:val="000000"/>
                <w:sz w:val="21"/>
                <w:szCs w:val="21"/>
              </w:rPr>
              <w:t xml:space="preserve"> </w:t>
            </w:r>
            <w:r w:rsidR="000A33D7" w:rsidRPr="00A71735">
              <w:rPr>
                <w:rFonts w:ascii="Times New Roman" w:hAnsi="Times New Roman"/>
                <w:color w:val="000000"/>
                <w:sz w:val="21"/>
                <w:szCs w:val="21"/>
              </w:rPr>
              <w:t xml:space="preserve">etatów na poziomie oddziałów </w:t>
            </w:r>
            <w:r w:rsidR="00BE26BF" w:rsidRPr="00A71735">
              <w:rPr>
                <w:rFonts w:ascii="Times New Roman" w:hAnsi="Times New Roman"/>
                <w:color w:val="000000"/>
                <w:spacing w:val="-2"/>
              </w:rPr>
              <w:t>GIF</w:t>
            </w:r>
            <w:r w:rsidR="000A33D7" w:rsidRPr="00A71735">
              <w:rPr>
                <w:rFonts w:ascii="Times New Roman" w:hAnsi="Times New Roman"/>
                <w:color w:val="000000"/>
                <w:sz w:val="21"/>
                <w:szCs w:val="21"/>
              </w:rPr>
              <w:t xml:space="preserve"> dla inspektorów farmaceutycznych.</w:t>
            </w:r>
            <w:r w:rsidR="00F82DF7" w:rsidRPr="00A71735">
              <w:rPr>
                <w:rFonts w:ascii="Times New Roman" w:hAnsi="Times New Roman"/>
                <w:color w:val="000000"/>
                <w:sz w:val="21"/>
                <w:szCs w:val="21"/>
              </w:rPr>
              <w:t xml:space="preserve"> </w:t>
            </w:r>
          </w:p>
          <w:p w14:paraId="5F4722C3" w14:textId="77777777" w:rsidR="00887204" w:rsidRPr="00A71735" w:rsidRDefault="00887204" w:rsidP="00887204">
            <w:pPr>
              <w:pStyle w:val="Akapitzlist"/>
              <w:tabs>
                <w:tab w:val="left" w:pos="341"/>
              </w:tabs>
              <w:spacing w:line="240" w:lineRule="auto"/>
              <w:ind w:left="341" w:hanging="341"/>
              <w:jc w:val="both"/>
              <w:rPr>
                <w:rFonts w:ascii="Times New Roman" w:hAnsi="Times New Roman"/>
                <w:color w:val="000000"/>
                <w:sz w:val="21"/>
                <w:szCs w:val="21"/>
              </w:rPr>
            </w:pPr>
          </w:p>
          <w:p w14:paraId="470D73DF" w14:textId="77777777" w:rsidR="00887204" w:rsidRPr="00A71735" w:rsidRDefault="009A7062" w:rsidP="00887204">
            <w:pPr>
              <w:pStyle w:val="Akapitzlist"/>
              <w:tabs>
                <w:tab w:val="left" w:pos="341"/>
              </w:tabs>
              <w:spacing w:line="240" w:lineRule="auto"/>
              <w:ind w:left="341"/>
              <w:jc w:val="both"/>
              <w:rPr>
                <w:rFonts w:ascii="Times New Roman" w:hAnsi="Times New Roman"/>
                <w:color w:val="000000"/>
                <w:sz w:val="21"/>
                <w:szCs w:val="21"/>
              </w:rPr>
            </w:pPr>
            <w:r>
              <w:rPr>
                <w:rFonts w:ascii="Times New Roman" w:hAnsi="Times New Roman"/>
                <w:color w:val="000000"/>
                <w:sz w:val="21"/>
                <w:szCs w:val="21"/>
              </w:rPr>
              <w:t>W</w:t>
            </w:r>
            <w:r w:rsidR="000A33D7" w:rsidRPr="00A71735">
              <w:rPr>
                <w:rFonts w:ascii="Times New Roman" w:hAnsi="Times New Roman"/>
                <w:color w:val="000000"/>
                <w:sz w:val="21"/>
                <w:szCs w:val="21"/>
              </w:rPr>
              <w:t xml:space="preserve"> momencie wejścia w życie ustawy przewidziano zatrudnienie 1</w:t>
            </w:r>
            <w:r>
              <w:rPr>
                <w:rFonts w:ascii="Times New Roman" w:hAnsi="Times New Roman"/>
                <w:color w:val="000000"/>
                <w:sz w:val="21"/>
                <w:szCs w:val="21"/>
              </w:rPr>
              <w:t>4</w:t>
            </w:r>
            <w:r w:rsidR="000A33D7" w:rsidRPr="00A71735">
              <w:rPr>
                <w:rFonts w:ascii="Times New Roman" w:hAnsi="Times New Roman"/>
                <w:color w:val="000000"/>
                <w:sz w:val="21"/>
                <w:szCs w:val="21"/>
              </w:rPr>
              <w:t xml:space="preserve"> pracowników w centrali </w:t>
            </w:r>
            <w:r w:rsidR="003F2A46" w:rsidRPr="00A71735">
              <w:rPr>
                <w:rFonts w:ascii="Times New Roman" w:hAnsi="Times New Roman"/>
                <w:color w:val="000000"/>
                <w:spacing w:val="-2"/>
              </w:rPr>
              <w:t>GIF</w:t>
            </w:r>
            <w:r w:rsidR="000A33D7" w:rsidRPr="00A71735">
              <w:rPr>
                <w:rFonts w:ascii="Times New Roman" w:hAnsi="Times New Roman"/>
                <w:color w:val="000000"/>
                <w:sz w:val="21"/>
                <w:szCs w:val="21"/>
              </w:rPr>
              <w:t xml:space="preserve"> oraz </w:t>
            </w:r>
            <w:r w:rsidR="0027652F">
              <w:rPr>
                <w:rFonts w:ascii="Times New Roman" w:hAnsi="Times New Roman"/>
                <w:color w:val="000000"/>
                <w:sz w:val="21"/>
                <w:szCs w:val="21"/>
              </w:rPr>
              <w:t xml:space="preserve">16 </w:t>
            </w:r>
            <w:r w:rsidR="0027652F" w:rsidRPr="00A71735">
              <w:rPr>
                <w:rFonts w:ascii="Times New Roman" w:hAnsi="Times New Roman"/>
                <w:color w:val="000000"/>
                <w:sz w:val="21"/>
                <w:szCs w:val="21"/>
              </w:rPr>
              <w:t xml:space="preserve"> </w:t>
            </w:r>
            <w:r w:rsidR="000A33D7" w:rsidRPr="00A71735">
              <w:rPr>
                <w:rFonts w:ascii="Times New Roman" w:hAnsi="Times New Roman"/>
                <w:color w:val="000000"/>
                <w:sz w:val="21"/>
                <w:szCs w:val="21"/>
              </w:rPr>
              <w:t xml:space="preserve">inspektorów farmaceutycznych w oddziałach </w:t>
            </w:r>
            <w:r w:rsidR="003F2A46" w:rsidRPr="00A71735">
              <w:rPr>
                <w:rFonts w:ascii="Times New Roman" w:hAnsi="Times New Roman"/>
                <w:color w:val="000000"/>
                <w:spacing w:val="-2"/>
              </w:rPr>
              <w:t>GIF</w:t>
            </w:r>
            <w:r w:rsidR="000A33D7" w:rsidRPr="00A71735">
              <w:rPr>
                <w:rFonts w:ascii="Times New Roman" w:hAnsi="Times New Roman"/>
                <w:color w:val="000000"/>
                <w:sz w:val="21"/>
                <w:szCs w:val="21"/>
              </w:rPr>
              <w:t>.</w:t>
            </w:r>
          </w:p>
          <w:p w14:paraId="6A231477" w14:textId="77777777" w:rsidR="002F17CE" w:rsidRPr="00A71735" w:rsidRDefault="002F17CE" w:rsidP="002F17CE">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 xml:space="preserve">Włączenie w struktury GIF 16 wojewódzkich inspektoratów farmaceutycznych posiadających w swoich strukturach 8 laboratoriów i 30 delegatur spowoduje konieczność prowadzenia centralnego zarządzania udzielaniem zamówień publicznych, co wiąże się w szczególności z wymogiem: </w:t>
            </w:r>
          </w:p>
          <w:p w14:paraId="5ED50CFE" w14:textId="77777777" w:rsidR="002F17CE" w:rsidRPr="00A71735" w:rsidRDefault="002F17CE" w:rsidP="00057057">
            <w:pPr>
              <w:pStyle w:val="Akapitzlist"/>
              <w:numPr>
                <w:ilvl w:val="0"/>
                <w:numId w:val="37"/>
              </w:numPr>
              <w:tabs>
                <w:tab w:val="left" w:pos="341"/>
              </w:tabs>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prowadzenia centralnego planu zamówień publicznych w tym sumowania wartości zamówień podobnych wszystkich jednostek;</w:t>
            </w:r>
          </w:p>
          <w:p w14:paraId="2E605E77" w14:textId="77777777" w:rsidR="002F17CE" w:rsidRPr="00A71735" w:rsidRDefault="002F17CE" w:rsidP="00057057">
            <w:pPr>
              <w:pStyle w:val="Akapitzlist"/>
              <w:numPr>
                <w:ilvl w:val="0"/>
                <w:numId w:val="37"/>
              </w:numPr>
              <w:tabs>
                <w:tab w:val="left" w:pos="341"/>
              </w:tabs>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udzielania zamówień centralnie dla wszystkich połączonych podmiotów zgodnie z progami ustawy – Prawo zamówień publicznych;</w:t>
            </w:r>
          </w:p>
          <w:p w14:paraId="4214CE2D" w14:textId="77777777" w:rsidR="002F17CE" w:rsidRPr="00A71735" w:rsidRDefault="002F17CE" w:rsidP="00057057">
            <w:pPr>
              <w:pStyle w:val="Akapitzlist"/>
              <w:numPr>
                <w:ilvl w:val="0"/>
                <w:numId w:val="37"/>
              </w:numPr>
              <w:tabs>
                <w:tab w:val="left" w:pos="341"/>
              </w:tabs>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kontroli pod względem planu drobnych zamówień udzielanych przez podmioty we własnym zakresie;</w:t>
            </w:r>
          </w:p>
          <w:p w14:paraId="3336711C" w14:textId="77777777" w:rsidR="002F17CE" w:rsidRPr="00A71735" w:rsidRDefault="002F17CE" w:rsidP="00057057">
            <w:pPr>
              <w:pStyle w:val="Akapitzlist"/>
              <w:numPr>
                <w:ilvl w:val="0"/>
                <w:numId w:val="37"/>
              </w:numPr>
              <w:tabs>
                <w:tab w:val="left" w:pos="341"/>
              </w:tabs>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raportowania o udzielonych zamówieniach i zrealizowanych umowach do Urzędu Zamówień Publicznych;</w:t>
            </w:r>
          </w:p>
          <w:p w14:paraId="4A9E1411" w14:textId="77777777" w:rsidR="002F17CE" w:rsidRPr="00A71735" w:rsidRDefault="002F17CE" w:rsidP="00057057">
            <w:pPr>
              <w:pStyle w:val="Akapitzlist"/>
              <w:numPr>
                <w:ilvl w:val="0"/>
                <w:numId w:val="37"/>
              </w:numPr>
              <w:tabs>
                <w:tab w:val="left" w:pos="341"/>
              </w:tabs>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przekazywania sprawozdania rocznego centralnego do Urzędu Zamówień Publicznych oraz Centralnego Biura Antykorupcyjnego.</w:t>
            </w:r>
          </w:p>
          <w:p w14:paraId="2D74A24C" w14:textId="77777777" w:rsidR="002F17CE" w:rsidRPr="00A71735" w:rsidRDefault="002F17CE" w:rsidP="002F17CE">
            <w:pPr>
              <w:pStyle w:val="Akapitzlist"/>
              <w:tabs>
                <w:tab w:val="left" w:pos="341"/>
              </w:tabs>
              <w:spacing w:line="240" w:lineRule="auto"/>
              <w:jc w:val="both"/>
              <w:rPr>
                <w:rFonts w:ascii="Times New Roman" w:hAnsi="Times New Roman"/>
                <w:color w:val="000000"/>
                <w:sz w:val="21"/>
                <w:szCs w:val="21"/>
              </w:rPr>
            </w:pPr>
          </w:p>
          <w:p w14:paraId="6E831A71" w14:textId="77777777" w:rsidR="002F17CE" w:rsidRPr="00A71735" w:rsidRDefault="002F17CE" w:rsidP="00057057">
            <w:pPr>
              <w:pStyle w:val="Akapitzlist"/>
              <w:spacing w:line="240" w:lineRule="auto"/>
              <w:ind w:left="317"/>
              <w:jc w:val="both"/>
              <w:rPr>
                <w:rFonts w:ascii="Times New Roman" w:hAnsi="Times New Roman"/>
                <w:color w:val="000000"/>
                <w:sz w:val="21"/>
                <w:szCs w:val="21"/>
              </w:rPr>
            </w:pPr>
            <w:r w:rsidRPr="00A71735">
              <w:rPr>
                <w:rFonts w:ascii="Times New Roman" w:hAnsi="Times New Roman"/>
                <w:color w:val="000000"/>
                <w:sz w:val="21"/>
                <w:szCs w:val="21"/>
              </w:rPr>
              <w:t>Zamówienia udzielane do tej pory jako niepodlegające ustawie</w:t>
            </w:r>
            <w:r w:rsidR="00E9010E" w:rsidRPr="00A71735">
              <w:rPr>
                <w:rFonts w:ascii="Times New Roman" w:hAnsi="Times New Roman"/>
                <w:color w:val="000000"/>
                <w:sz w:val="21"/>
                <w:szCs w:val="21"/>
              </w:rPr>
              <w:t xml:space="preserve"> (Prawo zamówień publicznych - PZP)</w:t>
            </w:r>
            <w:r w:rsidRPr="00A71735">
              <w:rPr>
                <w:rFonts w:ascii="Times New Roman" w:hAnsi="Times New Roman"/>
                <w:color w:val="000000"/>
                <w:sz w:val="21"/>
                <w:szCs w:val="21"/>
              </w:rPr>
              <w:t xml:space="preserve"> będą udzielane w większości centralnie i</w:t>
            </w:r>
            <w:r w:rsidR="00E9010E" w:rsidRPr="00A71735">
              <w:rPr>
                <w:rFonts w:ascii="Times New Roman" w:hAnsi="Times New Roman"/>
                <w:color w:val="000000"/>
                <w:sz w:val="21"/>
                <w:szCs w:val="21"/>
              </w:rPr>
              <w:t> </w:t>
            </w:r>
            <w:r w:rsidRPr="00A71735">
              <w:rPr>
                <w:rFonts w:ascii="Times New Roman" w:hAnsi="Times New Roman"/>
                <w:color w:val="000000"/>
                <w:sz w:val="21"/>
                <w:szCs w:val="21"/>
              </w:rPr>
              <w:t>będą podlegały obowiązkowi stosowania ustawy, tj. zamówienia udzielane do tej pory w trybie rozeznania rynku i zapytania ofertowego (ok. 38 rocznie w</w:t>
            </w:r>
            <w:r w:rsidR="00E9010E" w:rsidRPr="00A71735">
              <w:rPr>
                <w:rFonts w:ascii="Times New Roman" w:hAnsi="Times New Roman"/>
                <w:color w:val="000000"/>
                <w:sz w:val="21"/>
                <w:szCs w:val="21"/>
              </w:rPr>
              <w:t> </w:t>
            </w:r>
            <w:r w:rsidR="0039391F">
              <w:rPr>
                <w:rFonts w:ascii="Times New Roman" w:hAnsi="Times New Roman"/>
                <w:color w:val="000000"/>
                <w:sz w:val="21"/>
                <w:szCs w:val="21"/>
              </w:rPr>
              <w:t>GIF) po dokonaniu p</w:t>
            </w:r>
            <w:r w:rsidRPr="00A71735">
              <w:rPr>
                <w:rFonts w:ascii="Times New Roman" w:hAnsi="Times New Roman"/>
                <w:color w:val="000000"/>
                <w:sz w:val="21"/>
                <w:szCs w:val="21"/>
              </w:rPr>
              <w:t>ionizacji będą udzielane w trybie przetargu krajowego – wzrost 400%; dotychczas prowadzone postępowania w trybie przetargów tzw. krajowych (ok. 8-12 w 2022 r.) będą udzielane jako przetargi wg procedury unijnej – wzrost o 300%; dodatkowo - zamówienia uproszczone poniżej progu stos</w:t>
            </w:r>
            <w:r w:rsidR="0039391F">
              <w:rPr>
                <w:rFonts w:ascii="Times New Roman" w:hAnsi="Times New Roman"/>
                <w:color w:val="000000"/>
                <w:sz w:val="21"/>
                <w:szCs w:val="21"/>
              </w:rPr>
              <w:t>owania PZP –</w:t>
            </w:r>
            <w:r w:rsidRPr="00A71735">
              <w:rPr>
                <w:rFonts w:ascii="Times New Roman" w:hAnsi="Times New Roman"/>
                <w:color w:val="000000"/>
                <w:sz w:val="21"/>
                <w:szCs w:val="21"/>
              </w:rPr>
              <w:t xml:space="preserve"> planowany wzrost ok. 200%; zamówienia nowe - specjalistyczne zgodnie z potrzebami 8 laboratoriów.</w:t>
            </w:r>
          </w:p>
          <w:p w14:paraId="369A6347" w14:textId="77777777" w:rsidR="002F17CE" w:rsidRPr="00A71735" w:rsidRDefault="002F17CE" w:rsidP="00057057">
            <w:pPr>
              <w:pStyle w:val="Akapitzlist"/>
              <w:spacing w:line="240" w:lineRule="auto"/>
              <w:ind w:left="317"/>
              <w:jc w:val="both"/>
              <w:rPr>
                <w:rFonts w:ascii="Times New Roman" w:hAnsi="Times New Roman"/>
                <w:color w:val="000000"/>
                <w:sz w:val="21"/>
                <w:szCs w:val="21"/>
              </w:rPr>
            </w:pPr>
          </w:p>
          <w:p w14:paraId="5BDF68F1" w14:textId="77777777" w:rsidR="002F17CE" w:rsidRPr="00A71735" w:rsidRDefault="002F17CE" w:rsidP="00057057">
            <w:pPr>
              <w:pStyle w:val="Akapitzlist"/>
              <w:spacing w:line="240" w:lineRule="auto"/>
              <w:ind w:left="317"/>
              <w:jc w:val="both"/>
              <w:rPr>
                <w:rFonts w:ascii="Times New Roman" w:hAnsi="Times New Roman"/>
                <w:color w:val="000000"/>
                <w:sz w:val="21"/>
                <w:szCs w:val="21"/>
              </w:rPr>
            </w:pPr>
            <w:r w:rsidRPr="00A71735">
              <w:rPr>
                <w:rFonts w:ascii="Times New Roman" w:hAnsi="Times New Roman"/>
                <w:color w:val="000000"/>
                <w:sz w:val="21"/>
                <w:szCs w:val="21"/>
              </w:rPr>
              <w:t xml:space="preserve">W chwili obecnej w GIF udzielaniem zamówień zajmuje się jedna osoba. W jednostkach, które zostaną połączone nie ma stanowisk dedykowanych do udzielania zamówień publicznych ponieważ zamówienia te, ze względu na wartość nie podlegały ustawie PZP oraz są udzielane na podstawie odformalizowanych wewnętrznych procedur przez osoby zatrudnione w tych podmiotach na różnych stanowiskach (kadry, księgowość, administracja, WIF). Osoby dotychczas zatrudnione w tych podmiotach ze względu na brak wiedzy specjalistycznej nie będą mogły zostać oddelegowane w dalszym ciągu do pracy w tym zakresie. </w:t>
            </w:r>
          </w:p>
          <w:p w14:paraId="24C9D0B3" w14:textId="77777777" w:rsidR="002F17CE" w:rsidRPr="00A71735" w:rsidRDefault="002F17CE" w:rsidP="00057057">
            <w:pPr>
              <w:pStyle w:val="Akapitzlist"/>
              <w:spacing w:line="240" w:lineRule="auto"/>
              <w:ind w:left="317"/>
              <w:jc w:val="both"/>
              <w:rPr>
                <w:rFonts w:ascii="Times New Roman" w:hAnsi="Times New Roman"/>
                <w:color w:val="000000"/>
                <w:sz w:val="21"/>
                <w:szCs w:val="21"/>
              </w:rPr>
            </w:pPr>
          </w:p>
          <w:p w14:paraId="6D583320" w14:textId="77777777" w:rsidR="002F17CE" w:rsidRDefault="002F17CE" w:rsidP="00057057">
            <w:pPr>
              <w:pStyle w:val="Akapitzlist"/>
              <w:spacing w:line="240" w:lineRule="auto"/>
              <w:ind w:left="317"/>
              <w:jc w:val="both"/>
              <w:rPr>
                <w:rFonts w:ascii="Times New Roman" w:hAnsi="Times New Roman"/>
                <w:color w:val="000000"/>
                <w:sz w:val="21"/>
                <w:szCs w:val="21"/>
              </w:rPr>
            </w:pPr>
            <w:r w:rsidRPr="00A71735">
              <w:rPr>
                <w:rFonts w:ascii="Times New Roman" w:hAnsi="Times New Roman"/>
                <w:color w:val="000000"/>
                <w:sz w:val="21"/>
                <w:szCs w:val="21"/>
              </w:rPr>
              <w:t>Mając na uwadze to, że pion</w:t>
            </w:r>
            <w:r w:rsidR="0039391F">
              <w:rPr>
                <w:rFonts w:ascii="Times New Roman" w:hAnsi="Times New Roman"/>
                <w:color w:val="000000"/>
                <w:sz w:val="21"/>
                <w:szCs w:val="21"/>
              </w:rPr>
              <w:t>izacja spowoduje kilkukrotne (2–</w:t>
            </w:r>
            <w:r w:rsidRPr="00A71735">
              <w:rPr>
                <w:rFonts w:ascii="Times New Roman" w:hAnsi="Times New Roman"/>
                <w:color w:val="000000"/>
                <w:sz w:val="21"/>
                <w:szCs w:val="21"/>
              </w:rPr>
              <w:t>3) zwiększenie liczby udzielonyc</w:t>
            </w:r>
            <w:r w:rsidR="0039391F">
              <w:rPr>
                <w:rFonts w:ascii="Times New Roman" w:hAnsi="Times New Roman"/>
                <w:color w:val="000000"/>
                <w:sz w:val="21"/>
                <w:szCs w:val="21"/>
              </w:rPr>
              <w:t>h zamówień w trybie przetargów –</w:t>
            </w:r>
            <w:r w:rsidRPr="00A71735">
              <w:rPr>
                <w:rFonts w:ascii="Times New Roman" w:hAnsi="Times New Roman"/>
                <w:color w:val="000000"/>
                <w:sz w:val="21"/>
                <w:szCs w:val="21"/>
              </w:rPr>
              <w:t xml:space="preserve"> w celu zapewnienia prawidłowości udzielania zamówień publicznych niezbędne jest zwiększenie zatrudnienia w zakresie obsługi zamówień publicznych o 2 etaty.</w:t>
            </w:r>
          </w:p>
          <w:p w14:paraId="6BAE3321" w14:textId="77777777" w:rsidR="00FC0D2B" w:rsidRDefault="00FC0D2B" w:rsidP="00057057">
            <w:pPr>
              <w:pStyle w:val="Akapitzlist"/>
              <w:spacing w:line="240" w:lineRule="auto"/>
              <w:ind w:left="317"/>
              <w:jc w:val="both"/>
              <w:rPr>
                <w:rFonts w:ascii="Times New Roman" w:hAnsi="Times New Roman"/>
                <w:color w:val="000000"/>
                <w:sz w:val="21"/>
                <w:szCs w:val="21"/>
              </w:rPr>
            </w:pPr>
          </w:p>
          <w:p w14:paraId="14EC7765" w14:textId="77777777" w:rsidR="00FC0D2B" w:rsidRPr="00A71735" w:rsidRDefault="00FC0D2B" w:rsidP="00057057">
            <w:pPr>
              <w:pStyle w:val="Akapitzlist"/>
              <w:spacing w:line="240" w:lineRule="auto"/>
              <w:ind w:left="317"/>
              <w:jc w:val="both"/>
              <w:rPr>
                <w:rFonts w:ascii="Times New Roman" w:hAnsi="Times New Roman"/>
                <w:color w:val="000000"/>
                <w:sz w:val="21"/>
                <w:szCs w:val="21"/>
              </w:rPr>
            </w:pPr>
            <w:r w:rsidRPr="00FC0D2B">
              <w:rPr>
                <w:rFonts w:ascii="Times New Roman" w:hAnsi="Times New Roman"/>
                <w:color w:val="000000"/>
                <w:sz w:val="21"/>
                <w:szCs w:val="21"/>
              </w:rPr>
              <w:t>Dodatkowym zadaniem nałożonym na GIF</w:t>
            </w:r>
            <w:r>
              <w:rPr>
                <w:rFonts w:ascii="Times New Roman" w:hAnsi="Times New Roman"/>
                <w:color w:val="000000"/>
                <w:sz w:val="21"/>
                <w:szCs w:val="21"/>
              </w:rPr>
              <w:t xml:space="preserve"> </w:t>
            </w:r>
            <w:r w:rsidRPr="00FC0D2B">
              <w:rPr>
                <w:rFonts w:ascii="Times New Roman" w:hAnsi="Times New Roman"/>
                <w:color w:val="000000"/>
                <w:sz w:val="21"/>
                <w:szCs w:val="21"/>
              </w:rPr>
              <w:t xml:space="preserve">będzie zapewnienie właściwego zarządzania nieruchomościami (opłaty, ewidencja, przeglądy techniczne, remonty) przejętymi po  wojewódzkich inspektoratach farmaceutycznych, których obecnie GIF nie realizuje, a  wojewódzkie inspektoraty farmaceutyczne dokonują tych czynności za pośrednictwem wojewody.  GIF przejmie zarządzenie 53 siedzibami: 15 dotychczasowymi </w:t>
            </w:r>
            <w:r w:rsidR="00B47806">
              <w:rPr>
                <w:rFonts w:ascii="Times New Roman" w:hAnsi="Times New Roman"/>
                <w:color w:val="000000"/>
                <w:sz w:val="21"/>
                <w:szCs w:val="21"/>
              </w:rPr>
              <w:t>w</w:t>
            </w:r>
            <w:r w:rsidRPr="00FC0D2B">
              <w:rPr>
                <w:rFonts w:ascii="Times New Roman" w:hAnsi="Times New Roman"/>
                <w:color w:val="000000"/>
                <w:sz w:val="21"/>
                <w:szCs w:val="21"/>
              </w:rPr>
              <w:t xml:space="preserve">ojewódzkimi </w:t>
            </w:r>
            <w:r w:rsidR="00B47806">
              <w:rPr>
                <w:rFonts w:ascii="Times New Roman" w:hAnsi="Times New Roman"/>
                <w:color w:val="000000"/>
                <w:sz w:val="21"/>
                <w:szCs w:val="21"/>
              </w:rPr>
              <w:t>i</w:t>
            </w:r>
            <w:r w:rsidRPr="00FC0D2B">
              <w:rPr>
                <w:rFonts w:ascii="Times New Roman" w:hAnsi="Times New Roman"/>
                <w:color w:val="000000"/>
                <w:sz w:val="21"/>
                <w:szCs w:val="21"/>
              </w:rPr>
              <w:t xml:space="preserve">nspektoratami </w:t>
            </w:r>
            <w:r w:rsidR="00B47806">
              <w:rPr>
                <w:rFonts w:ascii="Times New Roman" w:hAnsi="Times New Roman"/>
                <w:color w:val="000000"/>
                <w:sz w:val="21"/>
                <w:szCs w:val="21"/>
              </w:rPr>
              <w:t>f</w:t>
            </w:r>
            <w:r w:rsidRPr="00FC0D2B">
              <w:rPr>
                <w:rFonts w:ascii="Times New Roman" w:hAnsi="Times New Roman"/>
                <w:color w:val="000000"/>
                <w:sz w:val="21"/>
                <w:szCs w:val="21"/>
              </w:rPr>
              <w:t>armaceutycznymi, 30 delegaturami oraz 8 laboratoriami, przy czym 10 z ww</w:t>
            </w:r>
            <w:r w:rsidR="00B47806">
              <w:rPr>
                <w:rFonts w:ascii="Times New Roman" w:hAnsi="Times New Roman"/>
                <w:color w:val="000000"/>
                <w:sz w:val="21"/>
                <w:szCs w:val="21"/>
              </w:rPr>
              <w:t>.</w:t>
            </w:r>
            <w:r w:rsidRPr="00FC0D2B">
              <w:rPr>
                <w:rFonts w:ascii="Times New Roman" w:hAnsi="Times New Roman"/>
                <w:color w:val="000000"/>
                <w:sz w:val="21"/>
                <w:szCs w:val="21"/>
              </w:rPr>
              <w:t xml:space="preserve"> siedzib pozostaje w trwałym zarządzie, 17 jest użytkowanych na podstawie umów najmu, a 26 w oparciu o umowę użyczenia. W celu zapewnienia efektywnego zarządzania ww</w:t>
            </w:r>
            <w:r w:rsidR="00B47806">
              <w:rPr>
                <w:rFonts w:ascii="Times New Roman" w:hAnsi="Times New Roman"/>
                <w:color w:val="000000"/>
                <w:sz w:val="21"/>
                <w:szCs w:val="21"/>
              </w:rPr>
              <w:t>.</w:t>
            </w:r>
            <w:r w:rsidRPr="00FC0D2B">
              <w:rPr>
                <w:rFonts w:ascii="Times New Roman" w:hAnsi="Times New Roman"/>
                <w:color w:val="000000"/>
                <w:sz w:val="21"/>
                <w:szCs w:val="21"/>
              </w:rPr>
              <w:t xml:space="preserve"> majątkiem niezbędne jest zwiększenie zatrudnienia o 2 etaty. </w:t>
            </w:r>
          </w:p>
          <w:p w14:paraId="4EAD21A7" w14:textId="77777777" w:rsidR="002F17CE" w:rsidRPr="00A71735" w:rsidRDefault="002F17CE" w:rsidP="00AA5865">
            <w:pPr>
              <w:pStyle w:val="Akapitzlist"/>
              <w:tabs>
                <w:tab w:val="left" w:pos="341"/>
              </w:tabs>
              <w:spacing w:line="240" w:lineRule="auto"/>
              <w:ind w:left="341"/>
              <w:jc w:val="both"/>
              <w:rPr>
                <w:rFonts w:ascii="Times New Roman" w:hAnsi="Times New Roman"/>
                <w:color w:val="000000"/>
                <w:sz w:val="21"/>
                <w:szCs w:val="21"/>
              </w:rPr>
            </w:pPr>
          </w:p>
          <w:p w14:paraId="62F0D3D7" w14:textId="77777777" w:rsidR="00AA5865" w:rsidRPr="00A71735" w:rsidRDefault="00AA5865" w:rsidP="00AA5865">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W ramach pionizacji nie przewidziano dodatkowych etatów do obsługi finansowo-księgowej spionizowanej inspekcji farmaceutycznej przyjmując założenie wykorzystania pracowników obecnych wojewódzkich inspektoratów farmaceutycznych. Przyjęto, że jakkolwiek stanowiska obecnie zatrudnionych głównych księgowych wojewódzkich inspektoratów farmaceutycznych ulegną likwidacji to pracownicy pełniący obecnie tę funkcję będą wykonywali w spionizowanej strukturze następujące funkcje:</w:t>
            </w:r>
          </w:p>
          <w:p w14:paraId="4BFBC695"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ewidencjonowanie wydatków i dochodów,</w:t>
            </w:r>
          </w:p>
          <w:p w14:paraId="14FE160D"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rozliczanie delegacji,</w:t>
            </w:r>
          </w:p>
          <w:p w14:paraId="72A0B4FB"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ewidencja majątku,</w:t>
            </w:r>
          </w:p>
          <w:p w14:paraId="1A4BED3C"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lastRenderedPageBreak/>
              <w:t xml:space="preserve">przekazywanie dokumentacji księgowej do Centrali GIF, </w:t>
            </w:r>
          </w:p>
          <w:p w14:paraId="6DD8C793"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sporządzanie planów budżetowych wydatków i dochodów oddziałów GIF oraz sprawozdawczości w tym zakresie,</w:t>
            </w:r>
          </w:p>
          <w:p w14:paraId="306D35C2"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wykonywanie różnego rodzaju analiz dot. działalności oddziałów GIF,</w:t>
            </w:r>
          </w:p>
          <w:p w14:paraId="68B427EB"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egzekucja należności,</w:t>
            </w:r>
          </w:p>
          <w:p w14:paraId="626C5768" w14:textId="77777777" w:rsidR="00AA5865" w:rsidRPr="00A71735" w:rsidRDefault="00AA5865" w:rsidP="00AA5865">
            <w:pPr>
              <w:pStyle w:val="Akapitzlist"/>
              <w:numPr>
                <w:ilvl w:val="0"/>
                <w:numId w:val="26"/>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prowadzenie wybranych zagadnień w ramach spraw kadrowo-płacowych.</w:t>
            </w:r>
          </w:p>
          <w:p w14:paraId="71622657" w14:textId="77777777" w:rsidR="00AA5865" w:rsidRPr="00A71735" w:rsidRDefault="00AA5865" w:rsidP="00AA5865">
            <w:pPr>
              <w:pStyle w:val="Akapitzlist"/>
              <w:tabs>
                <w:tab w:val="left" w:pos="341"/>
              </w:tabs>
              <w:spacing w:line="240" w:lineRule="auto"/>
              <w:ind w:left="341"/>
              <w:jc w:val="both"/>
              <w:rPr>
                <w:rFonts w:ascii="Times New Roman" w:hAnsi="Times New Roman"/>
                <w:color w:val="000000"/>
                <w:sz w:val="21"/>
                <w:szCs w:val="21"/>
              </w:rPr>
            </w:pPr>
          </w:p>
          <w:p w14:paraId="5D65D795" w14:textId="77777777" w:rsidR="002F17CE" w:rsidRPr="00A71735" w:rsidRDefault="002F17CE" w:rsidP="002F17CE">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 xml:space="preserve">W obecnej strukturze zatrudnienia w 2 z 16 wojewódzkich inspektoratów farmaceutycznych główni księgowi są zatrudnieni na część etatu, w pozostałych 14 na pełny etat.  </w:t>
            </w:r>
          </w:p>
          <w:p w14:paraId="270C5243" w14:textId="77777777" w:rsidR="00887204" w:rsidRPr="00A71735" w:rsidRDefault="002F17CE" w:rsidP="002F17CE">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Należy dodać, że w 7 z 16 wojewódzkich inspektoratów farmaceutycznych oprócz wykonywania funkcji głównego księgowego wykonują również inne zadania związane w szczególności z obsługą kadrowo-płacową, obsługą zakupów i obsługą majątku, a w pozostałych 9 z 16 wojewódzkich inspektoratów wykonują natomiast zadania związane wyłącznie z pełnieniem funkcji głównego księgowego.</w:t>
            </w:r>
          </w:p>
          <w:p w14:paraId="1EBC93BB" w14:textId="77777777" w:rsidR="00AA5865" w:rsidRPr="00A71735" w:rsidRDefault="00AA5865" w:rsidP="00887204">
            <w:pPr>
              <w:pStyle w:val="Akapitzlist"/>
              <w:tabs>
                <w:tab w:val="left" w:pos="341"/>
              </w:tabs>
              <w:spacing w:line="240" w:lineRule="auto"/>
              <w:ind w:left="341"/>
              <w:jc w:val="both"/>
              <w:rPr>
                <w:rFonts w:ascii="Times New Roman" w:hAnsi="Times New Roman"/>
                <w:color w:val="000000"/>
                <w:sz w:val="21"/>
                <w:szCs w:val="21"/>
              </w:rPr>
            </w:pPr>
          </w:p>
          <w:p w14:paraId="437C3A09" w14:textId="77777777" w:rsidR="00887204" w:rsidRPr="00A71735" w:rsidRDefault="00B53BBC" w:rsidP="00887204">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 xml:space="preserve">Dla </w:t>
            </w:r>
            <w:r w:rsidR="00AA5865" w:rsidRPr="00A71735">
              <w:rPr>
                <w:rFonts w:ascii="Times New Roman" w:hAnsi="Times New Roman"/>
                <w:color w:val="000000"/>
                <w:sz w:val="21"/>
                <w:szCs w:val="21"/>
              </w:rPr>
              <w:t>planowanych do zatrudnienia</w:t>
            </w:r>
            <w:r w:rsidR="00AA5865" w:rsidRPr="00A71735" w:rsidDel="00AA5865">
              <w:rPr>
                <w:rFonts w:ascii="Times New Roman" w:hAnsi="Times New Roman"/>
                <w:color w:val="000000"/>
                <w:sz w:val="21"/>
                <w:szCs w:val="21"/>
              </w:rPr>
              <w:t xml:space="preserve"> </w:t>
            </w:r>
            <w:r w:rsidR="00887204" w:rsidRPr="00A71735">
              <w:rPr>
                <w:rFonts w:ascii="Times New Roman" w:hAnsi="Times New Roman"/>
                <w:color w:val="000000"/>
                <w:sz w:val="21"/>
                <w:szCs w:val="21"/>
              </w:rPr>
              <w:t>pracowników przewidziano jednorazowe koszty utworzenia stanowiska pracy obejmujące koszty sprzętu komputerowego, licencji oraz wyposażenia oraz koszty stałe rzeczowe związane z utrzymaniem miejsca pracy obejmujące w szczególności wynajem powierzchni biurowej, koszty usług telekomunikacyjnych i Internetu, artykułów biurowych oraz konserwacji sprzętu. W kosztach działalności przewidziano koszty związane w szczególności z</w:t>
            </w:r>
            <w:r w:rsidR="00D2667A" w:rsidRPr="00A71735">
              <w:rPr>
                <w:rFonts w:ascii="Times New Roman" w:hAnsi="Times New Roman"/>
                <w:color w:val="000000"/>
                <w:sz w:val="21"/>
                <w:szCs w:val="21"/>
              </w:rPr>
              <w:t> </w:t>
            </w:r>
            <w:r w:rsidR="00887204" w:rsidRPr="00A71735">
              <w:rPr>
                <w:rFonts w:ascii="Times New Roman" w:hAnsi="Times New Roman"/>
                <w:color w:val="000000"/>
                <w:sz w:val="21"/>
                <w:szCs w:val="21"/>
              </w:rPr>
              <w:t xml:space="preserve">delegacjami służbowymi, szkoleniami wewnętrznymi oraz zewnętrznymi z uwzględnieniem szkoleń specjalistycznych dla inspektorów, jak również koszty postępowań sądowych.  </w:t>
            </w:r>
          </w:p>
          <w:p w14:paraId="0FCB4197" w14:textId="77777777" w:rsidR="008B212C" w:rsidRPr="00A71735" w:rsidRDefault="008B212C" w:rsidP="008B212C">
            <w:pPr>
              <w:pStyle w:val="Akapitzlist"/>
              <w:tabs>
                <w:tab w:val="left" w:pos="341"/>
              </w:tabs>
              <w:spacing w:line="240" w:lineRule="auto"/>
              <w:ind w:left="341"/>
              <w:jc w:val="both"/>
              <w:rPr>
                <w:rFonts w:ascii="Times New Roman" w:hAnsi="Times New Roman"/>
                <w:color w:val="000000"/>
                <w:sz w:val="21"/>
                <w:szCs w:val="21"/>
              </w:rPr>
            </w:pPr>
          </w:p>
          <w:p w14:paraId="039FFAED" w14:textId="77777777" w:rsidR="008B212C" w:rsidRPr="00A71735" w:rsidRDefault="008B212C" w:rsidP="008B212C">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W związku ze zniesieniem odwołań od decyzji administracyjnych GIF będzie realizować zadania związane z rozpatrywaniem wniosków o ponowne rozpatrzenie sprawy w odniesieniu do decyzji administracyjnych wydanych przez wojewódzkich inspektorów farmaceutycznych z</w:t>
            </w:r>
            <w:r w:rsidR="00AB666B" w:rsidRPr="00A71735">
              <w:rPr>
                <w:rFonts w:ascii="Times New Roman" w:hAnsi="Times New Roman"/>
                <w:color w:val="000000"/>
                <w:sz w:val="21"/>
                <w:szCs w:val="21"/>
              </w:rPr>
              <w:t> </w:t>
            </w:r>
            <w:r w:rsidRPr="00A71735">
              <w:rPr>
                <w:rFonts w:ascii="Times New Roman" w:hAnsi="Times New Roman"/>
                <w:color w:val="000000"/>
                <w:sz w:val="21"/>
                <w:szCs w:val="21"/>
              </w:rPr>
              <w:t xml:space="preserve">upoważnienia Głównego Inspektora Farmaceutycznego. W związku z tym niezbędne jest zapewnienie obsługi prawnej dla tych postępowań, a zatem zatrudnienie nowych pracowników w GIF. Niezbędny poziom zatrudnienia w wysokości </w:t>
            </w:r>
            <w:r w:rsidR="000A33D7" w:rsidRPr="00A71735">
              <w:rPr>
                <w:rFonts w:ascii="Times New Roman" w:hAnsi="Times New Roman"/>
                <w:color w:val="000000"/>
                <w:sz w:val="21"/>
                <w:szCs w:val="21"/>
              </w:rPr>
              <w:t xml:space="preserve">10 </w:t>
            </w:r>
            <w:r w:rsidRPr="00A71735">
              <w:rPr>
                <w:rFonts w:ascii="Times New Roman" w:hAnsi="Times New Roman"/>
                <w:color w:val="000000"/>
                <w:sz w:val="21"/>
                <w:szCs w:val="21"/>
              </w:rPr>
              <w:t>etatów przyjęto uwzględniając możliwość wykorzystania do wykonywania ww. obowiązków pracowników zatrudnionych w</w:t>
            </w:r>
            <w:r w:rsidR="00AB666B" w:rsidRPr="00A71735">
              <w:rPr>
                <w:rFonts w:ascii="Times New Roman" w:hAnsi="Times New Roman"/>
                <w:color w:val="000000"/>
                <w:sz w:val="21"/>
                <w:szCs w:val="21"/>
              </w:rPr>
              <w:t> </w:t>
            </w:r>
            <w:r w:rsidRPr="00A71735">
              <w:rPr>
                <w:rFonts w:ascii="Times New Roman" w:hAnsi="Times New Roman"/>
                <w:color w:val="000000"/>
                <w:sz w:val="21"/>
                <w:szCs w:val="21"/>
              </w:rPr>
              <w:t>wojewódzkich inspektoratach farmaceutycznych. Należy zauważyć, że jedynie 50% wojewódzkich inspektoratów farmaceutycznych posiada pełen etat radcy prawnego, 25% posiada część etatów, a kolejne 25% nie posiada obsługi prawnej zatrudnionej na etacie.</w:t>
            </w:r>
          </w:p>
          <w:p w14:paraId="2B6A0B00" w14:textId="77777777" w:rsidR="008B212C" w:rsidRPr="00A71735" w:rsidRDefault="008B212C" w:rsidP="008B212C">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 xml:space="preserve">Przyjęto, że w centrali GIF zatrudnionych zostanie </w:t>
            </w:r>
            <w:r w:rsidR="000A33D7" w:rsidRPr="00A71735">
              <w:rPr>
                <w:rFonts w:ascii="Times New Roman" w:hAnsi="Times New Roman"/>
                <w:color w:val="000000"/>
                <w:sz w:val="21"/>
                <w:szCs w:val="21"/>
              </w:rPr>
              <w:t xml:space="preserve">10 </w:t>
            </w:r>
            <w:r w:rsidRPr="00A71735">
              <w:rPr>
                <w:rFonts w:ascii="Times New Roman" w:hAnsi="Times New Roman"/>
                <w:color w:val="000000"/>
                <w:sz w:val="21"/>
                <w:szCs w:val="21"/>
              </w:rPr>
              <w:t xml:space="preserve">pracowników w Departamencie Prawnym. Podkreślić należy, że niezwykle istotną kwestią jest zapewnienie jednolitej linii orzeczniczej w ramach Państwowej Inspekcji Farmaceutycznej. Dlatego centrala GIF będzie nadzorować proces wydawania decyzji przez oddziały terenowe GIF, do czego konieczne jest zatrudnienie przynajmniej </w:t>
            </w:r>
            <w:r w:rsidR="000A33D7" w:rsidRPr="00A71735">
              <w:rPr>
                <w:rFonts w:ascii="Times New Roman" w:hAnsi="Times New Roman"/>
                <w:color w:val="000000"/>
                <w:sz w:val="21"/>
                <w:szCs w:val="21"/>
              </w:rPr>
              <w:t>10 pracowników obsługujących oddziały terenowe Głównego Inspektoratu Farmaceutycznego</w:t>
            </w:r>
            <w:r w:rsidRPr="00A71735">
              <w:rPr>
                <w:rFonts w:ascii="Times New Roman" w:hAnsi="Times New Roman"/>
                <w:color w:val="000000"/>
                <w:sz w:val="21"/>
                <w:szCs w:val="21"/>
              </w:rPr>
              <w:t>. Dotychczas nadzór GIF nad wojewódzkimi inspektoratami farmaceutycznymi w zakresie obsługi prawnej polegał na rozpatrywaniu odwołań od decyzji wydawanych przez wojewódzkich inspektorów farmaceutycznych, jako organ drugiej instancji. Zgodnie z przyjętymi założeniami GIF będzie uczestniczył w postępowaniach administracyjnych już w pierwszej instancji, co generuje konieczność zatrudnienia nowych pracowników do obsługi prawnej. Brak zatrudnienia dodatkowych pracowników uniemożliwi właściwe wykonywanie zadań i przyczyni się do tego, że nadzór nad postępowaniami prowadzonymi przez oddziały terenowe będzie niemożliwy, co jak wskazano powyżej, utrudni zachowanie spójności prowadzenia postępowań administracyjnych i jednolitości wydawanych rozstrzygnięć.</w:t>
            </w:r>
          </w:p>
          <w:p w14:paraId="1E34BB9F" w14:textId="77777777" w:rsidR="00887204" w:rsidRPr="00A71735" w:rsidRDefault="00887204" w:rsidP="00887204">
            <w:pPr>
              <w:pStyle w:val="Akapitzlist"/>
              <w:tabs>
                <w:tab w:val="left" w:pos="341"/>
              </w:tabs>
              <w:spacing w:line="240" w:lineRule="auto"/>
              <w:ind w:left="341" w:hanging="341"/>
              <w:jc w:val="both"/>
              <w:rPr>
                <w:rFonts w:ascii="Times New Roman" w:hAnsi="Times New Roman"/>
                <w:color w:val="000000"/>
                <w:sz w:val="21"/>
                <w:szCs w:val="21"/>
              </w:rPr>
            </w:pPr>
          </w:p>
          <w:p w14:paraId="680E7436" w14:textId="77777777" w:rsidR="00887204" w:rsidRPr="00A71735" w:rsidRDefault="00887204" w:rsidP="00EC56B5">
            <w:pPr>
              <w:pStyle w:val="Akapitzlist"/>
              <w:numPr>
                <w:ilvl w:val="0"/>
                <w:numId w:val="25"/>
              </w:numPr>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Wydatki na wynagrodzenia zostały oszacowane w następujący sposób:</w:t>
            </w:r>
          </w:p>
          <w:p w14:paraId="0D8D3754" w14:textId="77777777" w:rsidR="00887204" w:rsidRPr="00A71735" w:rsidRDefault="00887204" w:rsidP="009F4B87">
            <w:pPr>
              <w:pStyle w:val="Akapitzlist"/>
              <w:numPr>
                <w:ilvl w:val="0"/>
                <w:numId w:val="27"/>
              </w:numPr>
              <w:spacing w:line="240" w:lineRule="auto"/>
              <w:ind w:left="1023" w:hanging="281"/>
              <w:jc w:val="both"/>
              <w:rPr>
                <w:rFonts w:ascii="Times New Roman" w:hAnsi="Times New Roman"/>
                <w:color w:val="000000"/>
                <w:sz w:val="21"/>
                <w:szCs w:val="21"/>
              </w:rPr>
            </w:pPr>
            <w:r w:rsidRPr="00A71735">
              <w:rPr>
                <w:rFonts w:ascii="Times New Roman" w:hAnsi="Times New Roman"/>
                <w:color w:val="000000"/>
                <w:sz w:val="21"/>
                <w:szCs w:val="21"/>
              </w:rPr>
              <w:t xml:space="preserve">dla nowozatrudnianych pracowników centrali </w:t>
            </w:r>
            <w:r w:rsidR="003F2A46" w:rsidRPr="00A71735">
              <w:rPr>
                <w:rFonts w:ascii="Times New Roman" w:hAnsi="Times New Roman"/>
                <w:color w:val="000000"/>
                <w:spacing w:val="-2"/>
              </w:rPr>
              <w:t>GIF</w:t>
            </w:r>
            <w:r w:rsidRPr="00A71735">
              <w:rPr>
                <w:rFonts w:ascii="Times New Roman" w:hAnsi="Times New Roman"/>
                <w:color w:val="000000"/>
                <w:sz w:val="21"/>
                <w:szCs w:val="21"/>
              </w:rPr>
              <w:t xml:space="preserve"> przyjęto wartość średniego wynagrodzenia dla służby cywilnej wynikającą ze sprawozdania Rb-70 za IV kwartały 2021 r. po pomniejszeniu o</w:t>
            </w:r>
            <w:r w:rsidR="00676A30" w:rsidRPr="00A71735">
              <w:rPr>
                <w:rFonts w:ascii="Times New Roman" w:hAnsi="Times New Roman"/>
                <w:color w:val="000000"/>
                <w:sz w:val="21"/>
                <w:szCs w:val="21"/>
              </w:rPr>
              <w:t> </w:t>
            </w:r>
            <w:r w:rsidRPr="00A71735">
              <w:rPr>
                <w:rFonts w:ascii="Times New Roman" w:hAnsi="Times New Roman"/>
                <w:color w:val="000000"/>
                <w:sz w:val="21"/>
                <w:szCs w:val="21"/>
              </w:rPr>
              <w:t>dodatkowe środki na wynagrodzenia otrzymane w 2021 r</w:t>
            </w:r>
            <w:r w:rsidR="00DC102B" w:rsidRPr="00A71735">
              <w:rPr>
                <w:rFonts w:ascii="Times New Roman" w:hAnsi="Times New Roman"/>
                <w:color w:val="000000"/>
                <w:sz w:val="21"/>
                <w:szCs w:val="21"/>
              </w:rPr>
              <w:t>.</w:t>
            </w:r>
            <w:r w:rsidRPr="00A71735">
              <w:rPr>
                <w:rFonts w:ascii="Times New Roman" w:hAnsi="Times New Roman"/>
                <w:color w:val="000000"/>
                <w:sz w:val="21"/>
                <w:szCs w:val="21"/>
              </w:rPr>
              <w:t xml:space="preserve"> z</w:t>
            </w:r>
            <w:r w:rsidR="00A47DE6" w:rsidRPr="00A71735">
              <w:rPr>
                <w:rFonts w:ascii="Times New Roman" w:hAnsi="Times New Roman"/>
                <w:color w:val="000000"/>
                <w:sz w:val="21"/>
                <w:szCs w:val="21"/>
              </w:rPr>
              <w:t> </w:t>
            </w:r>
            <w:r w:rsidRPr="00A71735">
              <w:rPr>
                <w:rFonts w:ascii="Times New Roman" w:hAnsi="Times New Roman"/>
                <w:color w:val="000000"/>
                <w:sz w:val="21"/>
                <w:szCs w:val="21"/>
              </w:rPr>
              <w:t>Ministerstwa Finansów oraz Ministerstwa Zdrowia</w:t>
            </w:r>
            <w:r w:rsidR="00106AA0">
              <w:rPr>
                <w:rFonts w:ascii="Times New Roman" w:hAnsi="Times New Roman"/>
                <w:color w:val="000000"/>
                <w:sz w:val="21"/>
                <w:szCs w:val="21"/>
              </w:rPr>
              <w:t xml:space="preserve"> </w:t>
            </w:r>
          </w:p>
          <w:p w14:paraId="7D9040B8" w14:textId="77777777" w:rsidR="00887204" w:rsidRPr="00A71735" w:rsidRDefault="00887204" w:rsidP="009F4B87">
            <w:pPr>
              <w:pStyle w:val="Akapitzlist"/>
              <w:numPr>
                <w:ilvl w:val="0"/>
                <w:numId w:val="27"/>
              </w:numPr>
              <w:spacing w:line="240" w:lineRule="auto"/>
              <w:ind w:left="1023" w:hanging="281"/>
              <w:jc w:val="both"/>
              <w:rPr>
                <w:rFonts w:ascii="Times New Roman" w:hAnsi="Times New Roman"/>
                <w:color w:val="000000"/>
                <w:sz w:val="21"/>
                <w:szCs w:val="21"/>
              </w:rPr>
            </w:pPr>
            <w:r w:rsidRPr="00A71735">
              <w:rPr>
                <w:rFonts w:ascii="Times New Roman" w:hAnsi="Times New Roman"/>
                <w:color w:val="000000"/>
                <w:sz w:val="21"/>
                <w:szCs w:val="21"/>
              </w:rPr>
              <w:t xml:space="preserve">dla nowozatrudnianych inspektorów farmaceutycznych na poziomie oddziałów </w:t>
            </w:r>
            <w:r w:rsidR="003F2A46" w:rsidRPr="00A71735">
              <w:rPr>
                <w:rFonts w:ascii="Times New Roman" w:hAnsi="Times New Roman"/>
                <w:color w:val="000000"/>
                <w:sz w:val="21"/>
                <w:szCs w:val="21"/>
              </w:rPr>
              <w:t>GIF</w:t>
            </w:r>
            <w:r w:rsidRPr="00A71735">
              <w:rPr>
                <w:rFonts w:ascii="Times New Roman" w:hAnsi="Times New Roman"/>
                <w:color w:val="000000"/>
                <w:sz w:val="21"/>
                <w:szCs w:val="21"/>
              </w:rPr>
              <w:t xml:space="preserve"> wartość wynagrodzenia przyjęto na podstawie średniego wynagrodzenia dla służby cywilnej wynikającą ze sprawozdań Rb-70 wojewódzkich inspektoratów farmaceutycznych za IV kwartały 2021 r</w:t>
            </w:r>
            <w:r w:rsidR="00DC102B" w:rsidRPr="00A71735">
              <w:rPr>
                <w:rFonts w:ascii="Times New Roman" w:hAnsi="Times New Roman"/>
                <w:color w:val="000000"/>
                <w:sz w:val="21"/>
                <w:szCs w:val="21"/>
              </w:rPr>
              <w:t>.</w:t>
            </w:r>
            <w:r w:rsidR="00106AA0">
              <w:rPr>
                <w:rFonts w:ascii="Times New Roman" w:hAnsi="Times New Roman"/>
                <w:color w:val="000000"/>
                <w:sz w:val="21"/>
                <w:szCs w:val="21"/>
              </w:rPr>
              <w:t xml:space="preserve"> </w:t>
            </w:r>
          </w:p>
          <w:p w14:paraId="220FBD52" w14:textId="77777777" w:rsidR="00887204" w:rsidRPr="00A71735" w:rsidRDefault="00887204" w:rsidP="00887204">
            <w:pPr>
              <w:pStyle w:val="Akapitzlist"/>
              <w:spacing w:line="240" w:lineRule="auto"/>
              <w:ind w:left="199"/>
              <w:jc w:val="both"/>
              <w:rPr>
                <w:rFonts w:ascii="Times New Roman" w:hAnsi="Times New Roman"/>
                <w:color w:val="000000"/>
                <w:sz w:val="21"/>
                <w:szCs w:val="21"/>
              </w:rPr>
            </w:pPr>
          </w:p>
          <w:p w14:paraId="50DEAA9C" w14:textId="77777777" w:rsidR="00887204" w:rsidRPr="00A71735" w:rsidRDefault="00887204" w:rsidP="0068624E">
            <w:pPr>
              <w:pStyle w:val="Akapitzlist"/>
              <w:spacing w:line="240" w:lineRule="auto"/>
              <w:ind w:left="324"/>
              <w:jc w:val="both"/>
              <w:rPr>
                <w:rFonts w:ascii="Times New Roman" w:hAnsi="Times New Roman"/>
                <w:color w:val="000000"/>
                <w:sz w:val="21"/>
                <w:szCs w:val="21"/>
              </w:rPr>
            </w:pPr>
            <w:r w:rsidRPr="00A71735">
              <w:rPr>
                <w:rFonts w:ascii="Times New Roman" w:hAnsi="Times New Roman"/>
                <w:color w:val="000000"/>
                <w:sz w:val="21"/>
                <w:szCs w:val="21"/>
              </w:rPr>
              <w:t>Kalkulując pochodne od wynagrodzeń przyjęto wysokość obciążeń pracodawcy na poziomie 19,55%.</w:t>
            </w:r>
          </w:p>
          <w:p w14:paraId="094408E1" w14:textId="77777777" w:rsidR="00AA5865" w:rsidRPr="00A71735" w:rsidRDefault="00AA5865" w:rsidP="00AA5865">
            <w:pPr>
              <w:pStyle w:val="Akapitzlist"/>
              <w:spacing w:line="240" w:lineRule="auto"/>
              <w:ind w:left="324"/>
              <w:jc w:val="both"/>
              <w:rPr>
                <w:rFonts w:ascii="Times New Roman" w:hAnsi="Times New Roman"/>
                <w:color w:val="000000"/>
                <w:sz w:val="21"/>
                <w:szCs w:val="21"/>
              </w:rPr>
            </w:pPr>
            <w:r w:rsidRPr="00A71735">
              <w:rPr>
                <w:rFonts w:ascii="Times New Roman" w:hAnsi="Times New Roman"/>
                <w:color w:val="000000"/>
                <w:sz w:val="21"/>
                <w:szCs w:val="21"/>
              </w:rPr>
              <w:t>Wydatki na wynagrodzenia z obciążeniami pracodawcy wraz z PPK wyliczone wg powyższych założeń będą kształtowały się w sposób następujący:</w:t>
            </w:r>
          </w:p>
          <w:p w14:paraId="121549ED" w14:textId="77777777" w:rsidR="00AA5865" w:rsidRPr="00A71735" w:rsidRDefault="00AA5865" w:rsidP="009F4B87">
            <w:pPr>
              <w:pStyle w:val="Akapitzlist"/>
              <w:numPr>
                <w:ilvl w:val="0"/>
                <w:numId w:val="27"/>
              </w:numPr>
              <w:spacing w:line="240" w:lineRule="auto"/>
              <w:ind w:left="1023" w:hanging="281"/>
              <w:jc w:val="both"/>
              <w:rPr>
                <w:rFonts w:ascii="Times New Roman" w:hAnsi="Times New Roman"/>
                <w:color w:val="000000"/>
                <w:sz w:val="21"/>
                <w:szCs w:val="21"/>
              </w:rPr>
            </w:pPr>
            <w:r w:rsidRPr="00A71735">
              <w:rPr>
                <w:rFonts w:ascii="Times New Roman" w:hAnsi="Times New Roman"/>
                <w:color w:val="000000"/>
                <w:sz w:val="21"/>
                <w:szCs w:val="21"/>
              </w:rPr>
              <w:t>dla nowozatrudnianych 14 pracowników centrali GIF wynagrodzenie miesięczne brutto w</w:t>
            </w:r>
            <w:r w:rsidR="00A10094">
              <w:rPr>
                <w:rFonts w:ascii="Times New Roman" w:hAnsi="Times New Roman"/>
                <w:color w:val="000000"/>
                <w:sz w:val="21"/>
                <w:szCs w:val="21"/>
              </w:rPr>
              <w:t> </w:t>
            </w:r>
            <w:r w:rsidRPr="00A71735">
              <w:rPr>
                <w:rFonts w:ascii="Times New Roman" w:hAnsi="Times New Roman"/>
                <w:color w:val="000000"/>
                <w:sz w:val="21"/>
                <w:szCs w:val="21"/>
              </w:rPr>
              <w:t>wysokości 8.831 zł, z uwzględnieniem obciążeń pracodawcy wraz z PPK – w ujęciu rocznym kwota 1,9 mln. zł,</w:t>
            </w:r>
          </w:p>
          <w:p w14:paraId="55C1C6B0" w14:textId="77777777" w:rsidR="00AA5865" w:rsidRPr="00A71735" w:rsidRDefault="00AA5865" w:rsidP="009F4B87">
            <w:pPr>
              <w:pStyle w:val="Akapitzlist"/>
              <w:numPr>
                <w:ilvl w:val="0"/>
                <w:numId w:val="27"/>
              </w:numPr>
              <w:spacing w:line="240" w:lineRule="auto"/>
              <w:ind w:left="1023" w:hanging="281"/>
              <w:jc w:val="both"/>
              <w:rPr>
                <w:rFonts w:ascii="Times New Roman" w:hAnsi="Times New Roman"/>
                <w:color w:val="000000"/>
                <w:sz w:val="21"/>
                <w:szCs w:val="21"/>
              </w:rPr>
            </w:pPr>
            <w:r w:rsidRPr="00A71735">
              <w:rPr>
                <w:rFonts w:ascii="Times New Roman" w:hAnsi="Times New Roman"/>
                <w:color w:val="000000"/>
                <w:sz w:val="21"/>
                <w:szCs w:val="21"/>
              </w:rPr>
              <w:t xml:space="preserve">dla nowozatrudnianych inspektorów farmaceutycznych w oddziałach GIF wynagrodzenie miesięczne brutto w wysokości 6.362 zł, z uwzględnieniem obciążeń pracodawcy wraz z PPK – w ujęciu rocznym kwota </w:t>
            </w:r>
            <w:r w:rsidR="0027652F">
              <w:rPr>
                <w:rFonts w:ascii="Times New Roman" w:hAnsi="Times New Roman"/>
                <w:color w:val="000000"/>
                <w:sz w:val="21"/>
                <w:szCs w:val="21"/>
              </w:rPr>
              <w:t xml:space="preserve">1,6 </w:t>
            </w:r>
            <w:r w:rsidRPr="00A71735">
              <w:rPr>
                <w:rFonts w:ascii="Times New Roman" w:hAnsi="Times New Roman"/>
                <w:color w:val="000000"/>
                <w:sz w:val="21"/>
                <w:szCs w:val="21"/>
              </w:rPr>
              <w:t>mln. zł,</w:t>
            </w:r>
          </w:p>
          <w:p w14:paraId="05F0339E" w14:textId="77777777" w:rsidR="00AA5865" w:rsidRPr="00A71735" w:rsidRDefault="00AA5865" w:rsidP="00057057">
            <w:pPr>
              <w:pStyle w:val="Akapitzlist"/>
              <w:spacing w:line="240" w:lineRule="auto"/>
              <w:ind w:left="0"/>
              <w:jc w:val="both"/>
              <w:rPr>
                <w:rFonts w:ascii="Times New Roman" w:hAnsi="Times New Roman"/>
                <w:color w:val="000000"/>
                <w:sz w:val="21"/>
                <w:szCs w:val="21"/>
              </w:rPr>
            </w:pPr>
          </w:p>
          <w:p w14:paraId="6AF8FA87" w14:textId="77777777" w:rsidR="00887204" w:rsidRPr="00A71735" w:rsidRDefault="00887204" w:rsidP="00EC56B5">
            <w:pPr>
              <w:pStyle w:val="Akapitzlist"/>
              <w:numPr>
                <w:ilvl w:val="0"/>
                <w:numId w:val="25"/>
              </w:numPr>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lastRenderedPageBreak/>
              <w:t xml:space="preserve">W roku zerowym założono poniesienie wydatków związanych z infrastrukturą informatyczną koniecznych do włączenia wojewódzkich inspektoratów farmaceutycznych w struktury </w:t>
            </w:r>
            <w:r w:rsidR="003F2A46" w:rsidRPr="00A71735">
              <w:rPr>
                <w:rFonts w:ascii="Times New Roman" w:hAnsi="Times New Roman"/>
                <w:color w:val="000000"/>
                <w:sz w:val="21"/>
                <w:szCs w:val="21"/>
              </w:rPr>
              <w:t>GIF</w:t>
            </w:r>
            <w:r w:rsidRPr="00A71735">
              <w:rPr>
                <w:rFonts w:ascii="Times New Roman" w:hAnsi="Times New Roman"/>
                <w:color w:val="000000"/>
                <w:sz w:val="21"/>
                <w:szCs w:val="21"/>
              </w:rPr>
              <w:t xml:space="preserve"> w</w:t>
            </w:r>
            <w:r w:rsidR="00A10094">
              <w:rPr>
                <w:rFonts w:ascii="Times New Roman" w:hAnsi="Times New Roman"/>
                <w:color w:val="000000"/>
                <w:sz w:val="21"/>
                <w:szCs w:val="21"/>
              </w:rPr>
              <w:t> </w:t>
            </w:r>
            <w:r w:rsidRPr="00A71735">
              <w:rPr>
                <w:rFonts w:ascii="Times New Roman" w:hAnsi="Times New Roman"/>
                <w:color w:val="000000"/>
                <w:sz w:val="21"/>
                <w:szCs w:val="21"/>
              </w:rPr>
              <w:t>wysokości 2,</w:t>
            </w:r>
            <w:r w:rsidR="0027652F">
              <w:rPr>
                <w:rFonts w:ascii="Times New Roman" w:hAnsi="Times New Roman"/>
                <w:color w:val="000000"/>
                <w:sz w:val="21"/>
                <w:szCs w:val="21"/>
              </w:rPr>
              <w:t>7</w:t>
            </w:r>
            <w:r w:rsidR="0027652F" w:rsidRPr="00A71735">
              <w:rPr>
                <w:rFonts w:ascii="Times New Roman" w:hAnsi="Times New Roman"/>
                <w:color w:val="000000"/>
                <w:sz w:val="21"/>
                <w:szCs w:val="21"/>
              </w:rPr>
              <w:t xml:space="preserve"> </w:t>
            </w:r>
            <w:r w:rsidRPr="00A71735">
              <w:rPr>
                <w:rFonts w:ascii="Times New Roman" w:hAnsi="Times New Roman"/>
                <w:color w:val="000000"/>
                <w:sz w:val="21"/>
                <w:szCs w:val="21"/>
              </w:rPr>
              <w:t xml:space="preserve">mln zł przed wejściem w życie ustawy, natomiast po wejściu w życie ustawy pozostałych wydatków w tym zakresie w łącznej oszacowanej wysokości </w:t>
            </w:r>
            <w:r w:rsidR="00195D5D" w:rsidRPr="00A71735">
              <w:rPr>
                <w:rFonts w:ascii="Times New Roman" w:hAnsi="Times New Roman"/>
                <w:color w:val="000000"/>
                <w:sz w:val="21"/>
                <w:szCs w:val="21"/>
              </w:rPr>
              <w:t>539</w:t>
            </w:r>
            <w:r w:rsidRPr="00A71735">
              <w:rPr>
                <w:rFonts w:ascii="Times New Roman" w:hAnsi="Times New Roman"/>
                <w:color w:val="000000"/>
                <w:sz w:val="21"/>
                <w:szCs w:val="21"/>
              </w:rPr>
              <w:t xml:space="preserve"> tys. zł.</w:t>
            </w:r>
          </w:p>
          <w:p w14:paraId="6CB00DD8" w14:textId="77777777" w:rsidR="00887204" w:rsidRPr="00A71735" w:rsidRDefault="00887204" w:rsidP="00887204">
            <w:pPr>
              <w:pStyle w:val="Akapitzlist"/>
              <w:spacing w:line="240" w:lineRule="auto"/>
              <w:ind w:left="340"/>
              <w:jc w:val="both"/>
              <w:rPr>
                <w:rFonts w:ascii="Times New Roman" w:hAnsi="Times New Roman"/>
                <w:color w:val="000000"/>
                <w:sz w:val="21"/>
                <w:szCs w:val="21"/>
              </w:rPr>
            </w:pPr>
          </w:p>
          <w:p w14:paraId="390FFA9A" w14:textId="77777777" w:rsidR="00887204" w:rsidRPr="00A71735" w:rsidRDefault="00887204" w:rsidP="00EC56B5">
            <w:pPr>
              <w:pStyle w:val="Akapitzlist"/>
              <w:numPr>
                <w:ilvl w:val="0"/>
                <w:numId w:val="25"/>
              </w:numPr>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W związku z użytkowaniem przez wojewódzkie inspektoraty farmaceutyczne części siedzib na podstawie nieodpłatnych umów użyczenia przyjęto konieczność poniesienia wydatków związanych z koniecznością wynajęcia tych lokali na zasadach komercyjnych na lokalnych warunkach rynkowych (koszty najmu wraz z kosztami eksploatacji).</w:t>
            </w:r>
            <w:r w:rsidR="00AE5893">
              <w:rPr>
                <w:rFonts w:ascii="Times New Roman" w:hAnsi="Times New Roman"/>
                <w:color w:val="000000"/>
                <w:sz w:val="21"/>
                <w:szCs w:val="21"/>
              </w:rPr>
              <w:t xml:space="preserve"> W chwili obecnej wojewódzkie inspektoraty farmaceutyczne mają swoje siedziby przy urzędach wojewódzkich. Docelowo, z uwagi na pionizację inspekcji, nastąpi zmiana siedzib na odrębne</w:t>
            </w:r>
            <w:r w:rsidR="00FD1E8A">
              <w:rPr>
                <w:rFonts w:ascii="Times New Roman" w:hAnsi="Times New Roman"/>
                <w:color w:val="000000"/>
                <w:sz w:val="21"/>
                <w:szCs w:val="21"/>
              </w:rPr>
              <w:t xml:space="preserve"> od tych urzędów.</w:t>
            </w:r>
          </w:p>
          <w:p w14:paraId="350DA569" w14:textId="77777777" w:rsidR="00887204" w:rsidRPr="00A71735" w:rsidRDefault="00887204" w:rsidP="00887204">
            <w:pPr>
              <w:pStyle w:val="Akapitzlist"/>
              <w:spacing w:line="240" w:lineRule="auto"/>
              <w:ind w:left="340"/>
              <w:jc w:val="both"/>
              <w:rPr>
                <w:rFonts w:ascii="Times New Roman" w:hAnsi="Times New Roman"/>
                <w:color w:val="000000"/>
                <w:sz w:val="21"/>
                <w:szCs w:val="21"/>
              </w:rPr>
            </w:pPr>
          </w:p>
          <w:p w14:paraId="678F8136" w14:textId="77777777" w:rsidR="00887204" w:rsidRPr="00A71735" w:rsidRDefault="00887204" w:rsidP="00EC56B5">
            <w:pPr>
              <w:pStyle w:val="Akapitzlist"/>
              <w:numPr>
                <w:ilvl w:val="0"/>
                <w:numId w:val="25"/>
              </w:numPr>
              <w:spacing w:line="240" w:lineRule="auto"/>
              <w:jc w:val="both"/>
              <w:rPr>
                <w:rFonts w:ascii="Times New Roman" w:hAnsi="Times New Roman"/>
                <w:color w:val="000000"/>
                <w:sz w:val="21"/>
                <w:szCs w:val="21"/>
              </w:rPr>
            </w:pPr>
            <w:r w:rsidRPr="00A71735">
              <w:rPr>
                <w:rFonts w:ascii="Times New Roman" w:hAnsi="Times New Roman"/>
                <w:color w:val="000000"/>
                <w:sz w:val="21"/>
                <w:szCs w:val="21"/>
              </w:rPr>
              <w:t xml:space="preserve">Szacując skutki finansowe wprowadzanych zmian przyjęto poziom cen z </w:t>
            </w:r>
            <w:r w:rsidR="00725C00" w:rsidRPr="00A71735">
              <w:rPr>
                <w:rFonts w:ascii="Times New Roman" w:hAnsi="Times New Roman"/>
                <w:color w:val="000000"/>
                <w:sz w:val="21"/>
                <w:szCs w:val="21"/>
              </w:rPr>
              <w:t>roku 2022 jako poziom bazowy,</w:t>
            </w:r>
            <w:r w:rsidRPr="00A71735">
              <w:rPr>
                <w:rFonts w:ascii="Times New Roman" w:hAnsi="Times New Roman"/>
                <w:color w:val="000000"/>
                <w:sz w:val="21"/>
                <w:szCs w:val="21"/>
              </w:rPr>
              <w:t xml:space="preserve"> </w:t>
            </w:r>
            <w:r w:rsidR="00725C00" w:rsidRPr="00A71735">
              <w:rPr>
                <w:rFonts w:ascii="Times New Roman" w:hAnsi="Times New Roman"/>
                <w:color w:val="000000"/>
                <w:sz w:val="21"/>
                <w:szCs w:val="21"/>
              </w:rPr>
              <w:t>wykorzystując „Wytyczne dotyczące stosowania jednolitych wskaźników makroekonomicznych będących podstawą oszacowania skutków finansowych projektowanych ustaw” z 29 kwietnia 2022 roku.</w:t>
            </w:r>
          </w:p>
          <w:p w14:paraId="075CED2E" w14:textId="77777777" w:rsidR="00887204" w:rsidRPr="00A71735" w:rsidRDefault="00887204" w:rsidP="00887204">
            <w:pPr>
              <w:spacing w:line="240" w:lineRule="auto"/>
              <w:ind w:firstLine="368"/>
              <w:jc w:val="both"/>
              <w:rPr>
                <w:rFonts w:ascii="Times New Roman" w:hAnsi="Times New Roman"/>
                <w:color w:val="000000"/>
                <w:sz w:val="21"/>
                <w:szCs w:val="21"/>
              </w:rPr>
            </w:pPr>
          </w:p>
          <w:p w14:paraId="1303BB28" w14:textId="77777777" w:rsidR="00887204" w:rsidRPr="00A71735" w:rsidRDefault="00887204" w:rsidP="00EC56B5">
            <w:pPr>
              <w:pStyle w:val="Akapitzlist"/>
              <w:numPr>
                <w:ilvl w:val="0"/>
                <w:numId w:val="6"/>
              </w:numPr>
              <w:spacing w:line="240" w:lineRule="auto"/>
              <w:jc w:val="both"/>
              <w:rPr>
                <w:rFonts w:ascii="Times New Roman" w:hAnsi="Times New Roman"/>
                <w:color w:val="000000"/>
                <w:sz w:val="21"/>
                <w:szCs w:val="21"/>
              </w:rPr>
            </w:pPr>
            <w:r w:rsidRPr="00A71735">
              <w:rPr>
                <w:rFonts w:ascii="Times New Roman" w:hAnsi="Times New Roman"/>
                <w:b/>
                <w:color w:val="000000"/>
                <w:sz w:val="21"/>
                <w:szCs w:val="21"/>
              </w:rPr>
              <w:t xml:space="preserve">Skutki </w:t>
            </w:r>
            <w:r w:rsidR="00725C00" w:rsidRPr="00A71735">
              <w:rPr>
                <w:rFonts w:ascii="Times New Roman" w:hAnsi="Times New Roman"/>
                <w:b/>
                <w:color w:val="000000"/>
                <w:sz w:val="21"/>
                <w:szCs w:val="21"/>
              </w:rPr>
              <w:t xml:space="preserve">finansowe </w:t>
            </w:r>
            <w:r w:rsidRPr="00A71735">
              <w:rPr>
                <w:rFonts w:ascii="Times New Roman" w:hAnsi="Times New Roman"/>
                <w:b/>
                <w:color w:val="000000"/>
                <w:sz w:val="21"/>
                <w:szCs w:val="21"/>
              </w:rPr>
              <w:t>przejęcia nadzoru nad medycznymi laboratoriami diagnostycznymi</w:t>
            </w:r>
          </w:p>
          <w:p w14:paraId="112F9EEA" w14:textId="77777777" w:rsidR="00887204" w:rsidRPr="00A71735" w:rsidRDefault="00887204" w:rsidP="00887204">
            <w:pPr>
              <w:pStyle w:val="Akapitzlist"/>
              <w:tabs>
                <w:tab w:val="left" w:pos="483"/>
              </w:tabs>
              <w:spacing w:line="240" w:lineRule="auto"/>
              <w:ind w:left="341"/>
              <w:jc w:val="both"/>
              <w:rPr>
                <w:rFonts w:ascii="Times New Roman" w:hAnsi="Times New Roman"/>
                <w:color w:val="000000"/>
                <w:sz w:val="21"/>
                <w:szCs w:val="21"/>
              </w:rPr>
            </w:pPr>
          </w:p>
          <w:p w14:paraId="6AF01F04" w14:textId="77777777" w:rsidR="002245C4" w:rsidRPr="00A71735" w:rsidRDefault="002245C4" w:rsidP="00EC56B5">
            <w:pPr>
              <w:pStyle w:val="Akapitzlist"/>
              <w:numPr>
                <w:ilvl w:val="0"/>
                <w:numId w:val="28"/>
              </w:numPr>
              <w:spacing w:line="240" w:lineRule="auto"/>
              <w:ind w:hanging="747"/>
              <w:jc w:val="both"/>
              <w:rPr>
                <w:rFonts w:ascii="Times New Roman" w:hAnsi="Times New Roman"/>
                <w:color w:val="000000"/>
                <w:sz w:val="21"/>
                <w:szCs w:val="21"/>
              </w:rPr>
            </w:pPr>
            <w:r w:rsidRPr="00A71735">
              <w:rPr>
                <w:rFonts w:ascii="Times New Roman" w:hAnsi="Times New Roman"/>
                <w:color w:val="000000"/>
                <w:sz w:val="21"/>
                <w:szCs w:val="21"/>
              </w:rPr>
              <w:t xml:space="preserve">Zwiększenie zatrudnienia szacowane jest na </w:t>
            </w:r>
            <w:r w:rsidR="00B76101">
              <w:rPr>
                <w:rFonts w:ascii="Times New Roman" w:hAnsi="Times New Roman"/>
                <w:color w:val="000000"/>
                <w:sz w:val="21"/>
                <w:szCs w:val="21"/>
              </w:rPr>
              <w:t>29</w:t>
            </w:r>
            <w:r w:rsidR="00B76101" w:rsidRPr="00A71735">
              <w:rPr>
                <w:rFonts w:ascii="Times New Roman" w:hAnsi="Times New Roman"/>
                <w:color w:val="000000"/>
                <w:sz w:val="21"/>
                <w:szCs w:val="21"/>
              </w:rPr>
              <w:t xml:space="preserve"> </w:t>
            </w:r>
            <w:r w:rsidRPr="00A71735">
              <w:rPr>
                <w:rFonts w:ascii="Times New Roman" w:hAnsi="Times New Roman"/>
                <w:color w:val="000000"/>
                <w:sz w:val="21"/>
                <w:szCs w:val="21"/>
              </w:rPr>
              <w:t xml:space="preserve">etatów w tym: </w:t>
            </w:r>
          </w:p>
          <w:p w14:paraId="18E2DC82" w14:textId="77777777" w:rsidR="002245C4" w:rsidRPr="00A71735" w:rsidRDefault="002245C4" w:rsidP="00EC56B5">
            <w:pPr>
              <w:pStyle w:val="Akapitzlist"/>
              <w:numPr>
                <w:ilvl w:val="0"/>
                <w:numId w:val="27"/>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 xml:space="preserve">1 etat dla Kierownictwa GIF – Zastępca Głównego Inspektora Farmaceutycznego, </w:t>
            </w:r>
          </w:p>
          <w:p w14:paraId="52322B09" w14:textId="77777777" w:rsidR="00887204" w:rsidRPr="00A71735" w:rsidRDefault="00B76101" w:rsidP="00EC56B5">
            <w:pPr>
              <w:pStyle w:val="Akapitzlist"/>
              <w:numPr>
                <w:ilvl w:val="0"/>
                <w:numId w:val="27"/>
              </w:numPr>
              <w:spacing w:line="240" w:lineRule="auto"/>
              <w:ind w:left="1741" w:hanging="283"/>
              <w:jc w:val="both"/>
              <w:rPr>
                <w:rFonts w:ascii="Times New Roman" w:hAnsi="Times New Roman"/>
                <w:color w:val="000000"/>
                <w:sz w:val="21"/>
                <w:szCs w:val="21"/>
              </w:rPr>
            </w:pPr>
            <w:r>
              <w:rPr>
                <w:rFonts w:ascii="Times New Roman" w:hAnsi="Times New Roman"/>
                <w:color w:val="000000"/>
                <w:sz w:val="21"/>
                <w:szCs w:val="21"/>
              </w:rPr>
              <w:t>28</w:t>
            </w:r>
            <w:r w:rsidRPr="00A71735">
              <w:rPr>
                <w:rFonts w:ascii="Times New Roman" w:hAnsi="Times New Roman"/>
                <w:color w:val="000000"/>
                <w:sz w:val="21"/>
                <w:szCs w:val="21"/>
              </w:rPr>
              <w:t xml:space="preserve"> </w:t>
            </w:r>
            <w:r w:rsidR="002245C4" w:rsidRPr="00A71735">
              <w:rPr>
                <w:rFonts w:ascii="Times New Roman" w:hAnsi="Times New Roman"/>
                <w:color w:val="000000"/>
                <w:sz w:val="21"/>
                <w:szCs w:val="21"/>
              </w:rPr>
              <w:t xml:space="preserve">etatów dla centrali i oddziałów terenowych GIF – </w:t>
            </w:r>
            <w:r w:rsidR="0027652F">
              <w:rPr>
                <w:rFonts w:ascii="Times New Roman" w:hAnsi="Times New Roman"/>
                <w:color w:val="000000"/>
                <w:sz w:val="21"/>
                <w:szCs w:val="21"/>
              </w:rPr>
              <w:t>26</w:t>
            </w:r>
            <w:r w:rsidR="0027652F" w:rsidRPr="00A71735">
              <w:rPr>
                <w:rFonts w:ascii="Times New Roman" w:hAnsi="Times New Roman"/>
                <w:color w:val="000000"/>
                <w:sz w:val="21"/>
                <w:szCs w:val="21"/>
              </w:rPr>
              <w:t xml:space="preserve"> </w:t>
            </w:r>
            <w:r w:rsidR="002245C4" w:rsidRPr="00A71735">
              <w:rPr>
                <w:rFonts w:ascii="Times New Roman" w:hAnsi="Times New Roman"/>
                <w:color w:val="000000"/>
                <w:sz w:val="21"/>
                <w:szCs w:val="21"/>
              </w:rPr>
              <w:t xml:space="preserve">etatów dla inspektorów ds. diagnostyki laboratoryjnej, w tym </w:t>
            </w:r>
            <w:r w:rsidR="0027652F">
              <w:rPr>
                <w:rFonts w:ascii="Times New Roman" w:hAnsi="Times New Roman"/>
                <w:color w:val="000000"/>
                <w:sz w:val="21"/>
                <w:szCs w:val="21"/>
              </w:rPr>
              <w:t>10</w:t>
            </w:r>
            <w:r w:rsidR="0027652F" w:rsidRPr="00A71735">
              <w:rPr>
                <w:rFonts w:ascii="Times New Roman" w:hAnsi="Times New Roman"/>
                <w:color w:val="000000"/>
                <w:sz w:val="21"/>
                <w:szCs w:val="21"/>
              </w:rPr>
              <w:t xml:space="preserve"> </w:t>
            </w:r>
            <w:r w:rsidR="002245C4" w:rsidRPr="00A71735">
              <w:rPr>
                <w:rFonts w:ascii="Times New Roman" w:hAnsi="Times New Roman"/>
                <w:color w:val="000000"/>
                <w:sz w:val="21"/>
                <w:szCs w:val="21"/>
              </w:rPr>
              <w:t xml:space="preserve">na poziomie centrali </w:t>
            </w:r>
            <w:r w:rsidR="003F2A46" w:rsidRPr="00A71735">
              <w:rPr>
                <w:rFonts w:ascii="Times New Roman" w:hAnsi="Times New Roman"/>
                <w:color w:val="000000"/>
                <w:spacing w:val="-2"/>
              </w:rPr>
              <w:t>GIF</w:t>
            </w:r>
            <w:r w:rsidR="002245C4" w:rsidRPr="00A71735">
              <w:rPr>
                <w:rFonts w:ascii="Times New Roman" w:hAnsi="Times New Roman"/>
                <w:color w:val="000000"/>
                <w:sz w:val="21"/>
                <w:szCs w:val="21"/>
              </w:rPr>
              <w:t xml:space="preserve"> </w:t>
            </w:r>
            <w:r w:rsidR="00EF536F">
              <w:rPr>
                <w:rFonts w:ascii="Times New Roman" w:hAnsi="Times New Roman"/>
                <w:color w:val="000000"/>
                <w:sz w:val="21"/>
                <w:szCs w:val="21"/>
              </w:rPr>
              <w:t xml:space="preserve">(w województwie mazowieckim znajduje się najwięcej medycznych laboratoriów diagnostycznych mających podlegać inspekcji, niezależnie od tego w razie potrzeby inspektorzy pracujący w centrali będą mogli być delegowani do kontroli laboratoriów na terenie innych województw) </w:t>
            </w:r>
            <w:r w:rsidR="002245C4" w:rsidRPr="00A71735">
              <w:rPr>
                <w:rFonts w:ascii="Times New Roman" w:hAnsi="Times New Roman"/>
                <w:color w:val="000000"/>
                <w:sz w:val="21"/>
                <w:szCs w:val="21"/>
              </w:rPr>
              <w:t xml:space="preserve">oraz </w:t>
            </w:r>
            <w:r w:rsidR="0027652F">
              <w:rPr>
                <w:rFonts w:ascii="Times New Roman" w:hAnsi="Times New Roman"/>
                <w:color w:val="000000"/>
                <w:sz w:val="21"/>
                <w:szCs w:val="21"/>
              </w:rPr>
              <w:t>16</w:t>
            </w:r>
            <w:r w:rsidR="0027652F" w:rsidRPr="00A71735">
              <w:rPr>
                <w:rFonts w:ascii="Times New Roman" w:hAnsi="Times New Roman"/>
                <w:color w:val="000000"/>
                <w:sz w:val="21"/>
                <w:szCs w:val="21"/>
              </w:rPr>
              <w:t xml:space="preserve"> </w:t>
            </w:r>
            <w:r w:rsidR="002245C4" w:rsidRPr="00A71735">
              <w:rPr>
                <w:rFonts w:ascii="Times New Roman" w:hAnsi="Times New Roman"/>
                <w:color w:val="000000"/>
                <w:sz w:val="21"/>
                <w:szCs w:val="21"/>
              </w:rPr>
              <w:t xml:space="preserve">w oddziałach terenowych </w:t>
            </w:r>
            <w:r w:rsidR="003F2A46" w:rsidRPr="00A71735">
              <w:rPr>
                <w:rFonts w:ascii="Times New Roman" w:hAnsi="Times New Roman"/>
                <w:color w:val="000000"/>
                <w:spacing w:val="-2"/>
              </w:rPr>
              <w:t>GIF</w:t>
            </w:r>
            <w:r w:rsidR="002245C4" w:rsidRPr="00A71735">
              <w:rPr>
                <w:rFonts w:ascii="Times New Roman" w:hAnsi="Times New Roman"/>
                <w:color w:val="000000"/>
                <w:sz w:val="21"/>
                <w:szCs w:val="21"/>
              </w:rPr>
              <w:t xml:space="preserve">, </w:t>
            </w:r>
            <w:r w:rsidR="0027652F">
              <w:rPr>
                <w:rFonts w:ascii="Times New Roman" w:hAnsi="Times New Roman"/>
                <w:color w:val="000000"/>
                <w:sz w:val="21"/>
                <w:szCs w:val="21"/>
              </w:rPr>
              <w:t>1</w:t>
            </w:r>
            <w:r w:rsidR="0027652F" w:rsidRPr="00A71735">
              <w:rPr>
                <w:rFonts w:ascii="Times New Roman" w:hAnsi="Times New Roman"/>
                <w:color w:val="000000"/>
                <w:sz w:val="21"/>
                <w:szCs w:val="21"/>
              </w:rPr>
              <w:t xml:space="preserve"> </w:t>
            </w:r>
            <w:r w:rsidR="002245C4" w:rsidRPr="00A71735">
              <w:rPr>
                <w:rFonts w:ascii="Times New Roman" w:hAnsi="Times New Roman"/>
                <w:color w:val="000000"/>
                <w:sz w:val="21"/>
                <w:szCs w:val="21"/>
              </w:rPr>
              <w:t>etat dla dyrektora departamentu nadzoru nad medycznymi laboratoriami diagnostycznymi oraz</w:t>
            </w:r>
            <w:r w:rsidR="0027652F">
              <w:rPr>
                <w:rFonts w:ascii="Times New Roman" w:hAnsi="Times New Roman"/>
                <w:color w:val="000000"/>
                <w:sz w:val="21"/>
                <w:szCs w:val="21"/>
              </w:rPr>
              <w:t xml:space="preserve"> 1 etat dla jego sekretarki.</w:t>
            </w:r>
            <w:r w:rsidR="002245C4" w:rsidRPr="00A71735">
              <w:rPr>
                <w:rFonts w:ascii="Times New Roman" w:hAnsi="Times New Roman"/>
                <w:color w:val="000000"/>
                <w:sz w:val="21"/>
                <w:szCs w:val="21"/>
              </w:rPr>
              <w:t xml:space="preserve"> </w:t>
            </w:r>
          </w:p>
          <w:p w14:paraId="69A9E0DE" w14:textId="77777777" w:rsidR="00887204" w:rsidRPr="00A71735" w:rsidRDefault="00887204" w:rsidP="00887204">
            <w:pPr>
              <w:pStyle w:val="Akapitzlist"/>
              <w:tabs>
                <w:tab w:val="left" w:pos="341"/>
              </w:tabs>
              <w:spacing w:line="240" w:lineRule="auto"/>
              <w:ind w:left="341"/>
              <w:jc w:val="both"/>
              <w:rPr>
                <w:rFonts w:ascii="Times New Roman" w:hAnsi="Times New Roman"/>
                <w:color w:val="000000"/>
                <w:sz w:val="21"/>
                <w:szCs w:val="21"/>
              </w:rPr>
            </w:pPr>
          </w:p>
          <w:p w14:paraId="3524945E" w14:textId="77777777" w:rsidR="00887204" w:rsidRPr="00A71735" w:rsidRDefault="00CD1A06" w:rsidP="00EC56B5">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Pr</w:t>
            </w:r>
            <w:r w:rsidR="00887204" w:rsidRPr="00A71735">
              <w:rPr>
                <w:rFonts w:ascii="Times New Roman" w:hAnsi="Times New Roman"/>
                <w:color w:val="000000"/>
                <w:sz w:val="21"/>
                <w:szCs w:val="21"/>
              </w:rPr>
              <w:t>zed</w:t>
            </w:r>
            <w:r w:rsidRPr="00A71735">
              <w:rPr>
                <w:rFonts w:ascii="Times New Roman" w:hAnsi="Times New Roman"/>
                <w:color w:val="000000"/>
                <w:sz w:val="21"/>
                <w:szCs w:val="21"/>
              </w:rPr>
              <w:t xml:space="preserve"> dniem</w:t>
            </w:r>
            <w:r w:rsidR="00887204" w:rsidRPr="00A71735">
              <w:rPr>
                <w:rFonts w:ascii="Times New Roman" w:hAnsi="Times New Roman"/>
                <w:color w:val="000000"/>
                <w:sz w:val="21"/>
                <w:szCs w:val="21"/>
              </w:rPr>
              <w:t xml:space="preserve"> wejści</w:t>
            </w:r>
            <w:r w:rsidRPr="00A71735">
              <w:rPr>
                <w:rFonts w:ascii="Times New Roman" w:hAnsi="Times New Roman"/>
                <w:color w:val="000000"/>
                <w:sz w:val="21"/>
                <w:szCs w:val="21"/>
              </w:rPr>
              <w:t>a</w:t>
            </w:r>
            <w:r w:rsidR="00887204" w:rsidRPr="00A71735">
              <w:rPr>
                <w:rFonts w:ascii="Times New Roman" w:hAnsi="Times New Roman"/>
                <w:color w:val="000000"/>
                <w:sz w:val="21"/>
                <w:szCs w:val="21"/>
              </w:rPr>
              <w:t xml:space="preserve"> w życie ustawy</w:t>
            </w:r>
            <w:r w:rsidRPr="00A71735">
              <w:rPr>
                <w:rFonts w:ascii="Times New Roman" w:hAnsi="Times New Roman"/>
                <w:color w:val="000000"/>
                <w:sz w:val="21"/>
                <w:szCs w:val="21"/>
              </w:rPr>
              <w:t xml:space="preserve"> w zakresie przejęcia nadzoru GIF nad medycznymi laboratoriami diagnostycznymi (w okresie jej vacatio legis)</w:t>
            </w:r>
            <w:r w:rsidR="00887204" w:rsidRPr="00A71735">
              <w:rPr>
                <w:rFonts w:ascii="Times New Roman" w:hAnsi="Times New Roman"/>
                <w:color w:val="000000"/>
                <w:sz w:val="21"/>
                <w:szCs w:val="21"/>
              </w:rPr>
              <w:t>, przewidziane jest zatrudnienie 3 pracowników w</w:t>
            </w:r>
            <w:r w:rsidR="00A47DE6" w:rsidRPr="00A71735">
              <w:rPr>
                <w:rFonts w:ascii="Times New Roman" w:hAnsi="Times New Roman"/>
                <w:color w:val="000000"/>
                <w:sz w:val="21"/>
                <w:szCs w:val="21"/>
              </w:rPr>
              <w:t> </w:t>
            </w:r>
            <w:r w:rsidR="00887204" w:rsidRPr="00A71735">
              <w:rPr>
                <w:rFonts w:ascii="Times New Roman" w:hAnsi="Times New Roman"/>
                <w:color w:val="000000"/>
                <w:sz w:val="21"/>
                <w:szCs w:val="21"/>
              </w:rPr>
              <w:t xml:space="preserve">centrali </w:t>
            </w:r>
            <w:r w:rsidR="003F2A46" w:rsidRPr="00A71735">
              <w:rPr>
                <w:rFonts w:ascii="Times New Roman" w:hAnsi="Times New Roman"/>
                <w:color w:val="000000"/>
                <w:spacing w:val="-2"/>
              </w:rPr>
              <w:t>GIF</w:t>
            </w:r>
            <w:r w:rsidR="00887204" w:rsidRPr="00A71735">
              <w:rPr>
                <w:rFonts w:ascii="Times New Roman" w:hAnsi="Times New Roman"/>
                <w:color w:val="000000"/>
                <w:sz w:val="21"/>
                <w:szCs w:val="21"/>
              </w:rPr>
              <w:t>, natomiast w zakładanym momencie wejścia w życie ustawy przewidziano zatrudnienie</w:t>
            </w:r>
            <w:r w:rsidR="00F615EE" w:rsidRPr="00A71735">
              <w:rPr>
                <w:rFonts w:ascii="Times New Roman" w:hAnsi="Times New Roman"/>
                <w:color w:val="000000"/>
                <w:sz w:val="21"/>
                <w:szCs w:val="21"/>
              </w:rPr>
              <w:t xml:space="preserve"> Zastępcy Głównego Inspektora Farmaceutycznego i</w:t>
            </w:r>
            <w:r w:rsidR="00887204" w:rsidRPr="00A71735">
              <w:rPr>
                <w:rFonts w:ascii="Times New Roman" w:hAnsi="Times New Roman"/>
                <w:color w:val="000000"/>
                <w:sz w:val="21"/>
                <w:szCs w:val="21"/>
              </w:rPr>
              <w:t xml:space="preserve"> pozostałych </w:t>
            </w:r>
            <w:r w:rsidR="0027652F">
              <w:rPr>
                <w:rFonts w:ascii="Times New Roman" w:hAnsi="Times New Roman"/>
                <w:color w:val="000000"/>
                <w:sz w:val="21"/>
                <w:szCs w:val="21"/>
              </w:rPr>
              <w:t>25</w:t>
            </w:r>
            <w:r w:rsidR="0027652F" w:rsidRPr="00A71735">
              <w:rPr>
                <w:rFonts w:ascii="Times New Roman" w:hAnsi="Times New Roman"/>
                <w:color w:val="000000"/>
                <w:sz w:val="21"/>
                <w:szCs w:val="21"/>
              </w:rPr>
              <w:t xml:space="preserve"> </w:t>
            </w:r>
            <w:r w:rsidR="00887204" w:rsidRPr="00A71735">
              <w:rPr>
                <w:rFonts w:ascii="Times New Roman" w:hAnsi="Times New Roman"/>
                <w:color w:val="000000"/>
                <w:sz w:val="21"/>
                <w:szCs w:val="21"/>
              </w:rPr>
              <w:t>pracowników.</w:t>
            </w:r>
          </w:p>
          <w:p w14:paraId="575CAD51" w14:textId="77777777" w:rsidR="00887204" w:rsidRPr="00A71735" w:rsidRDefault="00887204" w:rsidP="00887204">
            <w:pPr>
              <w:pStyle w:val="Akapitzlist"/>
              <w:tabs>
                <w:tab w:val="left" w:pos="341"/>
              </w:tabs>
              <w:spacing w:line="240" w:lineRule="auto"/>
              <w:ind w:left="341"/>
              <w:jc w:val="both"/>
              <w:rPr>
                <w:rFonts w:ascii="Times New Roman" w:hAnsi="Times New Roman"/>
                <w:color w:val="000000"/>
                <w:sz w:val="21"/>
                <w:szCs w:val="21"/>
              </w:rPr>
            </w:pPr>
          </w:p>
          <w:p w14:paraId="1971EE18" w14:textId="77777777" w:rsidR="00887204" w:rsidRPr="00A71735" w:rsidRDefault="002245C4" w:rsidP="00887204">
            <w:pPr>
              <w:pStyle w:val="Akapitzlist"/>
              <w:tabs>
                <w:tab w:val="left" w:pos="341"/>
              </w:tabs>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Dla w</w:t>
            </w:r>
            <w:r w:rsidR="00887204" w:rsidRPr="00A71735">
              <w:rPr>
                <w:rFonts w:ascii="Times New Roman" w:hAnsi="Times New Roman"/>
                <w:color w:val="000000"/>
                <w:sz w:val="21"/>
                <w:szCs w:val="21"/>
              </w:rPr>
              <w:t>w</w:t>
            </w:r>
            <w:r w:rsidRPr="00A71735">
              <w:rPr>
                <w:rFonts w:ascii="Times New Roman" w:hAnsi="Times New Roman"/>
                <w:color w:val="000000"/>
                <w:sz w:val="21"/>
                <w:szCs w:val="21"/>
              </w:rPr>
              <w:t>.</w:t>
            </w:r>
            <w:r w:rsidR="00887204" w:rsidRPr="00A71735">
              <w:rPr>
                <w:rFonts w:ascii="Times New Roman" w:hAnsi="Times New Roman"/>
                <w:color w:val="000000"/>
                <w:sz w:val="21"/>
                <w:szCs w:val="21"/>
              </w:rPr>
              <w:t xml:space="preserve"> pracowników przewidziano jednorazowe koszty utworzenia stanowiska pracy obejmujące koszty sprzętu komputerowego, licencji oraz wyposażenia oraz koszty stałe rzeczowe związane z utrzymaniem miejsca pracy obejmujące w szczególności wynajem powierzchni biurowej, koszty usług telekomunikacyjnych i Internetu, artykułów biurowych oraz konserwacji sprzętu. W kosztach działalności przewidziano koszty związane w szczególności z</w:t>
            </w:r>
            <w:r w:rsidR="00B848B6" w:rsidRPr="00A71735">
              <w:rPr>
                <w:rFonts w:ascii="Times New Roman" w:hAnsi="Times New Roman"/>
                <w:color w:val="000000"/>
                <w:sz w:val="21"/>
                <w:szCs w:val="21"/>
              </w:rPr>
              <w:t> </w:t>
            </w:r>
            <w:r w:rsidR="00887204" w:rsidRPr="00A71735">
              <w:rPr>
                <w:rFonts w:ascii="Times New Roman" w:hAnsi="Times New Roman"/>
                <w:color w:val="000000"/>
                <w:sz w:val="21"/>
                <w:szCs w:val="21"/>
              </w:rPr>
              <w:t xml:space="preserve">delegacjami służbowymi, szkoleniami wewnętrznymi oraz zewnętrznymi z uwzględnieniem szkoleń specjalistycznych dla inspektorów, jak również koszty postępowań sądowych.  </w:t>
            </w:r>
          </w:p>
          <w:p w14:paraId="42C7D740" w14:textId="77777777" w:rsidR="008B212C" w:rsidRPr="00A71735" w:rsidRDefault="008B212C" w:rsidP="00887204">
            <w:pPr>
              <w:pStyle w:val="Akapitzlist"/>
              <w:tabs>
                <w:tab w:val="left" w:pos="341"/>
              </w:tabs>
              <w:spacing w:line="240" w:lineRule="auto"/>
              <w:ind w:left="341"/>
              <w:jc w:val="both"/>
              <w:rPr>
                <w:rFonts w:ascii="Times New Roman" w:hAnsi="Times New Roman"/>
                <w:color w:val="000000"/>
                <w:sz w:val="21"/>
                <w:szCs w:val="21"/>
              </w:rPr>
            </w:pPr>
          </w:p>
          <w:p w14:paraId="07998580" w14:textId="77777777" w:rsidR="00887204" w:rsidRPr="00A71735" w:rsidRDefault="00887204" w:rsidP="00887204">
            <w:pPr>
              <w:pStyle w:val="Akapitzlist"/>
              <w:tabs>
                <w:tab w:val="left" w:pos="341"/>
              </w:tabs>
              <w:spacing w:line="240" w:lineRule="auto"/>
              <w:ind w:left="341" w:hanging="341"/>
              <w:jc w:val="both"/>
              <w:rPr>
                <w:rFonts w:ascii="Times New Roman" w:hAnsi="Times New Roman"/>
                <w:color w:val="000000"/>
                <w:sz w:val="21"/>
                <w:szCs w:val="21"/>
              </w:rPr>
            </w:pPr>
          </w:p>
          <w:p w14:paraId="27A32B69" w14:textId="77777777" w:rsidR="00887204" w:rsidRPr="00A71735" w:rsidRDefault="00887204" w:rsidP="00EC56B5">
            <w:pPr>
              <w:pStyle w:val="Akapitzlist"/>
              <w:numPr>
                <w:ilvl w:val="0"/>
                <w:numId w:val="28"/>
              </w:numPr>
              <w:spacing w:line="240" w:lineRule="auto"/>
              <w:ind w:hanging="747"/>
              <w:jc w:val="both"/>
              <w:rPr>
                <w:rFonts w:ascii="Times New Roman" w:hAnsi="Times New Roman"/>
                <w:color w:val="000000"/>
                <w:sz w:val="21"/>
                <w:szCs w:val="21"/>
              </w:rPr>
            </w:pPr>
            <w:r w:rsidRPr="00A71735">
              <w:rPr>
                <w:rFonts w:ascii="Times New Roman" w:hAnsi="Times New Roman"/>
                <w:color w:val="000000"/>
                <w:sz w:val="21"/>
                <w:szCs w:val="21"/>
              </w:rPr>
              <w:t>Wydatki na wynagrodzenia zostały oszacowane w następujący sposób:</w:t>
            </w:r>
          </w:p>
          <w:p w14:paraId="39C51F8E" w14:textId="77777777" w:rsidR="002245C4" w:rsidRPr="00A71735" w:rsidRDefault="002245C4" w:rsidP="00EC56B5">
            <w:pPr>
              <w:pStyle w:val="Akapitzlist"/>
              <w:numPr>
                <w:ilvl w:val="0"/>
                <w:numId w:val="27"/>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dla nowozatrudnianego Zastępcy Głównego Inspektora Farmaceutycznego przyjęto wynagrodzenie Głównego Inspektora Farmaceutycznego obowiązujące na 31.12.2021 r.  z dodatkiem funkcyjnym oraz dodatkiem stażowym na poziomie 20%,</w:t>
            </w:r>
          </w:p>
          <w:p w14:paraId="5A585E34" w14:textId="77777777" w:rsidR="00887204" w:rsidRPr="00A71735" w:rsidRDefault="002245C4" w:rsidP="00EC56B5">
            <w:pPr>
              <w:pStyle w:val="Akapitzlist"/>
              <w:numPr>
                <w:ilvl w:val="0"/>
                <w:numId w:val="27"/>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 xml:space="preserve">dla nowozatrudnianych pracowników centrali i oddziałów </w:t>
            </w:r>
            <w:r w:rsidR="003F2A46" w:rsidRPr="00A71735">
              <w:rPr>
                <w:rFonts w:ascii="Times New Roman" w:hAnsi="Times New Roman"/>
                <w:color w:val="000000"/>
                <w:sz w:val="21"/>
                <w:szCs w:val="21"/>
              </w:rPr>
              <w:t>GIF</w:t>
            </w:r>
            <w:r w:rsidRPr="00A71735">
              <w:rPr>
                <w:rFonts w:ascii="Times New Roman" w:hAnsi="Times New Roman"/>
                <w:color w:val="000000"/>
                <w:sz w:val="21"/>
                <w:szCs w:val="21"/>
              </w:rPr>
              <w:t xml:space="preserve"> </w:t>
            </w:r>
            <w:r w:rsidR="004D7A24" w:rsidRPr="00A71735">
              <w:rPr>
                <w:rFonts w:ascii="Times New Roman" w:hAnsi="Times New Roman"/>
                <w:color w:val="000000"/>
                <w:sz w:val="21"/>
                <w:szCs w:val="21"/>
              </w:rPr>
              <w:t xml:space="preserve"> wartość wynagrodzenia przyjęto na podstawie średniego wynagrodzenia dla służby cywilnej wynikającą ze sprawozdań Rb-70 wojewódzkich inspektoratów farmaceutycznych za IV kwartały 2021</w:t>
            </w:r>
            <w:r w:rsidR="00A10094">
              <w:rPr>
                <w:rFonts w:ascii="Times New Roman" w:hAnsi="Times New Roman"/>
                <w:color w:val="000000"/>
                <w:sz w:val="21"/>
                <w:szCs w:val="21"/>
              </w:rPr>
              <w:t> </w:t>
            </w:r>
            <w:r w:rsidR="004D7A24" w:rsidRPr="00A71735">
              <w:rPr>
                <w:rFonts w:ascii="Times New Roman" w:hAnsi="Times New Roman"/>
                <w:color w:val="000000"/>
                <w:sz w:val="21"/>
                <w:szCs w:val="21"/>
              </w:rPr>
              <w:t>r.</w:t>
            </w:r>
          </w:p>
          <w:p w14:paraId="0B22E602" w14:textId="77777777" w:rsidR="00887204" w:rsidRPr="00A71735" w:rsidRDefault="00887204" w:rsidP="00717CED">
            <w:pPr>
              <w:pStyle w:val="Akapitzlist"/>
              <w:spacing w:line="240" w:lineRule="auto"/>
              <w:ind w:left="592" w:hanging="283"/>
              <w:jc w:val="both"/>
              <w:rPr>
                <w:rFonts w:ascii="Times New Roman" w:hAnsi="Times New Roman"/>
                <w:color w:val="000000"/>
                <w:sz w:val="21"/>
                <w:szCs w:val="21"/>
              </w:rPr>
            </w:pPr>
          </w:p>
          <w:p w14:paraId="54DE8A88" w14:textId="77777777" w:rsidR="00887204" w:rsidRPr="00A71735" w:rsidRDefault="00887204" w:rsidP="00717CED">
            <w:pPr>
              <w:pStyle w:val="Akapitzlist"/>
              <w:spacing w:line="240" w:lineRule="auto"/>
              <w:ind w:left="592" w:hanging="283"/>
              <w:jc w:val="both"/>
              <w:rPr>
                <w:rFonts w:ascii="Times New Roman" w:hAnsi="Times New Roman"/>
                <w:color w:val="000000"/>
                <w:sz w:val="21"/>
                <w:szCs w:val="21"/>
              </w:rPr>
            </w:pPr>
            <w:r w:rsidRPr="00A71735">
              <w:rPr>
                <w:rFonts w:ascii="Times New Roman" w:hAnsi="Times New Roman"/>
                <w:color w:val="000000"/>
                <w:sz w:val="21"/>
                <w:szCs w:val="21"/>
              </w:rPr>
              <w:t>Kalkulując pochodne od wynagrodzeń przyjęto wysokość obciążeń pracodawcy na poziomie 19,55%.</w:t>
            </w:r>
          </w:p>
          <w:p w14:paraId="787558E5" w14:textId="77777777" w:rsidR="00260F6E" w:rsidRPr="00A71735" w:rsidRDefault="00260F6E" w:rsidP="00260F6E">
            <w:pPr>
              <w:pStyle w:val="Akapitzlist"/>
              <w:spacing w:line="240" w:lineRule="auto"/>
              <w:ind w:left="324"/>
              <w:jc w:val="both"/>
              <w:rPr>
                <w:rFonts w:ascii="Times New Roman" w:hAnsi="Times New Roman"/>
                <w:color w:val="000000"/>
                <w:sz w:val="21"/>
                <w:szCs w:val="21"/>
              </w:rPr>
            </w:pPr>
            <w:r w:rsidRPr="00A71735">
              <w:rPr>
                <w:rFonts w:ascii="Times New Roman" w:hAnsi="Times New Roman"/>
                <w:color w:val="000000"/>
                <w:sz w:val="21"/>
                <w:szCs w:val="21"/>
              </w:rPr>
              <w:t>Wydatki na wynagrodzenia z obciążeniami pracodawcy wraz z PPK wyliczone wg powyższych założeń będą kształtowały się w sposób  następujący:</w:t>
            </w:r>
          </w:p>
          <w:p w14:paraId="48E0530F" w14:textId="77777777" w:rsidR="00260F6E" w:rsidRPr="00A71735" w:rsidRDefault="00260F6E" w:rsidP="00260F6E">
            <w:pPr>
              <w:pStyle w:val="Akapitzlist"/>
              <w:numPr>
                <w:ilvl w:val="0"/>
                <w:numId w:val="27"/>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dla nowozatrudnianego Zastępcy Głównego Inspektora Farmaceutycznego przyjęto miesięczne wynagrodzenie brutto w wysokości 15.747 zł, z uwzględnieniem obciążeń pracodawcy wraz z PPK w ujęciu rocznym kwota 0,2 mln. zł ,</w:t>
            </w:r>
          </w:p>
          <w:p w14:paraId="60DF48AE" w14:textId="77777777" w:rsidR="00AA5865" w:rsidRPr="00A71735" w:rsidRDefault="00260F6E" w:rsidP="00260F6E">
            <w:pPr>
              <w:pStyle w:val="Akapitzlist"/>
              <w:numPr>
                <w:ilvl w:val="0"/>
                <w:numId w:val="27"/>
              </w:numPr>
              <w:spacing w:line="240" w:lineRule="auto"/>
              <w:ind w:left="1741" w:hanging="283"/>
              <w:jc w:val="both"/>
              <w:rPr>
                <w:rFonts w:ascii="Times New Roman" w:hAnsi="Times New Roman"/>
                <w:color w:val="000000"/>
                <w:sz w:val="21"/>
                <w:szCs w:val="21"/>
              </w:rPr>
            </w:pPr>
            <w:r w:rsidRPr="00A71735">
              <w:rPr>
                <w:rFonts w:ascii="Times New Roman" w:hAnsi="Times New Roman"/>
                <w:color w:val="000000"/>
                <w:sz w:val="21"/>
                <w:szCs w:val="21"/>
              </w:rPr>
              <w:t xml:space="preserve">dla nowozatrudnianych </w:t>
            </w:r>
            <w:r w:rsidR="004D7A24">
              <w:rPr>
                <w:rFonts w:ascii="Times New Roman" w:hAnsi="Times New Roman"/>
                <w:color w:val="000000"/>
                <w:sz w:val="21"/>
                <w:szCs w:val="21"/>
              </w:rPr>
              <w:t>28</w:t>
            </w:r>
            <w:r w:rsidR="004D7A24" w:rsidRPr="00A71735">
              <w:rPr>
                <w:rFonts w:ascii="Times New Roman" w:hAnsi="Times New Roman"/>
                <w:color w:val="000000"/>
                <w:sz w:val="21"/>
                <w:szCs w:val="21"/>
              </w:rPr>
              <w:t xml:space="preserve"> </w:t>
            </w:r>
            <w:r w:rsidRPr="00A71735">
              <w:rPr>
                <w:rFonts w:ascii="Times New Roman" w:hAnsi="Times New Roman"/>
                <w:color w:val="000000"/>
                <w:sz w:val="21"/>
                <w:szCs w:val="21"/>
              </w:rPr>
              <w:t xml:space="preserve">pracowników centrali i oddziałów GIF wynagrodzenie miesięczne brutto w wysokości </w:t>
            </w:r>
            <w:r w:rsidR="004D7A24">
              <w:rPr>
                <w:rFonts w:ascii="Times New Roman" w:hAnsi="Times New Roman"/>
                <w:color w:val="000000"/>
                <w:sz w:val="21"/>
                <w:szCs w:val="21"/>
              </w:rPr>
              <w:t>6.632</w:t>
            </w:r>
            <w:r w:rsidRPr="00A71735">
              <w:rPr>
                <w:rFonts w:ascii="Times New Roman" w:hAnsi="Times New Roman"/>
                <w:color w:val="000000"/>
                <w:sz w:val="21"/>
                <w:szCs w:val="21"/>
              </w:rPr>
              <w:t xml:space="preserve"> zł, z uwzględnieniem obciążeń pracodawcy wraz z</w:t>
            </w:r>
            <w:r w:rsidR="00A10094">
              <w:rPr>
                <w:rFonts w:ascii="Times New Roman" w:hAnsi="Times New Roman"/>
                <w:color w:val="000000"/>
                <w:sz w:val="21"/>
                <w:szCs w:val="21"/>
              </w:rPr>
              <w:t> </w:t>
            </w:r>
            <w:r w:rsidRPr="00A71735">
              <w:rPr>
                <w:rFonts w:ascii="Times New Roman" w:hAnsi="Times New Roman"/>
                <w:color w:val="000000"/>
                <w:sz w:val="21"/>
                <w:szCs w:val="21"/>
              </w:rPr>
              <w:t xml:space="preserve">PPK w ujęciu rocznym kwota  </w:t>
            </w:r>
            <w:r w:rsidR="004D7A24">
              <w:rPr>
                <w:rFonts w:ascii="Times New Roman" w:hAnsi="Times New Roman"/>
                <w:color w:val="000000"/>
                <w:sz w:val="21"/>
                <w:szCs w:val="21"/>
              </w:rPr>
              <w:t>2,9</w:t>
            </w:r>
            <w:r w:rsidRPr="00A71735">
              <w:rPr>
                <w:rFonts w:ascii="Times New Roman" w:hAnsi="Times New Roman"/>
                <w:color w:val="000000"/>
                <w:sz w:val="21"/>
                <w:szCs w:val="21"/>
              </w:rPr>
              <w:t xml:space="preserve"> mln. zł.</w:t>
            </w:r>
          </w:p>
          <w:p w14:paraId="70F41A11" w14:textId="77777777" w:rsidR="00887204" w:rsidRPr="00A71735" w:rsidRDefault="00887204" w:rsidP="00887204">
            <w:pPr>
              <w:pStyle w:val="Akapitzlist"/>
              <w:spacing w:line="240" w:lineRule="auto"/>
              <w:ind w:left="199"/>
              <w:jc w:val="both"/>
              <w:rPr>
                <w:rFonts w:ascii="Times New Roman" w:hAnsi="Times New Roman"/>
                <w:color w:val="000000"/>
                <w:sz w:val="21"/>
                <w:szCs w:val="21"/>
              </w:rPr>
            </w:pPr>
          </w:p>
          <w:p w14:paraId="5F98FCBA" w14:textId="77777777" w:rsidR="00887204" w:rsidRPr="00A71735" w:rsidRDefault="00887204" w:rsidP="00EC56B5">
            <w:pPr>
              <w:pStyle w:val="Akapitzlist"/>
              <w:numPr>
                <w:ilvl w:val="0"/>
                <w:numId w:val="28"/>
              </w:numPr>
              <w:spacing w:line="240" w:lineRule="auto"/>
              <w:ind w:left="1458" w:hanging="425"/>
              <w:jc w:val="both"/>
              <w:rPr>
                <w:rFonts w:ascii="Times New Roman" w:hAnsi="Times New Roman"/>
                <w:color w:val="000000"/>
                <w:sz w:val="21"/>
                <w:szCs w:val="21"/>
              </w:rPr>
            </w:pPr>
            <w:r w:rsidRPr="00A71735">
              <w:rPr>
                <w:rFonts w:ascii="Times New Roman" w:hAnsi="Times New Roman"/>
                <w:color w:val="000000"/>
                <w:sz w:val="21"/>
                <w:szCs w:val="21"/>
              </w:rPr>
              <w:lastRenderedPageBreak/>
              <w:t xml:space="preserve">W roku pierwszym założono poniesienie wydatków związanych z infrastrukturą informatyczną przed wejściem w życie ustawy,  koniecznych do realizacji zadań związanych z nadzorem nad medycznymi laboratoriami diagnostycznymi w wysokości 0,9 mln zł. </w:t>
            </w:r>
          </w:p>
          <w:p w14:paraId="0B2463D5" w14:textId="77777777" w:rsidR="00EC56B5" w:rsidRPr="00A71735" w:rsidRDefault="00EC56B5" w:rsidP="00EC56B5">
            <w:pPr>
              <w:pStyle w:val="Akapitzlist"/>
              <w:spacing w:line="240" w:lineRule="auto"/>
              <w:ind w:left="1458"/>
              <w:jc w:val="both"/>
              <w:rPr>
                <w:rFonts w:ascii="Times New Roman" w:hAnsi="Times New Roman"/>
                <w:color w:val="000000"/>
                <w:sz w:val="21"/>
                <w:szCs w:val="21"/>
              </w:rPr>
            </w:pPr>
          </w:p>
          <w:p w14:paraId="0E16AA50" w14:textId="77777777" w:rsidR="00095570" w:rsidRPr="00A71735" w:rsidRDefault="00095570" w:rsidP="00EC56B5">
            <w:pPr>
              <w:pStyle w:val="Akapitzlist"/>
              <w:numPr>
                <w:ilvl w:val="0"/>
                <w:numId w:val="28"/>
              </w:numPr>
              <w:spacing w:line="240" w:lineRule="auto"/>
              <w:ind w:left="1458" w:hanging="425"/>
              <w:jc w:val="both"/>
              <w:rPr>
                <w:rFonts w:ascii="Times New Roman" w:hAnsi="Times New Roman"/>
                <w:color w:val="000000"/>
                <w:sz w:val="21"/>
                <w:szCs w:val="21"/>
              </w:rPr>
            </w:pPr>
            <w:r w:rsidRPr="00A71735">
              <w:rPr>
                <w:rFonts w:ascii="Times New Roman" w:hAnsi="Times New Roman"/>
                <w:color w:val="000000"/>
                <w:sz w:val="21"/>
                <w:szCs w:val="21"/>
              </w:rPr>
              <w:t xml:space="preserve">W wydatkach związanych z przejęciem przez </w:t>
            </w:r>
            <w:r w:rsidR="003F2A46" w:rsidRPr="00A71735">
              <w:rPr>
                <w:rFonts w:ascii="Times New Roman" w:hAnsi="Times New Roman"/>
                <w:color w:val="000000"/>
                <w:sz w:val="21"/>
                <w:szCs w:val="21"/>
              </w:rPr>
              <w:t>GIF</w:t>
            </w:r>
            <w:r w:rsidRPr="00A71735">
              <w:rPr>
                <w:rFonts w:ascii="Times New Roman" w:hAnsi="Times New Roman"/>
                <w:color w:val="000000"/>
                <w:sz w:val="21"/>
                <w:szCs w:val="21"/>
              </w:rPr>
              <w:t xml:space="preserve"> nadzoru nad medycznymi laboratoriami diagnostycznymi </w:t>
            </w:r>
            <w:r w:rsidR="0084683F">
              <w:rPr>
                <w:rFonts w:ascii="Times New Roman" w:hAnsi="Times New Roman"/>
                <w:color w:val="000000"/>
                <w:sz w:val="21"/>
                <w:szCs w:val="21"/>
              </w:rPr>
              <w:t>uwzględniono</w:t>
            </w:r>
            <w:r w:rsidRPr="00A71735">
              <w:rPr>
                <w:rFonts w:ascii="Times New Roman" w:hAnsi="Times New Roman"/>
                <w:color w:val="000000"/>
                <w:sz w:val="21"/>
                <w:szCs w:val="21"/>
              </w:rPr>
              <w:t xml:space="preserve"> </w:t>
            </w:r>
            <w:r w:rsidR="0084683F" w:rsidRPr="00A71735">
              <w:rPr>
                <w:rFonts w:ascii="Times New Roman" w:hAnsi="Times New Roman"/>
                <w:color w:val="000000"/>
                <w:sz w:val="21"/>
                <w:szCs w:val="21"/>
              </w:rPr>
              <w:t>wydatk</w:t>
            </w:r>
            <w:r w:rsidR="0084683F">
              <w:rPr>
                <w:rFonts w:ascii="Times New Roman" w:hAnsi="Times New Roman"/>
                <w:color w:val="000000"/>
                <w:sz w:val="21"/>
                <w:szCs w:val="21"/>
              </w:rPr>
              <w:t>i</w:t>
            </w:r>
            <w:r w:rsidR="0084683F" w:rsidRPr="00A71735">
              <w:rPr>
                <w:rFonts w:ascii="Times New Roman" w:hAnsi="Times New Roman"/>
                <w:color w:val="000000"/>
                <w:sz w:val="21"/>
                <w:szCs w:val="21"/>
              </w:rPr>
              <w:t xml:space="preserve"> związan</w:t>
            </w:r>
            <w:r w:rsidR="0084683F">
              <w:rPr>
                <w:rFonts w:ascii="Times New Roman" w:hAnsi="Times New Roman"/>
                <w:color w:val="000000"/>
                <w:sz w:val="21"/>
                <w:szCs w:val="21"/>
              </w:rPr>
              <w:t>e</w:t>
            </w:r>
            <w:r w:rsidR="0084683F" w:rsidRPr="00A71735">
              <w:rPr>
                <w:rFonts w:ascii="Times New Roman" w:hAnsi="Times New Roman"/>
                <w:color w:val="000000"/>
                <w:sz w:val="21"/>
                <w:szCs w:val="21"/>
              </w:rPr>
              <w:t xml:space="preserve"> </w:t>
            </w:r>
            <w:r w:rsidRPr="00A71735">
              <w:rPr>
                <w:rFonts w:ascii="Times New Roman" w:hAnsi="Times New Roman"/>
                <w:color w:val="000000"/>
                <w:sz w:val="21"/>
                <w:szCs w:val="21"/>
              </w:rPr>
              <w:t>z</w:t>
            </w:r>
            <w:r w:rsidR="00A10094">
              <w:rPr>
                <w:rFonts w:ascii="Times New Roman" w:hAnsi="Times New Roman"/>
                <w:color w:val="000000"/>
                <w:sz w:val="21"/>
                <w:szCs w:val="21"/>
              </w:rPr>
              <w:t> </w:t>
            </w:r>
            <w:r w:rsidRPr="00A71735">
              <w:rPr>
                <w:rFonts w:ascii="Times New Roman" w:hAnsi="Times New Roman"/>
                <w:color w:val="000000"/>
                <w:sz w:val="21"/>
                <w:szCs w:val="21"/>
              </w:rPr>
              <w:t>utworzeniem</w:t>
            </w:r>
            <w:r w:rsidR="0084683F">
              <w:rPr>
                <w:rFonts w:ascii="Times New Roman" w:hAnsi="Times New Roman"/>
                <w:color w:val="000000"/>
                <w:sz w:val="21"/>
                <w:szCs w:val="21"/>
              </w:rPr>
              <w:t xml:space="preserve"> i utrzymaniem</w:t>
            </w:r>
            <w:r w:rsidRPr="00A71735">
              <w:rPr>
                <w:rFonts w:ascii="Times New Roman" w:hAnsi="Times New Roman"/>
                <w:color w:val="000000"/>
                <w:sz w:val="21"/>
                <w:szCs w:val="21"/>
              </w:rPr>
              <w:t xml:space="preserve"> Krajowego Rejestru Medycznych Laboratoriów Diagnostycznych. </w:t>
            </w:r>
            <w:r w:rsidRPr="009302E6">
              <w:rPr>
                <w:rFonts w:ascii="Times New Roman" w:hAnsi="Times New Roman"/>
                <w:color w:val="000000"/>
                <w:sz w:val="21"/>
                <w:szCs w:val="21"/>
              </w:rPr>
              <w:t>Wydatki powyższe nie będą ponoszone przez Główny Inspektorat Farmaceutyczny</w:t>
            </w:r>
            <w:r w:rsidR="002F4B2A" w:rsidRPr="009302E6">
              <w:rPr>
                <w:rFonts w:ascii="Times New Roman" w:hAnsi="Times New Roman"/>
                <w:color w:val="000000"/>
                <w:sz w:val="21"/>
                <w:szCs w:val="21"/>
              </w:rPr>
              <w:t xml:space="preserve">. Wydatki zostaną poniesione przez Centrum e-Zdrowia ze środków </w:t>
            </w:r>
            <w:r w:rsidR="002F4B2A" w:rsidRPr="009302E6">
              <w:rPr>
                <w:rFonts w:ascii="Times New Roman" w:hAnsi="Times New Roman"/>
                <w:color w:val="000000"/>
              </w:rPr>
              <w:t>7% przeznaczonych na finansowanie ochrony zdrowia</w:t>
            </w:r>
            <w:r w:rsidRPr="009302E6">
              <w:rPr>
                <w:rFonts w:ascii="Times New Roman" w:hAnsi="Times New Roman"/>
                <w:color w:val="000000"/>
                <w:sz w:val="21"/>
                <w:szCs w:val="21"/>
              </w:rPr>
              <w:t>.</w:t>
            </w:r>
            <w:r w:rsidR="00DF3DD0">
              <w:rPr>
                <w:rFonts w:ascii="Times New Roman" w:hAnsi="Times New Roman"/>
                <w:color w:val="000000"/>
                <w:sz w:val="21"/>
                <w:szCs w:val="21"/>
              </w:rPr>
              <w:t xml:space="preserve"> Wyniosą one łącznie 23,6 mln. zł.</w:t>
            </w:r>
          </w:p>
          <w:p w14:paraId="169080ED" w14:textId="77777777" w:rsidR="00EC56B5" w:rsidRPr="00A71735" w:rsidRDefault="00EC56B5" w:rsidP="00EC56B5">
            <w:pPr>
              <w:pStyle w:val="Akapitzlist"/>
              <w:spacing w:line="240" w:lineRule="auto"/>
              <w:ind w:left="0"/>
              <w:jc w:val="both"/>
              <w:rPr>
                <w:rFonts w:ascii="Times New Roman" w:hAnsi="Times New Roman"/>
                <w:color w:val="000000"/>
                <w:sz w:val="21"/>
                <w:szCs w:val="21"/>
              </w:rPr>
            </w:pPr>
          </w:p>
          <w:p w14:paraId="40AED0F9" w14:textId="77777777" w:rsidR="00095570" w:rsidRPr="00A71735" w:rsidRDefault="00095570" w:rsidP="00EC56B5">
            <w:pPr>
              <w:pStyle w:val="Akapitzlist"/>
              <w:numPr>
                <w:ilvl w:val="0"/>
                <w:numId w:val="28"/>
              </w:numPr>
              <w:spacing w:line="240" w:lineRule="auto"/>
              <w:ind w:left="1458" w:hanging="425"/>
              <w:jc w:val="both"/>
              <w:rPr>
                <w:rFonts w:ascii="Times New Roman" w:hAnsi="Times New Roman"/>
                <w:color w:val="000000"/>
                <w:sz w:val="21"/>
                <w:szCs w:val="21"/>
              </w:rPr>
            </w:pPr>
            <w:r w:rsidRPr="00A71735">
              <w:rPr>
                <w:rFonts w:ascii="Times New Roman" w:hAnsi="Times New Roman"/>
                <w:color w:val="000000"/>
                <w:sz w:val="21"/>
                <w:szCs w:val="21"/>
              </w:rPr>
              <w:t>Szacując skutki finansowe wprowadzanych zmian przyjęto poziom cen z roku 2022 jako poziom bazowy, wykorzystując „Wytyczne dotyczące stosowania jednolitych wskaźników makroekonomicznych będących podstawą oszacowania skutków finansowych projektowanych ustaw” z 29 kwietnia 2022 roku.</w:t>
            </w:r>
          </w:p>
          <w:p w14:paraId="0D93C83C" w14:textId="77777777" w:rsidR="00FD3CE1" w:rsidRPr="00A71735" w:rsidRDefault="00FD3CE1" w:rsidP="00887204">
            <w:pPr>
              <w:pStyle w:val="Akapitzlist"/>
              <w:spacing w:line="240" w:lineRule="auto"/>
              <w:ind w:left="340"/>
              <w:jc w:val="both"/>
              <w:rPr>
                <w:rFonts w:ascii="Times New Roman" w:hAnsi="Times New Roman"/>
                <w:sz w:val="21"/>
                <w:szCs w:val="21"/>
              </w:rPr>
            </w:pPr>
          </w:p>
          <w:p w14:paraId="79756F39" w14:textId="77777777" w:rsidR="00887204" w:rsidRPr="00A71735" w:rsidRDefault="00FD3CE1" w:rsidP="00A10094">
            <w:pPr>
              <w:pStyle w:val="Akapitzlist"/>
              <w:spacing w:line="240" w:lineRule="auto"/>
              <w:ind w:left="0"/>
              <w:jc w:val="both"/>
              <w:rPr>
                <w:rFonts w:ascii="Times New Roman" w:hAnsi="Times New Roman"/>
                <w:color w:val="000000"/>
                <w:sz w:val="21"/>
                <w:szCs w:val="21"/>
              </w:rPr>
            </w:pPr>
            <w:r w:rsidRPr="00A71735">
              <w:rPr>
                <w:rFonts w:ascii="Times New Roman" w:hAnsi="Times New Roman"/>
                <w:sz w:val="21"/>
                <w:szCs w:val="21"/>
              </w:rPr>
              <w:t>W roku 4 uwzględniono przychody szacowane za złożenie wniosku o wydanie lub zmianę w Krajowym Rejestrze Medycznych Laboratoriów</w:t>
            </w:r>
            <w:r w:rsidRPr="00A71735">
              <w:rPr>
                <w:rFonts w:ascii="Times New Roman" w:hAnsi="Times New Roman"/>
              </w:rPr>
              <w:t xml:space="preserve"> </w:t>
            </w:r>
            <w:r w:rsidRPr="00A71735">
              <w:rPr>
                <w:rFonts w:ascii="Times New Roman" w:hAnsi="Times New Roman"/>
                <w:sz w:val="21"/>
                <w:szCs w:val="21"/>
              </w:rPr>
              <w:t>Diagnostycznych w wysokości 21,0 mln. zł. W wyliczeniach przyjęto, że zrealizowane przychody będą równe zrealizowanym dochodom.</w:t>
            </w:r>
            <w:r w:rsidR="00165E43">
              <w:rPr>
                <w:rFonts w:ascii="Times New Roman" w:hAnsi="Times New Roman"/>
                <w:sz w:val="21"/>
                <w:szCs w:val="21"/>
              </w:rPr>
              <w:t xml:space="preserve"> Dochody przewidziano w</w:t>
            </w:r>
            <w:r w:rsidR="00A10094">
              <w:rPr>
                <w:rFonts w:ascii="Times New Roman" w:hAnsi="Times New Roman"/>
                <w:sz w:val="21"/>
                <w:szCs w:val="21"/>
              </w:rPr>
              <w:t> </w:t>
            </w:r>
            <w:r w:rsidR="00165E43">
              <w:rPr>
                <w:rFonts w:ascii="Times New Roman" w:hAnsi="Times New Roman"/>
                <w:sz w:val="21"/>
                <w:szCs w:val="21"/>
              </w:rPr>
              <w:t>4</w:t>
            </w:r>
            <w:r w:rsidR="00A10094">
              <w:rPr>
                <w:rFonts w:ascii="Times New Roman" w:hAnsi="Times New Roman"/>
                <w:sz w:val="21"/>
                <w:szCs w:val="21"/>
              </w:rPr>
              <w:t> </w:t>
            </w:r>
            <w:r w:rsidR="00165E43">
              <w:rPr>
                <w:rFonts w:ascii="Times New Roman" w:hAnsi="Times New Roman"/>
                <w:sz w:val="21"/>
                <w:szCs w:val="21"/>
              </w:rPr>
              <w:t>roku obowiązywania ustawy z uwagi na fakt, że zgodnie z przepisami przejściowymi prowadzący medyczne laboratoria diagnostyczne będą mieli 3 lata na złożenie wniosku o wpis do Rejestru. Należy przyjąć, że to w</w:t>
            </w:r>
            <w:r w:rsidR="00A10094">
              <w:rPr>
                <w:rFonts w:ascii="Times New Roman" w:hAnsi="Times New Roman"/>
                <w:sz w:val="21"/>
                <w:szCs w:val="21"/>
              </w:rPr>
              <w:t> </w:t>
            </w:r>
            <w:r w:rsidR="00165E43">
              <w:rPr>
                <w:rFonts w:ascii="Times New Roman" w:hAnsi="Times New Roman"/>
                <w:sz w:val="21"/>
                <w:szCs w:val="21"/>
              </w:rPr>
              <w:t>tym roku wpłyną do GIF odpowiednie wnioski. Nie możliwe jest do przewidzenia czy wnioski i w jakiej liczbie będą wpływać do GIF wcześniej.</w:t>
            </w:r>
          </w:p>
          <w:p w14:paraId="2938DE36" w14:textId="77777777" w:rsidR="00887204" w:rsidRPr="00A71735" w:rsidRDefault="00887204" w:rsidP="00887204">
            <w:pPr>
              <w:pStyle w:val="Akapitzlist"/>
              <w:spacing w:line="240" w:lineRule="auto"/>
              <w:jc w:val="both"/>
              <w:rPr>
                <w:rFonts w:ascii="Times New Roman" w:hAnsi="Times New Roman"/>
                <w:color w:val="000000"/>
                <w:sz w:val="21"/>
                <w:szCs w:val="21"/>
              </w:rPr>
            </w:pPr>
          </w:p>
          <w:p w14:paraId="05B184E1" w14:textId="77777777" w:rsidR="00887204" w:rsidRPr="00A71735" w:rsidRDefault="00887204" w:rsidP="00EC56B5">
            <w:pPr>
              <w:pStyle w:val="Akapitzlist"/>
              <w:numPr>
                <w:ilvl w:val="0"/>
                <w:numId w:val="6"/>
              </w:numPr>
              <w:spacing w:line="240" w:lineRule="auto"/>
              <w:jc w:val="both"/>
              <w:rPr>
                <w:rFonts w:ascii="Times New Roman" w:hAnsi="Times New Roman"/>
                <w:b/>
                <w:color w:val="000000"/>
                <w:sz w:val="21"/>
                <w:szCs w:val="21"/>
              </w:rPr>
            </w:pPr>
            <w:r w:rsidRPr="00A71735">
              <w:rPr>
                <w:rFonts w:ascii="Times New Roman" w:hAnsi="Times New Roman"/>
                <w:b/>
                <w:color w:val="000000"/>
                <w:sz w:val="21"/>
                <w:szCs w:val="21"/>
              </w:rPr>
              <w:t>Przesunięcie środków finansowych wynikające z wyłączenia wojewódzkich inspektoratów farmaceutycznych z rządowej administracji zespolonej i włączenia w struktury Głównego Inspektoratu Farmaceutycznego (przeniesienie wydatków i dochodów między częściami nie skutkujące zwiększeniem dochodów/wydatków dla budżetu państwa)</w:t>
            </w:r>
          </w:p>
          <w:p w14:paraId="06435541" w14:textId="77777777" w:rsidR="00887204" w:rsidRPr="00A71735" w:rsidRDefault="00887204" w:rsidP="00887204">
            <w:pPr>
              <w:pStyle w:val="Akapitzlist"/>
              <w:spacing w:line="240" w:lineRule="auto"/>
              <w:ind w:left="0"/>
              <w:jc w:val="both"/>
              <w:rPr>
                <w:rFonts w:ascii="Times New Roman" w:hAnsi="Times New Roman"/>
                <w:b/>
                <w:color w:val="000000"/>
                <w:sz w:val="21"/>
                <w:szCs w:val="21"/>
              </w:rPr>
            </w:pPr>
          </w:p>
          <w:p w14:paraId="602A43DA" w14:textId="77777777" w:rsidR="00887204" w:rsidRPr="00A71735" w:rsidRDefault="00887204" w:rsidP="00887204">
            <w:pPr>
              <w:pStyle w:val="Akapitzlist"/>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Skutki finansowe w postaci przesunięcia dochodów z części 85 – województwa do części 46 – zdrowie dla lat 2023-2024 przyjęto na podstawie danych planistycznych na lata 2022-2024 przedstawionych przez wojewódzkie inspektoraty farmaceutyczne po wyeliminowaniu 50% dochodów z tytułu świadczenia usług analizy farmaceutycznej przez laboratoria z uwagi na projektowane usunięcie art. 116 ust.</w:t>
            </w:r>
            <w:r w:rsidR="005570B1" w:rsidRPr="00A71735">
              <w:rPr>
                <w:rFonts w:ascii="Times New Roman" w:hAnsi="Times New Roman"/>
                <w:color w:val="000000"/>
                <w:sz w:val="21"/>
                <w:szCs w:val="21"/>
              </w:rPr>
              <w:t xml:space="preserve"> </w:t>
            </w:r>
            <w:r w:rsidRPr="00A71735">
              <w:rPr>
                <w:rFonts w:ascii="Times New Roman" w:hAnsi="Times New Roman"/>
                <w:color w:val="000000"/>
                <w:sz w:val="21"/>
                <w:szCs w:val="21"/>
              </w:rPr>
              <w:t xml:space="preserve">5 </w:t>
            </w:r>
            <w:r w:rsidR="005570B1" w:rsidRPr="00A71735">
              <w:rPr>
                <w:rFonts w:ascii="Times New Roman" w:hAnsi="Times New Roman"/>
                <w:color w:val="000000"/>
                <w:sz w:val="21"/>
                <w:szCs w:val="21"/>
              </w:rPr>
              <w:t>PF</w:t>
            </w:r>
            <w:r w:rsidRPr="00A71735">
              <w:rPr>
                <w:rFonts w:ascii="Times New Roman" w:hAnsi="Times New Roman"/>
                <w:color w:val="000000"/>
                <w:sz w:val="21"/>
                <w:szCs w:val="21"/>
              </w:rPr>
              <w:t xml:space="preserve"> umożliwiającego laboratoriom kontroli jakości leków świadczenie usług w zakresie analizy farmaceutycznej. W</w:t>
            </w:r>
            <w:r w:rsidR="00A47DE6" w:rsidRPr="00A71735">
              <w:rPr>
                <w:rFonts w:ascii="Times New Roman" w:hAnsi="Times New Roman"/>
                <w:color w:val="000000"/>
                <w:sz w:val="21"/>
                <w:szCs w:val="21"/>
              </w:rPr>
              <w:t> </w:t>
            </w:r>
            <w:r w:rsidRPr="00A71735">
              <w:rPr>
                <w:rFonts w:ascii="Times New Roman" w:hAnsi="Times New Roman"/>
                <w:color w:val="000000"/>
                <w:sz w:val="21"/>
                <w:szCs w:val="21"/>
              </w:rPr>
              <w:t xml:space="preserve">kolejnych latach przyjęto dochody na poziomie roku 2024. Kwota podlegających przesunięciu dochodów z części 85 – województwa do części 46 – zdrowie ukształtowała się na poziomie 3,2 mln. zł rocznie. </w:t>
            </w:r>
          </w:p>
          <w:p w14:paraId="5079E699" w14:textId="77777777" w:rsidR="00887204" w:rsidRPr="00A71735" w:rsidRDefault="00887204" w:rsidP="00887204">
            <w:pPr>
              <w:pStyle w:val="Akapitzlist"/>
              <w:spacing w:line="240" w:lineRule="auto"/>
              <w:ind w:left="341"/>
              <w:jc w:val="both"/>
              <w:rPr>
                <w:rFonts w:ascii="Times New Roman" w:hAnsi="Times New Roman"/>
                <w:color w:val="000000"/>
                <w:sz w:val="21"/>
                <w:szCs w:val="21"/>
              </w:rPr>
            </w:pPr>
          </w:p>
          <w:p w14:paraId="6F9064B4" w14:textId="77777777" w:rsidR="00887204" w:rsidRPr="00A71735" w:rsidRDefault="00887204" w:rsidP="00887204">
            <w:pPr>
              <w:pStyle w:val="Akapitzlist"/>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Skutki finansowe w postaci przesunięcia wydatków z części 85 – województwa do części 46 – zdrowie dla lat 2023-2024 przyjęto na podstawie danych planistycznych na lata 2022-2024 przedstawionych przez wojewódzkie inspektoraty farmaceutyczne. W kolejnych latach przyjęto poziom wydatków indeksowany wskaźnikiem inflacji analogicznie jak w</w:t>
            </w:r>
            <w:r w:rsidR="00A47DE6" w:rsidRPr="00A71735">
              <w:rPr>
                <w:rFonts w:ascii="Times New Roman" w:hAnsi="Times New Roman"/>
                <w:color w:val="000000"/>
                <w:sz w:val="21"/>
                <w:szCs w:val="21"/>
              </w:rPr>
              <w:t> </w:t>
            </w:r>
            <w:r w:rsidRPr="00A71735">
              <w:rPr>
                <w:rFonts w:ascii="Times New Roman" w:hAnsi="Times New Roman"/>
                <w:color w:val="000000"/>
                <w:sz w:val="21"/>
                <w:szCs w:val="21"/>
              </w:rPr>
              <w:t xml:space="preserve">przypadku skutków finansowych włączenia wojewódzkich inspektoratów farmaceutycznych w struktury </w:t>
            </w:r>
            <w:r w:rsidR="00935B39" w:rsidRPr="00A71735">
              <w:rPr>
                <w:rFonts w:ascii="Times New Roman" w:hAnsi="Times New Roman"/>
                <w:color w:val="000000"/>
                <w:sz w:val="21"/>
                <w:szCs w:val="21"/>
              </w:rPr>
              <w:t>GIF</w:t>
            </w:r>
            <w:r w:rsidRPr="00A71735">
              <w:rPr>
                <w:rFonts w:ascii="Times New Roman" w:hAnsi="Times New Roman"/>
                <w:color w:val="000000"/>
                <w:sz w:val="21"/>
                <w:szCs w:val="21"/>
              </w:rPr>
              <w:t>.</w:t>
            </w:r>
          </w:p>
          <w:p w14:paraId="11744787" w14:textId="77777777" w:rsidR="00887204" w:rsidRDefault="00887204" w:rsidP="00887204">
            <w:pPr>
              <w:pStyle w:val="Akapitzlist"/>
              <w:spacing w:line="240" w:lineRule="auto"/>
              <w:ind w:left="341"/>
              <w:jc w:val="both"/>
              <w:rPr>
                <w:rFonts w:ascii="Times New Roman" w:hAnsi="Times New Roman"/>
                <w:color w:val="000000"/>
                <w:sz w:val="21"/>
                <w:szCs w:val="21"/>
              </w:rPr>
            </w:pPr>
            <w:r w:rsidRPr="00A71735">
              <w:rPr>
                <w:rFonts w:ascii="Times New Roman" w:hAnsi="Times New Roman"/>
                <w:color w:val="000000"/>
                <w:sz w:val="21"/>
                <w:szCs w:val="21"/>
              </w:rPr>
              <w:t>Kwot</w:t>
            </w:r>
            <w:r w:rsidR="008B40FB">
              <w:rPr>
                <w:rFonts w:ascii="Times New Roman" w:hAnsi="Times New Roman"/>
                <w:color w:val="000000"/>
                <w:sz w:val="21"/>
                <w:szCs w:val="21"/>
              </w:rPr>
              <w:t>a</w:t>
            </w:r>
            <w:r w:rsidRPr="00A71735">
              <w:rPr>
                <w:rFonts w:ascii="Times New Roman" w:hAnsi="Times New Roman"/>
                <w:color w:val="000000"/>
                <w:sz w:val="21"/>
                <w:szCs w:val="21"/>
              </w:rPr>
              <w:t xml:space="preserve"> podlegających przesunięciu wydatków z części 85 – województwa do części 46 – zdrowie </w:t>
            </w:r>
            <w:r w:rsidR="008B40FB">
              <w:rPr>
                <w:rFonts w:ascii="Times New Roman" w:hAnsi="Times New Roman"/>
                <w:color w:val="000000"/>
                <w:sz w:val="21"/>
                <w:szCs w:val="21"/>
              </w:rPr>
              <w:t xml:space="preserve">w roku 0 wyniesie </w:t>
            </w:r>
            <w:r w:rsidR="008B40FB" w:rsidRPr="00A71735">
              <w:rPr>
                <w:rFonts w:ascii="Times New Roman" w:hAnsi="Times New Roman"/>
                <w:color w:val="000000"/>
                <w:sz w:val="21"/>
                <w:szCs w:val="21"/>
              </w:rPr>
              <w:t xml:space="preserve">36,3 mln. </w:t>
            </w:r>
            <w:r w:rsidR="00C31705">
              <w:rPr>
                <w:rFonts w:ascii="Times New Roman" w:hAnsi="Times New Roman"/>
                <w:color w:val="000000"/>
                <w:sz w:val="21"/>
                <w:szCs w:val="21"/>
              </w:rPr>
              <w:t>z</w:t>
            </w:r>
            <w:r w:rsidR="008B40FB" w:rsidRPr="00A71735">
              <w:rPr>
                <w:rFonts w:ascii="Times New Roman" w:hAnsi="Times New Roman"/>
                <w:color w:val="000000"/>
                <w:sz w:val="21"/>
                <w:szCs w:val="21"/>
              </w:rPr>
              <w:t>ł</w:t>
            </w:r>
            <w:r w:rsidR="008B40FB">
              <w:rPr>
                <w:rFonts w:ascii="Times New Roman" w:hAnsi="Times New Roman"/>
                <w:color w:val="000000"/>
                <w:sz w:val="21"/>
                <w:szCs w:val="21"/>
              </w:rPr>
              <w:t>.</w:t>
            </w:r>
          </w:p>
          <w:p w14:paraId="34E8BC84" w14:textId="77777777" w:rsidR="002F4B2A" w:rsidRPr="00A71735" w:rsidRDefault="002F4B2A" w:rsidP="00887204">
            <w:pPr>
              <w:pStyle w:val="Akapitzlist"/>
              <w:spacing w:line="240" w:lineRule="auto"/>
              <w:ind w:left="341"/>
              <w:jc w:val="both"/>
              <w:rPr>
                <w:rFonts w:ascii="Times New Roman" w:hAnsi="Times New Roman"/>
                <w:color w:val="000000"/>
                <w:sz w:val="21"/>
                <w:szCs w:val="21"/>
              </w:rPr>
            </w:pPr>
            <w:r>
              <w:rPr>
                <w:rFonts w:ascii="Times New Roman" w:hAnsi="Times New Roman"/>
              </w:rPr>
              <w:t>Pracownicy zatrudnieni w wojewódzkich inspektoratach farmaceutycznych staną się pracownikami właściwych oddziałów terenowych GIF. Ewentualnie zmianie może ulec ich zakres zadań.</w:t>
            </w:r>
            <w:r w:rsidR="00BB071E">
              <w:rPr>
                <w:rFonts w:ascii="Times New Roman" w:hAnsi="Times New Roman"/>
              </w:rPr>
              <w:t xml:space="preserve"> Pracownicy ci będą mogli wykonywać również inne zadania, których dotychczas nie wykonywali, co przyczyni się do oszczędności, gdyż nie będzie konieczności zatrudniania dodatkowych  pracowników. </w:t>
            </w:r>
            <w:r>
              <w:rPr>
                <w:rFonts w:ascii="Times New Roman" w:hAnsi="Times New Roman"/>
              </w:rPr>
              <w:t xml:space="preserve"> Inspektorzy farmaceutyczni natomiast będą dalej zajmować stanowiska inspektorów farmaceutycznych zatrudnionych w oddziałach terenowych GIF.</w:t>
            </w:r>
            <w:r w:rsidR="00BB071E">
              <w:rPr>
                <w:rFonts w:ascii="Times New Roman" w:hAnsi="Times New Roman"/>
              </w:rPr>
              <w:t xml:space="preserve"> </w:t>
            </w:r>
          </w:p>
          <w:p w14:paraId="5F94EFD0" w14:textId="77777777" w:rsidR="00725C00" w:rsidRPr="00A71735" w:rsidRDefault="00725C00" w:rsidP="008B40FB">
            <w:pPr>
              <w:pStyle w:val="Akapitzlist"/>
              <w:spacing w:line="240" w:lineRule="auto"/>
              <w:ind w:left="0"/>
              <w:jc w:val="both"/>
              <w:rPr>
                <w:rFonts w:ascii="Times New Roman" w:hAnsi="Times New Roman"/>
                <w:color w:val="000000"/>
                <w:sz w:val="21"/>
                <w:szCs w:val="21"/>
              </w:rPr>
            </w:pPr>
            <w:r w:rsidRPr="00A71735">
              <w:rPr>
                <w:rFonts w:ascii="Times New Roman" w:hAnsi="Times New Roman"/>
                <w:color w:val="000000"/>
                <w:sz w:val="21"/>
                <w:szCs w:val="21"/>
              </w:rPr>
              <w:t xml:space="preserve"> </w:t>
            </w:r>
          </w:p>
          <w:p w14:paraId="6FC0F2EC" w14:textId="77777777" w:rsidR="00887204" w:rsidRPr="00A71735" w:rsidRDefault="00887204" w:rsidP="00887204">
            <w:pPr>
              <w:pStyle w:val="Akapitzlist"/>
              <w:spacing w:line="240" w:lineRule="auto"/>
              <w:jc w:val="both"/>
              <w:rPr>
                <w:rFonts w:ascii="Times New Roman" w:hAnsi="Times New Roman"/>
                <w:color w:val="000000"/>
                <w:sz w:val="21"/>
                <w:szCs w:val="21"/>
              </w:rPr>
            </w:pPr>
          </w:p>
          <w:p w14:paraId="58344B4F" w14:textId="77777777" w:rsidR="00887204" w:rsidRPr="00A71735" w:rsidRDefault="00887204" w:rsidP="00EC56B5">
            <w:pPr>
              <w:pStyle w:val="Akapitzlist"/>
              <w:numPr>
                <w:ilvl w:val="0"/>
                <w:numId w:val="6"/>
              </w:numPr>
              <w:spacing w:line="240" w:lineRule="auto"/>
              <w:jc w:val="both"/>
              <w:rPr>
                <w:rFonts w:ascii="Times New Roman" w:hAnsi="Times New Roman"/>
                <w:color w:val="000000"/>
                <w:sz w:val="21"/>
                <w:szCs w:val="21"/>
              </w:rPr>
            </w:pPr>
            <w:r w:rsidRPr="00A71735">
              <w:rPr>
                <w:rFonts w:ascii="Times New Roman" w:hAnsi="Times New Roman"/>
                <w:b/>
                <w:color w:val="000000"/>
                <w:sz w:val="21"/>
                <w:szCs w:val="21"/>
              </w:rPr>
              <w:t xml:space="preserve">Skutki włączenia w struktury </w:t>
            </w:r>
            <w:r w:rsidR="00935B39" w:rsidRPr="00A71735">
              <w:rPr>
                <w:rFonts w:ascii="Times New Roman" w:hAnsi="Times New Roman"/>
                <w:b/>
                <w:color w:val="000000"/>
                <w:sz w:val="21"/>
                <w:szCs w:val="21"/>
              </w:rPr>
              <w:t>GIF</w:t>
            </w:r>
            <w:r w:rsidRPr="00A71735">
              <w:rPr>
                <w:rFonts w:ascii="Times New Roman" w:hAnsi="Times New Roman"/>
                <w:b/>
                <w:color w:val="000000"/>
                <w:sz w:val="21"/>
                <w:szCs w:val="21"/>
              </w:rPr>
              <w:t xml:space="preserve"> Centralnego Ośrodka Badań Jakości w Diagnostyce Laboratoryjnej (COBJDL) oraz Centralnego Ośrodka Badań Jakości w Diagnostyce Mikrobiologicznej (COBJDM) (przeniesienie wydatków i dochodów między jednostkami podległymi Ministrowi Zdrowia nie skutkujące zwiększeniem dochodów/wydatków dla budżetu państwa)</w:t>
            </w:r>
          </w:p>
          <w:p w14:paraId="6939EE0A" w14:textId="77777777" w:rsidR="00887204" w:rsidRPr="00A71735" w:rsidRDefault="00887204" w:rsidP="00887204">
            <w:pPr>
              <w:pStyle w:val="Akapitzlist"/>
              <w:spacing w:line="240" w:lineRule="auto"/>
              <w:ind w:left="0"/>
              <w:jc w:val="both"/>
              <w:rPr>
                <w:rFonts w:ascii="Times New Roman" w:hAnsi="Times New Roman"/>
                <w:b/>
                <w:color w:val="000000"/>
                <w:sz w:val="21"/>
                <w:szCs w:val="21"/>
              </w:rPr>
            </w:pPr>
          </w:p>
          <w:p w14:paraId="6E6DD563" w14:textId="77777777" w:rsidR="002F17CE" w:rsidRPr="00A71735" w:rsidRDefault="00887204" w:rsidP="008B40FB">
            <w:pPr>
              <w:pStyle w:val="Akapitzlist"/>
              <w:spacing w:line="240" w:lineRule="auto"/>
              <w:ind w:left="199"/>
              <w:jc w:val="both"/>
              <w:rPr>
                <w:rFonts w:ascii="Times New Roman" w:hAnsi="Times New Roman"/>
                <w:color w:val="000000"/>
                <w:sz w:val="21"/>
                <w:szCs w:val="21"/>
              </w:rPr>
            </w:pPr>
            <w:r w:rsidRPr="00A71735">
              <w:rPr>
                <w:rFonts w:ascii="Times New Roman" w:hAnsi="Times New Roman"/>
                <w:color w:val="000000"/>
                <w:sz w:val="21"/>
                <w:szCs w:val="21"/>
              </w:rPr>
              <w:t xml:space="preserve">Skutki włączenia w struktury </w:t>
            </w:r>
            <w:r w:rsidR="00935B39" w:rsidRPr="00A71735">
              <w:rPr>
                <w:rFonts w:ascii="Times New Roman" w:hAnsi="Times New Roman"/>
                <w:color w:val="000000"/>
                <w:sz w:val="21"/>
                <w:szCs w:val="21"/>
              </w:rPr>
              <w:t>GIF</w:t>
            </w:r>
            <w:r w:rsidRPr="00A71735">
              <w:rPr>
                <w:rFonts w:ascii="Times New Roman" w:hAnsi="Times New Roman"/>
                <w:color w:val="000000"/>
                <w:sz w:val="21"/>
                <w:szCs w:val="21"/>
              </w:rPr>
              <w:t xml:space="preserve"> Centralnego Ośrodka Badań Jakości w Diagnostyce Laboratoryjnej oraz Centralnego Ośrodka Badań Jakości w Diagnostyce Mikrobiologicznej oszacowano na podstawie sprawozdań finansowych za 2020 r</w:t>
            </w:r>
            <w:r w:rsidR="00DC102B" w:rsidRPr="00A71735">
              <w:rPr>
                <w:rFonts w:ascii="Times New Roman" w:hAnsi="Times New Roman"/>
                <w:color w:val="000000"/>
                <w:sz w:val="21"/>
                <w:szCs w:val="21"/>
              </w:rPr>
              <w:t>.</w:t>
            </w:r>
            <w:r w:rsidRPr="00A71735">
              <w:rPr>
                <w:rFonts w:ascii="Times New Roman" w:hAnsi="Times New Roman"/>
                <w:color w:val="000000"/>
                <w:sz w:val="21"/>
                <w:szCs w:val="21"/>
              </w:rPr>
              <w:t xml:space="preserve"> w/w jednostek przedstawiając poziom kosztów działalności operacyjnej z wyłączeniem amortyzacji z uwzględnieniem inflacji analogicznie jak w pozostałych punktach OSR. W</w:t>
            </w:r>
            <w:r w:rsidR="00A10094">
              <w:rPr>
                <w:rFonts w:ascii="Times New Roman" w:hAnsi="Times New Roman"/>
                <w:color w:val="000000"/>
                <w:sz w:val="21"/>
                <w:szCs w:val="21"/>
              </w:rPr>
              <w:t> </w:t>
            </w:r>
            <w:r w:rsidRPr="00A71735">
              <w:rPr>
                <w:rFonts w:ascii="Times New Roman" w:hAnsi="Times New Roman"/>
                <w:color w:val="000000"/>
                <w:sz w:val="21"/>
                <w:szCs w:val="21"/>
              </w:rPr>
              <w:t xml:space="preserve">związku z włączeniem w/w jednostek w struktury </w:t>
            </w:r>
            <w:r w:rsidR="00225139" w:rsidRPr="00A71735">
              <w:rPr>
                <w:rFonts w:ascii="Times New Roman" w:hAnsi="Times New Roman"/>
                <w:color w:val="000000"/>
                <w:spacing w:val="-2"/>
              </w:rPr>
              <w:t>Głównego Inspektoratu Farmaceutycznego</w:t>
            </w:r>
            <w:r w:rsidRPr="00A71735">
              <w:rPr>
                <w:rFonts w:ascii="Times New Roman" w:hAnsi="Times New Roman"/>
                <w:color w:val="000000"/>
                <w:sz w:val="21"/>
                <w:szCs w:val="21"/>
              </w:rPr>
              <w:t xml:space="preserve"> środki na </w:t>
            </w:r>
            <w:r w:rsidRPr="00A71735">
              <w:rPr>
                <w:rFonts w:ascii="Times New Roman" w:hAnsi="Times New Roman"/>
                <w:color w:val="000000"/>
                <w:sz w:val="21"/>
                <w:szCs w:val="21"/>
              </w:rPr>
              <w:lastRenderedPageBreak/>
              <w:t xml:space="preserve">ich funkcjonowanie będą przekazywane przez Ministra Zdrowia do Głównego Inspektoratu Farmaceutycznego. </w:t>
            </w:r>
          </w:p>
          <w:p w14:paraId="06A03C6A" w14:textId="77777777" w:rsidR="002F17CE" w:rsidRPr="00A71735" w:rsidRDefault="002F17CE" w:rsidP="008B40FB">
            <w:pPr>
              <w:pStyle w:val="Akapitzlist"/>
              <w:spacing w:line="240" w:lineRule="auto"/>
              <w:ind w:left="175"/>
              <w:jc w:val="both"/>
              <w:rPr>
                <w:rFonts w:ascii="Times New Roman" w:hAnsi="Times New Roman"/>
                <w:color w:val="000000"/>
                <w:sz w:val="21"/>
                <w:szCs w:val="21"/>
              </w:rPr>
            </w:pPr>
            <w:r w:rsidRPr="00A71735">
              <w:rPr>
                <w:rFonts w:ascii="Times New Roman" w:hAnsi="Times New Roman"/>
                <w:color w:val="000000"/>
                <w:sz w:val="21"/>
                <w:szCs w:val="21"/>
              </w:rPr>
              <w:t>Według stanu na dzień 31 grudnia 2021 r. w  Centralnym Ośrodku Badań Jakości w Diagnostyce Laboratoryjnej zatrudnienie wyniosło 7,2 etatu, natomiast w Centralnym Ośrodku Badań Jakości w</w:t>
            </w:r>
            <w:r w:rsidR="009B7735" w:rsidRPr="00A71735">
              <w:rPr>
                <w:rFonts w:ascii="Times New Roman" w:hAnsi="Times New Roman"/>
                <w:color w:val="000000"/>
                <w:sz w:val="21"/>
                <w:szCs w:val="21"/>
              </w:rPr>
              <w:t> </w:t>
            </w:r>
            <w:r w:rsidRPr="00A71735">
              <w:rPr>
                <w:rFonts w:ascii="Times New Roman" w:hAnsi="Times New Roman"/>
                <w:color w:val="000000"/>
                <w:sz w:val="21"/>
                <w:szCs w:val="21"/>
              </w:rPr>
              <w:t>Diagnostyce Mikrobiologicznej wyniosło 8,5 etatu.</w:t>
            </w:r>
            <w:r w:rsidR="00BB071E">
              <w:rPr>
                <w:rFonts w:ascii="Times New Roman" w:hAnsi="Times New Roman"/>
                <w:color w:val="000000"/>
                <w:sz w:val="21"/>
                <w:szCs w:val="21"/>
              </w:rPr>
              <w:t xml:space="preserve"> Pracownicy ci staną się pracownikami GIF.</w:t>
            </w:r>
            <w:r w:rsidR="00A867F0">
              <w:rPr>
                <w:rFonts w:ascii="Times New Roman" w:hAnsi="Times New Roman"/>
                <w:color w:val="000000"/>
                <w:sz w:val="21"/>
                <w:szCs w:val="21"/>
              </w:rPr>
              <w:t xml:space="preserve"> </w:t>
            </w:r>
            <w:r w:rsidR="00A867F0">
              <w:rPr>
                <w:rFonts w:ascii="Times New Roman" w:hAnsi="Times New Roman"/>
              </w:rPr>
              <w:t xml:space="preserve"> Ewentualnie zmianie może ulec ich zakres zadań. Pracownicy ci będą mogli wykonywać również inne zadania, których dotychczas nie wykonywali, co przyczyni się do oszczędności, gdyż nie będzie konieczności zatrudniania dodatkowych  pracowników.</w:t>
            </w:r>
          </w:p>
          <w:p w14:paraId="4C3A7551" w14:textId="77777777" w:rsidR="00887204" w:rsidRPr="00A71735" w:rsidRDefault="00887204" w:rsidP="00887204">
            <w:pPr>
              <w:pStyle w:val="Akapitzlist"/>
              <w:tabs>
                <w:tab w:val="left" w:pos="340"/>
              </w:tabs>
              <w:spacing w:line="240" w:lineRule="auto"/>
              <w:jc w:val="both"/>
              <w:rPr>
                <w:rFonts w:ascii="Times New Roman" w:hAnsi="Times New Roman"/>
                <w:color w:val="000000"/>
                <w:sz w:val="21"/>
                <w:szCs w:val="21"/>
              </w:rPr>
            </w:pPr>
          </w:p>
          <w:p w14:paraId="79B370D9" w14:textId="77777777" w:rsidR="009E6F9F" w:rsidRDefault="00164087" w:rsidP="000B67AE">
            <w:pPr>
              <w:pStyle w:val="Akapitzlist"/>
              <w:tabs>
                <w:tab w:val="left" w:pos="-4678"/>
              </w:tabs>
              <w:spacing w:line="240" w:lineRule="auto"/>
              <w:ind w:left="0"/>
              <w:jc w:val="both"/>
              <w:rPr>
                <w:rFonts w:ascii="Times New Roman" w:hAnsi="Times New Roman"/>
              </w:rPr>
            </w:pPr>
            <w:r w:rsidRPr="00A71735">
              <w:rPr>
                <w:rFonts w:ascii="Times New Roman" w:hAnsi="Times New Roman"/>
              </w:rPr>
              <w:t xml:space="preserve">  </w:t>
            </w:r>
          </w:p>
          <w:p w14:paraId="73FD3F85" w14:textId="77777777" w:rsidR="009E6F9F" w:rsidRPr="009E6F9F" w:rsidRDefault="009E6F9F" w:rsidP="00B05E40">
            <w:pPr>
              <w:pStyle w:val="Akapitzlist"/>
              <w:numPr>
                <w:ilvl w:val="0"/>
                <w:numId w:val="6"/>
              </w:numPr>
              <w:tabs>
                <w:tab w:val="left" w:pos="-4678"/>
              </w:tabs>
              <w:spacing w:line="240" w:lineRule="auto"/>
              <w:jc w:val="both"/>
              <w:rPr>
                <w:rFonts w:ascii="Times New Roman" w:hAnsi="Times New Roman"/>
                <w:b/>
              </w:rPr>
            </w:pPr>
            <w:r w:rsidRPr="009E6F9F">
              <w:rPr>
                <w:rFonts w:ascii="Times New Roman" w:hAnsi="Times New Roman"/>
                <w:b/>
              </w:rPr>
              <w:t>Skutki wprowadzenia dodatkowej opłaty rocznej.</w:t>
            </w:r>
          </w:p>
          <w:p w14:paraId="557AD9E9" w14:textId="77777777" w:rsidR="009E6F9F" w:rsidRPr="009E6F9F" w:rsidRDefault="009E6F9F" w:rsidP="00C41C34">
            <w:pPr>
              <w:pStyle w:val="Akapitzlist"/>
              <w:tabs>
                <w:tab w:val="left" w:pos="-4678"/>
              </w:tabs>
              <w:spacing w:line="240" w:lineRule="auto"/>
              <w:ind w:left="34"/>
              <w:jc w:val="both"/>
              <w:rPr>
                <w:rFonts w:ascii="Times New Roman" w:hAnsi="Times New Roman"/>
              </w:rPr>
            </w:pPr>
            <w:r w:rsidRPr="009E6F9F">
              <w:rPr>
                <w:rFonts w:ascii="Times New Roman" w:hAnsi="Times New Roman"/>
              </w:rPr>
              <w:t>Projektowane rozwiązania zakładają, że podmioty prowadzące reglamentowaną przez GIF działalność gospodarczą w zakresie wytwarzania i importu produktów leczniczych, obrotu hurtowego produktami leczniczymi, obrotu detalicznego produktami leczniczymi, pośrednictwa w obrocie produktami leczniczymi oraz wytwarzania, importu i dystrybucji substancji czynnych będą zobowiązane do uiszczania rocznej opłaty powiązanej z odpowiednimi zezwoleniami bądź wpisami do rejestru działalności regulowanej. Stawki zasadnicze tej opłaty zostały zróżnicowane przez wzgląd na kategorię podmiotów i związaną z nimi uśrednioną skalę działalności objętej zezwoleniem lub wpisem. Podmioty co do zasady mniejsze (apteki punkty apteczne) będą zobowiązane uiszczać odpowiednio niższe opłaty roczne niż podmioty co do zasady duże (wytwórcy). Projektowane stawki to:</w:t>
            </w:r>
          </w:p>
          <w:p w14:paraId="65069E94"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250 zł od zezwolenia na prowadzenie punktu aptecznego;</w:t>
            </w:r>
          </w:p>
          <w:p w14:paraId="49FE72ED"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500 zł od zezwolenia na prowadzenie apteki ogólnodostępnej;</w:t>
            </w:r>
          </w:p>
          <w:p w14:paraId="418BBBCC"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1000 zł od zezwolenia na prowadzenie hurtowni farmaceutycznej albo wpisu do Krajowego Rejestru Pośredników w Obrocie Produktami Leczniczymi;</w:t>
            </w:r>
          </w:p>
          <w:p w14:paraId="28B068D0" w14:textId="77777777" w:rsidR="009E6F9F" w:rsidRDefault="009E6F9F" w:rsidP="009E6F9F">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3000 zł od zezwolenia na wytwarzania lub import produktów leczniczych albo wpisu do Krajowego Rejestru Wytwórców, Importerów oraz Dystrybutorów Substancji Czynnych.</w:t>
            </w:r>
          </w:p>
          <w:p w14:paraId="12B1B607"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Przewidywane wpływy z tytułu uiszczania tych opłat to:</w:t>
            </w:r>
          </w:p>
          <w:p w14:paraId="46A0E270"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 xml:space="preserve">ok. 275 000 zł pochodzące od punktów aptecznych; </w:t>
            </w:r>
          </w:p>
          <w:p w14:paraId="251BCFDC"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ok. 5 900 000 zł pochodzące od aptek ogólnodostępnych;</w:t>
            </w:r>
          </w:p>
          <w:p w14:paraId="3701F759"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ok. 560 000 zł pochodzące od hurtowni farmaceutycznych i pośredników w obrocie produktami leczniczymi;</w:t>
            </w:r>
          </w:p>
          <w:p w14:paraId="617AF5A9" w14:textId="77777777" w:rsidR="009E6F9F" w:rsidRDefault="009E6F9F" w:rsidP="009E6F9F">
            <w:pPr>
              <w:pStyle w:val="Akapitzlist"/>
              <w:tabs>
                <w:tab w:val="left" w:pos="-4678"/>
              </w:tabs>
              <w:spacing w:line="240" w:lineRule="auto"/>
              <w:ind w:left="0"/>
              <w:jc w:val="both"/>
              <w:rPr>
                <w:rFonts w:ascii="Times New Roman" w:hAnsi="Times New Roman"/>
              </w:rPr>
            </w:pPr>
            <w:r>
              <w:rPr>
                <w:rFonts w:ascii="Times New Roman" w:hAnsi="Times New Roman"/>
              </w:rPr>
              <w:t xml:space="preserve">– </w:t>
            </w:r>
            <w:r w:rsidRPr="009E6F9F">
              <w:rPr>
                <w:rFonts w:ascii="Times New Roman" w:hAnsi="Times New Roman"/>
              </w:rPr>
              <w:t>1 100 000 zł pochodzące od wytwórców lub importerów produktów leczniczych i wytwórców, importerów i dystrybutorów substancji czynnych.</w:t>
            </w:r>
          </w:p>
          <w:p w14:paraId="452F368D" w14:textId="77777777" w:rsidR="009E6F9F" w:rsidRDefault="009E6F9F" w:rsidP="009E6F9F">
            <w:pPr>
              <w:pStyle w:val="Akapitzlist"/>
              <w:tabs>
                <w:tab w:val="left" w:pos="-4678"/>
              </w:tabs>
              <w:spacing w:line="240" w:lineRule="auto"/>
              <w:ind w:left="0"/>
              <w:jc w:val="both"/>
              <w:rPr>
                <w:rFonts w:ascii="Times New Roman" w:hAnsi="Times New Roman"/>
              </w:rPr>
            </w:pPr>
          </w:p>
          <w:p w14:paraId="3F4C971D" w14:textId="77777777" w:rsidR="009E6F9F" w:rsidRDefault="009E6F9F" w:rsidP="009E6F9F">
            <w:pPr>
              <w:pStyle w:val="Akapitzlist"/>
              <w:tabs>
                <w:tab w:val="left" w:pos="-4678"/>
              </w:tabs>
              <w:spacing w:line="240" w:lineRule="auto"/>
              <w:ind w:left="0"/>
              <w:jc w:val="both"/>
              <w:rPr>
                <w:rFonts w:ascii="Times New Roman" w:hAnsi="Times New Roman"/>
              </w:rPr>
            </w:pPr>
            <w:r>
              <w:rPr>
                <w:rFonts w:ascii="Times New Roman" w:hAnsi="Times New Roman"/>
              </w:rPr>
              <w:t>Projekt przewiduje również, że opłata roczna obejmująca sumę opłat za zezwolenia lub wpisy będzie powiększana o wysokość 0,</w:t>
            </w:r>
            <w:r w:rsidR="00EC3551">
              <w:rPr>
                <w:rFonts w:ascii="Times New Roman" w:hAnsi="Times New Roman"/>
              </w:rPr>
              <w:t>02</w:t>
            </w:r>
            <w:r>
              <w:rPr>
                <w:rFonts w:ascii="Times New Roman" w:hAnsi="Times New Roman"/>
              </w:rPr>
              <w:t xml:space="preserve">% przychodu rocznego uzyskanego w poprzednim roku podatkowym, przy czym wobec </w:t>
            </w:r>
            <w:r w:rsidRPr="0018362A">
              <w:rPr>
                <w:rFonts w:ascii="Times New Roman" w:hAnsi="Times New Roman"/>
              </w:rPr>
              <w:t>mikroprzedsiębiorc</w:t>
            </w:r>
            <w:r>
              <w:rPr>
                <w:rFonts w:ascii="Times New Roman" w:hAnsi="Times New Roman"/>
              </w:rPr>
              <w:t>ów, o których</w:t>
            </w:r>
            <w:r w:rsidRPr="0018362A">
              <w:rPr>
                <w:rFonts w:ascii="Times New Roman" w:hAnsi="Times New Roman"/>
              </w:rPr>
              <w:t xml:space="preserve"> mowa w art. 7 ust. 1 pkt 1 ustawy z dnia 6 marca 2018 r. – Prawo przedsiębiorców</w:t>
            </w:r>
            <w:r>
              <w:rPr>
                <w:rFonts w:ascii="Times New Roman" w:hAnsi="Times New Roman"/>
              </w:rPr>
              <w:t xml:space="preserve">, zachowana zostanie stawka podstawowa. Zgodnie z tym założeniem podmioty objęte projektowanymi regulacjami będą zobowiązane powiększyć uiszczaną opłatę o </w:t>
            </w:r>
            <w:r w:rsidR="00EC3551">
              <w:rPr>
                <w:rFonts w:ascii="Times New Roman" w:hAnsi="Times New Roman"/>
              </w:rPr>
              <w:t xml:space="preserve">200 </w:t>
            </w:r>
            <w:r>
              <w:rPr>
                <w:rFonts w:ascii="Times New Roman" w:hAnsi="Times New Roman"/>
              </w:rPr>
              <w:t>zł od każdego 1 000 000 zł przychodu.</w:t>
            </w:r>
          </w:p>
          <w:p w14:paraId="784E0FD8" w14:textId="77777777" w:rsidR="009E6F9F" w:rsidRP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 xml:space="preserve">Precyzyjne określenie wpływów do budżetu państwa z tytułu powiększonej opłaty rocznej nie jest możliwe z uwagi na brak systemowego umocowania projektodawcy do gromadzenia i przetwarzania danych finansowych podmiotów nadzorowanych przez Państwową Inspekcję Farmaceutyczną. Konieczne stało się zatem ich oszacowanie w oparciu o zewnętrzne analizy rynku farmaceutycznego. </w:t>
            </w:r>
          </w:p>
          <w:p w14:paraId="65C2C947" w14:textId="77777777" w:rsid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Wartość całkowitą dystrybucji farmaceutycznej prowadzonej bezpośrednio do pacjenta (czyli prowadzonej na detalicznym poziomie łańcucha dystrybucyjnego) w 2021 r. szacuje się na około 45 mld zł. W ramach tej kwoty, około 72% sprzedaży jest prowadzona w podmiotach posiadających zezwolenie wydawane przez organ Państwowej Inspekcji Farmaceutycznej (apteki o</w:t>
            </w:r>
            <w:r>
              <w:rPr>
                <w:rFonts w:ascii="Times New Roman" w:hAnsi="Times New Roman"/>
              </w:rPr>
              <w:t>gólnodostępne, punkty apteczne)</w:t>
            </w:r>
            <w:r w:rsidRPr="009E6F9F">
              <w:rPr>
                <w:rFonts w:ascii="Times New Roman" w:hAnsi="Times New Roman"/>
              </w:rPr>
              <w:t>. Roczna wartość sprzedaży prowadzonej przez te podmioty w 2021 r. wynosiła zatem około 32,4 mld zł.</w:t>
            </w:r>
          </w:p>
          <w:p w14:paraId="7CB093B6" w14:textId="77777777" w:rsidR="009E6F9F" w:rsidRP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Mikroprzedsiębiorcami zwolnionymi z obowiązku uiszczania powiększonej opłaty rocznej będą podmioty, które w co najmniej jednym roku z dwóch ostatnich lat obrotowych spełniali łącznie warunek średniorocznego zatrudnienia na poziomie mniej niż 10 pracowników, jak również osiągnęli roczny obrót netto ze sprzedaży towarów, wyrobów i usług oraz z operacji finansowych nieprzekraczający 2mln euro, lub nie przekroczyli równowartości 2 milionów euro w bilansie rocznym sumy aktywów dot. jednego z</w:t>
            </w:r>
            <w:r w:rsidR="00A10094">
              <w:rPr>
                <w:rFonts w:ascii="Times New Roman" w:hAnsi="Times New Roman"/>
              </w:rPr>
              <w:t> </w:t>
            </w:r>
            <w:r w:rsidRPr="009E6F9F">
              <w:rPr>
                <w:rFonts w:ascii="Times New Roman" w:hAnsi="Times New Roman"/>
              </w:rPr>
              <w:t xml:space="preserve">tych lat. </w:t>
            </w:r>
          </w:p>
          <w:p w14:paraId="1D1FB50A" w14:textId="77777777" w:rsid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 xml:space="preserve">Projektodawca nie dysponuje danymi pozwalającymi na jednoznaczne wskazanie udziału liczbowego mikroprzedsiębiorców wśród podmiotów prowadzących detaliczną, które posiadają zezwolenie wydane przez organ Państwowej Inspekcji Farmaceutycznej. Opierając się na analizie szacowanych średnich obrotów aptek indywidualnych oraz zrzeszonych w mikrosieciach (2-4 apteki) oraz aptek sieciowych (5+ aptek), projektodawca przyjął, że co do zasady podmioty należące do pierwszej grupy nie będą spełniały przesłanki wartości obrotu netto, która warunkuje możliwość ich kwalifikacji jako </w:t>
            </w:r>
            <w:r w:rsidRPr="009E6F9F">
              <w:rPr>
                <w:rFonts w:ascii="Times New Roman" w:hAnsi="Times New Roman"/>
              </w:rPr>
              <w:lastRenderedPageBreak/>
              <w:t>mikroprzedsiębiorców. Co więcej, z uwagi na konieczność zapewnienia personelu niezbędnego do prowadzenia 5+ obiektów handlowych, zakwalifikowanie takich podmiotów jako mikroprzedsiębiorców jest efektywnie niemożliwe z uwagi na pierwszą przesłankę ustawową. Wychodząc z tych założeń przyjęto, że obowiązek uiszczania powiększonej opłaty rocznej spoczywać będzie przede wszystkim na podmiotach prowadzących apteki sieciowe oraz potencjalnie na niektórych podmiotach indywidualnych lub zrzeszonych w mikrosieciach.</w:t>
            </w:r>
          </w:p>
          <w:p w14:paraId="6471074A"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Podmioty sieciowe stanowią około 45% wszystkich aptek ogólnodostępnych i punktów aptecznych, a ich średni przychód stanowi dwukrotność średniego przychodu apteki indywidualnej lub zrzeszonej w</w:t>
            </w:r>
            <w:r w:rsidR="00A10094">
              <w:rPr>
                <w:rFonts w:ascii="Times New Roman" w:hAnsi="Times New Roman"/>
              </w:rPr>
              <w:t> </w:t>
            </w:r>
            <w:r w:rsidRPr="009E6F9F">
              <w:rPr>
                <w:rFonts w:ascii="Times New Roman" w:hAnsi="Times New Roman"/>
              </w:rPr>
              <w:t xml:space="preserve">mikrosieci. </w:t>
            </w:r>
          </w:p>
          <w:p w14:paraId="5F3186BC"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 xml:space="preserve">Przychód ze sprzedaży przez podmioty sieciowe przy zachowaniu parametrów z 2021 r. można zatem oszacować na około 20,11 mld zł w skali roku, co przekładałoby się na </w:t>
            </w:r>
            <w:r w:rsidR="00EC3551">
              <w:rPr>
                <w:rFonts w:ascii="Times New Roman" w:hAnsi="Times New Roman"/>
              </w:rPr>
              <w:t>4,02</w:t>
            </w:r>
            <w:r w:rsidRPr="009E6F9F">
              <w:rPr>
                <w:rFonts w:ascii="Times New Roman" w:hAnsi="Times New Roman"/>
              </w:rPr>
              <w:t xml:space="preserve"> mln zł powiększonej opłaty rocznej według danych z 2021 r., rozłożonej pomiędzy ok. 5300 podmiotów. </w:t>
            </w:r>
          </w:p>
          <w:p w14:paraId="0A0AC6DF"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 xml:space="preserve">Całkowite wpływy do budżetu państwa z tytułu opłaty rocznej pochodzącą od podmiotów prowadzących apteki ogólnodostępne oraz punkty apteczne, przy zachowaniu parametrów z 2021 r., szacuje się zatem na ok </w:t>
            </w:r>
            <w:r w:rsidRPr="00B76101">
              <w:rPr>
                <w:rFonts w:ascii="Times New Roman" w:hAnsi="Times New Roman"/>
              </w:rPr>
              <w:t>9,375</w:t>
            </w:r>
            <w:r w:rsidRPr="009E6F9F">
              <w:rPr>
                <w:rFonts w:ascii="Times New Roman" w:hAnsi="Times New Roman"/>
              </w:rPr>
              <w:t xml:space="preserve"> mln zł.</w:t>
            </w:r>
          </w:p>
          <w:p w14:paraId="5A7C140E"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Jednocześnie należy wskazać, że prognozowane tempo wzrostu wielkości sprzedaży detalicznej na rynku aptecznym na lata 2022-2027 w ujęciu średniorocznym wynosi 4,9%.</w:t>
            </w:r>
          </w:p>
          <w:p w14:paraId="651A3C05"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 xml:space="preserve">Wartość sprzedaży prowadzonej przez podmioty posiadające zezwolenie na prowadzenie hurtowni farmaceutycznej w 2021 r. szacuje się na ok 33 mld zł. Mając na uwadze fakt, że na rynku hurtowym mikroprzedsiębiorcy w zasadzie nie występują, a ich udział w przychodach generowanych przez rynek jest pomijalny, projektodawca przyjął tę wartość jako podstawę do szacowania wpływów z tytułu powiększenia opłaty rocznej, które ocenia się 4,95 mln zł według danych na 2021 r., rozłożone między ok. 440 podmiotów. </w:t>
            </w:r>
          </w:p>
          <w:p w14:paraId="3A7D6AFA" w14:textId="77777777" w:rsid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Całkowite wpływy do budżetu państwa z tytułu płaty rocznej pochodzącej od podmiotów prowadzących hurtownie farmaceutyczne, przy zachowaniu parametrów z 2021 r., szacuje się zatem na ok. 5,51 mln zł.</w:t>
            </w:r>
          </w:p>
          <w:p w14:paraId="787DC685"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Jednocześnie należy wskazać, że prognozowane tempo wzrostu wielkości sprzedaży farmaceutycznej na rynku hurtowym na lata 2022-2027 w ujęciu średniorocznym wynosi 4%.</w:t>
            </w:r>
          </w:p>
          <w:p w14:paraId="0C35C405"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Projektodawca nie dysponuje precyzyjnymi danymi dotyczącymi wytwórców, pośredników w obrocie produktami leczniczymi oraz wytwórców i dystrybutorów substancji czynnych, wobec czego możliwość oszacowania wpływów do budżetu państwa z tytułu powiększonej opłaty rocznej pochodzącej od tych podmiotów jest utrudniona.</w:t>
            </w:r>
          </w:p>
          <w:p w14:paraId="05ADB648" w14:textId="77777777" w:rsidR="009E6F9F" w:rsidRPr="009E6F9F" w:rsidRDefault="009E6F9F" w:rsidP="00C41C34">
            <w:pPr>
              <w:pStyle w:val="Akapitzlist"/>
              <w:tabs>
                <w:tab w:val="left" w:pos="-4678"/>
              </w:tabs>
              <w:spacing w:line="240" w:lineRule="auto"/>
              <w:ind w:left="0"/>
              <w:jc w:val="both"/>
              <w:rPr>
                <w:rFonts w:ascii="Times New Roman" w:hAnsi="Times New Roman"/>
              </w:rPr>
            </w:pPr>
            <w:r w:rsidRPr="009E6F9F">
              <w:rPr>
                <w:rFonts w:ascii="Times New Roman" w:hAnsi="Times New Roman"/>
              </w:rPr>
              <w:t>Na koniec drugiego kwartału 2022 r. na rynku farmaceutycznym funkcjonowało 229 wytwórców/importerów produktów leczniczych, 139 wytwórców, importerów i dystrybutorów substancji czynnych oraz 126 pośredników w obrocie produktami leczniczymi oraz</w:t>
            </w:r>
          </w:p>
          <w:p w14:paraId="7436A00D" w14:textId="77777777" w:rsidR="009E6F9F" w:rsidRDefault="009E6F9F" w:rsidP="009E6F9F">
            <w:pPr>
              <w:pStyle w:val="Akapitzlist"/>
              <w:tabs>
                <w:tab w:val="left" w:pos="-4678"/>
              </w:tabs>
              <w:spacing w:line="240" w:lineRule="auto"/>
              <w:ind w:left="0"/>
              <w:jc w:val="both"/>
              <w:rPr>
                <w:rFonts w:ascii="Times New Roman" w:hAnsi="Times New Roman"/>
              </w:rPr>
            </w:pPr>
            <w:r w:rsidRPr="009E6F9F">
              <w:rPr>
                <w:rFonts w:ascii="Times New Roman" w:hAnsi="Times New Roman"/>
              </w:rPr>
              <w:t>Z niepełnych danych dotyczących w szczególności dwu pierwszych kategorii podmiotów, pozyskanych z publikowanych przez Ministra Finansów indywidualnych danych podatników CIT, uwzględniając przeciętną skalę działalności prowadzonej przez te podmioty, projektodawca założył, że wpływy z</w:t>
            </w:r>
            <w:r w:rsidR="00A10094">
              <w:rPr>
                <w:rFonts w:ascii="Times New Roman" w:hAnsi="Times New Roman"/>
              </w:rPr>
              <w:t> </w:t>
            </w:r>
            <w:r w:rsidRPr="009E6F9F">
              <w:rPr>
                <w:rFonts w:ascii="Times New Roman" w:hAnsi="Times New Roman"/>
              </w:rPr>
              <w:t>powiększonej opłaty rocznej uiszczanej przez te podmioty na ok. 5 mln zł według danych na 2021 r., przy analogicznym 4% poziomie wzrostu r/r.</w:t>
            </w:r>
          </w:p>
          <w:p w14:paraId="6EA6FFE4" w14:textId="77777777" w:rsidR="00C41C34" w:rsidRPr="00C41C34" w:rsidRDefault="00C41C34" w:rsidP="00C41C34">
            <w:pPr>
              <w:pStyle w:val="Akapitzlist"/>
              <w:tabs>
                <w:tab w:val="left" w:pos="-4678"/>
              </w:tabs>
              <w:spacing w:line="240" w:lineRule="auto"/>
              <w:ind w:left="0"/>
              <w:jc w:val="both"/>
              <w:rPr>
                <w:rFonts w:ascii="Times New Roman" w:hAnsi="Times New Roman"/>
              </w:rPr>
            </w:pPr>
            <w:r w:rsidRPr="00C41C34">
              <w:rPr>
                <w:rFonts w:ascii="Times New Roman" w:hAnsi="Times New Roman"/>
              </w:rPr>
              <w:t>Mając na uwadze powyższe okoliczności, zakładając stały wzrost wartości rynku na poziomie 4% oraz zbliżoną liczbę podmiotów uiszczających opłaty stałe, projektodawca szacuje wpływy z opłaty rocznej w</w:t>
            </w:r>
            <w:r w:rsidR="00A10094">
              <w:rPr>
                <w:rFonts w:ascii="Times New Roman" w:hAnsi="Times New Roman"/>
              </w:rPr>
              <w:t> </w:t>
            </w:r>
            <w:r w:rsidRPr="00C41C34">
              <w:rPr>
                <w:rFonts w:ascii="Times New Roman" w:hAnsi="Times New Roman"/>
              </w:rPr>
              <w:t xml:space="preserve">pierwszym roku obowiązywania projektowanych przepisów (2023 r.) na ok. 7,8 mln zł z tytułu opłaty podstawowej oraz ok </w:t>
            </w:r>
            <w:r w:rsidR="00EC3551">
              <w:rPr>
                <w:rFonts w:ascii="Times New Roman" w:hAnsi="Times New Roman"/>
              </w:rPr>
              <w:t>19,1</w:t>
            </w:r>
            <w:r w:rsidR="009F4B87">
              <w:rPr>
                <w:rFonts w:ascii="Times New Roman" w:hAnsi="Times New Roman"/>
              </w:rPr>
              <w:t xml:space="preserve"> </w:t>
            </w:r>
            <w:r w:rsidRPr="00C41C34">
              <w:rPr>
                <w:rFonts w:ascii="Times New Roman" w:hAnsi="Times New Roman"/>
              </w:rPr>
              <w:t xml:space="preserve">mln. zł z tytułu opłaty dodatkowej, co przekłada się na ok. </w:t>
            </w:r>
            <w:r w:rsidR="00EC3551">
              <w:rPr>
                <w:rFonts w:ascii="Times New Roman" w:hAnsi="Times New Roman"/>
              </w:rPr>
              <w:t>26,7</w:t>
            </w:r>
            <w:r w:rsidRPr="00C41C34">
              <w:rPr>
                <w:rFonts w:ascii="Times New Roman" w:hAnsi="Times New Roman"/>
              </w:rPr>
              <w:t xml:space="preserve"> mln. </w:t>
            </w:r>
          </w:p>
          <w:p w14:paraId="17B3C0B2" w14:textId="77777777" w:rsidR="009E6F9F" w:rsidRDefault="00C41C34" w:rsidP="009E6F9F">
            <w:pPr>
              <w:pStyle w:val="Akapitzlist"/>
              <w:tabs>
                <w:tab w:val="left" w:pos="-4678"/>
              </w:tabs>
              <w:spacing w:line="240" w:lineRule="auto"/>
              <w:ind w:left="0"/>
              <w:jc w:val="both"/>
              <w:rPr>
                <w:rFonts w:ascii="Times New Roman" w:hAnsi="Times New Roman"/>
              </w:rPr>
            </w:pPr>
            <w:r w:rsidRPr="00C41C34">
              <w:rPr>
                <w:rFonts w:ascii="Times New Roman" w:hAnsi="Times New Roman"/>
              </w:rPr>
              <w:t>Szacowane sumy wpływów będą musiały zostać poddane weryfikacji po pierwszym pełnym roku podatkowym obowiązywania projektowanych rozwiązań.</w:t>
            </w:r>
          </w:p>
          <w:p w14:paraId="65F431AC" w14:textId="77777777" w:rsidR="001D680B" w:rsidRPr="00A71735" w:rsidRDefault="001D680B" w:rsidP="009E6F9F">
            <w:pPr>
              <w:pStyle w:val="Akapitzlist"/>
              <w:tabs>
                <w:tab w:val="left" w:pos="-4678"/>
              </w:tabs>
              <w:spacing w:line="240" w:lineRule="auto"/>
              <w:ind w:left="0"/>
              <w:jc w:val="both"/>
              <w:rPr>
                <w:rFonts w:ascii="Times New Roman" w:hAnsi="Times New Roman"/>
              </w:rPr>
            </w:pPr>
          </w:p>
          <w:p w14:paraId="6422787C" w14:textId="77777777" w:rsidR="00593CFB" w:rsidRPr="00A71735" w:rsidRDefault="001D680B" w:rsidP="00337117">
            <w:pPr>
              <w:pStyle w:val="Akapitzlist"/>
              <w:tabs>
                <w:tab w:val="left" w:pos="-4678"/>
              </w:tabs>
              <w:spacing w:line="240" w:lineRule="auto"/>
              <w:ind w:left="0"/>
              <w:jc w:val="both"/>
              <w:rPr>
                <w:rFonts w:ascii="Times New Roman" w:hAnsi="Times New Roman"/>
              </w:rPr>
            </w:pPr>
            <w:r>
              <w:rPr>
                <w:rFonts w:ascii="Times New Roman" w:hAnsi="Times New Roman"/>
              </w:rPr>
              <w:t>Szacowane kwoty wpływów z w/w tytułu przedstawiono w poniższej tabeli.</w:t>
            </w:r>
          </w:p>
          <w:p w14:paraId="1975278F" w14:textId="77777777" w:rsidR="00B53BBC" w:rsidRDefault="00B53BBC" w:rsidP="00337117">
            <w:pPr>
              <w:pStyle w:val="Akapitzlist"/>
              <w:tabs>
                <w:tab w:val="left" w:pos="-4678"/>
              </w:tabs>
              <w:spacing w:line="240" w:lineRule="auto"/>
              <w:ind w:left="0"/>
              <w:jc w:val="both"/>
              <w:rPr>
                <w:rFonts w:ascii="Times New Roman" w:hAnsi="Times New Roman"/>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
              <w:gridCol w:w="612"/>
              <w:gridCol w:w="607"/>
              <w:gridCol w:w="615"/>
              <w:gridCol w:w="610"/>
              <w:gridCol w:w="611"/>
              <w:gridCol w:w="611"/>
              <w:gridCol w:w="611"/>
              <w:gridCol w:w="723"/>
              <w:gridCol w:w="611"/>
              <w:gridCol w:w="611"/>
              <w:gridCol w:w="610"/>
              <w:gridCol w:w="724"/>
            </w:tblGrid>
            <w:tr w:rsidR="00AE281E" w:rsidRPr="00A71735" w14:paraId="31E94E71" w14:textId="77777777" w:rsidTr="005B78F2">
              <w:trPr>
                <w:trHeight w:val="357"/>
              </w:trPr>
              <w:tc>
                <w:tcPr>
                  <w:tcW w:w="949" w:type="dxa"/>
                  <w:vMerge w:val="restart"/>
                  <w:shd w:val="clear" w:color="auto" w:fill="FFFFFF"/>
                  <w:vAlign w:val="center"/>
                </w:tcPr>
                <w:p w14:paraId="3E7B4BC0"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(ceny stałe z 2022r.)</w:t>
                  </w:r>
                </w:p>
              </w:tc>
              <w:tc>
                <w:tcPr>
                  <w:tcW w:w="7556" w:type="dxa"/>
                  <w:gridSpan w:val="12"/>
                  <w:shd w:val="clear" w:color="auto" w:fill="FFFFFF"/>
                </w:tcPr>
                <w:p w14:paraId="1B15E470" w14:textId="77777777" w:rsidR="00AE281E" w:rsidRPr="00A71735" w:rsidRDefault="00AE281E"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Skutki w okresie 10 lat od wejścia w życie zmian [mln zł]</w:t>
                  </w:r>
                </w:p>
              </w:tc>
            </w:tr>
            <w:tr w:rsidR="00AE281E" w:rsidRPr="00A71735" w14:paraId="64E9CB42" w14:textId="77777777" w:rsidTr="005B78F2">
              <w:trPr>
                <w:trHeight w:val="357"/>
              </w:trPr>
              <w:tc>
                <w:tcPr>
                  <w:tcW w:w="949" w:type="dxa"/>
                  <w:vMerge/>
                  <w:shd w:val="clear" w:color="auto" w:fill="FFFFFF"/>
                  <w:vAlign w:val="center"/>
                </w:tcPr>
                <w:p w14:paraId="5E730FE7" w14:textId="77777777" w:rsidR="00AE281E" w:rsidRPr="00A71735" w:rsidRDefault="00AE281E" w:rsidP="00290811">
                  <w:pPr>
                    <w:framePr w:hSpace="141" w:wrap="around" w:vAnchor="text" w:hAnchor="text" w:x="-176" w:y="1"/>
                    <w:suppressOverlap/>
                    <w:rPr>
                      <w:rFonts w:ascii="Times New Roman" w:hAnsi="Times New Roman"/>
                      <w:color w:val="000000"/>
                    </w:rPr>
                  </w:pPr>
                </w:p>
              </w:tc>
              <w:tc>
                <w:tcPr>
                  <w:tcW w:w="612" w:type="dxa"/>
                  <w:shd w:val="clear" w:color="auto" w:fill="FFFFFF"/>
                </w:tcPr>
                <w:p w14:paraId="7F35FC5D"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0</w:t>
                  </w:r>
                </w:p>
              </w:tc>
              <w:tc>
                <w:tcPr>
                  <w:tcW w:w="607" w:type="dxa"/>
                  <w:shd w:val="clear" w:color="auto" w:fill="FFFFFF"/>
                </w:tcPr>
                <w:p w14:paraId="551F67C2"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w:t>
                  </w:r>
                </w:p>
              </w:tc>
              <w:tc>
                <w:tcPr>
                  <w:tcW w:w="615" w:type="dxa"/>
                  <w:shd w:val="clear" w:color="auto" w:fill="FFFFFF"/>
                </w:tcPr>
                <w:p w14:paraId="30DC4D93"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2</w:t>
                  </w:r>
                </w:p>
              </w:tc>
              <w:tc>
                <w:tcPr>
                  <w:tcW w:w="610" w:type="dxa"/>
                  <w:shd w:val="clear" w:color="auto" w:fill="FFFFFF"/>
                </w:tcPr>
                <w:p w14:paraId="0E98E0EA"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3</w:t>
                  </w:r>
                </w:p>
              </w:tc>
              <w:tc>
                <w:tcPr>
                  <w:tcW w:w="611" w:type="dxa"/>
                  <w:shd w:val="clear" w:color="auto" w:fill="FFFFFF"/>
                </w:tcPr>
                <w:p w14:paraId="19F922B0"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4</w:t>
                  </w:r>
                </w:p>
              </w:tc>
              <w:tc>
                <w:tcPr>
                  <w:tcW w:w="611" w:type="dxa"/>
                  <w:shd w:val="clear" w:color="auto" w:fill="FFFFFF"/>
                </w:tcPr>
                <w:p w14:paraId="05B47DD4"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5</w:t>
                  </w:r>
                </w:p>
              </w:tc>
              <w:tc>
                <w:tcPr>
                  <w:tcW w:w="611" w:type="dxa"/>
                  <w:shd w:val="clear" w:color="auto" w:fill="FFFFFF"/>
                </w:tcPr>
                <w:p w14:paraId="784BD0DB"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6</w:t>
                  </w:r>
                </w:p>
              </w:tc>
              <w:tc>
                <w:tcPr>
                  <w:tcW w:w="723" w:type="dxa"/>
                  <w:shd w:val="clear" w:color="auto" w:fill="FFFFFF"/>
                </w:tcPr>
                <w:p w14:paraId="0F984D29"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7</w:t>
                  </w:r>
                </w:p>
              </w:tc>
              <w:tc>
                <w:tcPr>
                  <w:tcW w:w="611" w:type="dxa"/>
                  <w:shd w:val="clear" w:color="auto" w:fill="FFFFFF"/>
                </w:tcPr>
                <w:p w14:paraId="60D4CB13"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8</w:t>
                  </w:r>
                </w:p>
              </w:tc>
              <w:tc>
                <w:tcPr>
                  <w:tcW w:w="611" w:type="dxa"/>
                  <w:shd w:val="clear" w:color="auto" w:fill="FFFFFF"/>
                </w:tcPr>
                <w:p w14:paraId="5E7F860C"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9</w:t>
                  </w:r>
                </w:p>
              </w:tc>
              <w:tc>
                <w:tcPr>
                  <w:tcW w:w="610" w:type="dxa"/>
                  <w:shd w:val="clear" w:color="auto" w:fill="FFFFFF"/>
                </w:tcPr>
                <w:p w14:paraId="5D4654A6" w14:textId="77777777" w:rsidR="00AE281E" w:rsidRPr="00A71735" w:rsidRDefault="00AE281E"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10</w:t>
                  </w:r>
                </w:p>
              </w:tc>
              <w:tc>
                <w:tcPr>
                  <w:tcW w:w="724" w:type="dxa"/>
                  <w:shd w:val="clear" w:color="auto" w:fill="FFFFFF"/>
                </w:tcPr>
                <w:p w14:paraId="6E2A396C" w14:textId="77777777" w:rsidR="00AE281E" w:rsidRPr="00A71735" w:rsidRDefault="00AE281E"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Łącznie (0-10)</w:t>
                  </w:r>
                </w:p>
              </w:tc>
            </w:tr>
            <w:tr w:rsidR="00AE281E" w:rsidRPr="00A71735" w14:paraId="7BCB3F4E" w14:textId="77777777" w:rsidTr="005B78F2">
              <w:trPr>
                <w:trHeight w:val="357"/>
              </w:trPr>
              <w:tc>
                <w:tcPr>
                  <w:tcW w:w="949" w:type="dxa"/>
                  <w:shd w:val="clear" w:color="auto" w:fill="FFFFFF"/>
                  <w:vAlign w:val="center"/>
                </w:tcPr>
                <w:p w14:paraId="782799E2" w14:textId="77777777" w:rsidR="00AE281E" w:rsidRPr="00A71735" w:rsidRDefault="00AE281E" w:rsidP="00290811">
                  <w:pPr>
                    <w:framePr w:hSpace="141" w:wrap="around" w:vAnchor="text" w:hAnchor="text" w:x="-176" w:y="1"/>
                    <w:suppressOverlap/>
                    <w:rPr>
                      <w:rFonts w:ascii="Times New Roman" w:hAnsi="Times New Roman"/>
                      <w:color w:val="000000"/>
                    </w:rPr>
                  </w:pPr>
                  <w:r>
                    <w:rPr>
                      <w:rFonts w:ascii="Times New Roman" w:hAnsi="Times New Roman"/>
                      <w:color w:val="000000"/>
                    </w:rPr>
                    <w:t>Budżet państwa - dochody</w:t>
                  </w:r>
                </w:p>
              </w:tc>
              <w:tc>
                <w:tcPr>
                  <w:tcW w:w="612" w:type="dxa"/>
                  <w:shd w:val="clear" w:color="auto" w:fill="FFFFFF"/>
                  <w:vAlign w:val="center"/>
                </w:tcPr>
                <w:p w14:paraId="22477D6C" w14:textId="77777777" w:rsidR="00AE281E"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27,0</w:t>
                  </w:r>
                </w:p>
              </w:tc>
              <w:tc>
                <w:tcPr>
                  <w:tcW w:w="607" w:type="dxa"/>
                  <w:shd w:val="clear" w:color="auto" w:fill="FFFFFF"/>
                  <w:vAlign w:val="center"/>
                </w:tcPr>
                <w:p w14:paraId="2BA357B3"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27,8</w:t>
                  </w:r>
                </w:p>
              </w:tc>
              <w:tc>
                <w:tcPr>
                  <w:tcW w:w="615" w:type="dxa"/>
                  <w:shd w:val="clear" w:color="auto" w:fill="FFFFFF"/>
                  <w:vAlign w:val="center"/>
                </w:tcPr>
                <w:p w14:paraId="34684219"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28,6</w:t>
                  </w:r>
                </w:p>
              </w:tc>
              <w:tc>
                <w:tcPr>
                  <w:tcW w:w="610" w:type="dxa"/>
                  <w:shd w:val="clear" w:color="auto" w:fill="FFFFFF"/>
                  <w:vAlign w:val="center"/>
                </w:tcPr>
                <w:p w14:paraId="1EBC8B48"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29,4</w:t>
                  </w:r>
                </w:p>
              </w:tc>
              <w:tc>
                <w:tcPr>
                  <w:tcW w:w="611" w:type="dxa"/>
                  <w:shd w:val="clear" w:color="auto" w:fill="FFFFFF"/>
                  <w:vAlign w:val="center"/>
                </w:tcPr>
                <w:p w14:paraId="42380699"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30,2</w:t>
                  </w:r>
                </w:p>
              </w:tc>
              <w:tc>
                <w:tcPr>
                  <w:tcW w:w="611" w:type="dxa"/>
                  <w:shd w:val="clear" w:color="auto" w:fill="FFFFFF"/>
                  <w:vAlign w:val="center"/>
                </w:tcPr>
                <w:p w14:paraId="7A61F352"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31,1</w:t>
                  </w:r>
                </w:p>
              </w:tc>
              <w:tc>
                <w:tcPr>
                  <w:tcW w:w="611" w:type="dxa"/>
                  <w:shd w:val="clear" w:color="auto" w:fill="FFFFFF"/>
                  <w:vAlign w:val="center"/>
                </w:tcPr>
                <w:p w14:paraId="1AC08588"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32,1</w:t>
                  </w:r>
                </w:p>
              </w:tc>
              <w:tc>
                <w:tcPr>
                  <w:tcW w:w="723" w:type="dxa"/>
                  <w:shd w:val="clear" w:color="auto" w:fill="FFFFFF"/>
                  <w:vAlign w:val="center"/>
                </w:tcPr>
                <w:p w14:paraId="66CF65E1"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33,0</w:t>
                  </w:r>
                </w:p>
              </w:tc>
              <w:tc>
                <w:tcPr>
                  <w:tcW w:w="611" w:type="dxa"/>
                  <w:shd w:val="clear" w:color="auto" w:fill="FFFFFF"/>
                  <w:vAlign w:val="center"/>
                </w:tcPr>
                <w:p w14:paraId="3D8460C6" w14:textId="77777777" w:rsidR="00250085"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34,</w:t>
                  </w:r>
                  <w:r w:rsidR="00380C1D">
                    <w:rPr>
                      <w:rFonts w:ascii="Times New Roman" w:hAnsi="Times New Roman"/>
                      <w:color w:val="000000"/>
                      <w:sz w:val="18"/>
                    </w:rPr>
                    <w:t>0</w:t>
                  </w:r>
                </w:p>
              </w:tc>
              <w:tc>
                <w:tcPr>
                  <w:tcW w:w="611" w:type="dxa"/>
                  <w:shd w:val="clear" w:color="auto" w:fill="FFFFFF"/>
                  <w:vAlign w:val="center"/>
                </w:tcPr>
                <w:p w14:paraId="1A816552"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35,1</w:t>
                  </w:r>
                </w:p>
              </w:tc>
              <w:tc>
                <w:tcPr>
                  <w:tcW w:w="610" w:type="dxa"/>
                  <w:shd w:val="clear" w:color="auto" w:fill="FFFFFF"/>
                  <w:vAlign w:val="center"/>
                </w:tcPr>
                <w:p w14:paraId="7118C903"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36,2</w:t>
                  </w:r>
                </w:p>
              </w:tc>
              <w:tc>
                <w:tcPr>
                  <w:tcW w:w="724" w:type="dxa"/>
                  <w:shd w:val="clear" w:color="auto" w:fill="FFFFFF"/>
                  <w:vAlign w:val="center"/>
                </w:tcPr>
                <w:p w14:paraId="5EE46A34" w14:textId="77777777" w:rsidR="00AE281E" w:rsidRPr="00A71735" w:rsidRDefault="00250085"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344,5</w:t>
                  </w:r>
                </w:p>
              </w:tc>
            </w:tr>
          </w:tbl>
          <w:p w14:paraId="3F487B30" w14:textId="77777777" w:rsidR="00AE5DD4" w:rsidRDefault="00AE5DD4" w:rsidP="00337117">
            <w:pPr>
              <w:pStyle w:val="Akapitzlist"/>
              <w:tabs>
                <w:tab w:val="left" w:pos="-4678"/>
              </w:tabs>
              <w:spacing w:line="240" w:lineRule="auto"/>
              <w:ind w:left="0"/>
              <w:jc w:val="both"/>
              <w:rPr>
                <w:rFonts w:ascii="Times New Roman" w:hAnsi="Times New Roman"/>
              </w:rPr>
            </w:pPr>
          </w:p>
          <w:p w14:paraId="5AAAB0FC" w14:textId="77777777" w:rsidR="00AE281E" w:rsidRDefault="00AE5DD4" w:rsidP="00337117">
            <w:pPr>
              <w:pStyle w:val="Akapitzlist"/>
              <w:tabs>
                <w:tab w:val="left" w:pos="-4678"/>
              </w:tabs>
              <w:spacing w:line="240" w:lineRule="auto"/>
              <w:ind w:left="0"/>
              <w:jc w:val="both"/>
              <w:rPr>
                <w:rFonts w:ascii="Times New Roman" w:hAnsi="Times New Roman"/>
              </w:rPr>
            </w:pPr>
            <w:r>
              <w:rPr>
                <w:rFonts w:ascii="Times New Roman" w:hAnsi="Times New Roman"/>
              </w:rPr>
              <w:lastRenderedPageBreak/>
              <w:t xml:space="preserve">Dokonując w/w wyliczeń przyjęto założenie, że opłaty roczne dla podmiotów prowadzących działalność nadzorowaną przez GIF będą wpływały w roku ich nałożenia </w:t>
            </w:r>
            <w:r w:rsidRPr="00DF151B">
              <w:rPr>
                <w:rFonts w:ascii="Times New Roman" w:hAnsi="Times New Roman"/>
              </w:rPr>
              <w:t>(zrealizowane przychody będą równe zrealizowanym dochodom).</w:t>
            </w:r>
            <w:r w:rsidR="001D680B" w:rsidRPr="00DF151B">
              <w:rPr>
                <w:rFonts w:ascii="Times New Roman" w:hAnsi="Times New Roman"/>
              </w:rPr>
              <w:t xml:space="preserve"> </w:t>
            </w:r>
          </w:p>
          <w:p w14:paraId="61549780" w14:textId="77777777" w:rsidR="00DF151B" w:rsidRDefault="00DF151B" w:rsidP="00337117">
            <w:pPr>
              <w:pStyle w:val="Akapitzlist"/>
              <w:tabs>
                <w:tab w:val="left" w:pos="-4678"/>
              </w:tabs>
              <w:spacing w:line="240" w:lineRule="auto"/>
              <w:ind w:left="0"/>
              <w:jc w:val="both"/>
              <w:rPr>
                <w:rFonts w:ascii="Times New Roman" w:hAnsi="Times New Roman"/>
              </w:rPr>
            </w:pPr>
          </w:p>
          <w:p w14:paraId="0544EF2E" w14:textId="77777777" w:rsidR="00DF151B" w:rsidRDefault="006E79B2" w:rsidP="00337117">
            <w:pPr>
              <w:pStyle w:val="Akapitzlist"/>
              <w:tabs>
                <w:tab w:val="left" w:pos="-4678"/>
              </w:tabs>
              <w:spacing w:line="240" w:lineRule="auto"/>
              <w:ind w:left="0"/>
              <w:jc w:val="both"/>
              <w:rPr>
                <w:rFonts w:ascii="Times New Roman" w:hAnsi="Times New Roman"/>
              </w:rPr>
            </w:pPr>
            <w:r>
              <w:rPr>
                <w:rFonts w:ascii="Times New Roman" w:hAnsi="Times New Roman"/>
              </w:rPr>
              <w:t>Wymiar podstawowy opłaty rocznej w odniesieniu do poszczególnych kategorii zezwoleń został ustanowiony w skali progresywnej – najniższa opłata będzie uiszczana od zezwoleń uzyskiwanych co do zasady przez relatywnie niewielkie podmioty gospodarcze</w:t>
            </w:r>
            <w:r w:rsidR="008F6963">
              <w:rPr>
                <w:rFonts w:ascii="Times New Roman" w:hAnsi="Times New Roman"/>
              </w:rPr>
              <w:t xml:space="preserve"> funkcjonujące na rynku farmaceutycznym</w:t>
            </w:r>
            <w:r>
              <w:rPr>
                <w:rFonts w:ascii="Times New Roman" w:hAnsi="Times New Roman"/>
              </w:rPr>
              <w:t xml:space="preserve"> </w:t>
            </w:r>
            <w:r w:rsidR="008F6963">
              <w:rPr>
                <w:rFonts w:ascii="Times New Roman" w:hAnsi="Times New Roman"/>
              </w:rPr>
              <w:t>i</w:t>
            </w:r>
            <w:r w:rsidR="00A10094">
              <w:rPr>
                <w:rFonts w:ascii="Times New Roman" w:hAnsi="Times New Roman"/>
              </w:rPr>
              <w:t> </w:t>
            </w:r>
            <w:r w:rsidR="008F6963">
              <w:rPr>
                <w:rFonts w:ascii="Times New Roman" w:hAnsi="Times New Roman"/>
              </w:rPr>
              <w:t>obejmujące działalność o najmniejszej skali (punkty apteczne, apteki). Wysokość opłaty pobieranej od zezwolenia wzrasta w kolejnych kategoriach podmiotów (hurtowniach farmaceutycznych, wytwórcach itp.), które co do zasady generują wyższe przychody.</w:t>
            </w:r>
            <w:r w:rsidR="008F6963">
              <w:t xml:space="preserve"> </w:t>
            </w:r>
            <w:r w:rsidR="008F6963" w:rsidRPr="000C34FB">
              <w:rPr>
                <w:rFonts w:ascii="Times New Roman" w:hAnsi="Times New Roman"/>
              </w:rPr>
              <w:t>O</w:t>
            </w:r>
            <w:r w:rsidR="00DF151B" w:rsidRPr="000C34FB">
              <w:rPr>
                <w:rFonts w:ascii="Times New Roman" w:hAnsi="Times New Roman"/>
              </w:rPr>
              <w:t>płaty stałe zostały</w:t>
            </w:r>
            <w:r w:rsidR="008F6963" w:rsidRPr="000C34FB">
              <w:rPr>
                <w:rFonts w:ascii="Times New Roman" w:hAnsi="Times New Roman"/>
              </w:rPr>
              <w:t xml:space="preserve"> zatem</w:t>
            </w:r>
            <w:r w:rsidR="00DF151B" w:rsidRPr="000C34FB">
              <w:rPr>
                <w:rFonts w:ascii="Times New Roman" w:hAnsi="Times New Roman"/>
              </w:rPr>
              <w:t xml:space="preserve"> wprowadzone w sposób proporcjonalny do prowadzonej działalności. </w:t>
            </w:r>
            <w:r w:rsidR="00DF151B" w:rsidRPr="00DF151B">
              <w:rPr>
                <w:rFonts w:ascii="Times New Roman" w:hAnsi="Times New Roman"/>
              </w:rPr>
              <w:t>Ponadto wszystkie podmioty</w:t>
            </w:r>
            <w:r w:rsidR="00DF151B">
              <w:rPr>
                <w:rFonts w:ascii="Times New Roman" w:hAnsi="Times New Roman"/>
              </w:rPr>
              <w:t>,</w:t>
            </w:r>
            <w:r w:rsidR="00DF151B" w:rsidRPr="00DF151B">
              <w:rPr>
                <w:rFonts w:ascii="Times New Roman" w:hAnsi="Times New Roman"/>
              </w:rPr>
              <w:t xml:space="preserve"> z wyjątkiem mikroprzedsiębiorców, będą obowiązane do uiszczania opłaty rocznej</w:t>
            </w:r>
            <w:r w:rsidR="00DF151B">
              <w:rPr>
                <w:rFonts w:ascii="Times New Roman" w:hAnsi="Times New Roman"/>
              </w:rPr>
              <w:t>, która</w:t>
            </w:r>
            <w:r w:rsidR="00DF151B" w:rsidRPr="00DF151B">
              <w:rPr>
                <w:rFonts w:ascii="Times New Roman" w:hAnsi="Times New Roman"/>
              </w:rPr>
              <w:t xml:space="preserve"> </w:t>
            </w:r>
            <w:r w:rsidR="00DF151B">
              <w:rPr>
                <w:rFonts w:ascii="Times New Roman" w:hAnsi="Times New Roman"/>
              </w:rPr>
              <w:t>będzie</w:t>
            </w:r>
            <w:r w:rsidR="00DF151B" w:rsidRPr="00DF151B">
              <w:rPr>
                <w:rFonts w:ascii="Times New Roman" w:hAnsi="Times New Roman"/>
              </w:rPr>
              <w:t xml:space="preserve"> zwiększana o 0,02% przychodu – wysokość ta będzie uzależniana od przychodu</w:t>
            </w:r>
            <w:r w:rsidR="000C34FB">
              <w:rPr>
                <w:rFonts w:ascii="Times New Roman" w:hAnsi="Times New Roman"/>
              </w:rPr>
              <w:t>,</w:t>
            </w:r>
            <w:r w:rsidR="00DF151B" w:rsidRPr="00DF151B">
              <w:rPr>
                <w:rFonts w:ascii="Times New Roman" w:hAnsi="Times New Roman"/>
              </w:rPr>
              <w:t xml:space="preserve"> więc w przypadku mniejszych podmiotów opłata będzie niższa niż w przypadku podmiotów największych.</w:t>
            </w:r>
          </w:p>
          <w:p w14:paraId="40987DD8" w14:textId="77777777" w:rsidR="00DF151B" w:rsidRDefault="00DF151B" w:rsidP="00337117">
            <w:pPr>
              <w:pStyle w:val="Akapitzlist"/>
              <w:tabs>
                <w:tab w:val="left" w:pos="-4678"/>
              </w:tabs>
              <w:spacing w:line="240" w:lineRule="auto"/>
              <w:ind w:left="0"/>
              <w:jc w:val="both"/>
              <w:rPr>
                <w:rFonts w:ascii="Times New Roman" w:hAnsi="Times New Roman"/>
              </w:rPr>
            </w:pPr>
            <w:r>
              <w:rPr>
                <w:rFonts w:ascii="Times New Roman" w:hAnsi="Times New Roman"/>
              </w:rPr>
              <w:t xml:space="preserve">Podstawowa opłata roczna </w:t>
            </w:r>
            <w:r>
              <w:t xml:space="preserve"> </w:t>
            </w:r>
            <w:r w:rsidRPr="00DF151B">
              <w:rPr>
                <w:rFonts w:ascii="Times New Roman" w:hAnsi="Times New Roman"/>
              </w:rPr>
              <w:t>nie przekracza wysokości kwoty za wydanie zezwolenia lub uzyskanie wpisu do właściwego rejestru.</w:t>
            </w:r>
          </w:p>
          <w:p w14:paraId="3520A1E8" w14:textId="77777777" w:rsidR="00DF151B" w:rsidRPr="00DF151B" w:rsidRDefault="00DF151B" w:rsidP="00337117">
            <w:pPr>
              <w:pStyle w:val="Akapitzlist"/>
              <w:tabs>
                <w:tab w:val="left" w:pos="-4678"/>
              </w:tabs>
              <w:spacing w:line="240" w:lineRule="auto"/>
              <w:ind w:left="0"/>
              <w:jc w:val="both"/>
              <w:rPr>
                <w:rFonts w:ascii="Times New Roman" w:hAnsi="Times New Roman"/>
              </w:rPr>
            </w:pPr>
          </w:p>
          <w:p w14:paraId="3FF02456" w14:textId="77777777" w:rsidR="00AE281E" w:rsidRPr="00A71735" w:rsidRDefault="00AE281E" w:rsidP="00337117">
            <w:pPr>
              <w:pStyle w:val="Akapitzlist"/>
              <w:tabs>
                <w:tab w:val="left" w:pos="-4678"/>
              </w:tabs>
              <w:spacing w:line="240" w:lineRule="auto"/>
              <w:ind w:left="0"/>
              <w:jc w:val="both"/>
              <w:rPr>
                <w:rFonts w:ascii="Times New Roman" w:hAnsi="Times New Roman"/>
              </w:rPr>
            </w:pPr>
          </w:p>
          <w:p w14:paraId="7AAED606" w14:textId="77777777" w:rsidR="004E1393" w:rsidRPr="00B05E40" w:rsidRDefault="004E1393" w:rsidP="004E1393">
            <w:pPr>
              <w:pStyle w:val="Akapitzlist"/>
              <w:numPr>
                <w:ilvl w:val="0"/>
                <w:numId w:val="24"/>
              </w:numPr>
              <w:spacing w:line="240" w:lineRule="auto"/>
              <w:ind w:left="466"/>
              <w:jc w:val="both"/>
              <w:rPr>
                <w:rFonts w:ascii="Times New Roman" w:hAnsi="Times New Roman"/>
                <w:b/>
                <w:color w:val="000000"/>
                <w:sz w:val="21"/>
                <w:szCs w:val="21"/>
                <w:u w:val="single"/>
              </w:rPr>
            </w:pPr>
            <w:r w:rsidRPr="00B05E40">
              <w:rPr>
                <w:rFonts w:ascii="Times New Roman" w:hAnsi="Times New Roman"/>
                <w:b/>
                <w:color w:val="000000"/>
                <w:sz w:val="21"/>
                <w:szCs w:val="21"/>
                <w:u w:val="single"/>
              </w:rPr>
              <w:t>Wyliczenia zostały dokonane na podstawie następujących danych:</w:t>
            </w:r>
          </w:p>
          <w:p w14:paraId="20559BC4"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 xml:space="preserve">wykonanie planu dochodów i wydatków (w tym wynagrodzeń) wojewódzkich inspektoratów farmaceutycznych za 2021 r.; </w:t>
            </w:r>
          </w:p>
          <w:p w14:paraId="0F458426"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 xml:space="preserve">wykonanie planu dochodów i wydatków </w:t>
            </w:r>
            <w:r w:rsidRPr="00A71735">
              <w:rPr>
                <w:rFonts w:ascii="Times New Roman" w:hAnsi="Times New Roman"/>
                <w:color w:val="000000"/>
                <w:spacing w:val="-2"/>
              </w:rPr>
              <w:t>GIF</w:t>
            </w:r>
            <w:r w:rsidRPr="00A71735">
              <w:rPr>
                <w:rFonts w:ascii="Times New Roman" w:hAnsi="Times New Roman"/>
                <w:sz w:val="21"/>
                <w:szCs w:val="21"/>
              </w:rPr>
              <w:t xml:space="preserve"> za 2021 r.;</w:t>
            </w:r>
          </w:p>
          <w:p w14:paraId="78EB6664"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plany dochodów i wydatków wojewódzkich inspektoratów farmaceutycznych na lata 2022</w:t>
            </w:r>
            <w:r w:rsidRPr="00A71735">
              <w:rPr>
                <w:rFonts w:ascii="Times New Roman" w:hAnsi="Times New Roman"/>
                <w:color w:val="000000"/>
                <w:sz w:val="21"/>
                <w:szCs w:val="21"/>
              </w:rPr>
              <w:t>–</w:t>
            </w:r>
            <w:r w:rsidRPr="00A71735">
              <w:rPr>
                <w:rFonts w:ascii="Times New Roman" w:hAnsi="Times New Roman"/>
                <w:sz w:val="21"/>
                <w:szCs w:val="21"/>
              </w:rPr>
              <w:t>2024;</w:t>
            </w:r>
          </w:p>
          <w:p w14:paraId="79C3FA31"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przychody wojewódzkich inspektoratów farmaceutycznych za 2021 r.;</w:t>
            </w:r>
          </w:p>
          <w:p w14:paraId="6E623158"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 xml:space="preserve">przychody </w:t>
            </w:r>
            <w:r w:rsidRPr="00A71735">
              <w:rPr>
                <w:rFonts w:ascii="Times New Roman" w:hAnsi="Times New Roman"/>
                <w:color w:val="000000"/>
                <w:spacing w:val="-2"/>
              </w:rPr>
              <w:t>GIF</w:t>
            </w:r>
            <w:r w:rsidRPr="00A71735">
              <w:rPr>
                <w:rFonts w:ascii="Times New Roman" w:hAnsi="Times New Roman"/>
                <w:sz w:val="21"/>
                <w:szCs w:val="21"/>
              </w:rPr>
              <w:t xml:space="preserve"> osiągnięte w 2021 r.;</w:t>
            </w:r>
          </w:p>
          <w:p w14:paraId="480BED70"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 xml:space="preserve">informacje na temat zatrudnienia i wysokości wynagrodzeń w wojewódzkich inspektoratach farmaceutycznych według stanu na dzień 31.12.2021 r.; </w:t>
            </w:r>
          </w:p>
          <w:p w14:paraId="0CA0ADE5" w14:textId="77777777" w:rsidR="004E1393" w:rsidRPr="00A71735" w:rsidRDefault="004E1393" w:rsidP="004E1393">
            <w:pPr>
              <w:pStyle w:val="Akapitzlist"/>
              <w:numPr>
                <w:ilvl w:val="0"/>
                <w:numId w:val="29"/>
              </w:numPr>
              <w:spacing w:line="240" w:lineRule="auto"/>
              <w:ind w:left="749"/>
              <w:jc w:val="both"/>
              <w:rPr>
                <w:rFonts w:ascii="Times New Roman" w:hAnsi="Times New Roman"/>
                <w:color w:val="000000"/>
                <w:sz w:val="21"/>
                <w:szCs w:val="21"/>
              </w:rPr>
            </w:pPr>
            <w:r w:rsidRPr="00A71735">
              <w:rPr>
                <w:rFonts w:ascii="Times New Roman" w:hAnsi="Times New Roman"/>
                <w:sz w:val="21"/>
                <w:szCs w:val="21"/>
              </w:rPr>
              <w:t xml:space="preserve">informacje na temat zatrudnienia i wysokości wynagrodzeń w </w:t>
            </w:r>
            <w:r w:rsidRPr="00A71735">
              <w:rPr>
                <w:rFonts w:ascii="Times New Roman" w:hAnsi="Times New Roman"/>
                <w:color w:val="000000"/>
                <w:spacing w:val="-2"/>
              </w:rPr>
              <w:t>GIF</w:t>
            </w:r>
            <w:r w:rsidRPr="00A71735">
              <w:rPr>
                <w:rFonts w:ascii="Times New Roman" w:hAnsi="Times New Roman"/>
                <w:sz w:val="21"/>
                <w:szCs w:val="21"/>
              </w:rPr>
              <w:t xml:space="preserve"> według stanu na dzień 31.01.2021</w:t>
            </w:r>
            <w:r w:rsidR="00A10094">
              <w:rPr>
                <w:rFonts w:ascii="Times New Roman" w:hAnsi="Times New Roman"/>
                <w:sz w:val="21"/>
                <w:szCs w:val="21"/>
              </w:rPr>
              <w:t> </w:t>
            </w:r>
            <w:r w:rsidRPr="00A71735">
              <w:rPr>
                <w:rFonts w:ascii="Times New Roman" w:hAnsi="Times New Roman"/>
                <w:sz w:val="21"/>
                <w:szCs w:val="21"/>
              </w:rPr>
              <w:t xml:space="preserve">r.; </w:t>
            </w:r>
          </w:p>
          <w:p w14:paraId="0B3BD341" w14:textId="77777777" w:rsidR="004E1393" w:rsidRPr="00A71735" w:rsidRDefault="004E1393" w:rsidP="004E1393">
            <w:pPr>
              <w:pStyle w:val="Akapitzlist"/>
              <w:numPr>
                <w:ilvl w:val="0"/>
                <w:numId w:val="29"/>
              </w:numPr>
              <w:spacing w:line="240" w:lineRule="auto"/>
              <w:ind w:left="749"/>
              <w:jc w:val="both"/>
              <w:rPr>
                <w:rFonts w:ascii="Times New Roman" w:hAnsi="Times New Roman"/>
                <w:sz w:val="21"/>
                <w:szCs w:val="21"/>
              </w:rPr>
            </w:pPr>
            <w:r w:rsidRPr="00A71735">
              <w:rPr>
                <w:rFonts w:ascii="Times New Roman" w:hAnsi="Times New Roman"/>
                <w:sz w:val="21"/>
                <w:szCs w:val="21"/>
              </w:rPr>
              <w:t xml:space="preserve">analiza średnich czynszów wynajmu oraz opłat eksploatacyjnych w lokalizacjach </w:t>
            </w:r>
            <w:r w:rsidRPr="00A71735">
              <w:rPr>
                <w:rFonts w:ascii="Times New Roman" w:hAnsi="Times New Roman"/>
              </w:rPr>
              <w:t xml:space="preserve"> </w:t>
            </w:r>
            <w:r w:rsidRPr="00A71735">
              <w:rPr>
                <w:rFonts w:ascii="Times New Roman" w:hAnsi="Times New Roman"/>
                <w:sz w:val="21"/>
                <w:szCs w:val="21"/>
              </w:rPr>
              <w:t>wojewódzkich inspektoratów farmaceutycznych</w:t>
            </w:r>
            <w:r w:rsidRPr="00A71735" w:rsidDel="00262155">
              <w:rPr>
                <w:rFonts w:ascii="Times New Roman" w:hAnsi="Times New Roman"/>
                <w:sz w:val="21"/>
                <w:szCs w:val="21"/>
              </w:rPr>
              <w:t xml:space="preserve"> </w:t>
            </w:r>
            <w:r w:rsidRPr="00A71735">
              <w:rPr>
                <w:rFonts w:ascii="Times New Roman" w:hAnsi="Times New Roman"/>
                <w:sz w:val="21"/>
                <w:szCs w:val="21"/>
              </w:rPr>
              <w:t xml:space="preserve">przygotowana na potrzeby </w:t>
            </w:r>
            <w:r w:rsidRPr="00A71735">
              <w:rPr>
                <w:rFonts w:ascii="Times New Roman" w:hAnsi="Times New Roman"/>
                <w:color w:val="000000"/>
                <w:spacing w:val="-2"/>
              </w:rPr>
              <w:t>Głównego Inspektoratu Farmaceutycznego</w:t>
            </w:r>
            <w:r w:rsidRPr="00A71735">
              <w:rPr>
                <w:rFonts w:ascii="Times New Roman" w:hAnsi="Times New Roman"/>
                <w:sz w:val="21"/>
                <w:szCs w:val="21"/>
              </w:rPr>
              <w:t xml:space="preserve"> przez Brookfield Partners w styczniu 2022 r.;  </w:t>
            </w:r>
          </w:p>
          <w:p w14:paraId="11242CC6" w14:textId="77777777" w:rsidR="004E1393" w:rsidRPr="00A71735" w:rsidRDefault="004E1393" w:rsidP="004E1393">
            <w:pPr>
              <w:pStyle w:val="Akapitzlist"/>
              <w:numPr>
                <w:ilvl w:val="0"/>
                <w:numId w:val="29"/>
              </w:numPr>
              <w:spacing w:line="240" w:lineRule="auto"/>
              <w:ind w:left="742"/>
              <w:jc w:val="both"/>
              <w:rPr>
                <w:rFonts w:ascii="Times New Roman" w:hAnsi="Times New Roman"/>
                <w:sz w:val="21"/>
                <w:szCs w:val="21"/>
              </w:rPr>
            </w:pPr>
            <w:r w:rsidRPr="00A71735">
              <w:rPr>
                <w:rFonts w:ascii="Times New Roman" w:hAnsi="Times New Roman"/>
                <w:sz w:val="21"/>
                <w:szCs w:val="21"/>
              </w:rPr>
              <w:t>sprawozdanie finansowe Centralnego Ośrodka Badań Jakości w Diagnostyce Laboratoryjnej oraz Centralnego Ośrodka Badań Jakości w Diagnostyce Mikrobiologicznej z rok kończący się 31 grudnia 2020 r.;</w:t>
            </w:r>
          </w:p>
          <w:p w14:paraId="33D65856" w14:textId="77777777" w:rsidR="004E1393" w:rsidRPr="00A71735" w:rsidRDefault="004E1393" w:rsidP="004E1393">
            <w:pPr>
              <w:pStyle w:val="Akapitzlist"/>
              <w:numPr>
                <w:ilvl w:val="0"/>
                <w:numId w:val="29"/>
              </w:numPr>
              <w:spacing w:line="240" w:lineRule="auto"/>
              <w:ind w:left="742"/>
              <w:jc w:val="both"/>
              <w:rPr>
                <w:rFonts w:ascii="Times New Roman" w:hAnsi="Times New Roman"/>
                <w:sz w:val="21"/>
                <w:szCs w:val="21"/>
              </w:rPr>
            </w:pPr>
            <w:r w:rsidRPr="00A71735">
              <w:rPr>
                <w:rFonts w:ascii="Times New Roman" w:hAnsi="Times New Roman"/>
                <w:sz w:val="21"/>
                <w:szCs w:val="21"/>
              </w:rPr>
              <w:t>sprawozdanie Rb-70 Centralnego Ośrodka Badań Jakości w Diagnostyce Laboratoryjnej oraz Centralnego Ośrodka Badań Jakości w Diagnostyce Mikrobiologicznej za IV kwartały 2021 roku.</w:t>
            </w:r>
          </w:p>
          <w:p w14:paraId="41079BC1" w14:textId="77777777" w:rsidR="004E1393" w:rsidRPr="00A71735" w:rsidRDefault="004E1393" w:rsidP="004E1393">
            <w:pPr>
              <w:pStyle w:val="Akapitzlist"/>
              <w:spacing w:line="240" w:lineRule="auto"/>
              <w:ind w:left="742"/>
              <w:jc w:val="both"/>
              <w:rPr>
                <w:rFonts w:ascii="Times New Roman" w:hAnsi="Times New Roman"/>
                <w:sz w:val="21"/>
                <w:szCs w:val="21"/>
              </w:rPr>
            </w:pPr>
          </w:p>
          <w:p w14:paraId="5BEF2403" w14:textId="77777777" w:rsidR="004E1393" w:rsidRPr="00A71735" w:rsidRDefault="004E1393" w:rsidP="004E1393">
            <w:pPr>
              <w:spacing w:line="240" w:lineRule="auto"/>
              <w:jc w:val="both"/>
              <w:rPr>
                <w:rFonts w:ascii="Times New Roman" w:hAnsi="Times New Roman"/>
                <w:color w:val="000000"/>
                <w:sz w:val="21"/>
                <w:szCs w:val="21"/>
              </w:rPr>
            </w:pPr>
          </w:p>
          <w:p w14:paraId="00456C52" w14:textId="77777777" w:rsidR="004E1393" w:rsidRPr="00B05E40" w:rsidRDefault="004E1393" w:rsidP="004E1393">
            <w:pPr>
              <w:pStyle w:val="Akapitzlist"/>
              <w:numPr>
                <w:ilvl w:val="0"/>
                <w:numId w:val="24"/>
              </w:numPr>
              <w:spacing w:line="240" w:lineRule="auto"/>
              <w:ind w:left="466"/>
              <w:jc w:val="both"/>
              <w:rPr>
                <w:rFonts w:ascii="Times New Roman" w:hAnsi="Times New Roman"/>
                <w:b/>
                <w:color w:val="000000"/>
                <w:sz w:val="21"/>
                <w:szCs w:val="21"/>
                <w:u w:val="single"/>
              </w:rPr>
            </w:pPr>
            <w:r w:rsidRPr="00B05E40">
              <w:rPr>
                <w:rFonts w:ascii="Times New Roman" w:hAnsi="Times New Roman"/>
                <w:b/>
                <w:color w:val="000000"/>
                <w:sz w:val="21"/>
                <w:szCs w:val="21"/>
                <w:u w:val="single"/>
              </w:rPr>
              <w:t>Dodatkowe informacje uzasadniające konieczność zwiększenia zatrudnienia – szczegółowy opis problemów:</w:t>
            </w:r>
          </w:p>
          <w:p w14:paraId="0259487B" w14:textId="77777777" w:rsidR="004E1393" w:rsidRPr="00A71735" w:rsidRDefault="004E1393" w:rsidP="004E1393">
            <w:pPr>
              <w:spacing w:line="240" w:lineRule="auto"/>
              <w:jc w:val="both"/>
              <w:rPr>
                <w:rFonts w:ascii="Times New Roman" w:hAnsi="Times New Roman"/>
                <w:color w:val="000000"/>
              </w:rPr>
            </w:pPr>
          </w:p>
          <w:p w14:paraId="363E3D20" w14:textId="77777777" w:rsidR="004E1393" w:rsidRPr="00A71735" w:rsidRDefault="004E1393" w:rsidP="004E1393">
            <w:pPr>
              <w:spacing w:line="240" w:lineRule="auto"/>
              <w:ind w:left="466"/>
              <w:jc w:val="both"/>
              <w:rPr>
                <w:rFonts w:ascii="Times New Roman" w:hAnsi="Times New Roman"/>
              </w:rPr>
            </w:pPr>
            <w:r w:rsidRPr="00A71735">
              <w:rPr>
                <w:rFonts w:ascii="Times New Roman" w:hAnsi="Times New Roman"/>
              </w:rPr>
              <w:t>Skutki finansowe poszczególnych działań związanych z pionizacją i przejęciem nadzoru nad medycznymi laboratoriami diagnostycznymi:</w:t>
            </w:r>
          </w:p>
          <w:p w14:paraId="0CBBBD72" w14:textId="77777777" w:rsidR="004E1393" w:rsidRPr="00A71735" w:rsidRDefault="004E1393" w:rsidP="004E1393">
            <w:pPr>
              <w:pStyle w:val="Akapitzlist"/>
              <w:numPr>
                <w:ilvl w:val="0"/>
                <w:numId w:val="30"/>
              </w:numPr>
              <w:tabs>
                <w:tab w:val="left" w:pos="-4678"/>
              </w:tabs>
              <w:spacing w:line="240" w:lineRule="auto"/>
              <w:jc w:val="both"/>
              <w:rPr>
                <w:rFonts w:ascii="Times New Roman" w:hAnsi="Times New Roman"/>
                <w:color w:val="000000"/>
              </w:rPr>
            </w:pPr>
            <w:r w:rsidRPr="00A71735">
              <w:rPr>
                <w:rFonts w:ascii="Times New Roman" w:hAnsi="Times New Roman"/>
                <w:color w:val="000000"/>
              </w:rPr>
              <w:t>Włączenie wojewódzkich inspektoratów farmaceutycznych w struktury GIF (reorganizacja struktur, przesunięcie zadań, wzmocnienie nadzoru na poziomie oddziałów GIF poprzez zwiększenie liczby inspektorów farmaceutycznych):</w:t>
            </w:r>
          </w:p>
          <w:p w14:paraId="195F873F" w14:textId="77777777" w:rsidR="004E1393" w:rsidRPr="00A71735" w:rsidRDefault="004E1393" w:rsidP="004E1393">
            <w:pPr>
              <w:pStyle w:val="Akapitzlist"/>
              <w:tabs>
                <w:tab w:val="left" w:pos="-4678"/>
              </w:tabs>
              <w:spacing w:line="360" w:lineRule="auto"/>
              <w:ind w:left="567"/>
              <w:jc w:val="both"/>
              <w:rPr>
                <w:rFonts w:ascii="Times New Roman" w:hAnsi="Times New Roman"/>
                <w:color w:val="00000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
              <w:gridCol w:w="612"/>
              <w:gridCol w:w="607"/>
              <w:gridCol w:w="615"/>
              <w:gridCol w:w="610"/>
              <w:gridCol w:w="611"/>
              <w:gridCol w:w="611"/>
              <w:gridCol w:w="611"/>
              <w:gridCol w:w="723"/>
              <w:gridCol w:w="611"/>
              <w:gridCol w:w="611"/>
              <w:gridCol w:w="610"/>
              <w:gridCol w:w="724"/>
            </w:tblGrid>
            <w:tr w:rsidR="004E1393" w:rsidRPr="00A71735" w14:paraId="20E5DED8" w14:textId="77777777" w:rsidTr="00C61D5C">
              <w:trPr>
                <w:trHeight w:val="357"/>
              </w:trPr>
              <w:tc>
                <w:tcPr>
                  <w:tcW w:w="949" w:type="dxa"/>
                  <w:vMerge w:val="restart"/>
                  <w:shd w:val="clear" w:color="auto" w:fill="FFFFFF"/>
                  <w:vAlign w:val="center"/>
                </w:tcPr>
                <w:p w14:paraId="00D444A5"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(ceny stałe z 2022r.)</w:t>
                  </w:r>
                </w:p>
              </w:tc>
              <w:tc>
                <w:tcPr>
                  <w:tcW w:w="7556" w:type="dxa"/>
                  <w:gridSpan w:val="12"/>
                  <w:shd w:val="clear" w:color="auto" w:fill="FFFFFF"/>
                </w:tcPr>
                <w:p w14:paraId="6A5A2FBA"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Skutki w okresie 10 lat od wejścia w życie zmian [mln zł]</w:t>
                  </w:r>
                </w:p>
              </w:tc>
            </w:tr>
            <w:tr w:rsidR="004E1393" w:rsidRPr="00A71735" w14:paraId="1AF4CA0D" w14:textId="77777777" w:rsidTr="00C61D5C">
              <w:trPr>
                <w:trHeight w:val="357"/>
              </w:trPr>
              <w:tc>
                <w:tcPr>
                  <w:tcW w:w="949" w:type="dxa"/>
                  <w:vMerge/>
                  <w:shd w:val="clear" w:color="auto" w:fill="FFFFFF"/>
                  <w:vAlign w:val="center"/>
                </w:tcPr>
                <w:p w14:paraId="2DA2D578" w14:textId="77777777" w:rsidR="004E1393" w:rsidRPr="00A71735" w:rsidRDefault="004E1393" w:rsidP="00290811">
                  <w:pPr>
                    <w:framePr w:hSpace="141" w:wrap="around" w:vAnchor="text" w:hAnchor="text" w:x="-176" w:y="1"/>
                    <w:suppressOverlap/>
                    <w:rPr>
                      <w:rFonts w:ascii="Times New Roman" w:hAnsi="Times New Roman"/>
                      <w:color w:val="000000"/>
                    </w:rPr>
                  </w:pPr>
                </w:p>
              </w:tc>
              <w:tc>
                <w:tcPr>
                  <w:tcW w:w="612" w:type="dxa"/>
                  <w:shd w:val="clear" w:color="auto" w:fill="FFFFFF"/>
                </w:tcPr>
                <w:p w14:paraId="5AE41DA1"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0</w:t>
                  </w:r>
                </w:p>
              </w:tc>
              <w:tc>
                <w:tcPr>
                  <w:tcW w:w="607" w:type="dxa"/>
                  <w:shd w:val="clear" w:color="auto" w:fill="FFFFFF"/>
                </w:tcPr>
                <w:p w14:paraId="7C519CCD"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w:t>
                  </w:r>
                </w:p>
              </w:tc>
              <w:tc>
                <w:tcPr>
                  <w:tcW w:w="615" w:type="dxa"/>
                  <w:shd w:val="clear" w:color="auto" w:fill="FFFFFF"/>
                </w:tcPr>
                <w:p w14:paraId="61F95337"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2</w:t>
                  </w:r>
                </w:p>
              </w:tc>
              <w:tc>
                <w:tcPr>
                  <w:tcW w:w="610" w:type="dxa"/>
                  <w:shd w:val="clear" w:color="auto" w:fill="FFFFFF"/>
                </w:tcPr>
                <w:p w14:paraId="34FA50CE"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3</w:t>
                  </w:r>
                </w:p>
              </w:tc>
              <w:tc>
                <w:tcPr>
                  <w:tcW w:w="611" w:type="dxa"/>
                  <w:shd w:val="clear" w:color="auto" w:fill="FFFFFF"/>
                </w:tcPr>
                <w:p w14:paraId="01FAB0ED"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4</w:t>
                  </w:r>
                </w:p>
              </w:tc>
              <w:tc>
                <w:tcPr>
                  <w:tcW w:w="611" w:type="dxa"/>
                  <w:shd w:val="clear" w:color="auto" w:fill="FFFFFF"/>
                </w:tcPr>
                <w:p w14:paraId="09622F85"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5</w:t>
                  </w:r>
                </w:p>
              </w:tc>
              <w:tc>
                <w:tcPr>
                  <w:tcW w:w="611" w:type="dxa"/>
                  <w:shd w:val="clear" w:color="auto" w:fill="FFFFFF"/>
                </w:tcPr>
                <w:p w14:paraId="16C5B65F"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6</w:t>
                  </w:r>
                </w:p>
              </w:tc>
              <w:tc>
                <w:tcPr>
                  <w:tcW w:w="723" w:type="dxa"/>
                  <w:shd w:val="clear" w:color="auto" w:fill="FFFFFF"/>
                </w:tcPr>
                <w:p w14:paraId="39F215B2"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7</w:t>
                  </w:r>
                </w:p>
              </w:tc>
              <w:tc>
                <w:tcPr>
                  <w:tcW w:w="611" w:type="dxa"/>
                  <w:shd w:val="clear" w:color="auto" w:fill="FFFFFF"/>
                </w:tcPr>
                <w:p w14:paraId="17372B4A"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8</w:t>
                  </w:r>
                </w:p>
              </w:tc>
              <w:tc>
                <w:tcPr>
                  <w:tcW w:w="611" w:type="dxa"/>
                  <w:shd w:val="clear" w:color="auto" w:fill="FFFFFF"/>
                </w:tcPr>
                <w:p w14:paraId="3A847AF8"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9</w:t>
                  </w:r>
                </w:p>
              </w:tc>
              <w:tc>
                <w:tcPr>
                  <w:tcW w:w="610" w:type="dxa"/>
                  <w:shd w:val="clear" w:color="auto" w:fill="FFFFFF"/>
                </w:tcPr>
                <w:p w14:paraId="076E41B5"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10</w:t>
                  </w:r>
                </w:p>
              </w:tc>
              <w:tc>
                <w:tcPr>
                  <w:tcW w:w="724" w:type="dxa"/>
                  <w:shd w:val="clear" w:color="auto" w:fill="FFFFFF"/>
                </w:tcPr>
                <w:p w14:paraId="2BDB666A"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Łącznie (0-10)</w:t>
                  </w:r>
                </w:p>
              </w:tc>
            </w:tr>
            <w:tr w:rsidR="004E1393" w:rsidRPr="00A71735" w14:paraId="3DB3C69A" w14:textId="77777777" w:rsidTr="00C61D5C">
              <w:trPr>
                <w:trHeight w:val="357"/>
              </w:trPr>
              <w:tc>
                <w:tcPr>
                  <w:tcW w:w="949" w:type="dxa"/>
                  <w:shd w:val="clear" w:color="auto" w:fill="FFFFFF"/>
                  <w:vAlign w:val="center"/>
                </w:tcPr>
                <w:p w14:paraId="3BF80A86"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Budżet państwa - wydatki</w:t>
                  </w:r>
                </w:p>
              </w:tc>
              <w:tc>
                <w:tcPr>
                  <w:tcW w:w="612" w:type="dxa"/>
                  <w:shd w:val="clear" w:color="auto" w:fill="FFFFFF"/>
                  <w:vAlign w:val="center"/>
                </w:tcPr>
                <w:p w14:paraId="35B87A31"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-11,0</w:t>
                  </w:r>
                </w:p>
              </w:tc>
              <w:tc>
                <w:tcPr>
                  <w:tcW w:w="607" w:type="dxa"/>
                  <w:shd w:val="clear" w:color="auto" w:fill="FFFFFF"/>
                  <w:vAlign w:val="center"/>
                </w:tcPr>
                <w:p w14:paraId="01347688"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-7,8</w:t>
                  </w:r>
                </w:p>
              </w:tc>
              <w:tc>
                <w:tcPr>
                  <w:tcW w:w="615" w:type="dxa"/>
                  <w:shd w:val="clear" w:color="auto" w:fill="FFFFFF"/>
                  <w:vAlign w:val="center"/>
                </w:tcPr>
                <w:p w14:paraId="54B3F2E2"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Pr>
                      <w:rFonts w:ascii="Times New Roman" w:hAnsi="Times New Roman"/>
                      <w:color w:val="000000"/>
                      <w:sz w:val="18"/>
                    </w:rPr>
                    <w:t>-8,0</w:t>
                  </w:r>
                </w:p>
              </w:tc>
              <w:tc>
                <w:tcPr>
                  <w:tcW w:w="610" w:type="dxa"/>
                  <w:shd w:val="clear" w:color="auto" w:fill="FFFFFF"/>
                  <w:vAlign w:val="center"/>
                </w:tcPr>
                <w:p w14:paraId="167999C7"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8,2</w:t>
                  </w:r>
                </w:p>
              </w:tc>
              <w:tc>
                <w:tcPr>
                  <w:tcW w:w="611" w:type="dxa"/>
                  <w:shd w:val="clear" w:color="auto" w:fill="FFFFFF"/>
                  <w:vAlign w:val="center"/>
                </w:tcPr>
                <w:p w14:paraId="520D25C8"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8,4</w:t>
                  </w:r>
                </w:p>
              </w:tc>
              <w:tc>
                <w:tcPr>
                  <w:tcW w:w="611" w:type="dxa"/>
                  <w:shd w:val="clear" w:color="auto" w:fill="FFFFFF"/>
                  <w:vAlign w:val="center"/>
                </w:tcPr>
                <w:p w14:paraId="5D6F563A"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8,6</w:t>
                  </w:r>
                </w:p>
              </w:tc>
              <w:tc>
                <w:tcPr>
                  <w:tcW w:w="611" w:type="dxa"/>
                  <w:shd w:val="clear" w:color="auto" w:fill="FFFFFF"/>
                  <w:vAlign w:val="center"/>
                </w:tcPr>
                <w:p w14:paraId="134BD07B"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rPr>
                    <w:t>8,8</w:t>
                  </w:r>
                </w:p>
              </w:tc>
              <w:tc>
                <w:tcPr>
                  <w:tcW w:w="723" w:type="dxa"/>
                  <w:shd w:val="clear" w:color="auto" w:fill="FFFFFF"/>
                  <w:vAlign w:val="center"/>
                </w:tcPr>
                <w:p w14:paraId="5E89B741"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rPr>
                    <w:t>9,0</w:t>
                  </w:r>
                </w:p>
              </w:tc>
              <w:tc>
                <w:tcPr>
                  <w:tcW w:w="611" w:type="dxa"/>
                  <w:shd w:val="clear" w:color="auto" w:fill="FFFFFF"/>
                  <w:vAlign w:val="center"/>
                </w:tcPr>
                <w:p w14:paraId="644817C5"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rPr>
                    <w:t>9,3</w:t>
                  </w:r>
                </w:p>
              </w:tc>
              <w:tc>
                <w:tcPr>
                  <w:tcW w:w="611" w:type="dxa"/>
                  <w:shd w:val="clear" w:color="auto" w:fill="FFFFFF"/>
                  <w:vAlign w:val="center"/>
                </w:tcPr>
                <w:p w14:paraId="3CC4D4A1"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9,5</w:t>
                  </w:r>
                </w:p>
              </w:tc>
              <w:tc>
                <w:tcPr>
                  <w:tcW w:w="610" w:type="dxa"/>
                  <w:shd w:val="clear" w:color="auto" w:fill="FFFFFF"/>
                  <w:vAlign w:val="center"/>
                </w:tcPr>
                <w:p w14:paraId="661E0C30"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9,7</w:t>
                  </w:r>
                </w:p>
              </w:tc>
              <w:tc>
                <w:tcPr>
                  <w:tcW w:w="724" w:type="dxa"/>
                  <w:shd w:val="clear" w:color="auto" w:fill="FFFFFF"/>
                  <w:vAlign w:val="center"/>
                </w:tcPr>
                <w:p w14:paraId="29C67644" w14:textId="77777777" w:rsidR="004E1393" w:rsidRPr="00A71735" w:rsidRDefault="004E1393" w:rsidP="00290811">
                  <w:pPr>
                    <w:framePr w:hSpace="141" w:wrap="around" w:vAnchor="text" w:hAnchor="text" w:x="-176" w:y="1"/>
                    <w:suppressOverlap/>
                    <w:jc w:val="right"/>
                    <w:rPr>
                      <w:rFonts w:ascii="Times New Roman" w:hAnsi="Times New Roman"/>
                      <w:color w:val="000000"/>
                      <w:sz w:val="18"/>
                    </w:rPr>
                  </w:pPr>
                  <w:r w:rsidRPr="00A71735">
                    <w:rPr>
                      <w:rFonts w:ascii="Times New Roman" w:hAnsi="Times New Roman"/>
                      <w:color w:val="000000"/>
                      <w:sz w:val="18"/>
                    </w:rPr>
                    <w:t>-</w:t>
                  </w:r>
                  <w:r>
                    <w:rPr>
                      <w:rFonts w:ascii="Times New Roman" w:hAnsi="Times New Roman"/>
                      <w:color w:val="000000"/>
                      <w:sz w:val="18"/>
                      <w:szCs w:val="18"/>
                    </w:rPr>
                    <w:t>98,3</w:t>
                  </w:r>
                </w:p>
              </w:tc>
            </w:tr>
          </w:tbl>
          <w:p w14:paraId="34D6C8C1" w14:textId="77777777" w:rsidR="004E1393" w:rsidRPr="00A71735" w:rsidRDefault="004E1393" w:rsidP="004E1393">
            <w:pPr>
              <w:spacing w:line="240" w:lineRule="auto"/>
              <w:ind w:left="466"/>
              <w:jc w:val="both"/>
              <w:rPr>
                <w:rFonts w:ascii="Times New Roman" w:hAnsi="Times New Roman"/>
              </w:rPr>
            </w:pPr>
            <w:r w:rsidRPr="00A71735">
              <w:rPr>
                <w:rFonts w:ascii="Times New Roman" w:hAnsi="Times New Roman"/>
              </w:rPr>
              <w:t xml:space="preserve">Powyższe działanie będzie skutkowało zwiększeniem </w:t>
            </w:r>
            <w:r>
              <w:rPr>
                <w:rFonts w:ascii="Times New Roman" w:hAnsi="Times New Roman"/>
              </w:rPr>
              <w:t>wydatków</w:t>
            </w:r>
            <w:r w:rsidRPr="00A71735">
              <w:rPr>
                <w:rFonts w:ascii="Times New Roman" w:hAnsi="Times New Roman"/>
              </w:rPr>
              <w:t xml:space="preserve"> budżetu państwa o kwotę ogółem </w:t>
            </w:r>
            <w:r>
              <w:rPr>
                <w:rFonts w:ascii="Times New Roman" w:hAnsi="Times New Roman"/>
              </w:rPr>
              <w:t>98,3 mln. zł</w:t>
            </w:r>
            <w:r w:rsidRPr="00A71735">
              <w:rPr>
                <w:rFonts w:ascii="Times New Roman" w:hAnsi="Times New Roman"/>
              </w:rPr>
              <w:t xml:space="preserve"> w okresie 10 lat od wejścia w życie zmian</w:t>
            </w:r>
            <w:r>
              <w:rPr>
                <w:rFonts w:ascii="Times New Roman" w:hAnsi="Times New Roman"/>
              </w:rPr>
              <w:t xml:space="preserve">. </w:t>
            </w:r>
          </w:p>
          <w:p w14:paraId="2EE0608B" w14:textId="77777777" w:rsidR="004E1393" w:rsidRPr="00A71735" w:rsidRDefault="004E1393" w:rsidP="004E1393">
            <w:pPr>
              <w:pStyle w:val="Akapitzlist"/>
              <w:tabs>
                <w:tab w:val="left" w:pos="-4678"/>
              </w:tabs>
              <w:spacing w:line="240" w:lineRule="auto"/>
              <w:ind w:left="567"/>
              <w:jc w:val="both"/>
              <w:rPr>
                <w:rFonts w:ascii="Times New Roman" w:hAnsi="Times New Roman"/>
                <w:color w:val="000000"/>
              </w:rPr>
            </w:pPr>
          </w:p>
          <w:p w14:paraId="70E47276" w14:textId="77777777" w:rsidR="004E1393" w:rsidRPr="00A71735" w:rsidRDefault="004E1393" w:rsidP="004E1393">
            <w:pPr>
              <w:pStyle w:val="Akapitzlist"/>
              <w:numPr>
                <w:ilvl w:val="0"/>
                <w:numId w:val="30"/>
              </w:numPr>
              <w:tabs>
                <w:tab w:val="left" w:pos="-4678"/>
              </w:tabs>
              <w:spacing w:line="240" w:lineRule="auto"/>
              <w:jc w:val="both"/>
              <w:rPr>
                <w:rFonts w:ascii="Times New Roman" w:hAnsi="Times New Roman"/>
                <w:color w:val="000000"/>
              </w:rPr>
            </w:pPr>
            <w:r w:rsidRPr="00A71735">
              <w:rPr>
                <w:rFonts w:ascii="Times New Roman" w:hAnsi="Times New Roman"/>
                <w:color w:val="000000"/>
              </w:rPr>
              <w:lastRenderedPageBreak/>
              <w:t>Włączenie wojewódzkich inspektoratów farmaceutycznych w struktury GIF będzie skutkowało przesunięciem środków finansowych z budżetów wojewodów (część 85) do budżetu Ministra Zdrowia (część 46) w następujących kwotach:</w:t>
            </w:r>
          </w:p>
          <w:p w14:paraId="0707FB07" w14:textId="77777777" w:rsidR="004E1393" w:rsidRPr="00A71735" w:rsidRDefault="004E1393" w:rsidP="004E1393">
            <w:pPr>
              <w:pStyle w:val="Akapitzlist"/>
              <w:tabs>
                <w:tab w:val="left" w:pos="-4678"/>
              </w:tabs>
              <w:spacing w:line="360" w:lineRule="auto"/>
              <w:ind w:left="567"/>
              <w:jc w:val="both"/>
              <w:rPr>
                <w:rFonts w:ascii="Times New Roman" w:hAnsi="Times New Roman"/>
                <w:color w:val="000000"/>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620"/>
              <w:gridCol w:w="619"/>
              <w:gridCol w:w="618"/>
              <w:gridCol w:w="619"/>
              <w:gridCol w:w="619"/>
              <w:gridCol w:w="619"/>
              <w:gridCol w:w="618"/>
              <w:gridCol w:w="619"/>
              <w:gridCol w:w="619"/>
              <w:gridCol w:w="619"/>
              <w:gridCol w:w="618"/>
              <w:gridCol w:w="734"/>
            </w:tblGrid>
            <w:tr w:rsidR="004E1393" w:rsidRPr="00A71735" w14:paraId="00C4FB6E" w14:textId="77777777" w:rsidTr="00C61D5C">
              <w:trPr>
                <w:trHeight w:val="357"/>
              </w:trPr>
              <w:tc>
                <w:tcPr>
                  <w:tcW w:w="964" w:type="dxa"/>
                  <w:vMerge w:val="restart"/>
                  <w:shd w:val="clear" w:color="auto" w:fill="FFFFFF"/>
                  <w:vAlign w:val="center"/>
                </w:tcPr>
                <w:p w14:paraId="5835ED38"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(ceny stałe z 2022r.)</w:t>
                  </w:r>
                </w:p>
              </w:tc>
              <w:tc>
                <w:tcPr>
                  <w:tcW w:w="7541" w:type="dxa"/>
                  <w:gridSpan w:val="12"/>
                  <w:shd w:val="clear" w:color="auto" w:fill="FFFFFF"/>
                </w:tcPr>
                <w:p w14:paraId="27DA6798"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Skutki w okresie 10 lat od wejścia w życie zmian [mln zł]</w:t>
                  </w:r>
                </w:p>
              </w:tc>
            </w:tr>
            <w:tr w:rsidR="004E1393" w:rsidRPr="00A71735" w14:paraId="1FEF2BF5" w14:textId="77777777" w:rsidTr="00C61D5C">
              <w:trPr>
                <w:trHeight w:val="357"/>
              </w:trPr>
              <w:tc>
                <w:tcPr>
                  <w:tcW w:w="964" w:type="dxa"/>
                  <w:vMerge/>
                  <w:shd w:val="clear" w:color="auto" w:fill="FFFFFF"/>
                  <w:vAlign w:val="center"/>
                </w:tcPr>
                <w:p w14:paraId="1FEE49D5" w14:textId="77777777" w:rsidR="004E1393" w:rsidRPr="00A71735" w:rsidRDefault="004E1393" w:rsidP="00290811">
                  <w:pPr>
                    <w:framePr w:hSpace="141" w:wrap="around" w:vAnchor="text" w:hAnchor="text" w:x="-176" w:y="1"/>
                    <w:suppressOverlap/>
                    <w:rPr>
                      <w:rFonts w:ascii="Times New Roman" w:hAnsi="Times New Roman"/>
                      <w:color w:val="000000"/>
                    </w:rPr>
                  </w:pPr>
                </w:p>
              </w:tc>
              <w:tc>
                <w:tcPr>
                  <w:tcW w:w="620" w:type="dxa"/>
                  <w:shd w:val="clear" w:color="auto" w:fill="FFFFFF"/>
                </w:tcPr>
                <w:p w14:paraId="139343EE"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0</w:t>
                  </w:r>
                </w:p>
              </w:tc>
              <w:tc>
                <w:tcPr>
                  <w:tcW w:w="619" w:type="dxa"/>
                  <w:shd w:val="clear" w:color="auto" w:fill="FFFFFF"/>
                </w:tcPr>
                <w:p w14:paraId="13A1AE62"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w:t>
                  </w:r>
                </w:p>
              </w:tc>
              <w:tc>
                <w:tcPr>
                  <w:tcW w:w="618" w:type="dxa"/>
                  <w:shd w:val="clear" w:color="auto" w:fill="FFFFFF"/>
                </w:tcPr>
                <w:p w14:paraId="3CABA82D"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2</w:t>
                  </w:r>
                </w:p>
              </w:tc>
              <w:tc>
                <w:tcPr>
                  <w:tcW w:w="619" w:type="dxa"/>
                  <w:shd w:val="clear" w:color="auto" w:fill="FFFFFF"/>
                </w:tcPr>
                <w:p w14:paraId="205F9BE1"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3</w:t>
                  </w:r>
                </w:p>
              </w:tc>
              <w:tc>
                <w:tcPr>
                  <w:tcW w:w="619" w:type="dxa"/>
                  <w:shd w:val="clear" w:color="auto" w:fill="FFFFFF"/>
                </w:tcPr>
                <w:p w14:paraId="0EEBDA83"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4</w:t>
                  </w:r>
                </w:p>
              </w:tc>
              <w:tc>
                <w:tcPr>
                  <w:tcW w:w="619" w:type="dxa"/>
                  <w:shd w:val="clear" w:color="auto" w:fill="FFFFFF"/>
                </w:tcPr>
                <w:p w14:paraId="092A89EB"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5</w:t>
                  </w:r>
                </w:p>
              </w:tc>
              <w:tc>
                <w:tcPr>
                  <w:tcW w:w="618" w:type="dxa"/>
                  <w:shd w:val="clear" w:color="auto" w:fill="FFFFFF"/>
                </w:tcPr>
                <w:p w14:paraId="3FF9A3EF"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6</w:t>
                  </w:r>
                </w:p>
              </w:tc>
              <w:tc>
                <w:tcPr>
                  <w:tcW w:w="619" w:type="dxa"/>
                  <w:shd w:val="clear" w:color="auto" w:fill="FFFFFF"/>
                </w:tcPr>
                <w:p w14:paraId="6712DE11"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7</w:t>
                  </w:r>
                </w:p>
              </w:tc>
              <w:tc>
                <w:tcPr>
                  <w:tcW w:w="619" w:type="dxa"/>
                  <w:shd w:val="clear" w:color="auto" w:fill="FFFFFF"/>
                </w:tcPr>
                <w:p w14:paraId="59DE0EA3"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8</w:t>
                  </w:r>
                </w:p>
              </w:tc>
              <w:tc>
                <w:tcPr>
                  <w:tcW w:w="619" w:type="dxa"/>
                  <w:shd w:val="clear" w:color="auto" w:fill="FFFFFF"/>
                </w:tcPr>
                <w:p w14:paraId="36E46299"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9</w:t>
                  </w:r>
                </w:p>
              </w:tc>
              <w:tc>
                <w:tcPr>
                  <w:tcW w:w="618" w:type="dxa"/>
                  <w:shd w:val="clear" w:color="auto" w:fill="FFFFFF"/>
                </w:tcPr>
                <w:p w14:paraId="72A76A2F"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10</w:t>
                  </w:r>
                </w:p>
              </w:tc>
              <w:tc>
                <w:tcPr>
                  <w:tcW w:w="734" w:type="dxa"/>
                  <w:shd w:val="clear" w:color="auto" w:fill="FFFFFF"/>
                </w:tcPr>
                <w:p w14:paraId="1BA18EC7"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Łącznie (0-10)</w:t>
                  </w:r>
                </w:p>
              </w:tc>
            </w:tr>
            <w:tr w:rsidR="004E1393" w:rsidRPr="00A71735" w14:paraId="73BA9424" w14:textId="77777777" w:rsidTr="00C61D5C">
              <w:trPr>
                <w:trHeight w:val="357"/>
              </w:trPr>
              <w:tc>
                <w:tcPr>
                  <w:tcW w:w="964" w:type="dxa"/>
                  <w:shd w:val="clear" w:color="auto" w:fill="FFFFFF"/>
                  <w:vAlign w:val="center"/>
                </w:tcPr>
                <w:p w14:paraId="35760A4E"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Budżet państwa – per saldo wydatki</w:t>
                  </w:r>
                </w:p>
              </w:tc>
              <w:tc>
                <w:tcPr>
                  <w:tcW w:w="620" w:type="dxa"/>
                  <w:shd w:val="clear" w:color="auto" w:fill="FFFFFF"/>
                  <w:vAlign w:val="center"/>
                </w:tcPr>
                <w:p w14:paraId="0C7623F0"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2B4D5A3F"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8" w:type="dxa"/>
                  <w:shd w:val="clear" w:color="auto" w:fill="FFFFFF"/>
                  <w:vAlign w:val="center"/>
                </w:tcPr>
                <w:p w14:paraId="518BF53B"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014BCA2E"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5397EFD9"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06D926F6"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8" w:type="dxa"/>
                  <w:shd w:val="clear" w:color="auto" w:fill="FFFFFF"/>
                  <w:vAlign w:val="center"/>
                </w:tcPr>
                <w:p w14:paraId="53B8631D"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63BF2EC4"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3872103C"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9" w:type="dxa"/>
                  <w:shd w:val="clear" w:color="auto" w:fill="FFFFFF"/>
                  <w:vAlign w:val="center"/>
                </w:tcPr>
                <w:p w14:paraId="0AE5B161"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18" w:type="dxa"/>
                  <w:shd w:val="clear" w:color="auto" w:fill="FFFFFF"/>
                  <w:vAlign w:val="center"/>
                </w:tcPr>
                <w:p w14:paraId="28D29913"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734" w:type="dxa"/>
                  <w:shd w:val="clear" w:color="auto" w:fill="FFFFFF"/>
                  <w:vAlign w:val="center"/>
                </w:tcPr>
                <w:p w14:paraId="324748A4"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r>
            <w:tr w:rsidR="004E1393" w:rsidRPr="00A71735" w14:paraId="3AC0E468" w14:textId="77777777" w:rsidTr="00C61D5C">
              <w:trPr>
                <w:trHeight w:val="357"/>
              </w:trPr>
              <w:tc>
                <w:tcPr>
                  <w:tcW w:w="964" w:type="dxa"/>
                  <w:shd w:val="clear" w:color="auto" w:fill="FFFFFF"/>
                  <w:vAlign w:val="center"/>
                </w:tcPr>
                <w:p w14:paraId="57D21DBE"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 część 85</w:t>
                  </w:r>
                </w:p>
              </w:tc>
              <w:tc>
                <w:tcPr>
                  <w:tcW w:w="620" w:type="dxa"/>
                  <w:shd w:val="clear" w:color="auto" w:fill="FFFFFF"/>
                  <w:vAlign w:val="center"/>
                </w:tcPr>
                <w:p w14:paraId="32CBD4D2"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-36,3</w:t>
                  </w:r>
                </w:p>
              </w:tc>
              <w:tc>
                <w:tcPr>
                  <w:tcW w:w="619" w:type="dxa"/>
                  <w:shd w:val="clear" w:color="auto" w:fill="FFFFFF"/>
                  <w:vAlign w:val="center"/>
                </w:tcPr>
                <w:p w14:paraId="50B04B1D"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-36,5</w:t>
                  </w:r>
                </w:p>
              </w:tc>
              <w:tc>
                <w:tcPr>
                  <w:tcW w:w="618" w:type="dxa"/>
                  <w:shd w:val="clear" w:color="auto" w:fill="FFFFFF"/>
                  <w:vAlign w:val="center"/>
                </w:tcPr>
                <w:p w14:paraId="163E74AD"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37,8</w:t>
                  </w:r>
                </w:p>
              </w:tc>
              <w:tc>
                <w:tcPr>
                  <w:tcW w:w="619" w:type="dxa"/>
                  <w:shd w:val="clear" w:color="auto" w:fill="FFFFFF"/>
                  <w:vAlign w:val="center"/>
                </w:tcPr>
                <w:p w14:paraId="750EBBDB"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38,7</w:t>
                  </w:r>
                </w:p>
              </w:tc>
              <w:tc>
                <w:tcPr>
                  <w:tcW w:w="619" w:type="dxa"/>
                  <w:shd w:val="clear" w:color="auto" w:fill="FFFFFF"/>
                  <w:vAlign w:val="center"/>
                </w:tcPr>
                <w:p w14:paraId="5149A470"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39,7</w:t>
                  </w:r>
                </w:p>
              </w:tc>
              <w:tc>
                <w:tcPr>
                  <w:tcW w:w="619" w:type="dxa"/>
                  <w:shd w:val="clear" w:color="auto" w:fill="FFFFFF"/>
                  <w:vAlign w:val="center"/>
                </w:tcPr>
                <w:p w14:paraId="11363B7A"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40,7</w:t>
                  </w:r>
                </w:p>
              </w:tc>
              <w:tc>
                <w:tcPr>
                  <w:tcW w:w="618" w:type="dxa"/>
                  <w:shd w:val="clear" w:color="auto" w:fill="FFFFFF"/>
                  <w:vAlign w:val="center"/>
                </w:tcPr>
                <w:p w14:paraId="6894622D"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41,7</w:t>
                  </w:r>
                </w:p>
              </w:tc>
              <w:tc>
                <w:tcPr>
                  <w:tcW w:w="619" w:type="dxa"/>
                  <w:shd w:val="clear" w:color="auto" w:fill="FFFFFF"/>
                  <w:vAlign w:val="center"/>
                </w:tcPr>
                <w:p w14:paraId="1F8754A8"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42,8</w:t>
                  </w:r>
                </w:p>
              </w:tc>
              <w:tc>
                <w:tcPr>
                  <w:tcW w:w="619" w:type="dxa"/>
                  <w:shd w:val="clear" w:color="auto" w:fill="FFFFFF"/>
                  <w:vAlign w:val="center"/>
                </w:tcPr>
                <w:p w14:paraId="25C7719F"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43,8</w:t>
                  </w:r>
                </w:p>
              </w:tc>
              <w:tc>
                <w:tcPr>
                  <w:tcW w:w="619" w:type="dxa"/>
                  <w:shd w:val="clear" w:color="auto" w:fill="FFFFFF"/>
                  <w:vAlign w:val="center"/>
                </w:tcPr>
                <w:p w14:paraId="6F5EAA44"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44,9</w:t>
                  </w:r>
                </w:p>
              </w:tc>
              <w:tc>
                <w:tcPr>
                  <w:tcW w:w="618" w:type="dxa"/>
                  <w:shd w:val="clear" w:color="auto" w:fill="FFFFFF"/>
                  <w:vAlign w:val="center"/>
                </w:tcPr>
                <w:p w14:paraId="1DB6D3D0"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46,1</w:t>
                  </w:r>
                </w:p>
              </w:tc>
              <w:tc>
                <w:tcPr>
                  <w:tcW w:w="734" w:type="dxa"/>
                  <w:shd w:val="clear" w:color="auto" w:fill="FFFFFF"/>
                  <w:vAlign w:val="center"/>
                </w:tcPr>
                <w:p w14:paraId="09E895A0"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w:t>
                  </w:r>
                  <w:r w:rsidRPr="00A71735">
                    <w:rPr>
                      <w:rFonts w:ascii="Times New Roman" w:hAnsi="Times New Roman"/>
                      <w:color w:val="000000"/>
                      <w:sz w:val="16"/>
                      <w:szCs w:val="16"/>
                    </w:rPr>
                    <w:t>449,</w:t>
                  </w:r>
                  <w:r w:rsidR="002610B2">
                    <w:rPr>
                      <w:rFonts w:ascii="Times New Roman" w:hAnsi="Times New Roman"/>
                      <w:color w:val="000000"/>
                      <w:sz w:val="16"/>
                      <w:szCs w:val="16"/>
                    </w:rPr>
                    <w:t>0</w:t>
                  </w:r>
                </w:p>
              </w:tc>
            </w:tr>
            <w:tr w:rsidR="004E1393" w:rsidRPr="00A71735" w14:paraId="6E4D8658" w14:textId="77777777" w:rsidTr="00C61D5C">
              <w:trPr>
                <w:trHeight w:val="357"/>
              </w:trPr>
              <w:tc>
                <w:tcPr>
                  <w:tcW w:w="964" w:type="dxa"/>
                  <w:shd w:val="clear" w:color="auto" w:fill="FFFFFF"/>
                  <w:vAlign w:val="center"/>
                </w:tcPr>
                <w:p w14:paraId="150735FC"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 część 46</w:t>
                  </w:r>
                </w:p>
              </w:tc>
              <w:tc>
                <w:tcPr>
                  <w:tcW w:w="620" w:type="dxa"/>
                  <w:shd w:val="clear" w:color="auto" w:fill="FFFFFF"/>
                  <w:vAlign w:val="center"/>
                </w:tcPr>
                <w:p w14:paraId="50AED3F8"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36,3</w:t>
                  </w:r>
                </w:p>
              </w:tc>
              <w:tc>
                <w:tcPr>
                  <w:tcW w:w="619" w:type="dxa"/>
                  <w:shd w:val="clear" w:color="auto" w:fill="FFFFFF"/>
                  <w:vAlign w:val="center"/>
                </w:tcPr>
                <w:p w14:paraId="5E06BF9D"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rPr>
                    <w:t>36,5</w:t>
                  </w:r>
                </w:p>
              </w:tc>
              <w:tc>
                <w:tcPr>
                  <w:tcW w:w="618" w:type="dxa"/>
                  <w:shd w:val="clear" w:color="auto" w:fill="FFFFFF"/>
                  <w:vAlign w:val="center"/>
                </w:tcPr>
                <w:p w14:paraId="43F1C0CD"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37,8</w:t>
                  </w:r>
                </w:p>
              </w:tc>
              <w:tc>
                <w:tcPr>
                  <w:tcW w:w="619" w:type="dxa"/>
                  <w:shd w:val="clear" w:color="auto" w:fill="FFFFFF"/>
                  <w:vAlign w:val="center"/>
                </w:tcPr>
                <w:p w14:paraId="2C7E5F5A"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38,7</w:t>
                  </w:r>
                </w:p>
              </w:tc>
              <w:tc>
                <w:tcPr>
                  <w:tcW w:w="619" w:type="dxa"/>
                  <w:shd w:val="clear" w:color="auto" w:fill="FFFFFF"/>
                  <w:vAlign w:val="center"/>
                </w:tcPr>
                <w:p w14:paraId="071CC23C"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39,7</w:t>
                  </w:r>
                </w:p>
              </w:tc>
              <w:tc>
                <w:tcPr>
                  <w:tcW w:w="619" w:type="dxa"/>
                  <w:shd w:val="clear" w:color="auto" w:fill="FFFFFF"/>
                  <w:vAlign w:val="center"/>
                </w:tcPr>
                <w:p w14:paraId="755436A9"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40,7</w:t>
                  </w:r>
                </w:p>
              </w:tc>
              <w:tc>
                <w:tcPr>
                  <w:tcW w:w="618" w:type="dxa"/>
                  <w:shd w:val="clear" w:color="auto" w:fill="FFFFFF"/>
                  <w:vAlign w:val="center"/>
                </w:tcPr>
                <w:p w14:paraId="3AC1DA72"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41,7</w:t>
                  </w:r>
                </w:p>
              </w:tc>
              <w:tc>
                <w:tcPr>
                  <w:tcW w:w="619" w:type="dxa"/>
                  <w:shd w:val="clear" w:color="auto" w:fill="FFFFFF"/>
                  <w:vAlign w:val="center"/>
                </w:tcPr>
                <w:p w14:paraId="39E6145E"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42,8</w:t>
                  </w:r>
                </w:p>
              </w:tc>
              <w:tc>
                <w:tcPr>
                  <w:tcW w:w="619" w:type="dxa"/>
                  <w:shd w:val="clear" w:color="auto" w:fill="FFFFFF"/>
                  <w:vAlign w:val="center"/>
                </w:tcPr>
                <w:p w14:paraId="4AA82287"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43,8</w:t>
                  </w:r>
                </w:p>
              </w:tc>
              <w:tc>
                <w:tcPr>
                  <w:tcW w:w="619" w:type="dxa"/>
                  <w:shd w:val="clear" w:color="auto" w:fill="FFFFFF"/>
                  <w:vAlign w:val="center"/>
                </w:tcPr>
                <w:p w14:paraId="2F4180B7"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44,9</w:t>
                  </w:r>
                </w:p>
              </w:tc>
              <w:tc>
                <w:tcPr>
                  <w:tcW w:w="618" w:type="dxa"/>
                  <w:shd w:val="clear" w:color="auto" w:fill="FFFFFF"/>
                  <w:vAlign w:val="center"/>
                </w:tcPr>
                <w:p w14:paraId="7EF3C6FE"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46,1</w:t>
                  </w:r>
                </w:p>
              </w:tc>
              <w:tc>
                <w:tcPr>
                  <w:tcW w:w="734" w:type="dxa"/>
                  <w:shd w:val="clear" w:color="auto" w:fill="FFFFFF"/>
                  <w:vAlign w:val="center"/>
                </w:tcPr>
                <w:p w14:paraId="6925E84B" w14:textId="77777777" w:rsidR="004E1393" w:rsidRPr="00A71735" w:rsidRDefault="004E1393" w:rsidP="00290811">
                  <w:pPr>
                    <w:framePr w:hSpace="141" w:wrap="around" w:vAnchor="text" w:hAnchor="text" w:x="-176" w:y="1"/>
                    <w:suppressOverlap/>
                    <w:jc w:val="right"/>
                    <w:rPr>
                      <w:rFonts w:ascii="Times New Roman" w:hAnsi="Times New Roman"/>
                      <w:color w:val="000000"/>
                      <w:sz w:val="16"/>
                    </w:rPr>
                  </w:pPr>
                  <w:r w:rsidRPr="00A71735">
                    <w:rPr>
                      <w:rFonts w:ascii="Times New Roman" w:hAnsi="Times New Roman"/>
                      <w:color w:val="000000"/>
                      <w:sz w:val="16"/>
                      <w:szCs w:val="16"/>
                    </w:rPr>
                    <w:t>449,1</w:t>
                  </w:r>
                </w:p>
              </w:tc>
            </w:tr>
          </w:tbl>
          <w:p w14:paraId="2F27DCE6" w14:textId="77777777" w:rsidR="004E1393" w:rsidRPr="00A71735" w:rsidRDefault="004E1393" w:rsidP="004E1393">
            <w:pPr>
              <w:spacing w:line="240" w:lineRule="auto"/>
              <w:jc w:val="both"/>
              <w:rPr>
                <w:rFonts w:ascii="Times New Roman" w:hAnsi="Times New Roman"/>
              </w:rPr>
            </w:pPr>
            <w:r w:rsidRPr="00A71735">
              <w:rPr>
                <w:rFonts w:ascii="Times New Roman" w:hAnsi="Times New Roman"/>
              </w:rPr>
              <w:t>Powyższe przesunięcie środków pomiędzy częściami budżetowymi nie zwiększy wydatków budżetu państwa.</w:t>
            </w:r>
          </w:p>
          <w:p w14:paraId="27523202" w14:textId="77777777" w:rsidR="004E1393" w:rsidRPr="00A71735" w:rsidRDefault="004E1393" w:rsidP="004E1393">
            <w:pPr>
              <w:pStyle w:val="Akapitzlist"/>
              <w:tabs>
                <w:tab w:val="left" w:pos="-4678"/>
              </w:tabs>
              <w:spacing w:line="360" w:lineRule="auto"/>
              <w:ind w:left="0"/>
              <w:jc w:val="both"/>
              <w:rPr>
                <w:rFonts w:ascii="Times New Roman" w:hAnsi="Times New Roman"/>
              </w:rPr>
            </w:pPr>
          </w:p>
          <w:p w14:paraId="17553106" w14:textId="77777777" w:rsidR="004E1393" w:rsidRPr="00A71735" w:rsidRDefault="004E1393" w:rsidP="00B05E40">
            <w:pPr>
              <w:pStyle w:val="Akapitzlist"/>
              <w:tabs>
                <w:tab w:val="left" w:pos="-4678"/>
              </w:tabs>
              <w:spacing w:line="360" w:lineRule="auto"/>
              <w:ind w:left="1165"/>
              <w:jc w:val="both"/>
              <w:rPr>
                <w:rFonts w:ascii="Times New Roman" w:hAnsi="Times New Roman"/>
              </w:rPr>
            </w:pPr>
            <w:r w:rsidRPr="00A71735">
              <w:rPr>
                <w:rFonts w:ascii="Times New Roman" w:hAnsi="Times New Roman"/>
              </w:rPr>
              <w:t>3. Skutki przejęcia nadzoru nad medycznymi laboratoriami diagnostycznymi:</w:t>
            </w:r>
          </w:p>
          <w:p w14:paraId="3A4672CB" w14:textId="77777777" w:rsidR="004E1393" w:rsidRPr="00A71735" w:rsidRDefault="004E1393" w:rsidP="004E1393">
            <w:pPr>
              <w:pStyle w:val="Akapitzlist"/>
              <w:tabs>
                <w:tab w:val="left" w:pos="-4678"/>
              </w:tabs>
              <w:spacing w:line="360" w:lineRule="auto"/>
              <w:ind w:left="1004"/>
              <w:jc w:val="both"/>
              <w:rPr>
                <w:rFonts w:ascii="Times New Roman" w:hAnsi="Times New Roman"/>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278"/>
              <w:gridCol w:w="644"/>
              <w:gridCol w:w="645"/>
              <w:gridCol w:w="645"/>
              <w:gridCol w:w="645"/>
              <w:gridCol w:w="644"/>
              <w:gridCol w:w="645"/>
              <w:gridCol w:w="645"/>
              <w:gridCol w:w="645"/>
              <w:gridCol w:w="644"/>
              <w:gridCol w:w="645"/>
              <w:gridCol w:w="768"/>
            </w:tblGrid>
            <w:tr w:rsidR="004E1393" w:rsidRPr="00A71735" w14:paraId="0C833DBC" w14:textId="77777777" w:rsidTr="00C61D5C">
              <w:trPr>
                <w:trHeight w:val="357"/>
              </w:trPr>
              <w:tc>
                <w:tcPr>
                  <w:tcW w:w="1012" w:type="dxa"/>
                  <w:vMerge w:val="restart"/>
                  <w:shd w:val="clear" w:color="auto" w:fill="FFFFFF"/>
                  <w:vAlign w:val="center"/>
                </w:tcPr>
                <w:p w14:paraId="3BAEB7C1"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 xml:space="preserve">(ceny stałe </w:t>
                  </w:r>
                  <w:r w:rsidRPr="00A71735">
                    <w:rPr>
                      <w:rFonts w:ascii="Times New Roman" w:hAnsi="Times New Roman"/>
                      <w:color w:val="000000"/>
                    </w:rPr>
                    <w:br/>
                    <w:t>z 2022r.)</w:t>
                  </w:r>
                </w:p>
              </w:tc>
              <w:tc>
                <w:tcPr>
                  <w:tcW w:w="7493" w:type="dxa"/>
                  <w:gridSpan w:val="12"/>
                  <w:shd w:val="clear" w:color="auto" w:fill="FFFFFF"/>
                </w:tcPr>
                <w:p w14:paraId="38CC3111"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Skutki w okresie 10 lat od wejścia w życie zmian [mln zł]</w:t>
                  </w:r>
                </w:p>
              </w:tc>
            </w:tr>
            <w:tr w:rsidR="004E1393" w:rsidRPr="00A71735" w14:paraId="288600D4" w14:textId="77777777" w:rsidTr="00C61D5C">
              <w:trPr>
                <w:trHeight w:val="357"/>
              </w:trPr>
              <w:tc>
                <w:tcPr>
                  <w:tcW w:w="1012" w:type="dxa"/>
                  <w:vMerge/>
                  <w:shd w:val="clear" w:color="auto" w:fill="FFFFFF"/>
                  <w:vAlign w:val="center"/>
                </w:tcPr>
                <w:p w14:paraId="21E3FFA2" w14:textId="77777777" w:rsidR="004E1393" w:rsidRPr="00A71735" w:rsidRDefault="004E1393" w:rsidP="00290811">
                  <w:pPr>
                    <w:framePr w:hSpace="141" w:wrap="around" w:vAnchor="text" w:hAnchor="text" w:x="-176" w:y="1"/>
                    <w:suppressOverlap/>
                    <w:rPr>
                      <w:rFonts w:ascii="Times New Roman" w:hAnsi="Times New Roman"/>
                      <w:color w:val="000000"/>
                    </w:rPr>
                  </w:pPr>
                </w:p>
              </w:tc>
              <w:tc>
                <w:tcPr>
                  <w:tcW w:w="278" w:type="dxa"/>
                  <w:shd w:val="clear" w:color="auto" w:fill="FFFFFF"/>
                </w:tcPr>
                <w:p w14:paraId="42D2B561"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0</w:t>
                  </w:r>
                </w:p>
              </w:tc>
              <w:tc>
                <w:tcPr>
                  <w:tcW w:w="644" w:type="dxa"/>
                  <w:shd w:val="clear" w:color="auto" w:fill="FFFFFF"/>
                </w:tcPr>
                <w:p w14:paraId="288527AD"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w:t>
                  </w:r>
                </w:p>
              </w:tc>
              <w:tc>
                <w:tcPr>
                  <w:tcW w:w="645" w:type="dxa"/>
                  <w:shd w:val="clear" w:color="auto" w:fill="FFFFFF"/>
                </w:tcPr>
                <w:p w14:paraId="174FDEBC"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2</w:t>
                  </w:r>
                </w:p>
              </w:tc>
              <w:tc>
                <w:tcPr>
                  <w:tcW w:w="645" w:type="dxa"/>
                  <w:shd w:val="clear" w:color="auto" w:fill="FFFFFF"/>
                </w:tcPr>
                <w:p w14:paraId="6E207F54"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3</w:t>
                  </w:r>
                </w:p>
              </w:tc>
              <w:tc>
                <w:tcPr>
                  <w:tcW w:w="645" w:type="dxa"/>
                  <w:shd w:val="clear" w:color="auto" w:fill="FFFFFF"/>
                </w:tcPr>
                <w:p w14:paraId="6FC199B9"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4</w:t>
                  </w:r>
                </w:p>
              </w:tc>
              <w:tc>
                <w:tcPr>
                  <w:tcW w:w="644" w:type="dxa"/>
                  <w:shd w:val="clear" w:color="auto" w:fill="FFFFFF"/>
                </w:tcPr>
                <w:p w14:paraId="713330BC"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5</w:t>
                  </w:r>
                </w:p>
              </w:tc>
              <w:tc>
                <w:tcPr>
                  <w:tcW w:w="645" w:type="dxa"/>
                  <w:shd w:val="clear" w:color="auto" w:fill="FFFFFF"/>
                </w:tcPr>
                <w:p w14:paraId="53E1971A"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6</w:t>
                  </w:r>
                </w:p>
              </w:tc>
              <w:tc>
                <w:tcPr>
                  <w:tcW w:w="645" w:type="dxa"/>
                  <w:shd w:val="clear" w:color="auto" w:fill="FFFFFF"/>
                </w:tcPr>
                <w:p w14:paraId="106EB590"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7</w:t>
                  </w:r>
                </w:p>
              </w:tc>
              <w:tc>
                <w:tcPr>
                  <w:tcW w:w="645" w:type="dxa"/>
                  <w:shd w:val="clear" w:color="auto" w:fill="FFFFFF"/>
                </w:tcPr>
                <w:p w14:paraId="0238051F"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8</w:t>
                  </w:r>
                </w:p>
              </w:tc>
              <w:tc>
                <w:tcPr>
                  <w:tcW w:w="644" w:type="dxa"/>
                  <w:shd w:val="clear" w:color="auto" w:fill="FFFFFF"/>
                </w:tcPr>
                <w:p w14:paraId="3A292564"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9</w:t>
                  </w:r>
                </w:p>
              </w:tc>
              <w:tc>
                <w:tcPr>
                  <w:tcW w:w="645" w:type="dxa"/>
                  <w:shd w:val="clear" w:color="auto" w:fill="FFFFFF"/>
                </w:tcPr>
                <w:p w14:paraId="578C50D6"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10</w:t>
                  </w:r>
                </w:p>
              </w:tc>
              <w:tc>
                <w:tcPr>
                  <w:tcW w:w="768" w:type="dxa"/>
                  <w:shd w:val="clear" w:color="auto" w:fill="FFFFFF"/>
                </w:tcPr>
                <w:p w14:paraId="3D05F49D" w14:textId="77777777" w:rsidR="004E1393" w:rsidRPr="00A71735" w:rsidRDefault="004E1393" w:rsidP="00290811">
                  <w:pPr>
                    <w:framePr w:hSpace="141" w:wrap="around" w:vAnchor="text" w:hAnchor="text" w:x="-176" w:y="1"/>
                    <w:suppressOverlap/>
                    <w:jc w:val="center"/>
                    <w:rPr>
                      <w:rFonts w:ascii="Times New Roman" w:hAnsi="Times New Roman"/>
                      <w:color w:val="000000"/>
                    </w:rPr>
                  </w:pPr>
                  <w:r w:rsidRPr="00A71735">
                    <w:rPr>
                      <w:rFonts w:ascii="Times New Roman" w:hAnsi="Times New Roman"/>
                      <w:color w:val="000000"/>
                    </w:rPr>
                    <w:t>Łącznie (0-10)</w:t>
                  </w:r>
                </w:p>
              </w:tc>
            </w:tr>
            <w:tr w:rsidR="004E1393" w:rsidRPr="00A71735" w14:paraId="465188C9" w14:textId="77777777" w:rsidTr="00C61D5C">
              <w:trPr>
                <w:trHeight w:val="357"/>
              </w:trPr>
              <w:tc>
                <w:tcPr>
                  <w:tcW w:w="1012" w:type="dxa"/>
                  <w:shd w:val="clear" w:color="auto" w:fill="FFFFFF"/>
                  <w:vAlign w:val="center"/>
                </w:tcPr>
                <w:p w14:paraId="37DA9E08"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Budżet państwa – per saldo</w:t>
                  </w:r>
                </w:p>
              </w:tc>
              <w:tc>
                <w:tcPr>
                  <w:tcW w:w="278" w:type="dxa"/>
                  <w:shd w:val="clear" w:color="auto" w:fill="FFFFFF"/>
                  <w:vAlign w:val="center"/>
                </w:tcPr>
                <w:p w14:paraId="58ED6AA7" w14:textId="77777777" w:rsidR="004E1393" w:rsidRPr="00DF3DD0" w:rsidRDefault="004E1393" w:rsidP="00290811">
                  <w:pPr>
                    <w:framePr w:hSpace="141" w:wrap="around" w:vAnchor="text" w:hAnchor="text" w:x="-176" w:y="1"/>
                    <w:suppressOverlap/>
                    <w:jc w:val="right"/>
                    <w:rPr>
                      <w:rFonts w:ascii="Times New Roman" w:hAnsi="Times New Roman"/>
                      <w:color w:val="000000"/>
                      <w:sz w:val="20"/>
                    </w:rPr>
                  </w:pPr>
                  <w:r w:rsidRPr="00DF3DD0">
                    <w:rPr>
                      <w:rFonts w:ascii="Times New Roman" w:hAnsi="Times New Roman"/>
                      <w:color w:val="000000"/>
                      <w:sz w:val="20"/>
                    </w:rPr>
                    <w:t>-</w:t>
                  </w:r>
                  <w:r w:rsidR="00DF3DD0" w:rsidRPr="00DF3DD0">
                    <w:rPr>
                      <w:rFonts w:ascii="Times New Roman" w:hAnsi="Times New Roman"/>
                      <w:color w:val="000000"/>
                      <w:sz w:val="20"/>
                    </w:rPr>
                    <w:t>5,9</w:t>
                  </w:r>
                </w:p>
              </w:tc>
              <w:tc>
                <w:tcPr>
                  <w:tcW w:w="644" w:type="dxa"/>
                  <w:shd w:val="clear" w:color="auto" w:fill="FFFFFF"/>
                  <w:vAlign w:val="center"/>
                </w:tcPr>
                <w:p w14:paraId="27216907"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rPr>
                    <w:t>7,8</w:t>
                  </w:r>
                </w:p>
              </w:tc>
              <w:tc>
                <w:tcPr>
                  <w:tcW w:w="645" w:type="dxa"/>
                  <w:shd w:val="clear" w:color="auto" w:fill="FFFFFF"/>
                  <w:vAlign w:val="center"/>
                </w:tcPr>
                <w:p w14:paraId="47C6FBA6"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6,4</w:t>
                  </w:r>
                </w:p>
              </w:tc>
              <w:tc>
                <w:tcPr>
                  <w:tcW w:w="645" w:type="dxa"/>
                  <w:shd w:val="clear" w:color="auto" w:fill="FFFFFF"/>
                  <w:vAlign w:val="center"/>
                </w:tcPr>
                <w:p w14:paraId="37B0DB6F"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6,5</w:t>
                  </w:r>
                </w:p>
              </w:tc>
              <w:tc>
                <w:tcPr>
                  <w:tcW w:w="645" w:type="dxa"/>
                  <w:shd w:val="clear" w:color="auto" w:fill="FFFFFF"/>
                  <w:vAlign w:val="center"/>
                </w:tcPr>
                <w:p w14:paraId="16DEF9C8" w14:textId="77777777" w:rsidR="004E1393" w:rsidRPr="00A71735" w:rsidRDefault="00DF3DD0" w:rsidP="00290811">
                  <w:pPr>
                    <w:framePr w:hSpace="141" w:wrap="around" w:vAnchor="text" w:hAnchor="text" w:x="-176" w:y="1"/>
                    <w:suppressOverlap/>
                    <w:jc w:val="right"/>
                    <w:rPr>
                      <w:rFonts w:ascii="Times New Roman" w:hAnsi="Times New Roman"/>
                      <w:color w:val="000000"/>
                      <w:sz w:val="20"/>
                    </w:rPr>
                  </w:pPr>
                  <w:r>
                    <w:rPr>
                      <w:rFonts w:ascii="Times New Roman" w:hAnsi="Times New Roman"/>
                      <w:color w:val="000000"/>
                      <w:sz w:val="20"/>
                    </w:rPr>
                    <w:t>14,3</w:t>
                  </w:r>
                </w:p>
              </w:tc>
              <w:tc>
                <w:tcPr>
                  <w:tcW w:w="644" w:type="dxa"/>
                  <w:shd w:val="clear" w:color="auto" w:fill="FFFFFF"/>
                  <w:vAlign w:val="center"/>
                </w:tcPr>
                <w:p w14:paraId="032139F0"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6,8</w:t>
                  </w:r>
                </w:p>
              </w:tc>
              <w:tc>
                <w:tcPr>
                  <w:tcW w:w="645" w:type="dxa"/>
                  <w:shd w:val="clear" w:color="auto" w:fill="FFFFFF"/>
                  <w:vAlign w:val="center"/>
                </w:tcPr>
                <w:p w14:paraId="2CB85C38"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7,0</w:t>
                  </w:r>
                </w:p>
              </w:tc>
              <w:tc>
                <w:tcPr>
                  <w:tcW w:w="645" w:type="dxa"/>
                  <w:shd w:val="clear" w:color="auto" w:fill="FFFFFF"/>
                  <w:vAlign w:val="center"/>
                </w:tcPr>
                <w:p w14:paraId="37B69462"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7,2</w:t>
                  </w:r>
                </w:p>
              </w:tc>
              <w:tc>
                <w:tcPr>
                  <w:tcW w:w="645" w:type="dxa"/>
                  <w:shd w:val="clear" w:color="auto" w:fill="FFFFFF"/>
                  <w:vAlign w:val="center"/>
                </w:tcPr>
                <w:p w14:paraId="72673B61"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7,4</w:t>
                  </w:r>
                </w:p>
              </w:tc>
              <w:tc>
                <w:tcPr>
                  <w:tcW w:w="644" w:type="dxa"/>
                  <w:shd w:val="clear" w:color="auto" w:fill="FFFFFF"/>
                  <w:vAlign w:val="center"/>
                </w:tcPr>
                <w:p w14:paraId="7D5DF8E3"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7,5</w:t>
                  </w:r>
                </w:p>
              </w:tc>
              <w:tc>
                <w:tcPr>
                  <w:tcW w:w="645" w:type="dxa"/>
                  <w:shd w:val="clear" w:color="auto" w:fill="FFFFFF"/>
                  <w:vAlign w:val="center"/>
                </w:tcPr>
                <w:p w14:paraId="19221806" w14:textId="77777777" w:rsidR="004E1393" w:rsidRPr="00A71735" w:rsidRDefault="004E1393"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sidR="00DF3DD0">
                    <w:rPr>
                      <w:rFonts w:ascii="Times New Roman" w:hAnsi="Times New Roman"/>
                      <w:color w:val="000000"/>
                      <w:sz w:val="20"/>
                      <w:szCs w:val="20"/>
                    </w:rPr>
                    <w:t>7</w:t>
                  </w:r>
                  <w:r>
                    <w:rPr>
                      <w:rFonts w:ascii="Times New Roman" w:hAnsi="Times New Roman"/>
                      <w:color w:val="000000"/>
                      <w:sz w:val="20"/>
                      <w:szCs w:val="20"/>
                    </w:rPr>
                    <w:t>,7</w:t>
                  </w:r>
                </w:p>
              </w:tc>
              <w:tc>
                <w:tcPr>
                  <w:tcW w:w="768" w:type="dxa"/>
                  <w:shd w:val="clear" w:color="auto" w:fill="FFFFFF"/>
                  <w:vAlign w:val="center"/>
                </w:tcPr>
                <w:p w14:paraId="4C0065E3"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Pr>
                      <w:rFonts w:ascii="Times New Roman" w:hAnsi="Times New Roman"/>
                      <w:color w:val="000000"/>
                      <w:sz w:val="20"/>
                      <w:szCs w:val="20"/>
                    </w:rPr>
                    <w:t>-</w:t>
                  </w:r>
                  <w:r w:rsidR="00DF3DD0">
                    <w:rPr>
                      <w:rFonts w:ascii="Times New Roman" w:hAnsi="Times New Roman"/>
                      <w:color w:val="000000"/>
                      <w:sz w:val="20"/>
                      <w:szCs w:val="20"/>
                    </w:rPr>
                    <w:t>5</w:t>
                  </w:r>
                  <w:r w:rsidR="00CA1074">
                    <w:rPr>
                      <w:rFonts w:ascii="Times New Roman" w:hAnsi="Times New Roman"/>
                      <w:color w:val="000000"/>
                      <w:sz w:val="20"/>
                      <w:szCs w:val="20"/>
                    </w:rPr>
                    <w:t>6</w:t>
                  </w:r>
                  <w:r w:rsidR="00DF3DD0">
                    <w:rPr>
                      <w:rFonts w:ascii="Times New Roman" w:hAnsi="Times New Roman"/>
                      <w:color w:val="000000"/>
                      <w:sz w:val="20"/>
                      <w:szCs w:val="20"/>
                    </w:rPr>
                    <w:t>,</w:t>
                  </w:r>
                  <w:r w:rsidR="00CA1074">
                    <w:rPr>
                      <w:rFonts w:ascii="Times New Roman" w:hAnsi="Times New Roman"/>
                      <w:color w:val="000000"/>
                      <w:sz w:val="20"/>
                      <w:szCs w:val="20"/>
                    </w:rPr>
                    <w:t>0</w:t>
                  </w:r>
                </w:p>
              </w:tc>
            </w:tr>
            <w:tr w:rsidR="004E1393" w:rsidRPr="00A71735" w14:paraId="37CDD947" w14:textId="77777777" w:rsidTr="00C61D5C">
              <w:trPr>
                <w:trHeight w:val="357"/>
              </w:trPr>
              <w:tc>
                <w:tcPr>
                  <w:tcW w:w="1012" w:type="dxa"/>
                  <w:shd w:val="clear" w:color="auto" w:fill="FFFFFF"/>
                  <w:vAlign w:val="center"/>
                </w:tcPr>
                <w:p w14:paraId="40F96042" w14:textId="77777777" w:rsidR="004E1393" w:rsidRPr="00A71735" w:rsidRDefault="004E1393"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Budżet państwa - dochody</w:t>
                  </w:r>
                </w:p>
              </w:tc>
              <w:tc>
                <w:tcPr>
                  <w:tcW w:w="278" w:type="dxa"/>
                  <w:shd w:val="clear" w:color="auto" w:fill="FFFFFF"/>
                  <w:vAlign w:val="center"/>
                </w:tcPr>
                <w:p w14:paraId="39EEAAA1"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4" w:type="dxa"/>
                  <w:shd w:val="clear" w:color="auto" w:fill="FFFFFF"/>
                  <w:vAlign w:val="center"/>
                </w:tcPr>
                <w:p w14:paraId="1414B67C"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79A97E46"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765E2B5A" w14:textId="77777777" w:rsidR="004E1393" w:rsidRPr="00A71735" w:rsidRDefault="004E1393" w:rsidP="00290811">
                  <w:pPr>
                    <w:framePr w:hSpace="141" w:wrap="around" w:vAnchor="text" w:hAnchor="text" w:x="-176" w:y="1"/>
                    <w:suppressOverlap/>
                    <w:jc w:val="right"/>
                    <w:rPr>
                      <w:rFonts w:ascii="Times New Roman" w:hAnsi="Times New Roman"/>
                      <w:color w:val="000000"/>
                    </w:rPr>
                  </w:pPr>
                </w:p>
              </w:tc>
              <w:tc>
                <w:tcPr>
                  <w:tcW w:w="645" w:type="dxa"/>
                  <w:shd w:val="clear" w:color="auto" w:fill="FFFFFF"/>
                  <w:vAlign w:val="center"/>
                </w:tcPr>
                <w:p w14:paraId="15B21981" w14:textId="77777777" w:rsidR="004E1393" w:rsidRPr="00DF3DD0" w:rsidRDefault="004E1393" w:rsidP="00290811">
                  <w:pPr>
                    <w:framePr w:hSpace="141" w:wrap="around" w:vAnchor="text" w:hAnchor="text" w:x="-176" w:y="1"/>
                    <w:suppressOverlap/>
                    <w:jc w:val="right"/>
                    <w:rPr>
                      <w:rFonts w:ascii="Times New Roman" w:hAnsi="Times New Roman"/>
                      <w:color w:val="000000"/>
                      <w:sz w:val="20"/>
                      <w:szCs w:val="20"/>
                    </w:rPr>
                  </w:pPr>
                  <w:r w:rsidRPr="00DF3DD0">
                    <w:rPr>
                      <w:rFonts w:ascii="Times New Roman" w:hAnsi="Times New Roman"/>
                      <w:color w:val="000000"/>
                      <w:sz w:val="20"/>
                      <w:szCs w:val="20"/>
                    </w:rPr>
                    <w:t>21,0</w:t>
                  </w:r>
                </w:p>
              </w:tc>
              <w:tc>
                <w:tcPr>
                  <w:tcW w:w="644" w:type="dxa"/>
                  <w:shd w:val="clear" w:color="auto" w:fill="FFFFFF"/>
                  <w:vAlign w:val="center"/>
                </w:tcPr>
                <w:p w14:paraId="6C891C70"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6314E5D4"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33C1DAA5"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2EEDC39C"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4" w:type="dxa"/>
                  <w:shd w:val="clear" w:color="auto" w:fill="FFFFFF"/>
                  <w:vAlign w:val="center"/>
                </w:tcPr>
                <w:p w14:paraId="7275FF13"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645" w:type="dxa"/>
                  <w:shd w:val="clear" w:color="auto" w:fill="FFFFFF"/>
                  <w:vAlign w:val="center"/>
                </w:tcPr>
                <w:p w14:paraId="33C78014"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A71735">
                    <w:rPr>
                      <w:rFonts w:ascii="Times New Roman" w:hAnsi="Times New Roman"/>
                      <w:color w:val="000000"/>
                    </w:rPr>
                    <w:t>-</w:t>
                  </w:r>
                </w:p>
              </w:tc>
              <w:tc>
                <w:tcPr>
                  <w:tcW w:w="768" w:type="dxa"/>
                  <w:shd w:val="clear" w:color="auto" w:fill="FFFFFF"/>
                  <w:vAlign w:val="center"/>
                </w:tcPr>
                <w:p w14:paraId="078942A1" w14:textId="77777777" w:rsidR="004E1393" w:rsidRPr="00A71735" w:rsidRDefault="004E1393" w:rsidP="00290811">
                  <w:pPr>
                    <w:framePr w:hSpace="141" w:wrap="around" w:vAnchor="text" w:hAnchor="text" w:x="-176" w:y="1"/>
                    <w:suppressOverlap/>
                    <w:jc w:val="right"/>
                    <w:rPr>
                      <w:rFonts w:ascii="Times New Roman" w:hAnsi="Times New Roman"/>
                      <w:color w:val="000000"/>
                    </w:rPr>
                  </w:pPr>
                  <w:r w:rsidRPr="005F4A0F">
                    <w:rPr>
                      <w:rFonts w:ascii="Times New Roman" w:hAnsi="Times New Roman"/>
                      <w:color w:val="000000"/>
                      <w:sz w:val="20"/>
                      <w:szCs w:val="20"/>
                    </w:rPr>
                    <w:t>21,0</w:t>
                  </w:r>
                </w:p>
              </w:tc>
            </w:tr>
            <w:tr w:rsidR="00DF3DD0" w:rsidRPr="00A71735" w14:paraId="71C86ED7" w14:textId="77777777" w:rsidTr="00C61D5C">
              <w:trPr>
                <w:trHeight w:val="357"/>
              </w:trPr>
              <w:tc>
                <w:tcPr>
                  <w:tcW w:w="1012" w:type="dxa"/>
                  <w:shd w:val="clear" w:color="auto" w:fill="FFFFFF"/>
                  <w:vAlign w:val="center"/>
                </w:tcPr>
                <w:p w14:paraId="6F155ADF" w14:textId="77777777" w:rsidR="00DF3DD0" w:rsidRPr="00A71735" w:rsidRDefault="00DF3DD0" w:rsidP="00290811">
                  <w:pPr>
                    <w:framePr w:hSpace="141" w:wrap="around" w:vAnchor="text" w:hAnchor="text" w:x="-176" w:y="1"/>
                    <w:suppressOverlap/>
                    <w:rPr>
                      <w:rFonts w:ascii="Times New Roman" w:hAnsi="Times New Roman"/>
                      <w:color w:val="000000"/>
                    </w:rPr>
                  </w:pPr>
                  <w:r w:rsidRPr="00A71735">
                    <w:rPr>
                      <w:rFonts w:ascii="Times New Roman" w:hAnsi="Times New Roman"/>
                      <w:color w:val="000000"/>
                    </w:rPr>
                    <w:t>Budżet państwa - wydatki</w:t>
                  </w:r>
                </w:p>
              </w:tc>
              <w:tc>
                <w:tcPr>
                  <w:tcW w:w="278" w:type="dxa"/>
                  <w:shd w:val="clear" w:color="auto" w:fill="FFFFFF"/>
                  <w:vAlign w:val="center"/>
                </w:tcPr>
                <w:p w14:paraId="214C144D" w14:textId="77777777" w:rsidR="00DF3DD0" w:rsidRPr="00A71735" w:rsidRDefault="00DF3DD0" w:rsidP="00290811">
                  <w:pPr>
                    <w:framePr w:hSpace="141" w:wrap="around" w:vAnchor="text" w:hAnchor="text" w:x="-176" w:y="1"/>
                    <w:suppressOverlap/>
                    <w:jc w:val="right"/>
                    <w:rPr>
                      <w:rFonts w:ascii="Times New Roman" w:hAnsi="Times New Roman"/>
                      <w:color w:val="000000"/>
                    </w:rPr>
                  </w:pPr>
                  <w:r w:rsidRPr="00DF3DD0">
                    <w:rPr>
                      <w:rFonts w:ascii="Times New Roman" w:hAnsi="Times New Roman"/>
                      <w:color w:val="000000"/>
                      <w:sz w:val="20"/>
                    </w:rPr>
                    <w:t>-5,9</w:t>
                  </w:r>
                </w:p>
              </w:tc>
              <w:tc>
                <w:tcPr>
                  <w:tcW w:w="644" w:type="dxa"/>
                  <w:shd w:val="clear" w:color="auto" w:fill="FFFFFF"/>
                  <w:vAlign w:val="center"/>
                </w:tcPr>
                <w:p w14:paraId="7EB3880A"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rPr>
                    <w:t>7,8</w:t>
                  </w:r>
                </w:p>
              </w:tc>
              <w:tc>
                <w:tcPr>
                  <w:tcW w:w="645" w:type="dxa"/>
                  <w:shd w:val="clear" w:color="auto" w:fill="FFFFFF"/>
                  <w:vAlign w:val="center"/>
                </w:tcPr>
                <w:p w14:paraId="4876DF11"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6,4</w:t>
                  </w:r>
                </w:p>
              </w:tc>
              <w:tc>
                <w:tcPr>
                  <w:tcW w:w="645" w:type="dxa"/>
                  <w:shd w:val="clear" w:color="auto" w:fill="FFFFFF"/>
                  <w:vAlign w:val="center"/>
                </w:tcPr>
                <w:p w14:paraId="13587DB3"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6,5</w:t>
                  </w:r>
                </w:p>
              </w:tc>
              <w:tc>
                <w:tcPr>
                  <w:tcW w:w="645" w:type="dxa"/>
                  <w:shd w:val="clear" w:color="auto" w:fill="FFFFFF"/>
                  <w:vAlign w:val="center"/>
                </w:tcPr>
                <w:p w14:paraId="44DAEC6E"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rPr>
                    <w:t>6,7</w:t>
                  </w:r>
                </w:p>
              </w:tc>
              <w:tc>
                <w:tcPr>
                  <w:tcW w:w="644" w:type="dxa"/>
                  <w:shd w:val="clear" w:color="auto" w:fill="FFFFFF"/>
                  <w:vAlign w:val="center"/>
                </w:tcPr>
                <w:p w14:paraId="1DAD1ED7"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6,8</w:t>
                  </w:r>
                </w:p>
              </w:tc>
              <w:tc>
                <w:tcPr>
                  <w:tcW w:w="645" w:type="dxa"/>
                  <w:shd w:val="clear" w:color="auto" w:fill="FFFFFF"/>
                  <w:vAlign w:val="center"/>
                </w:tcPr>
                <w:p w14:paraId="1584E0A5"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7,0</w:t>
                  </w:r>
                </w:p>
              </w:tc>
              <w:tc>
                <w:tcPr>
                  <w:tcW w:w="645" w:type="dxa"/>
                  <w:shd w:val="clear" w:color="auto" w:fill="FFFFFF"/>
                  <w:vAlign w:val="center"/>
                </w:tcPr>
                <w:p w14:paraId="25AAD8CF"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7,2</w:t>
                  </w:r>
                </w:p>
              </w:tc>
              <w:tc>
                <w:tcPr>
                  <w:tcW w:w="645" w:type="dxa"/>
                  <w:shd w:val="clear" w:color="auto" w:fill="FFFFFF"/>
                  <w:vAlign w:val="center"/>
                </w:tcPr>
                <w:p w14:paraId="264C3FE3"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7,4</w:t>
                  </w:r>
                </w:p>
              </w:tc>
              <w:tc>
                <w:tcPr>
                  <w:tcW w:w="644" w:type="dxa"/>
                  <w:shd w:val="clear" w:color="auto" w:fill="FFFFFF"/>
                  <w:vAlign w:val="center"/>
                </w:tcPr>
                <w:p w14:paraId="563BB444"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szCs w:val="20"/>
                    </w:rPr>
                    <w:t>7,5</w:t>
                  </w:r>
                </w:p>
              </w:tc>
              <w:tc>
                <w:tcPr>
                  <w:tcW w:w="645" w:type="dxa"/>
                  <w:shd w:val="clear" w:color="auto" w:fill="FFFFFF"/>
                  <w:vAlign w:val="center"/>
                </w:tcPr>
                <w:p w14:paraId="4B7F7583" w14:textId="77777777" w:rsidR="00DF3DD0" w:rsidRPr="00A71735" w:rsidRDefault="00DF3DD0" w:rsidP="00290811">
                  <w:pPr>
                    <w:framePr w:hSpace="141" w:wrap="around" w:vAnchor="text" w:hAnchor="text" w:x="-176" w:y="1"/>
                    <w:suppressOverlap/>
                    <w:jc w:val="right"/>
                    <w:rPr>
                      <w:rFonts w:ascii="Times New Roman" w:hAnsi="Times New Roman"/>
                      <w:color w:val="000000"/>
                      <w:sz w:val="20"/>
                    </w:rPr>
                  </w:pPr>
                  <w:r w:rsidRPr="00A71735">
                    <w:rPr>
                      <w:rFonts w:ascii="Times New Roman" w:hAnsi="Times New Roman"/>
                      <w:color w:val="000000"/>
                      <w:sz w:val="20"/>
                    </w:rPr>
                    <w:t>-</w:t>
                  </w:r>
                  <w:r>
                    <w:rPr>
                      <w:rFonts w:ascii="Times New Roman" w:hAnsi="Times New Roman"/>
                      <w:color w:val="000000"/>
                      <w:sz w:val="20"/>
                    </w:rPr>
                    <w:t>7</w:t>
                  </w:r>
                  <w:r>
                    <w:rPr>
                      <w:rFonts w:ascii="Times New Roman" w:hAnsi="Times New Roman"/>
                      <w:color w:val="000000"/>
                      <w:sz w:val="20"/>
                      <w:szCs w:val="20"/>
                    </w:rPr>
                    <w:t>,7</w:t>
                  </w:r>
                </w:p>
              </w:tc>
              <w:tc>
                <w:tcPr>
                  <w:tcW w:w="768" w:type="dxa"/>
                  <w:shd w:val="clear" w:color="auto" w:fill="FFFFFF"/>
                  <w:vAlign w:val="center"/>
                </w:tcPr>
                <w:p w14:paraId="73CBF023" w14:textId="77777777" w:rsidR="00DF3DD0" w:rsidRPr="005F4A0F" w:rsidRDefault="00DF3DD0" w:rsidP="00290811">
                  <w:pPr>
                    <w:framePr w:hSpace="141" w:wrap="around" w:vAnchor="text" w:hAnchor="text" w:x="-176" w:y="1"/>
                    <w:suppressOverlap/>
                    <w:jc w:val="right"/>
                    <w:rPr>
                      <w:rFonts w:ascii="Times New Roman" w:hAnsi="Times New Roman"/>
                      <w:color w:val="000000"/>
                      <w:sz w:val="20"/>
                      <w:szCs w:val="20"/>
                    </w:rPr>
                  </w:pPr>
                  <w:r w:rsidRPr="005F4A0F">
                    <w:rPr>
                      <w:rFonts w:ascii="Times New Roman" w:hAnsi="Times New Roman"/>
                      <w:color w:val="000000"/>
                      <w:sz w:val="20"/>
                      <w:szCs w:val="20"/>
                    </w:rPr>
                    <w:t>-</w:t>
                  </w:r>
                  <w:r>
                    <w:rPr>
                      <w:rFonts w:ascii="Times New Roman" w:hAnsi="Times New Roman"/>
                      <w:color w:val="000000"/>
                      <w:sz w:val="20"/>
                      <w:szCs w:val="20"/>
                    </w:rPr>
                    <w:t>7</w:t>
                  </w:r>
                  <w:r w:rsidR="00CA1074">
                    <w:rPr>
                      <w:rFonts w:ascii="Times New Roman" w:hAnsi="Times New Roman"/>
                      <w:color w:val="000000"/>
                      <w:sz w:val="20"/>
                      <w:szCs w:val="20"/>
                    </w:rPr>
                    <w:t>7</w:t>
                  </w:r>
                  <w:r>
                    <w:rPr>
                      <w:rFonts w:ascii="Times New Roman" w:hAnsi="Times New Roman"/>
                      <w:color w:val="000000"/>
                      <w:sz w:val="20"/>
                      <w:szCs w:val="20"/>
                    </w:rPr>
                    <w:t>,</w:t>
                  </w:r>
                  <w:r w:rsidR="00CA1074">
                    <w:rPr>
                      <w:rFonts w:ascii="Times New Roman" w:hAnsi="Times New Roman"/>
                      <w:color w:val="000000"/>
                      <w:sz w:val="20"/>
                      <w:szCs w:val="20"/>
                    </w:rPr>
                    <w:t>0</w:t>
                  </w:r>
                </w:p>
              </w:tc>
            </w:tr>
          </w:tbl>
          <w:p w14:paraId="31511F53" w14:textId="77777777" w:rsidR="004E1393" w:rsidRPr="00A71735" w:rsidRDefault="004E1393" w:rsidP="004E1393">
            <w:pPr>
              <w:spacing w:line="240" w:lineRule="auto"/>
              <w:jc w:val="both"/>
              <w:rPr>
                <w:rFonts w:ascii="Times New Roman" w:hAnsi="Times New Roman"/>
              </w:rPr>
            </w:pPr>
            <w:r w:rsidRPr="00A71735">
              <w:rPr>
                <w:rFonts w:ascii="Times New Roman" w:hAnsi="Times New Roman"/>
              </w:rPr>
              <w:t xml:space="preserve">Powyższe działanie będzie skutkowało zwiększeniem wydatków budżetu państwa o kwotę per saldo </w:t>
            </w:r>
            <w:r w:rsidR="00CA1074">
              <w:rPr>
                <w:rFonts w:ascii="Times New Roman" w:hAnsi="Times New Roman"/>
              </w:rPr>
              <w:t xml:space="preserve"> 56,0</w:t>
            </w:r>
            <w:r w:rsidRPr="00A71735">
              <w:rPr>
                <w:rFonts w:ascii="Times New Roman" w:hAnsi="Times New Roman"/>
              </w:rPr>
              <w:t xml:space="preserve"> mln. zł w okresie 10 lat od wejścia w życie zmian.</w:t>
            </w:r>
            <w:r w:rsidR="009762C4">
              <w:rPr>
                <w:rFonts w:ascii="Times New Roman" w:hAnsi="Times New Roman"/>
              </w:rPr>
              <w:t xml:space="preserve"> Z czego </w:t>
            </w:r>
            <w:r w:rsidR="009762C4">
              <w:rPr>
                <w:rFonts w:ascii="Times New Roman" w:hAnsi="Times New Roman"/>
                <w:color w:val="000000"/>
                <w:sz w:val="21"/>
                <w:szCs w:val="21"/>
              </w:rPr>
              <w:t>23,6 mln. Zł będą stanowiły wydatki związane z utworzeniem i utrzymaniem Krajowego Rejestru Medycznych Laboratoriów Diagnostycznych.</w:t>
            </w:r>
            <w:r w:rsidR="00362F5A">
              <w:rPr>
                <w:rFonts w:ascii="Times New Roman" w:hAnsi="Times New Roman"/>
                <w:color w:val="000000"/>
                <w:sz w:val="21"/>
                <w:szCs w:val="21"/>
              </w:rPr>
              <w:t xml:space="preserve"> Przewiduje się, że wydatki związane z utworzeniem tego rejestru w roku zerowym będą najwyższe z uwagi na konieczność utworzenia rejestru, w kolejnych latach będą niższe, gdyż będą dotyczyły jedynie utrzymania i obsługi tego rejestru. </w:t>
            </w:r>
            <w:r w:rsidR="0016310F">
              <w:rPr>
                <w:rFonts w:ascii="Times New Roman" w:hAnsi="Times New Roman"/>
                <w:color w:val="000000"/>
                <w:sz w:val="21"/>
                <w:szCs w:val="21"/>
              </w:rPr>
              <w:t xml:space="preserve">W roku zerowym wydatki związane z utworzeniem  Krajowego Rejestru Medycznych Laboratoriów Diagnostycznych wyniosą </w:t>
            </w:r>
            <w:r w:rsidR="0016310F">
              <w:t xml:space="preserve"> </w:t>
            </w:r>
            <w:r w:rsidR="0016310F" w:rsidRPr="0016310F">
              <w:rPr>
                <w:rFonts w:ascii="Times New Roman" w:hAnsi="Times New Roman"/>
                <w:color w:val="000000"/>
                <w:sz w:val="21"/>
                <w:szCs w:val="21"/>
              </w:rPr>
              <w:t>5 444</w:t>
            </w:r>
            <w:r w:rsidR="0016310F">
              <w:rPr>
                <w:rFonts w:ascii="Times New Roman" w:hAnsi="Times New Roman"/>
                <w:color w:val="000000"/>
                <w:sz w:val="21"/>
                <w:szCs w:val="21"/>
              </w:rPr>
              <w:t> </w:t>
            </w:r>
            <w:r w:rsidR="0016310F" w:rsidRPr="0016310F">
              <w:rPr>
                <w:rFonts w:ascii="Times New Roman" w:hAnsi="Times New Roman"/>
                <w:color w:val="000000"/>
                <w:sz w:val="21"/>
                <w:szCs w:val="21"/>
              </w:rPr>
              <w:t>000</w:t>
            </w:r>
            <w:r w:rsidR="0016310F">
              <w:rPr>
                <w:rFonts w:ascii="Times New Roman" w:hAnsi="Times New Roman"/>
                <w:color w:val="000000"/>
                <w:sz w:val="21"/>
                <w:szCs w:val="21"/>
              </w:rPr>
              <w:t xml:space="preserve"> zł, w tym 324 000 zł to koszty osobowe, a w kolejnych latach </w:t>
            </w:r>
            <w:r w:rsidR="0016310F">
              <w:t xml:space="preserve"> </w:t>
            </w:r>
            <w:r w:rsidR="0016310F" w:rsidRPr="0016310F">
              <w:rPr>
                <w:rFonts w:ascii="Times New Roman" w:hAnsi="Times New Roman"/>
                <w:color w:val="000000"/>
                <w:sz w:val="21"/>
                <w:szCs w:val="21"/>
              </w:rPr>
              <w:t>1 392</w:t>
            </w:r>
            <w:r w:rsidR="0016310F">
              <w:rPr>
                <w:rFonts w:ascii="Times New Roman" w:hAnsi="Times New Roman"/>
                <w:color w:val="000000"/>
                <w:sz w:val="21"/>
                <w:szCs w:val="21"/>
              </w:rPr>
              <w:t> </w:t>
            </w:r>
            <w:r w:rsidR="0016310F" w:rsidRPr="0016310F">
              <w:rPr>
                <w:rFonts w:ascii="Times New Roman" w:hAnsi="Times New Roman"/>
                <w:color w:val="000000"/>
                <w:sz w:val="21"/>
                <w:szCs w:val="21"/>
              </w:rPr>
              <w:t>000</w:t>
            </w:r>
            <w:r w:rsidR="0016310F">
              <w:rPr>
                <w:rFonts w:ascii="Times New Roman" w:hAnsi="Times New Roman"/>
                <w:color w:val="000000"/>
                <w:sz w:val="21"/>
                <w:szCs w:val="21"/>
              </w:rPr>
              <w:t xml:space="preserve"> zł, w tym </w:t>
            </w:r>
            <w:r w:rsidR="0016310F">
              <w:t xml:space="preserve"> </w:t>
            </w:r>
            <w:r w:rsidR="0016310F" w:rsidRPr="0016310F">
              <w:rPr>
                <w:rFonts w:ascii="Times New Roman" w:hAnsi="Times New Roman"/>
                <w:color w:val="000000"/>
                <w:sz w:val="21"/>
                <w:szCs w:val="21"/>
              </w:rPr>
              <w:t>432</w:t>
            </w:r>
            <w:r w:rsidR="0016310F">
              <w:rPr>
                <w:rFonts w:ascii="Times New Roman" w:hAnsi="Times New Roman"/>
                <w:color w:val="000000"/>
                <w:sz w:val="21"/>
                <w:szCs w:val="21"/>
              </w:rPr>
              <w:t> </w:t>
            </w:r>
            <w:r w:rsidR="0016310F" w:rsidRPr="0016310F">
              <w:rPr>
                <w:rFonts w:ascii="Times New Roman" w:hAnsi="Times New Roman"/>
                <w:color w:val="000000"/>
                <w:sz w:val="21"/>
                <w:szCs w:val="21"/>
              </w:rPr>
              <w:t>000</w:t>
            </w:r>
            <w:r w:rsidR="0016310F">
              <w:rPr>
                <w:rFonts w:ascii="Times New Roman" w:hAnsi="Times New Roman"/>
                <w:color w:val="000000"/>
                <w:sz w:val="21"/>
                <w:szCs w:val="21"/>
              </w:rPr>
              <w:t xml:space="preserve"> zł to koszty osobowe.</w:t>
            </w:r>
          </w:p>
          <w:p w14:paraId="102B7850" w14:textId="77777777" w:rsidR="004E1393" w:rsidRPr="00A71735" w:rsidRDefault="004E1393" w:rsidP="004E1393">
            <w:pPr>
              <w:pStyle w:val="Akapitzlist"/>
              <w:tabs>
                <w:tab w:val="left" w:pos="-4678"/>
              </w:tabs>
              <w:spacing w:line="360" w:lineRule="auto"/>
              <w:ind w:left="0"/>
              <w:jc w:val="both"/>
              <w:rPr>
                <w:rFonts w:ascii="Times New Roman" w:hAnsi="Times New Roman"/>
                <w:color w:val="000000"/>
              </w:rPr>
            </w:pPr>
          </w:p>
          <w:p w14:paraId="6EB361A3" w14:textId="77777777" w:rsidR="004E1393" w:rsidRPr="00A71735" w:rsidRDefault="004E1393" w:rsidP="00B05E40">
            <w:pPr>
              <w:pStyle w:val="Akapitzlist"/>
              <w:tabs>
                <w:tab w:val="left" w:pos="-4678"/>
              </w:tabs>
              <w:spacing w:line="240" w:lineRule="auto"/>
              <w:ind w:left="1023"/>
              <w:jc w:val="both"/>
              <w:rPr>
                <w:rFonts w:ascii="Times New Roman" w:hAnsi="Times New Roman"/>
              </w:rPr>
            </w:pPr>
            <w:r w:rsidRPr="00A71735">
              <w:rPr>
                <w:rFonts w:ascii="Times New Roman" w:hAnsi="Times New Roman"/>
                <w:color w:val="000000"/>
              </w:rPr>
              <w:t>4. Skutki włączenia w struktury Głównego Inspektoratu Farmaceutycznego Centralnego Ośrodka Badań Jakości w Diagnostyce Laboratoryjnej (COBJDL) oraz Centralnego Ośrodka Badań Jakości w Diagnostyce Mikrobiologicznej (COBJDM):</w:t>
            </w:r>
          </w:p>
          <w:p w14:paraId="72B59C7A" w14:textId="77777777" w:rsidR="004E1393" w:rsidRPr="00A71735" w:rsidRDefault="004E1393" w:rsidP="004E1393">
            <w:pPr>
              <w:pStyle w:val="Akapitzlist"/>
              <w:tabs>
                <w:tab w:val="left" w:pos="-4678"/>
              </w:tabs>
              <w:spacing w:line="240" w:lineRule="auto"/>
              <w:ind w:left="0"/>
              <w:jc w:val="both"/>
              <w:rPr>
                <w:rFonts w:ascii="Times New Roman" w:hAnsi="Times New Roman"/>
              </w:rPr>
            </w:pPr>
          </w:p>
          <w:p w14:paraId="3C40F4AC" w14:textId="77777777" w:rsidR="004E1393" w:rsidRPr="00A71735" w:rsidRDefault="004E1393" w:rsidP="004E1393">
            <w:pPr>
              <w:pStyle w:val="Akapitzlist"/>
              <w:tabs>
                <w:tab w:val="left" w:pos="-4678"/>
              </w:tabs>
              <w:spacing w:line="240" w:lineRule="auto"/>
              <w:ind w:left="0"/>
              <w:jc w:val="both"/>
              <w:rPr>
                <w:rFonts w:ascii="Times New Roman" w:hAnsi="Times New Roman"/>
              </w:rPr>
            </w:pPr>
            <w:r>
              <w:rPr>
                <w:rFonts w:ascii="Times New Roman" w:hAnsi="Times New Roman"/>
              </w:rPr>
              <w:t>Zmiana ta będzie neutralna z punktu widzenia Ministra Zdrowia i b</w:t>
            </w:r>
            <w:r w:rsidRPr="00A71735">
              <w:rPr>
                <w:rFonts w:ascii="Times New Roman" w:hAnsi="Times New Roman"/>
              </w:rPr>
              <w:t>ędzie polegał</w:t>
            </w:r>
            <w:r>
              <w:rPr>
                <w:rFonts w:ascii="Times New Roman" w:hAnsi="Times New Roman"/>
              </w:rPr>
              <w:t>a</w:t>
            </w:r>
            <w:r w:rsidRPr="00A71735">
              <w:rPr>
                <w:rFonts w:ascii="Times New Roman" w:hAnsi="Times New Roman"/>
              </w:rPr>
              <w:t xml:space="preserve"> na przekazaniu środków przekazywanych dotychczas przez Ministerstwo Zdrowia Centralnemu Ośrodkowi Badań </w:t>
            </w:r>
            <w:r w:rsidRPr="00A71735">
              <w:rPr>
                <w:rFonts w:ascii="Times New Roman" w:hAnsi="Times New Roman"/>
              </w:rPr>
              <w:lastRenderedPageBreak/>
              <w:t>Jakości w Diagnostyce Laboratoryjnej oraz Centralnemu Ośrodkowi Badań Jakości w Diagnostyce Mikrobiologicznej jednostce je przejmującej tj. Głównemu Inspektoratowi Farmaceutycznemu. Powyższe przesunięcie nie zwiększy wydatków budżetu państwa.</w:t>
            </w:r>
          </w:p>
          <w:p w14:paraId="22F74A2B" w14:textId="77777777" w:rsidR="004E1393" w:rsidRPr="00A71735" w:rsidRDefault="004E1393" w:rsidP="004E1393">
            <w:pPr>
              <w:pStyle w:val="Akapitzlist"/>
              <w:tabs>
                <w:tab w:val="left" w:pos="-4678"/>
              </w:tabs>
              <w:spacing w:line="240" w:lineRule="auto"/>
              <w:ind w:left="0"/>
              <w:jc w:val="both"/>
              <w:rPr>
                <w:rFonts w:ascii="Times New Roman" w:hAnsi="Times New Roman"/>
              </w:rPr>
            </w:pPr>
          </w:p>
          <w:p w14:paraId="03E52BBE" w14:textId="77777777" w:rsidR="004E1393" w:rsidRPr="00A71735" w:rsidRDefault="004E1393" w:rsidP="004E1393">
            <w:pPr>
              <w:pStyle w:val="Akapitzlist"/>
              <w:tabs>
                <w:tab w:val="left" w:pos="-4678"/>
              </w:tabs>
              <w:spacing w:line="240" w:lineRule="auto"/>
              <w:ind w:left="0"/>
              <w:jc w:val="both"/>
              <w:rPr>
                <w:rFonts w:ascii="Times New Roman" w:hAnsi="Times New Roman"/>
              </w:rPr>
            </w:pPr>
            <w:r w:rsidRPr="00A71735">
              <w:rPr>
                <w:rFonts w:ascii="Times New Roman" w:hAnsi="Times New Roman"/>
              </w:rPr>
              <w:t>Łączne zwiększenie wydatków budżetu państwa wynikaj</w:t>
            </w:r>
            <w:r w:rsidR="008F5D8D">
              <w:rPr>
                <w:rFonts w:ascii="Times New Roman" w:hAnsi="Times New Roman"/>
              </w:rPr>
              <w:t>ące z działań opisanych w pkt 1–</w:t>
            </w:r>
            <w:r w:rsidRPr="00A71735">
              <w:rPr>
                <w:rFonts w:ascii="Times New Roman" w:hAnsi="Times New Roman"/>
              </w:rPr>
              <w:t xml:space="preserve">4 powyżej wyniesie ogółem </w:t>
            </w:r>
            <w:r>
              <w:rPr>
                <w:rFonts w:ascii="Times New Roman" w:hAnsi="Times New Roman"/>
              </w:rPr>
              <w:t> </w:t>
            </w:r>
            <w:r w:rsidR="00CA1074">
              <w:rPr>
                <w:rFonts w:ascii="Times New Roman" w:hAnsi="Times New Roman"/>
              </w:rPr>
              <w:t>175,3</w:t>
            </w:r>
            <w:r w:rsidRPr="00A71735">
              <w:rPr>
                <w:rFonts w:ascii="Times New Roman" w:hAnsi="Times New Roman"/>
              </w:rPr>
              <w:t xml:space="preserve"> mln. zł w okresie 10 lat od wejścia w życie zmian</w:t>
            </w:r>
            <w:r>
              <w:rPr>
                <w:rFonts w:ascii="Times New Roman" w:hAnsi="Times New Roman"/>
              </w:rPr>
              <w:t>. przy jednoczesnym planowanym zwiększeniu wpływów o kwotę 21 mln. zł</w:t>
            </w:r>
            <w:r w:rsidRPr="00A71735">
              <w:rPr>
                <w:rFonts w:ascii="Times New Roman" w:hAnsi="Times New Roman"/>
              </w:rPr>
              <w:t>.</w:t>
            </w:r>
          </w:p>
          <w:p w14:paraId="09CBBC84" w14:textId="77777777" w:rsidR="004E1393" w:rsidRPr="00A71735" w:rsidRDefault="004E1393" w:rsidP="004E1393">
            <w:pPr>
              <w:pStyle w:val="Akapitzlist"/>
              <w:tabs>
                <w:tab w:val="left" w:pos="-4678"/>
              </w:tabs>
              <w:spacing w:line="240" w:lineRule="auto"/>
              <w:ind w:left="0"/>
              <w:jc w:val="both"/>
              <w:rPr>
                <w:rFonts w:ascii="Times New Roman" w:hAnsi="Times New Roman"/>
              </w:rPr>
            </w:pPr>
          </w:p>
          <w:p w14:paraId="680BD909" w14:textId="77777777" w:rsidR="004E1393" w:rsidRPr="00A71735" w:rsidRDefault="004E1393" w:rsidP="004E1393">
            <w:pPr>
              <w:pStyle w:val="Akapitzlist"/>
              <w:tabs>
                <w:tab w:val="left" w:pos="-4678"/>
              </w:tabs>
              <w:spacing w:line="240" w:lineRule="auto"/>
              <w:ind w:left="0"/>
              <w:jc w:val="both"/>
              <w:rPr>
                <w:rFonts w:ascii="Times New Roman" w:hAnsi="Times New Roman"/>
              </w:rPr>
            </w:pPr>
            <w:r w:rsidRPr="00A71735">
              <w:rPr>
                <w:rFonts w:ascii="Times New Roman" w:hAnsi="Times New Roman"/>
              </w:rPr>
              <w:t xml:space="preserve">Wyjaśnić należy, że planowane zatrudnienie dodatkowych </w:t>
            </w:r>
            <w:r>
              <w:rPr>
                <w:rFonts w:ascii="Times New Roman" w:hAnsi="Times New Roman"/>
              </w:rPr>
              <w:t>30</w:t>
            </w:r>
            <w:r w:rsidRPr="00A71735">
              <w:rPr>
                <w:rFonts w:ascii="Times New Roman" w:hAnsi="Times New Roman"/>
              </w:rPr>
              <w:t xml:space="preserve"> osób, ma na celu uzyskanie zadawalającego poziomu nadzoru farmaceutycznego, z uwagi na stwierdzone i wielokrotnie wskazywane przez NIK braki kadrowe Inspekcji Farmaceutycznej. Podkreślić należy, że rynek farmaceutyczny w Polsce generuje blisko 1% PKB (15 mld zł). Polski rynek farmaceutyczny jest liderem w Europie Środkowej i szóstym co do wielkości w Unii Europejskiej. Rynek farmaceutyczny jest jednym z ważniejszych sektorów polskiej gospodarki. </w:t>
            </w:r>
          </w:p>
          <w:p w14:paraId="29921A3E" w14:textId="77777777" w:rsidR="004E1393" w:rsidRPr="00A71735" w:rsidRDefault="004E1393" w:rsidP="004E1393">
            <w:pPr>
              <w:pStyle w:val="Akapitzlist"/>
              <w:tabs>
                <w:tab w:val="left" w:pos="-4678"/>
              </w:tabs>
              <w:spacing w:line="240" w:lineRule="auto"/>
              <w:ind w:left="0"/>
              <w:jc w:val="both"/>
              <w:rPr>
                <w:rFonts w:ascii="Times New Roman" w:hAnsi="Times New Roman"/>
              </w:rPr>
            </w:pPr>
            <w:r w:rsidRPr="00A71735">
              <w:rPr>
                <w:rFonts w:ascii="Times New Roman" w:hAnsi="Times New Roman"/>
              </w:rPr>
              <w:t xml:space="preserve">Tworzą go firmy zajmujące się produkcją leków i substancji czynnych będących składnikami leków. Rynek tworzą firmy kontrolowane przez polskich inwestorów, ale też oddziały koncernów międzynarodowych. </w:t>
            </w:r>
          </w:p>
          <w:p w14:paraId="65058C8B" w14:textId="77777777" w:rsidR="004E1393" w:rsidRPr="00A71735" w:rsidRDefault="004E1393" w:rsidP="004E1393">
            <w:pPr>
              <w:pStyle w:val="Akapitzlist"/>
              <w:tabs>
                <w:tab w:val="left" w:pos="-4678"/>
              </w:tabs>
              <w:spacing w:line="240" w:lineRule="auto"/>
              <w:ind w:left="0"/>
              <w:jc w:val="both"/>
              <w:rPr>
                <w:rFonts w:ascii="Times New Roman" w:hAnsi="Times New Roman"/>
              </w:rPr>
            </w:pPr>
            <w:r w:rsidRPr="00A71735">
              <w:rPr>
                <w:rFonts w:ascii="Times New Roman" w:hAnsi="Times New Roman"/>
              </w:rPr>
              <w:t>Należy zauważyć, że GIF przeprowadza inspekcję ok. 1070 podmiotów. Wojewódzkie inspektoraty farmaceutyczne natomiast przeprowadzają inspekcję ok. 25 000 podmiotów. W świetle powyższego zrozumiałe wydaje się, że nadzór nad tym rynkiem wymaga stosownych sił i środków. Istnienie dobrze funkcjonującego nadzoru państwowego nad produkcją i dystrybucją, a także obrotem produktami leczniczymi jest celem, który w sposób fundamentalny winien przyświecać władzom państwowym jako jednego z kluczowych zadań prowadzących do zagwarantowania pacjentom właściwego poziomu bezpieczeństwa zdrowia i życia przy stosowaniu produktów leczniczych i wyrobów medycznych.</w:t>
            </w:r>
          </w:p>
          <w:p w14:paraId="20EDB067" w14:textId="77777777" w:rsidR="004E1393" w:rsidRDefault="004E1393" w:rsidP="004E1393">
            <w:pPr>
              <w:pStyle w:val="Akapitzlist"/>
              <w:tabs>
                <w:tab w:val="left" w:pos="-4678"/>
              </w:tabs>
              <w:spacing w:line="240" w:lineRule="auto"/>
              <w:ind w:left="0"/>
              <w:jc w:val="both"/>
              <w:rPr>
                <w:rFonts w:ascii="Times New Roman" w:hAnsi="Times New Roman"/>
              </w:rPr>
            </w:pPr>
            <w:r w:rsidRPr="00A71735">
              <w:rPr>
                <w:rFonts w:ascii="Times New Roman" w:hAnsi="Times New Roman"/>
              </w:rPr>
              <w:t xml:space="preserve">Z kolei planowane zatrudnienie dodatkowych </w:t>
            </w:r>
            <w:r>
              <w:rPr>
                <w:rFonts w:ascii="Times New Roman" w:hAnsi="Times New Roman"/>
              </w:rPr>
              <w:t>29</w:t>
            </w:r>
            <w:r w:rsidRPr="00A71735">
              <w:rPr>
                <w:rFonts w:ascii="Times New Roman" w:hAnsi="Times New Roman"/>
              </w:rPr>
              <w:t xml:space="preserve"> osób jest związane z zapewnieniem skutecznego nadzoru nad medycznymi laboratoriami diagnostycznymi. Nadzór nad ponad </w:t>
            </w:r>
            <w:r>
              <w:rPr>
                <w:rFonts w:ascii="Times New Roman" w:hAnsi="Times New Roman"/>
              </w:rPr>
              <w:t>2730</w:t>
            </w:r>
            <w:r w:rsidRPr="00A71735">
              <w:rPr>
                <w:rFonts w:ascii="Times New Roman" w:hAnsi="Times New Roman"/>
              </w:rPr>
              <w:t xml:space="preserve"> podmiotami, który do tej pory nie był skutecznie wykonywany, stanowi nowe zadanie dla GIF. Do tej pory przepisy nie przewidywały takiej roli dla Państwowej Inspekcji Farmaceutycznej, w związku z czym brak jest odpowiednich zasobów kadrowych do realizacji nowo powierzonych zadań.</w:t>
            </w:r>
          </w:p>
          <w:p w14:paraId="59951537" w14:textId="77777777" w:rsidR="004E1393" w:rsidRDefault="004E1393" w:rsidP="00BA59F1">
            <w:pPr>
              <w:pStyle w:val="Akapitzlist"/>
              <w:tabs>
                <w:tab w:val="left" w:pos="-4678"/>
              </w:tabs>
              <w:spacing w:line="240" w:lineRule="auto"/>
              <w:ind w:left="0"/>
              <w:jc w:val="both"/>
              <w:rPr>
                <w:rFonts w:ascii="Times New Roman" w:hAnsi="Times New Roman"/>
              </w:rPr>
            </w:pPr>
          </w:p>
          <w:p w14:paraId="475BC8DB" w14:textId="77777777" w:rsidR="00593CFB" w:rsidRPr="00B05E40" w:rsidRDefault="00B53BBC" w:rsidP="00B05E40">
            <w:pPr>
              <w:pStyle w:val="Akapitzlist"/>
              <w:numPr>
                <w:ilvl w:val="0"/>
                <w:numId w:val="24"/>
              </w:numPr>
              <w:tabs>
                <w:tab w:val="left" w:pos="-4678"/>
              </w:tabs>
              <w:spacing w:line="240" w:lineRule="auto"/>
              <w:jc w:val="both"/>
              <w:rPr>
                <w:rFonts w:ascii="Times New Roman" w:hAnsi="Times New Roman"/>
                <w:b/>
                <w:u w:val="single"/>
              </w:rPr>
            </w:pPr>
            <w:r w:rsidRPr="00B05E40">
              <w:rPr>
                <w:rFonts w:ascii="Times New Roman" w:hAnsi="Times New Roman"/>
                <w:b/>
                <w:u w:val="single"/>
              </w:rPr>
              <w:t>Szczegółowe założenia przyjęte do określenia skutków finansowych:</w:t>
            </w:r>
          </w:p>
          <w:p w14:paraId="27354649" w14:textId="77777777" w:rsidR="008F5D8D" w:rsidRDefault="008F5D8D" w:rsidP="00BA59F1">
            <w:pPr>
              <w:pStyle w:val="Akapitzlist"/>
              <w:tabs>
                <w:tab w:val="left" w:pos="-4678"/>
              </w:tabs>
              <w:spacing w:line="240" w:lineRule="auto"/>
              <w:ind w:left="0"/>
              <w:jc w:val="both"/>
              <w:rPr>
                <w:rFonts w:ascii="Times New Roman" w:hAnsi="Times New Roman"/>
                <w:b/>
              </w:rPr>
            </w:pPr>
          </w:p>
          <w:p w14:paraId="41D6385C" w14:textId="77777777" w:rsidR="00B53BBC" w:rsidRPr="00A71735" w:rsidRDefault="00B53BBC" w:rsidP="00BA59F1">
            <w:pPr>
              <w:pStyle w:val="Akapitzlist"/>
              <w:tabs>
                <w:tab w:val="left" w:pos="-4678"/>
              </w:tabs>
              <w:spacing w:line="240" w:lineRule="auto"/>
              <w:ind w:left="0"/>
              <w:jc w:val="both"/>
              <w:rPr>
                <w:rFonts w:ascii="Times New Roman" w:hAnsi="Times New Roman"/>
                <w:b/>
              </w:rPr>
            </w:pPr>
            <w:r w:rsidRPr="00A71735">
              <w:rPr>
                <w:rFonts w:ascii="Times New Roman" w:hAnsi="Times New Roman"/>
                <w:b/>
              </w:rPr>
              <w:t>I. Założenia przyjęte do określenia skutków finansowych włączenia wojewódzkich inspektoratów farmaceutycznych w struktury Głównego Inspektoratu Farmaceutycznego:</w:t>
            </w:r>
          </w:p>
          <w:p w14:paraId="523CF318" w14:textId="77777777" w:rsidR="00B53BBC" w:rsidRPr="00A71735" w:rsidRDefault="00B53BBC" w:rsidP="00BA59F1">
            <w:pPr>
              <w:pStyle w:val="Akapitzlist"/>
              <w:tabs>
                <w:tab w:val="left" w:pos="-4678"/>
              </w:tabs>
              <w:spacing w:line="240" w:lineRule="auto"/>
              <w:ind w:left="0"/>
              <w:jc w:val="both"/>
              <w:rPr>
                <w:rFonts w:ascii="Times New Roman" w:hAnsi="Times New Roman"/>
              </w:rPr>
            </w:pPr>
            <w:r w:rsidRPr="00A71735">
              <w:rPr>
                <w:rFonts w:ascii="Times New Roman" w:hAnsi="Times New Roman"/>
              </w:rPr>
              <w:t>1.</w:t>
            </w:r>
            <w:r w:rsidRPr="00A71735">
              <w:rPr>
                <w:rFonts w:ascii="Times New Roman" w:hAnsi="Times New Roman"/>
                <w:b/>
              </w:rPr>
              <w:t xml:space="preserve"> </w:t>
            </w:r>
            <w:r w:rsidRPr="00A71735">
              <w:rPr>
                <w:rFonts w:ascii="Times New Roman" w:hAnsi="Times New Roman"/>
              </w:rPr>
              <w:t>Planowane zwiększenie zatrudnienia</w:t>
            </w:r>
            <w:r w:rsidR="00585211" w:rsidRPr="00A71735">
              <w:rPr>
                <w:rFonts w:ascii="Times New Roman" w:hAnsi="Times New Roman"/>
              </w:rPr>
              <w:t>.</w:t>
            </w:r>
          </w:p>
          <w:p w14:paraId="0746B91D" w14:textId="77777777" w:rsidR="00B53BBC" w:rsidRPr="00A71735" w:rsidRDefault="00B53BBC" w:rsidP="00BA59F1">
            <w:pPr>
              <w:pStyle w:val="Akapitzlist"/>
              <w:spacing w:line="240" w:lineRule="auto"/>
              <w:ind w:left="0"/>
              <w:jc w:val="both"/>
              <w:rPr>
                <w:rFonts w:ascii="Times New Roman" w:hAnsi="Times New Roman"/>
              </w:rPr>
            </w:pPr>
            <w:r w:rsidRPr="00A71735">
              <w:rPr>
                <w:rFonts w:ascii="Times New Roman" w:hAnsi="Times New Roman"/>
              </w:rPr>
              <w:t>1.1. Zwiększenie zatrudnienia w centrali GIF – Departament Prawny oraz Biuro Dyrektora Generalnego – łącznie 14 etatów</w:t>
            </w:r>
            <w:r w:rsidR="00585211" w:rsidRPr="00A71735">
              <w:rPr>
                <w:rFonts w:ascii="Times New Roman" w:hAnsi="Times New Roman"/>
              </w:rPr>
              <w:t>.</w:t>
            </w:r>
          </w:p>
          <w:p w14:paraId="3F383566" w14:textId="77777777" w:rsidR="00B53BBC" w:rsidRPr="00A71735" w:rsidRDefault="00B53BBC" w:rsidP="00BA59F1">
            <w:pPr>
              <w:pStyle w:val="Akapitzlist"/>
              <w:spacing w:line="240" w:lineRule="auto"/>
              <w:ind w:left="0"/>
              <w:jc w:val="both"/>
              <w:rPr>
                <w:rFonts w:ascii="Times New Roman" w:hAnsi="Times New Roman"/>
              </w:rPr>
            </w:pPr>
            <w:r w:rsidRPr="00A71735">
              <w:rPr>
                <w:rFonts w:ascii="Times New Roman" w:hAnsi="Times New Roman"/>
              </w:rPr>
              <w:t>1.1.1. Departament Prawny – 10 etatów</w:t>
            </w:r>
            <w:r w:rsidR="00585211" w:rsidRPr="00A71735">
              <w:rPr>
                <w:rFonts w:ascii="Times New Roman" w:hAnsi="Times New Roman"/>
              </w:rPr>
              <w:t>.</w:t>
            </w:r>
          </w:p>
          <w:p w14:paraId="6A6555CE" w14:textId="77777777" w:rsidR="00B53BBC" w:rsidRPr="00A71735" w:rsidRDefault="00B53BBC" w:rsidP="00BA59F1">
            <w:pPr>
              <w:pStyle w:val="Akapitzlist"/>
              <w:tabs>
                <w:tab w:val="left" w:pos="341"/>
              </w:tabs>
              <w:spacing w:line="240" w:lineRule="auto"/>
              <w:ind w:left="0"/>
              <w:jc w:val="both"/>
              <w:rPr>
                <w:rFonts w:ascii="Times New Roman" w:hAnsi="Times New Roman"/>
                <w:color w:val="000000"/>
              </w:rPr>
            </w:pPr>
            <w:r w:rsidRPr="00A71735">
              <w:rPr>
                <w:rFonts w:ascii="Times New Roman" w:hAnsi="Times New Roman"/>
                <w:color w:val="000000"/>
              </w:rPr>
              <w:t>W związku ze zniesieniem odwołań od decyzji administracyjnych GIF będzie realizować zadania związane z rozpatrywaniem wniosków o ponowne rozpatrzenie sprawy w odniesieniu do decyzji administracyjnych wydanych przez wojewódzkich inspektorów farmaceutycznych z upoważnienia Głównego Inspektora Farmaceutycznego. W związku z tym niezbędne jest zapewnienie obsługi prawnej dla tych postępowań, a zatem zatrudnienie nowych pracowników w GIF. Niezbędny poziom zatrudnienia w wysokości 10 etatów przyjęto uwzględniając możliwość wykorzystania do wykonywania ww. obowiązków pracowników zatrudnionych w wojewódzkich inspektoratach farmaceutycznych. Należy zauważyć, że jedynie 50% wojewódzkich inspektoratów farmaceutycznych posiada pełen etat radcy prawnego, 25% posiada część etatów, a kolejne 25% nie posiada obsługi prawnej zatrudnionej na etacie.</w:t>
            </w:r>
          </w:p>
          <w:p w14:paraId="4C99B22D" w14:textId="77777777" w:rsidR="00B53BBC" w:rsidRPr="00A71735" w:rsidRDefault="00B53BBC" w:rsidP="00BA59F1">
            <w:pPr>
              <w:pStyle w:val="Akapitzlist"/>
              <w:spacing w:line="240" w:lineRule="auto"/>
              <w:ind w:left="0"/>
              <w:jc w:val="both"/>
              <w:rPr>
                <w:rFonts w:ascii="Times New Roman" w:hAnsi="Times New Roman"/>
                <w:color w:val="000000"/>
              </w:rPr>
            </w:pPr>
            <w:r w:rsidRPr="00A71735">
              <w:rPr>
                <w:rFonts w:ascii="Times New Roman" w:hAnsi="Times New Roman"/>
                <w:color w:val="000000"/>
              </w:rPr>
              <w:t>Przyjęto, że w centrali GIF zatrudnionych zostanie 10 pracowników w Departamencie Prawnym. Podkreślić należy, że niezwykle istotną kwestią jest zapewnienie jednolitej linii orzeczniczej w ramach Państwowej Inspekcji Farmaceutycznej. Dlatego centrala GIF będzie nadzorować proces wydawania decyzji przez oddziały terenowe GIF, do czego konieczne jest zatrudnienie przynajmniej 10 pracowników obsługujących oddziały terenowe Głównego Inspektoratu Farmaceutycznego. Dotychczas nadzór GIF nad wojewódzkimi inspektoratami farmaceutycznymi w zakresie obsługi prawnej polegał na rozpatrywaniu odwołań od decyzji wydawanych przez wojewódzkich inspektorów farmaceutycznych, jako organ drugiej instancji. Zgodnie z przyjętymi założeniami GIF będzie uczestniczył w</w:t>
            </w:r>
            <w:r w:rsidR="00A10094">
              <w:rPr>
                <w:rFonts w:ascii="Times New Roman" w:hAnsi="Times New Roman"/>
                <w:color w:val="000000"/>
              </w:rPr>
              <w:t> </w:t>
            </w:r>
            <w:r w:rsidRPr="00A71735">
              <w:rPr>
                <w:rFonts w:ascii="Times New Roman" w:hAnsi="Times New Roman"/>
                <w:color w:val="000000"/>
              </w:rPr>
              <w:t>postępowaniach administracyjnych już w pierwszej instancji, co generuje konieczność zatrudnienia nowych pracowników do obsługi prawnej. Brak zatrudnienia dodatkowych pracowników uniemożliwi właściwe wykonywanie zadań i przyczyni się do tego, że nadzór nad postępowaniami prowadzonymi przez oddziały terenowe będzie niemożliwy, co jak wskazano powyżej, utrudni zachowanie spójności prowadzenia postępowań administracyjnych i jednolitości wydawanych rozstrzygnięć.</w:t>
            </w:r>
          </w:p>
          <w:p w14:paraId="3F55493B" w14:textId="77777777" w:rsidR="00F862FD" w:rsidRPr="00A71735" w:rsidRDefault="00F862FD" w:rsidP="00BA59F1">
            <w:pPr>
              <w:pStyle w:val="Akapitzlist"/>
              <w:spacing w:line="240" w:lineRule="auto"/>
              <w:ind w:left="0"/>
              <w:jc w:val="both"/>
              <w:rPr>
                <w:rFonts w:ascii="Times New Roman" w:hAnsi="Times New Roman"/>
                <w:color w:val="000000"/>
              </w:rPr>
            </w:pPr>
            <w:r w:rsidRPr="00A71735">
              <w:rPr>
                <w:rFonts w:ascii="Times New Roman" w:hAnsi="Times New Roman"/>
                <w:color w:val="000000"/>
              </w:rPr>
              <w:lastRenderedPageBreak/>
              <w:t xml:space="preserve">W chwili obecnej w dużej mierze to inspektorzy farmaceutyczni sami prowadzą postępowania administracyjne, łącznie ze wszystkimi elementami proceduralnymi, często </w:t>
            </w:r>
            <w:r w:rsidR="009B7735" w:rsidRPr="00A71735">
              <w:rPr>
                <w:rFonts w:ascii="Times New Roman" w:hAnsi="Times New Roman"/>
                <w:color w:val="000000"/>
              </w:rPr>
              <w:t xml:space="preserve">bez możliwości </w:t>
            </w:r>
            <w:r w:rsidRPr="00A71735">
              <w:rPr>
                <w:rFonts w:ascii="Times New Roman" w:hAnsi="Times New Roman"/>
                <w:color w:val="000000"/>
              </w:rPr>
              <w:t>konsultacji</w:t>
            </w:r>
            <w:r w:rsidR="009B7735" w:rsidRPr="00A71735">
              <w:rPr>
                <w:rFonts w:ascii="Times New Roman" w:hAnsi="Times New Roman"/>
                <w:color w:val="000000"/>
              </w:rPr>
              <w:t xml:space="preserve"> w zakresie podejmowanych czynności z pracownikami o odpowiednim wykształceniu prawniczym, ze względu na brak posiadania </w:t>
            </w:r>
            <w:r w:rsidRPr="00A71735">
              <w:rPr>
                <w:rFonts w:ascii="Times New Roman" w:hAnsi="Times New Roman"/>
                <w:color w:val="000000"/>
              </w:rPr>
              <w:t>obsług</w:t>
            </w:r>
            <w:r w:rsidR="009B7735" w:rsidRPr="00A71735">
              <w:rPr>
                <w:rFonts w:ascii="Times New Roman" w:hAnsi="Times New Roman"/>
                <w:color w:val="000000"/>
              </w:rPr>
              <w:t>i</w:t>
            </w:r>
            <w:r w:rsidRPr="00A71735">
              <w:rPr>
                <w:rFonts w:ascii="Times New Roman" w:hAnsi="Times New Roman"/>
                <w:color w:val="000000"/>
              </w:rPr>
              <w:t xml:space="preserve"> prawn</w:t>
            </w:r>
            <w:r w:rsidR="009B7735" w:rsidRPr="00A71735">
              <w:rPr>
                <w:rFonts w:ascii="Times New Roman" w:hAnsi="Times New Roman"/>
                <w:color w:val="000000"/>
              </w:rPr>
              <w:t>ej w jednostce</w:t>
            </w:r>
            <w:r w:rsidRPr="00A71735">
              <w:rPr>
                <w:rFonts w:ascii="Times New Roman" w:hAnsi="Times New Roman"/>
                <w:color w:val="000000"/>
              </w:rPr>
              <w:t xml:space="preserve">. Przyczynia się to do tego, że inspektorzy farmaceutyczni skupiają się na aspektach formalnych, w czasie w którym mogliby kontrolować nadzorowane placówki. Zatrudnienie 10 osób </w:t>
            </w:r>
            <w:r w:rsidR="009B7735" w:rsidRPr="00A71735">
              <w:rPr>
                <w:rFonts w:ascii="Times New Roman" w:hAnsi="Times New Roman"/>
                <w:color w:val="000000"/>
              </w:rPr>
              <w:t xml:space="preserve">do </w:t>
            </w:r>
            <w:r w:rsidRPr="00A71735">
              <w:rPr>
                <w:rFonts w:ascii="Times New Roman" w:hAnsi="Times New Roman"/>
                <w:color w:val="000000"/>
              </w:rPr>
              <w:t xml:space="preserve">obsługi prawnej spowoduje odciążenie inspektorów farmaceutycznych z części obecnie wykonywanych zadań formalno-prawnych i przyczyni się do poprawienia </w:t>
            </w:r>
            <w:r w:rsidR="00DF1659" w:rsidRPr="00A71735">
              <w:rPr>
                <w:rFonts w:ascii="Times New Roman" w:hAnsi="Times New Roman"/>
                <w:color w:val="000000"/>
              </w:rPr>
              <w:t>jakości prowadzonych postępowań administracyjnych. Powyższe przyczyni się do lepszego nadzoru rynku farmaceutycznego a w konsekwencji do poprawy bezpieczeństwa pacjentów.</w:t>
            </w:r>
          </w:p>
          <w:p w14:paraId="45E730F4" w14:textId="77777777" w:rsidR="00D04EA1" w:rsidRPr="00A71735" w:rsidRDefault="00D04EA1" w:rsidP="00BA59F1">
            <w:pPr>
              <w:pStyle w:val="Akapitzlist"/>
              <w:spacing w:line="240" w:lineRule="auto"/>
              <w:ind w:left="0"/>
              <w:jc w:val="both"/>
              <w:rPr>
                <w:rFonts w:ascii="Times New Roman" w:hAnsi="Times New Roman"/>
                <w:color w:val="000000"/>
              </w:rPr>
            </w:pPr>
            <w:r w:rsidRPr="00A71735">
              <w:rPr>
                <w:rFonts w:ascii="Times New Roman" w:hAnsi="Times New Roman"/>
                <w:color w:val="000000"/>
              </w:rPr>
              <w:t>Należy zauważyć, że średnia z ostatnich 3 lat w zakresie postępowań administracyjnych prowadzonych przez wojewódzkie inspektoraty farmaceutyczne wskazuje na ok. 7440 wszczętych postępowań rocznie, z czego ok. 500 kończy się odwołaniami skierowanymi do GIF. W związku z powyższym w GIF będzie prowadzonych ok. 6900 nowych postępowań, w których będą uczestniczyli pracownicy Departamentu Prawnego. Dlatego nowa liczba 10 etatów w Departamencie Prawnym jest niezbędna.</w:t>
            </w:r>
          </w:p>
          <w:p w14:paraId="514DD648" w14:textId="77777777" w:rsidR="00DF1659" w:rsidRPr="00A71735" w:rsidRDefault="00DF1659" w:rsidP="00BA59F1">
            <w:pPr>
              <w:pStyle w:val="Akapitzlist"/>
              <w:spacing w:line="240" w:lineRule="auto"/>
              <w:ind w:left="0"/>
              <w:jc w:val="both"/>
              <w:rPr>
                <w:rFonts w:ascii="Times New Roman" w:hAnsi="Times New Roman"/>
              </w:rPr>
            </w:pPr>
          </w:p>
          <w:p w14:paraId="32227999" w14:textId="77777777" w:rsidR="00B53BBC" w:rsidRPr="00A71735" w:rsidRDefault="00B53BBC" w:rsidP="00BA59F1">
            <w:pPr>
              <w:pStyle w:val="Akapitzlist"/>
              <w:spacing w:line="240" w:lineRule="auto"/>
              <w:ind w:left="0"/>
              <w:jc w:val="both"/>
              <w:rPr>
                <w:rFonts w:ascii="Times New Roman" w:hAnsi="Times New Roman"/>
              </w:rPr>
            </w:pPr>
            <w:r w:rsidRPr="00A71735">
              <w:rPr>
                <w:rFonts w:ascii="Times New Roman" w:hAnsi="Times New Roman"/>
              </w:rPr>
              <w:t>1.1.2. Biuro Dyrektora Generalnego – 4 etaty</w:t>
            </w:r>
            <w:r w:rsidR="00585211" w:rsidRPr="00A71735">
              <w:rPr>
                <w:rFonts w:ascii="Times New Roman" w:hAnsi="Times New Roman"/>
              </w:rPr>
              <w:t>.</w:t>
            </w:r>
          </w:p>
          <w:p w14:paraId="6F9FBC91" w14:textId="77777777" w:rsidR="00BB5275" w:rsidRPr="00A71735" w:rsidRDefault="00B53BBC" w:rsidP="00BA59F1">
            <w:pPr>
              <w:pStyle w:val="Akapitzlist"/>
              <w:tabs>
                <w:tab w:val="left" w:pos="-4678"/>
              </w:tabs>
              <w:spacing w:line="240" w:lineRule="auto"/>
              <w:ind w:left="0"/>
              <w:jc w:val="both"/>
              <w:rPr>
                <w:rFonts w:ascii="Times New Roman" w:hAnsi="Times New Roman"/>
              </w:rPr>
            </w:pPr>
            <w:r w:rsidRPr="00A71735">
              <w:rPr>
                <w:rFonts w:ascii="Times New Roman" w:hAnsi="Times New Roman"/>
              </w:rPr>
              <w:t>Reorganizacja struktur,  przejęcie przez GIF części zadań o charakterze obsługowym oraz konieczność zapewnienia koordynacji działania GIF jako całości niezbędnie implikuje konieczność  zwiększenia zatrudnienia na poziomie Biura Dyrektora Generalnego GIF w</w:t>
            </w:r>
            <w:r w:rsidR="00402560" w:rsidRPr="00A71735">
              <w:rPr>
                <w:rFonts w:ascii="Times New Roman" w:hAnsi="Times New Roman"/>
              </w:rPr>
              <w:t> </w:t>
            </w:r>
            <w:r w:rsidRPr="00A71735">
              <w:rPr>
                <w:rFonts w:ascii="Times New Roman" w:hAnsi="Times New Roman"/>
              </w:rPr>
              <w:t>wysokości 4 etatów przeznaczonych w</w:t>
            </w:r>
            <w:r w:rsidR="00A10094">
              <w:rPr>
                <w:rFonts w:ascii="Times New Roman" w:hAnsi="Times New Roman"/>
              </w:rPr>
              <w:t> </w:t>
            </w:r>
            <w:r w:rsidRPr="00A71735">
              <w:rPr>
                <w:rFonts w:ascii="Times New Roman" w:hAnsi="Times New Roman"/>
              </w:rPr>
              <w:t>szczególności na skoordynowaną administracyjno-gospodarczą oraz organizacyjną.</w:t>
            </w:r>
            <w:r w:rsidR="00372262" w:rsidRPr="00A71735">
              <w:rPr>
                <w:rFonts w:ascii="Times New Roman" w:hAnsi="Times New Roman"/>
              </w:rPr>
              <w:t xml:space="preserve"> </w:t>
            </w:r>
            <w:r w:rsidR="00857004" w:rsidRPr="00A71735">
              <w:rPr>
                <w:rFonts w:ascii="Times New Roman" w:hAnsi="Times New Roman"/>
              </w:rPr>
              <w:t>N</w:t>
            </w:r>
            <w:r w:rsidR="00BB5275" w:rsidRPr="00A71735">
              <w:rPr>
                <w:rFonts w:ascii="Times New Roman" w:hAnsi="Times New Roman"/>
              </w:rPr>
              <w:t>owym zadaniem GIF będzie prowadzenie postępowań w zakresie centralnych zamówień publicznych. GIF będzie dokonywał takich zamówień na potrzeby nie tylko centrali ale również dla oddziałów terenowych</w:t>
            </w:r>
            <w:r w:rsidR="005D7FB4" w:rsidRPr="00A71735">
              <w:rPr>
                <w:rFonts w:ascii="Times New Roman" w:hAnsi="Times New Roman"/>
              </w:rPr>
              <w:t xml:space="preserve"> (obecnie </w:t>
            </w:r>
            <w:r w:rsidR="00E9495D" w:rsidRPr="00A71735">
              <w:rPr>
                <w:rFonts w:ascii="Times New Roman" w:hAnsi="Times New Roman"/>
                <w:color w:val="000000"/>
              </w:rPr>
              <w:t xml:space="preserve"> wojewódzkie inspektoraty farmaceutyczne</w:t>
            </w:r>
            <w:r w:rsidR="005D7FB4" w:rsidRPr="00A71735">
              <w:rPr>
                <w:rFonts w:ascii="Times New Roman" w:hAnsi="Times New Roman"/>
              </w:rPr>
              <w:t>, które z racji niewielkiej jednostki organizacyjnej</w:t>
            </w:r>
            <w:r w:rsidR="00E9495D" w:rsidRPr="00A71735">
              <w:rPr>
                <w:rFonts w:ascii="Times New Roman" w:hAnsi="Times New Roman"/>
              </w:rPr>
              <w:t>,</w:t>
            </w:r>
            <w:r w:rsidR="005D7FB4" w:rsidRPr="00A71735">
              <w:rPr>
                <w:rFonts w:ascii="Times New Roman" w:hAnsi="Times New Roman"/>
              </w:rPr>
              <w:t xml:space="preserve"> nie prowadziły postępowań w charakterze zamówień publicznych)</w:t>
            </w:r>
            <w:r w:rsidR="00BB5275" w:rsidRPr="00A71735">
              <w:rPr>
                <w:rFonts w:ascii="Times New Roman" w:hAnsi="Times New Roman"/>
              </w:rPr>
              <w:t xml:space="preserve">. </w:t>
            </w:r>
            <w:r w:rsidR="005D7FB4" w:rsidRPr="00A71735">
              <w:rPr>
                <w:rFonts w:ascii="Times New Roman" w:hAnsi="Times New Roman"/>
              </w:rPr>
              <w:t>Dodatkowym zadaniem nałożonym na GIF będzie zapewnienie właściwego zarządzania nieruchomościami</w:t>
            </w:r>
            <w:r w:rsidR="00BB38DC" w:rsidRPr="00A71735">
              <w:rPr>
                <w:rFonts w:ascii="Times New Roman" w:hAnsi="Times New Roman"/>
              </w:rPr>
              <w:t xml:space="preserve"> (opłaty, ewidencja, przeglądy techniczne, remonty)</w:t>
            </w:r>
            <w:r w:rsidR="005D7FB4" w:rsidRPr="00A71735">
              <w:rPr>
                <w:rFonts w:ascii="Times New Roman" w:hAnsi="Times New Roman"/>
              </w:rPr>
              <w:t xml:space="preserve"> przejętymi po </w:t>
            </w:r>
            <w:r w:rsidR="00E9495D" w:rsidRPr="00A71735">
              <w:rPr>
                <w:rFonts w:ascii="Times New Roman" w:hAnsi="Times New Roman"/>
                <w:color w:val="000000"/>
              </w:rPr>
              <w:t xml:space="preserve"> wojewódzkich inspektoratach farmaceutycznych</w:t>
            </w:r>
            <w:r w:rsidR="005D7FB4" w:rsidRPr="00A71735">
              <w:rPr>
                <w:rFonts w:ascii="Times New Roman" w:hAnsi="Times New Roman"/>
              </w:rPr>
              <w:t xml:space="preserve">, których obecnie GIF nie realizuje, a </w:t>
            </w:r>
            <w:r w:rsidR="00E9495D" w:rsidRPr="00A71735">
              <w:rPr>
                <w:rFonts w:ascii="Times New Roman" w:hAnsi="Times New Roman"/>
                <w:color w:val="000000"/>
              </w:rPr>
              <w:t xml:space="preserve"> wojewódzkie inspektoraty farmaceutyczne </w:t>
            </w:r>
            <w:r w:rsidR="005D7FB4" w:rsidRPr="00A71735">
              <w:rPr>
                <w:rFonts w:ascii="Times New Roman" w:hAnsi="Times New Roman"/>
              </w:rPr>
              <w:t xml:space="preserve">dokonują tych czynności za pośrednictwem </w:t>
            </w:r>
            <w:r w:rsidR="001F182D" w:rsidRPr="00A71735">
              <w:rPr>
                <w:rFonts w:ascii="Times New Roman" w:hAnsi="Times New Roman"/>
              </w:rPr>
              <w:t>w</w:t>
            </w:r>
            <w:r w:rsidR="005D7FB4" w:rsidRPr="00A71735">
              <w:rPr>
                <w:rFonts w:ascii="Times New Roman" w:hAnsi="Times New Roman"/>
              </w:rPr>
              <w:t xml:space="preserve">ojewody. </w:t>
            </w:r>
            <w:r w:rsidR="00BB5275" w:rsidRPr="00A71735">
              <w:rPr>
                <w:rFonts w:ascii="Times New Roman" w:hAnsi="Times New Roman"/>
              </w:rPr>
              <w:t xml:space="preserve">Powyższe będzie wymagało większego nakładu pracy. </w:t>
            </w:r>
          </w:p>
          <w:p w14:paraId="5E120CA5" w14:textId="77777777" w:rsidR="004A5CD0" w:rsidRPr="00A71735" w:rsidRDefault="00BB5275" w:rsidP="00BA59F1">
            <w:pPr>
              <w:pStyle w:val="Akapitzlist"/>
              <w:tabs>
                <w:tab w:val="left" w:pos="-4678"/>
              </w:tabs>
              <w:spacing w:line="240" w:lineRule="auto"/>
              <w:ind w:left="0"/>
              <w:jc w:val="both"/>
              <w:rPr>
                <w:rFonts w:ascii="Times New Roman" w:hAnsi="Times New Roman"/>
              </w:rPr>
            </w:pPr>
            <w:r w:rsidRPr="00A71735">
              <w:rPr>
                <w:rFonts w:ascii="Times New Roman" w:hAnsi="Times New Roman"/>
              </w:rPr>
              <w:t>Z uwagi na powyższe, zwiększenie zatrudnienia w Biurze Dyrektora Generalnego GIF o co najmniej 4</w:t>
            </w:r>
            <w:r w:rsidR="00A10094">
              <w:rPr>
                <w:rFonts w:ascii="Times New Roman" w:hAnsi="Times New Roman"/>
              </w:rPr>
              <w:t> </w:t>
            </w:r>
            <w:r w:rsidRPr="00A71735">
              <w:rPr>
                <w:rFonts w:ascii="Times New Roman" w:hAnsi="Times New Roman"/>
              </w:rPr>
              <w:t xml:space="preserve">etaty jest niezbędne. </w:t>
            </w:r>
          </w:p>
          <w:p w14:paraId="757C0D73" w14:textId="77777777" w:rsidR="00B53BBC" w:rsidRPr="00A71735" w:rsidRDefault="00B53BBC" w:rsidP="00BA59F1">
            <w:pPr>
              <w:pStyle w:val="Akapitzlist"/>
              <w:spacing w:line="240" w:lineRule="auto"/>
              <w:ind w:left="0"/>
              <w:jc w:val="both"/>
              <w:rPr>
                <w:rFonts w:ascii="Times New Roman" w:hAnsi="Times New Roman"/>
                <w:b/>
              </w:rPr>
            </w:pPr>
          </w:p>
          <w:p w14:paraId="331CEA1E" w14:textId="77777777" w:rsidR="00B53BBC" w:rsidRPr="00A71735" w:rsidRDefault="00B53BBC" w:rsidP="00BA59F1">
            <w:pPr>
              <w:pStyle w:val="Akapitzlist"/>
              <w:spacing w:line="240" w:lineRule="auto"/>
              <w:ind w:left="0"/>
              <w:jc w:val="both"/>
              <w:rPr>
                <w:rFonts w:ascii="Times New Roman" w:hAnsi="Times New Roman"/>
              </w:rPr>
            </w:pPr>
            <w:r w:rsidRPr="00A71735">
              <w:rPr>
                <w:rFonts w:ascii="Times New Roman" w:hAnsi="Times New Roman"/>
              </w:rPr>
              <w:t xml:space="preserve">1.2. Zwiększenie zatrudnienia w oddziałach terenowych GIF – inspektorzy farmaceutyczni  – łącznie </w:t>
            </w:r>
            <w:r w:rsidR="00EC3551">
              <w:rPr>
                <w:rFonts w:ascii="Times New Roman" w:hAnsi="Times New Roman"/>
              </w:rPr>
              <w:t>16</w:t>
            </w:r>
            <w:r w:rsidR="00EC3551" w:rsidRPr="00A71735">
              <w:rPr>
                <w:rFonts w:ascii="Times New Roman" w:hAnsi="Times New Roman"/>
              </w:rPr>
              <w:t xml:space="preserve"> </w:t>
            </w:r>
            <w:r w:rsidRPr="00A71735">
              <w:rPr>
                <w:rFonts w:ascii="Times New Roman" w:hAnsi="Times New Roman"/>
              </w:rPr>
              <w:t>etatów</w:t>
            </w:r>
            <w:r w:rsidR="00585211" w:rsidRPr="00A71735">
              <w:rPr>
                <w:rFonts w:ascii="Times New Roman" w:hAnsi="Times New Roman"/>
              </w:rPr>
              <w:t>.</w:t>
            </w:r>
          </w:p>
          <w:p w14:paraId="774E45C1" w14:textId="77777777" w:rsidR="00B53BBC" w:rsidRPr="00C41C34" w:rsidRDefault="00B53BBC" w:rsidP="00BA59F1">
            <w:pPr>
              <w:pStyle w:val="Akapitzlist"/>
              <w:spacing w:line="240" w:lineRule="auto"/>
              <w:ind w:left="0"/>
              <w:jc w:val="both"/>
              <w:rPr>
                <w:rFonts w:ascii="Times New Roman" w:hAnsi="Times New Roman"/>
              </w:rPr>
            </w:pPr>
            <w:r w:rsidRPr="00A71735">
              <w:rPr>
                <w:rFonts w:ascii="Times New Roman" w:hAnsi="Times New Roman"/>
              </w:rPr>
              <w:t xml:space="preserve">W związku z ujawnionymi niedoborami na stanowiskach inspektorów farmaceutycznych oraz planowanym zwiększeniem nadzoru na poziomie oddziałów GIF przyjęto, że niezbędne będzie zatrudnienie </w:t>
            </w:r>
            <w:r w:rsidR="00EC3551">
              <w:rPr>
                <w:rFonts w:ascii="Times New Roman" w:hAnsi="Times New Roman"/>
              </w:rPr>
              <w:t>16</w:t>
            </w:r>
            <w:r w:rsidR="00EC3551" w:rsidRPr="00A71735">
              <w:rPr>
                <w:rFonts w:ascii="Times New Roman" w:hAnsi="Times New Roman"/>
              </w:rPr>
              <w:t xml:space="preserve"> </w:t>
            </w:r>
            <w:r w:rsidRPr="00A71735">
              <w:rPr>
                <w:rFonts w:ascii="Times New Roman" w:hAnsi="Times New Roman"/>
              </w:rPr>
              <w:t xml:space="preserve">inspektorów farmaceutycznych. </w:t>
            </w:r>
            <w:r w:rsidRPr="00C41C34">
              <w:rPr>
                <w:rFonts w:ascii="Times New Roman" w:hAnsi="Times New Roman"/>
              </w:rPr>
              <w:t>Liczbę planowanych do zatrudnienia inspektorów farmaceutycznych wyliczono według następujących kryteriów:</w:t>
            </w:r>
          </w:p>
          <w:p w14:paraId="10D6FA8C" w14:textId="77777777" w:rsidR="00B53BBC" w:rsidRPr="00EC3551" w:rsidRDefault="00B53BBC" w:rsidP="00A73DF5">
            <w:pPr>
              <w:pStyle w:val="Akapitzlist"/>
              <w:numPr>
                <w:ilvl w:val="0"/>
                <w:numId w:val="27"/>
              </w:numPr>
              <w:spacing w:line="240" w:lineRule="auto"/>
              <w:ind w:left="776" w:hanging="736"/>
              <w:jc w:val="both"/>
              <w:rPr>
                <w:rFonts w:ascii="Times New Roman" w:hAnsi="Times New Roman"/>
                <w:color w:val="000000"/>
                <w:sz w:val="21"/>
                <w:szCs w:val="21"/>
              </w:rPr>
            </w:pPr>
            <w:r w:rsidRPr="00EC3551">
              <w:rPr>
                <w:rFonts w:ascii="Times New Roman" w:hAnsi="Times New Roman"/>
                <w:color w:val="000000"/>
                <w:sz w:val="21"/>
                <w:szCs w:val="21"/>
              </w:rPr>
              <w:t xml:space="preserve">inspektor przeprowadza </w:t>
            </w:r>
            <w:r w:rsidR="003C73B5" w:rsidRPr="00EC3551">
              <w:rPr>
                <w:rFonts w:ascii="Times New Roman" w:hAnsi="Times New Roman"/>
                <w:color w:val="000000"/>
                <w:sz w:val="21"/>
                <w:szCs w:val="21"/>
              </w:rPr>
              <w:t xml:space="preserve">5 </w:t>
            </w:r>
            <w:r w:rsidRPr="00EC3551">
              <w:rPr>
                <w:rFonts w:ascii="Times New Roman" w:hAnsi="Times New Roman"/>
                <w:color w:val="000000"/>
                <w:sz w:val="21"/>
                <w:szCs w:val="21"/>
              </w:rPr>
              <w:t>kontrol</w:t>
            </w:r>
            <w:r w:rsidR="003C73B5" w:rsidRPr="00EC3551">
              <w:rPr>
                <w:rFonts w:ascii="Times New Roman" w:hAnsi="Times New Roman"/>
                <w:color w:val="000000"/>
                <w:sz w:val="21"/>
                <w:szCs w:val="21"/>
              </w:rPr>
              <w:t>i</w:t>
            </w:r>
            <w:r w:rsidRPr="00EC3551">
              <w:rPr>
                <w:rFonts w:ascii="Times New Roman" w:hAnsi="Times New Roman"/>
                <w:color w:val="000000"/>
                <w:sz w:val="21"/>
                <w:szCs w:val="21"/>
              </w:rPr>
              <w:t xml:space="preserve"> miesięcznie (w tym 2 planowe o szerokim zakresie),</w:t>
            </w:r>
          </w:p>
          <w:p w14:paraId="22568309" w14:textId="77777777" w:rsidR="00B53BBC" w:rsidRPr="00EC3551" w:rsidRDefault="00B53BBC" w:rsidP="00A73DF5">
            <w:pPr>
              <w:pStyle w:val="Akapitzlist"/>
              <w:numPr>
                <w:ilvl w:val="0"/>
                <w:numId w:val="27"/>
              </w:numPr>
              <w:spacing w:line="240" w:lineRule="auto"/>
              <w:ind w:left="776" w:hanging="736"/>
              <w:jc w:val="both"/>
              <w:rPr>
                <w:rFonts w:ascii="Times New Roman" w:hAnsi="Times New Roman"/>
                <w:color w:val="000000"/>
                <w:sz w:val="21"/>
                <w:szCs w:val="21"/>
              </w:rPr>
            </w:pPr>
            <w:r w:rsidRPr="00EC3551">
              <w:rPr>
                <w:rFonts w:ascii="Times New Roman" w:hAnsi="Times New Roman"/>
                <w:color w:val="000000"/>
                <w:sz w:val="21"/>
                <w:szCs w:val="21"/>
              </w:rPr>
              <w:t>kontrola przeprowadzana jest przez 2 inspektorów (względy bezpieczeństwa i przeciwdziałania korupcji),</w:t>
            </w:r>
          </w:p>
          <w:p w14:paraId="6BEDB042" w14:textId="77777777" w:rsidR="00B53BBC" w:rsidRPr="00EC3551" w:rsidRDefault="00B53BBC" w:rsidP="00EC56B5">
            <w:pPr>
              <w:pStyle w:val="Akapitzlist"/>
              <w:numPr>
                <w:ilvl w:val="0"/>
                <w:numId w:val="27"/>
              </w:numPr>
              <w:spacing w:line="240" w:lineRule="auto"/>
              <w:ind w:left="749" w:hanging="709"/>
              <w:jc w:val="both"/>
              <w:rPr>
                <w:rFonts w:ascii="Times New Roman" w:hAnsi="Times New Roman"/>
                <w:color w:val="000000"/>
                <w:sz w:val="21"/>
                <w:szCs w:val="21"/>
              </w:rPr>
            </w:pPr>
            <w:r w:rsidRPr="00EC3551">
              <w:rPr>
                <w:rFonts w:ascii="Times New Roman" w:hAnsi="Times New Roman"/>
                <w:color w:val="000000"/>
                <w:sz w:val="21"/>
                <w:szCs w:val="21"/>
              </w:rPr>
              <w:t>kontrole planowe przeprowadzane będą raz na 5 lat, przy czym wskazana</w:t>
            </w:r>
            <w:r w:rsidRPr="00EC3551" w:rsidDel="00745F4E">
              <w:rPr>
                <w:rFonts w:ascii="Times New Roman" w:hAnsi="Times New Roman"/>
                <w:color w:val="000000"/>
                <w:sz w:val="21"/>
                <w:szCs w:val="21"/>
              </w:rPr>
              <w:t xml:space="preserve"> </w:t>
            </w:r>
            <w:r w:rsidRPr="00EC3551">
              <w:rPr>
                <w:rFonts w:ascii="Times New Roman" w:hAnsi="Times New Roman"/>
                <w:color w:val="000000"/>
                <w:sz w:val="21"/>
                <w:szCs w:val="21"/>
              </w:rPr>
              <w:t>częstotliwość uwzględnia dodatkową możliwość kontrolowania przedsiębiorcy z wykorzystaniem dostępnych systemów (ZSMOPL, KOWAL).</w:t>
            </w:r>
          </w:p>
          <w:p w14:paraId="188FB277" w14:textId="77777777" w:rsidR="00B53BBC" w:rsidRPr="00C41C34" w:rsidRDefault="00B53BBC" w:rsidP="00BA59F1">
            <w:pPr>
              <w:spacing w:line="240" w:lineRule="auto"/>
              <w:jc w:val="both"/>
              <w:rPr>
                <w:rFonts w:ascii="Times New Roman" w:hAnsi="Times New Roman"/>
              </w:rPr>
            </w:pPr>
            <w:r w:rsidRPr="00C41C34">
              <w:rPr>
                <w:rFonts w:ascii="Times New Roman" w:hAnsi="Times New Roman"/>
              </w:rPr>
              <w:t xml:space="preserve">Zapotrzebowanie na inspektorów farmaceutycznych wyliczone zgodnie z powyższymi kryteriami, przyjmując liczbę placówek nadzorowanych (17062) wyniosło </w:t>
            </w:r>
            <w:r w:rsidR="003C73B5" w:rsidRPr="00C41C34">
              <w:rPr>
                <w:rFonts w:ascii="Times New Roman" w:hAnsi="Times New Roman"/>
              </w:rPr>
              <w:t>1</w:t>
            </w:r>
            <w:r w:rsidR="001D7C27">
              <w:rPr>
                <w:rFonts w:ascii="Times New Roman" w:hAnsi="Times New Roman"/>
              </w:rPr>
              <w:t>19</w:t>
            </w:r>
            <w:r w:rsidR="003C73B5" w:rsidRPr="00C41C34">
              <w:rPr>
                <w:rFonts w:ascii="Times New Roman" w:hAnsi="Times New Roman"/>
              </w:rPr>
              <w:t xml:space="preserve"> </w:t>
            </w:r>
            <w:r w:rsidRPr="00C41C34">
              <w:rPr>
                <w:rFonts w:ascii="Times New Roman" w:hAnsi="Times New Roman"/>
              </w:rPr>
              <w:t xml:space="preserve">etatów. Poziom zatrudnienia inspektorów farmaceutycznych w </w:t>
            </w:r>
            <w:r w:rsidR="005C369A" w:rsidRPr="00C41C34">
              <w:rPr>
                <w:rFonts w:ascii="Times New Roman" w:hAnsi="Times New Roman"/>
                <w:color w:val="000000"/>
              </w:rPr>
              <w:t xml:space="preserve"> wojewódzkich inspektoratach farmaceutycznych </w:t>
            </w:r>
            <w:r w:rsidRPr="00C41C34">
              <w:rPr>
                <w:rFonts w:ascii="Times New Roman" w:hAnsi="Times New Roman"/>
              </w:rPr>
              <w:t>na dzień 31.12.2021</w:t>
            </w:r>
            <w:r w:rsidR="00A10094">
              <w:rPr>
                <w:rFonts w:ascii="Times New Roman" w:hAnsi="Times New Roman"/>
              </w:rPr>
              <w:t> </w:t>
            </w:r>
            <w:r w:rsidRPr="00C41C34">
              <w:rPr>
                <w:rFonts w:ascii="Times New Roman" w:hAnsi="Times New Roman"/>
              </w:rPr>
              <w:t xml:space="preserve">r. wyniósł 103 etaty, do wyliczeń przyjęto zatem wzrost zatrudnienia inspektorów farmaceutycznych w oddziałach GIF w wysokości </w:t>
            </w:r>
            <w:r w:rsidR="00EC3551">
              <w:rPr>
                <w:rFonts w:ascii="Times New Roman" w:hAnsi="Times New Roman"/>
              </w:rPr>
              <w:t>16</w:t>
            </w:r>
            <w:r w:rsidR="00EC3551" w:rsidRPr="00C41C34">
              <w:rPr>
                <w:rFonts w:ascii="Times New Roman" w:hAnsi="Times New Roman"/>
              </w:rPr>
              <w:t xml:space="preserve"> </w:t>
            </w:r>
            <w:r w:rsidRPr="00C41C34">
              <w:rPr>
                <w:rFonts w:ascii="Times New Roman" w:hAnsi="Times New Roman"/>
              </w:rPr>
              <w:t>etatów.</w:t>
            </w:r>
          </w:p>
          <w:p w14:paraId="5BBE34A7" w14:textId="77777777" w:rsidR="00B53BBC" w:rsidRPr="00A71735" w:rsidRDefault="00B53BBC" w:rsidP="00BA59F1">
            <w:pPr>
              <w:pStyle w:val="Akapitzlist"/>
              <w:tabs>
                <w:tab w:val="left" w:pos="-4678"/>
              </w:tabs>
              <w:spacing w:line="240" w:lineRule="auto"/>
              <w:ind w:left="0"/>
              <w:jc w:val="both"/>
              <w:rPr>
                <w:rFonts w:ascii="Times New Roman" w:hAnsi="Times New Roman"/>
              </w:rPr>
            </w:pPr>
            <w:r w:rsidRPr="00C41C34">
              <w:rPr>
                <w:rFonts w:ascii="Times New Roman" w:hAnsi="Times New Roman"/>
              </w:rPr>
              <w:t>Powyższa metodologia określenia zapotrzebowania na zatrudnienie inspektorów farmaceutycznych w</w:t>
            </w:r>
            <w:r w:rsidR="00DD397F" w:rsidRPr="00C41C34">
              <w:rPr>
                <w:rFonts w:ascii="Times New Roman" w:hAnsi="Times New Roman"/>
              </w:rPr>
              <w:t> </w:t>
            </w:r>
            <w:r w:rsidRPr="00C41C34">
              <w:rPr>
                <w:rFonts w:ascii="Times New Roman" w:hAnsi="Times New Roman"/>
              </w:rPr>
              <w:t xml:space="preserve">oddziałach </w:t>
            </w:r>
            <w:r w:rsidR="0068624E" w:rsidRPr="00C41C34">
              <w:rPr>
                <w:rFonts w:ascii="Times New Roman" w:hAnsi="Times New Roman"/>
              </w:rPr>
              <w:t xml:space="preserve">GIF </w:t>
            </w:r>
            <w:r w:rsidRPr="00C41C34">
              <w:rPr>
                <w:rFonts w:ascii="Times New Roman" w:hAnsi="Times New Roman"/>
              </w:rPr>
              <w:t>została opracowana przez GIF.</w:t>
            </w:r>
            <w:r w:rsidR="00DD397F" w:rsidRPr="00C41C34">
              <w:rPr>
                <w:rFonts w:ascii="Times New Roman" w:hAnsi="Times New Roman"/>
              </w:rPr>
              <w:t xml:space="preserve"> Zakłada ona zapewnienie możliwości </w:t>
            </w:r>
            <w:r w:rsidR="00A57EFC" w:rsidRPr="00C41C34">
              <w:rPr>
                <w:rFonts w:ascii="Times New Roman" w:hAnsi="Times New Roman"/>
              </w:rPr>
              <w:t>GIF</w:t>
            </w:r>
            <w:r w:rsidR="00DD397F" w:rsidRPr="00C41C34">
              <w:rPr>
                <w:rFonts w:ascii="Times New Roman" w:hAnsi="Times New Roman"/>
              </w:rPr>
              <w:t xml:space="preserve"> sprawowania realnego nadzoru nad podmiotami kontrolowanymi oraz posiadania rzeczywistego obrazu zachowań podmiotów na nim występujących, a także zmian zachodzących na rynku farmaceutycznym, w</w:t>
            </w:r>
            <w:r w:rsidR="00A10094">
              <w:rPr>
                <w:rFonts w:ascii="Times New Roman" w:hAnsi="Times New Roman"/>
              </w:rPr>
              <w:t> </w:t>
            </w:r>
            <w:r w:rsidR="00DD397F" w:rsidRPr="00C41C34">
              <w:rPr>
                <w:rFonts w:ascii="Times New Roman" w:hAnsi="Times New Roman"/>
              </w:rPr>
              <w:t>konsekwencji umożliwi właściwe podejmowanie działań przez GIF jako organowi kontrolnemu.</w:t>
            </w:r>
            <w:r w:rsidR="00DD397F" w:rsidRPr="00A71735">
              <w:rPr>
                <w:rFonts w:ascii="Times New Roman" w:hAnsi="Times New Roman"/>
              </w:rPr>
              <w:t xml:space="preserve">  </w:t>
            </w:r>
          </w:p>
          <w:p w14:paraId="2AF6D811" w14:textId="77777777" w:rsidR="00B53BBC" w:rsidRPr="00A71735" w:rsidRDefault="00B53BBC" w:rsidP="00BA59F1">
            <w:pPr>
              <w:pStyle w:val="Akapitzlist"/>
              <w:tabs>
                <w:tab w:val="left" w:pos="-4678"/>
              </w:tabs>
              <w:spacing w:line="240" w:lineRule="auto"/>
              <w:ind w:left="0"/>
              <w:jc w:val="both"/>
              <w:rPr>
                <w:rFonts w:ascii="Times New Roman" w:hAnsi="Times New Roman"/>
              </w:rPr>
            </w:pPr>
          </w:p>
          <w:p w14:paraId="5ACBBF25" w14:textId="77777777" w:rsidR="00B53BBC" w:rsidRPr="00A71735" w:rsidRDefault="00B53BBC" w:rsidP="00BA59F1">
            <w:pPr>
              <w:pStyle w:val="Akapitzlist"/>
              <w:spacing w:line="240" w:lineRule="auto"/>
              <w:ind w:left="0"/>
              <w:jc w:val="both"/>
              <w:rPr>
                <w:rFonts w:ascii="Times New Roman" w:hAnsi="Times New Roman"/>
              </w:rPr>
            </w:pPr>
            <w:r w:rsidRPr="00A71735">
              <w:rPr>
                <w:rFonts w:ascii="Times New Roman" w:hAnsi="Times New Roman"/>
              </w:rPr>
              <w:t>Przyjęto następujący harmonogram zatrudniania pracowników:</w:t>
            </w:r>
          </w:p>
          <w:p w14:paraId="5570C668" w14:textId="77777777" w:rsidR="0025160A" w:rsidRPr="00A71735" w:rsidRDefault="0025160A" w:rsidP="00B47806">
            <w:pPr>
              <w:pStyle w:val="Akapitzlist"/>
              <w:spacing w:line="240" w:lineRule="auto"/>
              <w:ind w:left="1741"/>
              <w:jc w:val="both"/>
              <w:rPr>
                <w:rFonts w:ascii="Times New Roman" w:hAnsi="Times New Roman"/>
                <w:color w:val="000000"/>
                <w:sz w:val="21"/>
                <w:szCs w:val="21"/>
              </w:rPr>
            </w:pPr>
          </w:p>
          <w:p w14:paraId="6278670F" w14:textId="77777777" w:rsidR="0025160A" w:rsidRPr="00A71735" w:rsidRDefault="009A7062" w:rsidP="00EC56B5">
            <w:pPr>
              <w:pStyle w:val="Akapitzlist"/>
              <w:numPr>
                <w:ilvl w:val="0"/>
                <w:numId w:val="27"/>
              </w:numPr>
              <w:spacing w:line="240" w:lineRule="auto"/>
              <w:ind w:left="1741" w:hanging="1701"/>
              <w:jc w:val="both"/>
              <w:rPr>
                <w:rFonts w:ascii="Times New Roman" w:hAnsi="Times New Roman"/>
                <w:color w:val="000000"/>
                <w:sz w:val="21"/>
                <w:szCs w:val="21"/>
              </w:rPr>
            </w:pPr>
            <w:r w:rsidRPr="00A71735">
              <w:rPr>
                <w:rFonts w:ascii="Times New Roman" w:hAnsi="Times New Roman"/>
                <w:color w:val="000000"/>
                <w:sz w:val="21"/>
                <w:szCs w:val="21"/>
              </w:rPr>
              <w:t>1</w:t>
            </w:r>
            <w:r>
              <w:rPr>
                <w:rFonts w:ascii="Times New Roman" w:hAnsi="Times New Roman"/>
                <w:color w:val="000000"/>
                <w:sz w:val="21"/>
                <w:szCs w:val="21"/>
              </w:rPr>
              <w:t>4</w:t>
            </w:r>
            <w:r w:rsidRPr="00A71735">
              <w:rPr>
                <w:rFonts w:ascii="Times New Roman" w:hAnsi="Times New Roman"/>
                <w:color w:val="000000"/>
                <w:sz w:val="21"/>
                <w:szCs w:val="21"/>
              </w:rPr>
              <w:t xml:space="preserve"> </w:t>
            </w:r>
            <w:r w:rsidR="00B53BBC" w:rsidRPr="00A71735">
              <w:rPr>
                <w:rFonts w:ascii="Times New Roman" w:hAnsi="Times New Roman"/>
                <w:color w:val="000000"/>
                <w:sz w:val="21"/>
                <w:szCs w:val="21"/>
              </w:rPr>
              <w:t>etatów w centrali GIF w momencie wejścia w życie ustawy,</w:t>
            </w:r>
          </w:p>
          <w:p w14:paraId="40169E24" w14:textId="77777777" w:rsidR="00B53BBC" w:rsidRDefault="00EC3551" w:rsidP="00EC56B5">
            <w:pPr>
              <w:pStyle w:val="Akapitzlist"/>
              <w:numPr>
                <w:ilvl w:val="0"/>
                <w:numId w:val="27"/>
              </w:numPr>
              <w:spacing w:line="240" w:lineRule="auto"/>
              <w:ind w:left="1741" w:hanging="1701"/>
              <w:jc w:val="both"/>
              <w:rPr>
                <w:rFonts w:ascii="Times New Roman" w:hAnsi="Times New Roman"/>
              </w:rPr>
            </w:pPr>
            <w:r>
              <w:rPr>
                <w:rFonts w:ascii="Times New Roman" w:hAnsi="Times New Roman"/>
                <w:color w:val="000000"/>
                <w:sz w:val="21"/>
                <w:szCs w:val="21"/>
              </w:rPr>
              <w:t>16</w:t>
            </w:r>
            <w:r w:rsidRPr="00A71735">
              <w:rPr>
                <w:rFonts w:ascii="Times New Roman" w:hAnsi="Times New Roman"/>
              </w:rPr>
              <w:t xml:space="preserve"> </w:t>
            </w:r>
            <w:r w:rsidR="00B53BBC" w:rsidRPr="00A71735">
              <w:rPr>
                <w:rFonts w:ascii="Times New Roman" w:hAnsi="Times New Roman"/>
              </w:rPr>
              <w:t>etatów w oddziałach GIF w momencie wejścia w życie ustawy.</w:t>
            </w:r>
          </w:p>
          <w:p w14:paraId="3EBD8FF0" w14:textId="77777777" w:rsidR="00706FBC" w:rsidRDefault="00706FBC" w:rsidP="00F63FAA">
            <w:pPr>
              <w:pStyle w:val="Akapitzlist"/>
              <w:spacing w:line="240" w:lineRule="auto"/>
              <w:ind w:left="40"/>
              <w:jc w:val="both"/>
              <w:rPr>
                <w:rFonts w:ascii="Times New Roman" w:hAnsi="Times New Roman"/>
              </w:rPr>
            </w:pPr>
          </w:p>
          <w:p w14:paraId="0947C142" w14:textId="77777777" w:rsidR="003F3AF1" w:rsidRPr="00C41C34" w:rsidRDefault="00706FBC" w:rsidP="00F63FAA">
            <w:pPr>
              <w:pStyle w:val="Akapitzlist"/>
              <w:spacing w:line="240" w:lineRule="auto"/>
              <w:ind w:left="40"/>
              <w:jc w:val="both"/>
              <w:rPr>
                <w:rFonts w:ascii="Times New Roman" w:hAnsi="Times New Roman"/>
                <w:color w:val="000000"/>
              </w:rPr>
            </w:pPr>
            <w:r w:rsidRPr="00C41C34">
              <w:rPr>
                <w:rFonts w:ascii="Times New Roman" w:hAnsi="Times New Roman"/>
                <w:color w:val="000000"/>
              </w:rPr>
              <w:t>Podkreślenia wymaga, że inspekcje i kontrole w oddziałach terenowych GIF będą prowadzone w</w:t>
            </w:r>
            <w:r w:rsidR="00A10094">
              <w:rPr>
                <w:rFonts w:ascii="Times New Roman" w:hAnsi="Times New Roman"/>
                <w:color w:val="000000"/>
              </w:rPr>
              <w:t> </w:t>
            </w:r>
            <w:r w:rsidRPr="00C41C34">
              <w:rPr>
                <w:rFonts w:ascii="Times New Roman" w:hAnsi="Times New Roman"/>
                <w:color w:val="000000"/>
              </w:rPr>
              <w:t>2</w:t>
            </w:r>
            <w:r w:rsidR="00A10094">
              <w:rPr>
                <w:rFonts w:ascii="Times New Roman" w:hAnsi="Times New Roman"/>
                <w:color w:val="000000"/>
              </w:rPr>
              <w:t> </w:t>
            </w:r>
            <w:r w:rsidRPr="00C41C34">
              <w:rPr>
                <w:rFonts w:ascii="Times New Roman" w:hAnsi="Times New Roman"/>
                <w:color w:val="000000"/>
              </w:rPr>
              <w:t>osobowych zespołach</w:t>
            </w:r>
            <w:r w:rsidR="00F63FAA" w:rsidRPr="00C41C34">
              <w:rPr>
                <w:rFonts w:ascii="Times New Roman" w:hAnsi="Times New Roman"/>
                <w:color w:val="000000"/>
              </w:rPr>
              <w:t xml:space="preserve"> (tak odbywa się to obecnie)</w:t>
            </w:r>
            <w:r w:rsidRPr="00C41C34">
              <w:rPr>
                <w:rFonts w:ascii="Times New Roman" w:hAnsi="Times New Roman"/>
                <w:color w:val="000000"/>
              </w:rPr>
              <w:t xml:space="preserve">. </w:t>
            </w:r>
            <w:r w:rsidR="003F3AF1" w:rsidRPr="00C41C34">
              <w:rPr>
                <w:rFonts w:ascii="Times New Roman" w:hAnsi="Times New Roman"/>
                <w:color w:val="000000"/>
              </w:rPr>
              <w:t>Aby zapewnić prawidłowy nadzór nad rynkiem, z</w:t>
            </w:r>
            <w:r w:rsidR="008B7346" w:rsidRPr="00C41C34">
              <w:rPr>
                <w:rFonts w:ascii="Times New Roman" w:hAnsi="Times New Roman"/>
                <w:color w:val="000000"/>
              </w:rPr>
              <w:t> </w:t>
            </w:r>
            <w:r w:rsidR="003F3AF1" w:rsidRPr="00C41C34">
              <w:rPr>
                <w:rFonts w:ascii="Times New Roman" w:hAnsi="Times New Roman"/>
                <w:color w:val="000000"/>
              </w:rPr>
              <w:t xml:space="preserve">uwagi na jego dynamikę zmian, przyjmuje się, że każdy podmiot powinien być skontrolowany </w:t>
            </w:r>
            <w:r w:rsidR="003F3AF1" w:rsidRPr="00C41C34">
              <w:rPr>
                <w:rFonts w:ascii="Times New Roman" w:hAnsi="Times New Roman"/>
                <w:color w:val="000000"/>
              </w:rPr>
              <w:lastRenderedPageBreak/>
              <w:t>w</w:t>
            </w:r>
            <w:r w:rsidR="008B7346" w:rsidRPr="00C41C34">
              <w:rPr>
                <w:rFonts w:ascii="Times New Roman" w:hAnsi="Times New Roman"/>
                <w:color w:val="000000"/>
              </w:rPr>
              <w:t> </w:t>
            </w:r>
            <w:r w:rsidR="003F3AF1" w:rsidRPr="00C41C34">
              <w:rPr>
                <w:rFonts w:ascii="Times New Roman" w:hAnsi="Times New Roman"/>
                <w:color w:val="000000"/>
              </w:rPr>
              <w:t>odstępie nieprzekraczającym 5 lat. Powyższe pozwoli Głównemu Inspektorowi Farmaceutycznemu na prawidłową ocenę sytuacji na rynku farmaceutycznym.</w:t>
            </w:r>
          </w:p>
          <w:p w14:paraId="20CDB701" w14:textId="77777777" w:rsidR="00706FBC" w:rsidRPr="00C41C34" w:rsidRDefault="00706FBC" w:rsidP="00F63FAA">
            <w:pPr>
              <w:pStyle w:val="Akapitzlist"/>
              <w:spacing w:line="240" w:lineRule="auto"/>
              <w:ind w:left="40"/>
              <w:jc w:val="both"/>
              <w:rPr>
                <w:rFonts w:ascii="Times New Roman" w:hAnsi="Times New Roman"/>
                <w:color w:val="000000"/>
              </w:rPr>
            </w:pPr>
            <w:r w:rsidRPr="00C41C34">
              <w:rPr>
                <w:rFonts w:ascii="Times New Roman" w:hAnsi="Times New Roman"/>
                <w:color w:val="000000"/>
              </w:rPr>
              <w:t>Biorąc pod uwagę szacowaną liczbę kontrolowanych podmiotów (ok. 26</w:t>
            </w:r>
            <w:r w:rsidR="00C520AD" w:rsidRPr="00C41C34">
              <w:rPr>
                <w:rFonts w:ascii="Times New Roman" w:hAnsi="Times New Roman"/>
                <w:color w:val="000000"/>
              </w:rPr>
              <w:t> </w:t>
            </w:r>
            <w:r w:rsidRPr="00C41C34">
              <w:rPr>
                <w:rFonts w:ascii="Times New Roman" w:hAnsi="Times New Roman"/>
                <w:color w:val="000000"/>
              </w:rPr>
              <w:t>250</w:t>
            </w:r>
            <w:r w:rsidR="00C520AD" w:rsidRPr="00C41C34">
              <w:rPr>
                <w:rFonts w:ascii="Times New Roman" w:hAnsi="Times New Roman"/>
                <w:color w:val="000000"/>
              </w:rPr>
              <w:t xml:space="preserve"> -</w:t>
            </w:r>
            <w:r w:rsidR="003F3AF1" w:rsidRPr="00C41C34">
              <w:rPr>
                <w:rFonts w:ascii="Times New Roman" w:hAnsi="Times New Roman"/>
                <w:color w:val="000000"/>
              </w:rPr>
              <w:t xml:space="preserve"> w ich skład wchodzą</w:t>
            </w:r>
            <w:r w:rsidR="00C520AD" w:rsidRPr="00C41C34">
              <w:rPr>
                <w:rFonts w:ascii="Times New Roman" w:hAnsi="Times New Roman"/>
                <w:color w:val="000000"/>
              </w:rPr>
              <w:t>:</w:t>
            </w:r>
            <w:r w:rsidR="003F3AF1" w:rsidRPr="00C41C34">
              <w:rPr>
                <w:rFonts w:ascii="Times New Roman" w:hAnsi="Times New Roman"/>
                <w:color w:val="000000"/>
              </w:rPr>
              <w:t xml:space="preserve"> </w:t>
            </w:r>
            <w:r w:rsidR="003F3AF1" w:rsidRPr="00C41C34">
              <w:t xml:space="preserve"> </w:t>
            </w:r>
            <w:r w:rsidR="003F3AF1" w:rsidRPr="00C41C34">
              <w:rPr>
                <w:rFonts w:ascii="Times New Roman" w:hAnsi="Times New Roman"/>
                <w:color w:val="000000"/>
              </w:rPr>
              <w:t xml:space="preserve">apteki ogólnodostępne, </w:t>
            </w:r>
            <w:r w:rsidR="003F3AF1" w:rsidRPr="00C41C34">
              <w:t xml:space="preserve"> </w:t>
            </w:r>
            <w:r w:rsidR="003F3AF1" w:rsidRPr="00C41C34">
              <w:rPr>
                <w:rFonts w:ascii="Times New Roman" w:hAnsi="Times New Roman"/>
                <w:color w:val="000000"/>
              </w:rPr>
              <w:t xml:space="preserve">punkty apteczne, </w:t>
            </w:r>
            <w:r w:rsidR="003F3AF1" w:rsidRPr="00C41C34">
              <w:t xml:space="preserve"> a</w:t>
            </w:r>
            <w:r w:rsidR="003F3AF1" w:rsidRPr="00C41C34">
              <w:rPr>
                <w:rFonts w:ascii="Times New Roman" w:hAnsi="Times New Roman"/>
                <w:color w:val="000000"/>
              </w:rPr>
              <w:t xml:space="preserve">pteki szpitalne, apteki zakładowe, działy farmacji szpitalnej, </w:t>
            </w:r>
            <w:r w:rsidR="003F3AF1" w:rsidRPr="00C41C34">
              <w:t xml:space="preserve"> p</w:t>
            </w:r>
            <w:r w:rsidR="003F3AF1" w:rsidRPr="00C41C34">
              <w:rPr>
                <w:rFonts w:ascii="Times New Roman" w:hAnsi="Times New Roman"/>
                <w:color w:val="000000"/>
              </w:rPr>
              <w:t>lacówki obrotu pozaaptecznego</w:t>
            </w:r>
            <w:r w:rsidR="00C520AD" w:rsidRPr="00C41C34">
              <w:rPr>
                <w:rFonts w:ascii="Times New Roman" w:hAnsi="Times New Roman"/>
                <w:color w:val="000000"/>
              </w:rPr>
              <w:t>:</w:t>
            </w:r>
            <w:r w:rsidR="003F3AF1" w:rsidRPr="00C41C34">
              <w:rPr>
                <w:rFonts w:ascii="Times New Roman" w:hAnsi="Times New Roman"/>
                <w:color w:val="000000"/>
              </w:rPr>
              <w:t xml:space="preserve"> sklepy zielarsko-medyczne, specjalistycznego zaopatrzenia medycznego, </w:t>
            </w:r>
            <w:r w:rsidR="003F3AF1" w:rsidRPr="00C41C34">
              <w:t xml:space="preserve"> </w:t>
            </w:r>
            <w:r w:rsidR="003F3AF1" w:rsidRPr="00C41C34">
              <w:rPr>
                <w:rFonts w:ascii="Times New Roman" w:hAnsi="Times New Roman"/>
                <w:color w:val="000000"/>
              </w:rPr>
              <w:t xml:space="preserve">stacje sanitarno-epidemiologiczne, </w:t>
            </w:r>
            <w:r w:rsidR="003F3AF1" w:rsidRPr="00C41C34">
              <w:t xml:space="preserve"> </w:t>
            </w:r>
            <w:r w:rsidR="003F3AF1" w:rsidRPr="00C41C34">
              <w:rPr>
                <w:rFonts w:ascii="Times New Roman" w:hAnsi="Times New Roman"/>
                <w:color w:val="000000"/>
              </w:rPr>
              <w:t xml:space="preserve">podmioty lecznicze bez apteki szpitalnej, działu farmacji szpitalnej, indywidualne praktyki lekarskie i lekarsko-dentystyczne, </w:t>
            </w:r>
            <w:r w:rsidR="003F3AF1" w:rsidRPr="00C41C34">
              <w:t xml:space="preserve"> z</w:t>
            </w:r>
            <w:r w:rsidR="003F3AF1" w:rsidRPr="00C41C34">
              <w:rPr>
                <w:rFonts w:ascii="Times New Roman" w:hAnsi="Times New Roman"/>
                <w:color w:val="000000"/>
              </w:rPr>
              <w:t>akłady lecznicze dla zwierząt, indywidualne praktyki weterynaryjne, hurtownie farmaceutyczne, wytwórnie farmaceutyczne</w:t>
            </w:r>
            <w:r w:rsidRPr="00C41C34">
              <w:rPr>
                <w:rFonts w:ascii="Times New Roman" w:hAnsi="Times New Roman"/>
                <w:color w:val="000000"/>
              </w:rPr>
              <w:t xml:space="preserve">) </w:t>
            </w:r>
            <w:r w:rsidR="00F63FAA" w:rsidRPr="00C41C34">
              <w:rPr>
                <w:rFonts w:ascii="Times New Roman" w:hAnsi="Times New Roman"/>
                <w:color w:val="000000"/>
              </w:rPr>
              <w:t xml:space="preserve">oraz liczbę inspektorów obecnych 150 i nowozatrudnionych </w:t>
            </w:r>
            <w:r w:rsidR="000E028F" w:rsidRPr="00C41C34">
              <w:rPr>
                <w:rFonts w:ascii="Times New Roman" w:hAnsi="Times New Roman"/>
                <w:color w:val="000000"/>
              </w:rPr>
              <w:t>30</w:t>
            </w:r>
            <w:r w:rsidR="00F63FAA" w:rsidRPr="00C41C34">
              <w:rPr>
                <w:rFonts w:ascii="Times New Roman" w:hAnsi="Times New Roman"/>
                <w:color w:val="000000"/>
              </w:rPr>
              <w:t xml:space="preserve">, na zespół kontrolerów przypadnie ok. </w:t>
            </w:r>
            <w:r w:rsidR="005B4BA3" w:rsidRPr="00C41C34">
              <w:rPr>
                <w:rFonts w:ascii="Times New Roman" w:hAnsi="Times New Roman"/>
                <w:color w:val="000000"/>
              </w:rPr>
              <w:t xml:space="preserve">292 </w:t>
            </w:r>
            <w:r w:rsidR="00F63FAA" w:rsidRPr="00C41C34">
              <w:rPr>
                <w:rFonts w:ascii="Times New Roman" w:hAnsi="Times New Roman"/>
                <w:color w:val="000000"/>
              </w:rPr>
              <w:t>podmiotów (1</w:t>
            </w:r>
            <w:r w:rsidR="005B4BA3" w:rsidRPr="00C41C34">
              <w:rPr>
                <w:rFonts w:ascii="Times New Roman" w:hAnsi="Times New Roman"/>
                <w:color w:val="000000"/>
              </w:rPr>
              <w:t>46</w:t>
            </w:r>
            <w:r w:rsidR="00F63FAA" w:rsidRPr="00C41C34">
              <w:rPr>
                <w:rFonts w:ascii="Times New Roman" w:hAnsi="Times New Roman"/>
                <w:color w:val="000000"/>
              </w:rPr>
              <w:t xml:space="preserve"> podmiotów na 1 inspektora). Przyjmując,  zapewni</w:t>
            </w:r>
            <w:r w:rsidR="00C520AD" w:rsidRPr="00C41C34">
              <w:rPr>
                <w:rFonts w:ascii="Times New Roman" w:hAnsi="Times New Roman"/>
                <w:color w:val="000000"/>
              </w:rPr>
              <w:t>enie</w:t>
            </w:r>
            <w:r w:rsidR="00F63FAA" w:rsidRPr="00C41C34">
              <w:rPr>
                <w:rFonts w:ascii="Times New Roman" w:hAnsi="Times New Roman"/>
                <w:color w:val="000000"/>
              </w:rPr>
              <w:t xml:space="preserve"> prawidłow</w:t>
            </w:r>
            <w:r w:rsidR="00C520AD" w:rsidRPr="00C41C34">
              <w:rPr>
                <w:rFonts w:ascii="Times New Roman" w:hAnsi="Times New Roman"/>
                <w:color w:val="000000"/>
              </w:rPr>
              <w:t>ego</w:t>
            </w:r>
            <w:r w:rsidR="00F63FAA" w:rsidRPr="00C41C34">
              <w:rPr>
                <w:rFonts w:ascii="Times New Roman" w:hAnsi="Times New Roman"/>
                <w:color w:val="000000"/>
              </w:rPr>
              <w:t xml:space="preserve"> nadz</w:t>
            </w:r>
            <w:r w:rsidR="00C520AD" w:rsidRPr="00C41C34">
              <w:rPr>
                <w:rFonts w:ascii="Times New Roman" w:hAnsi="Times New Roman"/>
                <w:color w:val="000000"/>
              </w:rPr>
              <w:t>o</w:t>
            </w:r>
            <w:r w:rsidR="00F63FAA" w:rsidRPr="00C41C34">
              <w:rPr>
                <w:rFonts w:ascii="Times New Roman" w:hAnsi="Times New Roman"/>
                <w:color w:val="000000"/>
              </w:rPr>
              <w:t>r</w:t>
            </w:r>
            <w:r w:rsidR="00C520AD" w:rsidRPr="00C41C34">
              <w:rPr>
                <w:rFonts w:ascii="Times New Roman" w:hAnsi="Times New Roman"/>
                <w:color w:val="000000"/>
              </w:rPr>
              <w:t>u</w:t>
            </w:r>
            <w:r w:rsidR="00F63FAA" w:rsidRPr="00C41C34">
              <w:rPr>
                <w:rFonts w:ascii="Times New Roman" w:hAnsi="Times New Roman"/>
                <w:color w:val="000000"/>
              </w:rPr>
              <w:t xml:space="preserve"> nad kontrolowanym obszarem częstotliwość kontroli albo inspekcji powinna wynosić 5 lat</w:t>
            </w:r>
            <w:r w:rsidR="00C520AD" w:rsidRPr="00C41C34">
              <w:rPr>
                <w:rFonts w:ascii="Times New Roman" w:hAnsi="Times New Roman"/>
                <w:color w:val="000000"/>
              </w:rPr>
              <w:t xml:space="preserve"> na skontrolowanie przypisanych podmiotów.</w:t>
            </w:r>
            <w:r w:rsidR="00F63FAA" w:rsidRPr="00C41C34">
              <w:rPr>
                <w:rFonts w:ascii="Times New Roman" w:hAnsi="Times New Roman"/>
                <w:color w:val="000000"/>
              </w:rPr>
              <w:t xml:space="preserve"> </w:t>
            </w:r>
            <w:r w:rsidR="00C520AD" w:rsidRPr="00C41C34">
              <w:rPr>
                <w:rFonts w:ascii="Times New Roman" w:hAnsi="Times New Roman"/>
                <w:color w:val="000000"/>
              </w:rPr>
              <w:t>W</w:t>
            </w:r>
            <w:r w:rsidR="00F63FAA" w:rsidRPr="00C41C34">
              <w:rPr>
                <w:rFonts w:ascii="Times New Roman" w:hAnsi="Times New Roman"/>
                <w:color w:val="000000"/>
              </w:rPr>
              <w:t xml:space="preserve"> ciągu roku na jeden zespół przypadnie </w:t>
            </w:r>
            <w:r w:rsidR="007858A8">
              <w:rPr>
                <w:rFonts w:ascii="Times New Roman" w:hAnsi="Times New Roman"/>
                <w:color w:val="000000"/>
              </w:rPr>
              <w:t>63</w:t>
            </w:r>
            <w:r w:rsidR="007858A8" w:rsidRPr="00C41C34">
              <w:rPr>
                <w:rFonts w:ascii="Times New Roman" w:hAnsi="Times New Roman"/>
                <w:color w:val="000000"/>
              </w:rPr>
              <w:t xml:space="preserve"> </w:t>
            </w:r>
            <w:r w:rsidR="00F63FAA" w:rsidRPr="00C41C34">
              <w:rPr>
                <w:rFonts w:ascii="Times New Roman" w:hAnsi="Times New Roman"/>
                <w:color w:val="000000"/>
              </w:rPr>
              <w:t>podmiot</w:t>
            </w:r>
            <w:r w:rsidR="007858A8">
              <w:rPr>
                <w:rFonts w:ascii="Times New Roman" w:hAnsi="Times New Roman"/>
                <w:color w:val="000000"/>
              </w:rPr>
              <w:t>y</w:t>
            </w:r>
            <w:r w:rsidR="00F63FAA" w:rsidRPr="00C41C34">
              <w:rPr>
                <w:rFonts w:ascii="Times New Roman" w:hAnsi="Times New Roman"/>
                <w:color w:val="000000"/>
              </w:rPr>
              <w:t xml:space="preserve"> do skontrolowania powyższe daje liczbę ok. </w:t>
            </w:r>
            <w:r w:rsidR="007858A8">
              <w:rPr>
                <w:rFonts w:ascii="Times New Roman" w:hAnsi="Times New Roman"/>
                <w:color w:val="000000"/>
              </w:rPr>
              <w:t>5</w:t>
            </w:r>
            <w:r w:rsidR="007858A8" w:rsidRPr="00C41C34">
              <w:rPr>
                <w:rFonts w:ascii="Times New Roman" w:hAnsi="Times New Roman"/>
                <w:color w:val="000000"/>
              </w:rPr>
              <w:t xml:space="preserve"> </w:t>
            </w:r>
            <w:r w:rsidR="00F63FAA" w:rsidRPr="00C41C34">
              <w:rPr>
                <w:rFonts w:ascii="Times New Roman" w:hAnsi="Times New Roman"/>
                <w:color w:val="000000"/>
              </w:rPr>
              <w:t>kontroli w miesiącu.</w:t>
            </w:r>
          </w:p>
          <w:p w14:paraId="0EF2536B" w14:textId="77777777" w:rsidR="00F63FAA" w:rsidRPr="00C41C34" w:rsidRDefault="00F63FAA" w:rsidP="00F63FAA">
            <w:pPr>
              <w:pStyle w:val="Akapitzlist"/>
              <w:spacing w:line="240" w:lineRule="auto"/>
              <w:ind w:left="0"/>
              <w:jc w:val="both"/>
              <w:rPr>
                <w:rFonts w:ascii="Times New Roman" w:hAnsi="Times New Roman"/>
                <w:color w:val="000000"/>
              </w:rPr>
            </w:pPr>
            <w:r w:rsidRPr="00C41C34">
              <w:rPr>
                <w:rFonts w:ascii="Times New Roman" w:hAnsi="Times New Roman"/>
                <w:color w:val="000000"/>
              </w:rPr>
              <w:t xml:space="preserve">(26 250 podmiotów / </w:t>
            </w:r>
            <w:r w:rsidR="001D7C27" w:rsidRPr="00C41C34">
              <w:rPr>
                <w:rFonts w:ascii="Times New Roman" w:hAnsi="Times New Roman"/>
                <w:color w:val="000000"/>
              </w:rPr>
              <w:t>1</w:t>
            </w:r>
            <w:r w:rsidR="001D7C27">
              <w:rPr>
                <w:rFonts w:ascii="Times New Roman" w:hAnsi="Times New Roman"/>
                <w:color w:val="000000"/>
              </w:rPr>
              <w:t>66</w:t>
            </w:r>
            <w:r w:rsidR="001D7C27" w:rsidRPr="00C41C34">
              <w:rPr>
                <w:rFonts w:ascii="Times New Roman" w:hAnsi="Times New Roman"/>
                <w:color w:val="000000"/>
              </w:rPr>
              <w:t xml:space="preserve"> </w:t>
            </w:r>
            <w:r w:rsidRPr="00C41C34">
              <w:rPr>
                <w:rFonts w:ascii="Times New Roman" w:hAnsi="Times New Roman"/>
                <w:color w:val="000000"/>
              </w:rPr>
              <w:t xml:space="preserve">inspektorów = </w:t>
            </w:r>
            <w:r w:rsidR="001D7C27">
              <w:rPr>
                <w:rFonts w:ascii="Times New Roman" w:hAnsi="Times New Roman"/>
                <w:color w:val="000000"/>
              </w:rPr>
              <w:t>158</w:t>
            </w:r>
            <w:r w:rsidRPr="00C41C34">
              <w:rPr>
                <w:rFonts w:ascii="Times New Roman" w:hAnsi="Times New Roman"/>
                <w:color w:val="000000"/>
              </w:rPr>
              <w:t xml:space="preserve"> podmiotów;</w:t>
            </w:r>
          </w:p>
          <w:p w14:paraId="0176F03D" w14:textId="77777777" w:rsidR="00F63FAA" w:rsidRPr="00C41C34" w:rsidRDefault="001D7C27" w:rsidP="00F63FAA">
            <w:pPr>
              <w:pStyle w:val="Akapitzlist"/>
              <w:spacing w:line="240" w:lineRule="auto"/>
              <w:ind w:left="0"/>
              <w:jc w:val="both"/>
              <w:rPr>
                <w:rFonts w:ascii="Times New Roman" w:hAnsi="Times New Roman"/>
                <w:color w:val="000000"/>
              </w:rPr>
            </w:pPr>
            <w:r>
              <w:rPr>
                <w:rFonts w:ascii="Times New Roman" w:hAnsi="Times New Roman"/>
                <w:color w:val="000000"/>
              </w:rPr>
              <w:t>158</w:t>
            </w:r>
            <w:r w:rsidR="00F63FAA" w:rsidRPr="00C41C34">
              <w:rPr>
                <w:rFonts w:ascii="Times New Roman" w:hAnsi="Times New Roman"/>
                <w:color w:val="000000"/>
              </w:rPr>
              <w:t xml:space="preserve"> podmiotów x 2 inspektorów w zespole = </w:t>
            </w:r>
            <w:r>
              <w:rPr>
                <w:rFonts w:ascii="Times New Roman" w:hAnsi="Times New Roman"/>
                <w:color w:val="000000"/>
              </w:rPr>
              <w:t>316</w:t>
            </w:r>
            <w:r w:rsidR="00F63FAA" w:rsidRPr="00C41C34">
              <w:rPr>
                <w:rFonts w:ascii="Times New Roman" w:hAnsi="Times New Roman"/>
                <w:color w:val="000000"/>
              </w:rPr>
              <w:t xml:space="preserve"> podmiotów;</w:t>
            </w:r>
          </w:p>
          <w:p w14:paraId="4AEB08C2" w14:textId="77777777" w:rsidR="00F63FAA" w:rsidRPr="00C41C34" w:rsidRDefault="001D7C27" w:rsidP="00F63FAA">
            <w:pPr>
              <w:pStyle w:val="Akapitzlist"/>
              <w:spacing w:line="240" w:lineRule="auto"/>
              <w:ind w:left="0"/>
              <w:jc w:val="both"/>
              <w:rPr>
                <w:rFonts w:ascii="Times New Roman" w:hAnsi="Times New Roman"/>
                <w:color w:val="000000"/>
              </w:rPr>
            </w:pPr>
            <w:r>
              <w:rPr>
                <w:rFonts w:ascii="Times New Roman" w:hAnsi="Times New Roman"/>
                <w:color w:val="000000"/>
              </w:rPr>
              <w:t>316</w:t>
            </w:r>
            <w:r w:rsidR="00F63FAA" w:rsidRPr="00C41C34">
              <w:rPr>
                <w:rFonts w:ascii="Times New Roman" w:hAnsi="Times New Roman"/>
                <w:color w:val="000000"/>
              </w:rPr>
              <w:t xml:space="preserve"> podmiotów / 5 lat = </w:t>
            </w:r>
            <w:r>
              <w:rPr>
                <w:rFonts w:ascii="Times New Roman" w:hAnsi="Times New Roman"/>
                <w:color w:val="000000"/>
              </w:rPr>
              <w:t>6</w:t>
            </w:r>
            <w:r w:rsidR="00F63FAA" w:rsidRPr="00C41C34">
              <w:rPr>
                <w:rFonts w:ascii="Times New Roman" w:hAnsi="Times New Roman"/>
                <w:color w:val="000000"/>
              </w:rPr>
              <w:t>3 podmiotów do kontroli rocznie;</w:t>
            </w:r>
          </w:p>
          <w:p w14:paraId="35BBE7F3" w14:textId="77777777" w:rsidR="00F63FAA" w:rsidRPr="00C41C34" w:rsidRDefault="001D7C27" w:rsidP="00F63FAA">
            <w:pPr>
              <w:pStyle w:val="Akapitzlist"/>
              <w:spacing w:line="240" w:lineRule="auto"/>
              <w:ind w:left="40"/>
              <w:jc w:val="both"/>
              <w:rPr>
                <w:rFonts w:ascii="Times New Roman" w:hAnsi="Times New Roman"/>
                <w:color w:val="000000"/>
              </w:rPr>
            </w:pPr>
            <w:r>
              <w:rPr>
                <w:rFonts w:ascii="Times New Roman" w:hAnsi="Times New Roman"/>
                <w:color w:val="000000"/>
              </w:rPr>
              <w:t>63</w:t>
            </w:r>
            <w:r w:rsidR="00F63FAA" w:rsidRPr="00C41C34">
              <w:rPr>
                <w:rFonts w:ascii="Times New Roman" w:hAnsi="Times New Roman"/>
                <w:color w:val="000000"/>
              </w:rPr>
              <w:t xml:space="preserve"> podmiotów / 12 miesięcy = </w:t>
            </w:r>
            <w:r>
              <w:rPr>
                <w:rFonts w:ascii="Times New Roman" w:hAnsi="Times New Roman"/>
                <w:color w:val="000000"/>
              </w:rPr>
              <w:t>5,2</w:t>
            </w:r>
            <w:r w:rsidR="00F63FAA" w:rsidRPr="00C41C34">
              <w:rPr>
                <w:rFonts w:ascii="Times New Roman" w:hAnsi="Times New Roman"/>
                <w:color w:val="000000"/>
              </w:rPr>
              <w:t xml:space="preserve"> kontroli miesięcznie).</w:t>
            </w:r>
          </w:p>
          <w:p w14:paraId="04BE22AF" w14:textId="77777777" w:rsidR="00F63FAA" w:rsidRPr="00C41C34" w:rsidRDefault="00F63FAA" w:rsidP="00F63FAA">
            <w:pPr>
              <w:pStyle w:val="Akapitzlist"/>
              <w:spacing w:line="240" w:lineRule="auto"/>
              <w:ind w:left="40"/>
              <w:jc w:val="both"/>
              <w:rPr>
                <w:rFonts w:ascii="Times New Roman" w:hAnsi="Times New Roman"/>
                <w:color w:val="000000"/>
              </w:rPr>
            </w:pPr>
            <w:r w:rsidRPr="00C41C34">
              <w:rPr>
                <w:rFonts w:ascii="Times New Roman" w:hAnsi="Times New Roman"/>
                <w:color w:val="000000"/>
              </w:rPr>
              <w:t xml:space="preserve">Biorąc powyższe pod uwagę, należy przyjąć, że zatrudnienie nowych </w:t>
            </w:r>
            <w:r w:rsidR="00EC3551">
              <w:rPr>
                <w:rFonts w:ascii="Times New Roman" w:hAnsi="Times New Roman"/>
                <w:color w:val="000000"/>
              </w:rPr>
              <w:t>16</w:t>
            </w:r>
            <w:r w:rsidR="00EC3551" w:rsidRPr="00C41C34">
              <w:rPr>
                <w:rFonts w:ascii="Times New Roman" w:hAnsi="Times New Roman"/>
                <w:color w:val="000000"/>
              </w:rPr>
              <w:t xml:space="preserve"> </w:t>
            </w:r>
            <w:r w:rsidRPr="00C41C34">
              <w:rPr>
                <w:rFonts w:ascii="Times New Roman" w:hAnsi="Times New Roman"/>
                <w:color w:val="000000"/>
              </w:rPr>
              <w:t xml:space="preserve">inspektorów stanowi </w:t>
            </w:r>
            <w:r w:rsidR="00FA3A08" w:rsidRPr="00C41C34">
              <w:rPr>
                <w:rFonts w:ascii="Times New Roman" w:hAnsi="Times New Roman"/>
                <w:color w:val="000000"/>
              </w:rPr>
              <w:t xml:space="preserve">absolutne </w:t>
            </w:r>
            <w:r w:rsidRPr="00C41C34">
              <w:rPr>
                <w:rFonts w:ascii="Times New Roman" w:hAnsi="Times New Roman"/>
                <w:color w:val="000000"/>
              </w:rPr>
              <w:t>minimum dla zapewnienia prawidłowego nadzoru nad kontrolowanym obszarem.</w:t>
            </w:r>
          </w:p>
          <w:p w14:paraId="0D45390B" w14:textId="77777777" w:rsidR="003F3AF1" w:rsidRPr="00A71735" w:rsidRDefault="00B36079" w:rsidP="00F63FAA">
            <w:pPr>
              <w:pStyle w:val="Akapitzlist"/>
              <w:spacing w:line="240" w:lineRule="auto"/>
              <w:ind w:left="40"/>
              <w:jc w:val="both"/>
              <w:rPr>
                <w:rFonts w:ascii="Times New Roman" w:hAnsi="Times New Roman"/>
              </w:rPr>
            </w:pPr>
            <w:r w:rsidRPr="00C41C34">
              <w:rPr>
                <w:rFonts w:ascii="Times New Roman" w:hAnsi="Times New Roman"/>
              </w:rPr>
              <w:t>Projekt zakłada również wzmocnienie nadzoru nad innymi placówkami, w których może być dokonywany obrót produktami leczniczymi (sklepy ogólnodostępne, stacje paliw – ok. 115 000 podmiotów). Powyższe również przyczyni się do zwiększenia nakładu pracy Państwowej Inspekcji Farmaceutycznej.</w:t>
            </w:r>
          </w:p>
          <w:p w14:paraId="33AA0794" w14:textId="77777777" w:rsidR="0025160A" w:rsidRPr="00A71735" w:rsidRDefault="0025160A" w:rsidP="00BA59F1">
            <w:pPr>
              <w:pStyle w:val="Akapitzlist"/>
              <w:spacing w:line="240" w:lineRule="auto"/>
              <w:ind w:left="0"/>
              <w:jc w:val="both"/>
              <w:rPr>
                <w:rFonts w:ascii="Times New Roman" w:hAnsi="Times New Roman"/>
              </w:rPr>
            </w:pPr>
          </w:p>
          <w:p w14:paraId="1CF19588" w14:textId="77777777" w:rsidR="007466D4" w:rsidRPr="00A71735" w:rsidRDefault="00970D65" w:rsidP="00BA59F1">
            <w:pPr>
              <w:pStyle w:val="Akapitzlist"/>
              <w:spacing w:line="240" w:lineRule="auto"/>
              <w:ind w:left="0"/>
              <w:jc w:val="both"/>
              <w:rPr>
                <w:rFonts w:ascii="Times New Roman" w:hAnsi="Times New Roman"/>
                <w:b/>
              </w:rPr>
            </w:pPr>
            <w:r w:rsidRPr="00A71735">
              <w:rPr>
                <w:rFonts w:ascii="Times New Roman" w:hAnsi="Times New Roman"/>
                <w:b/>
              </w:rPr>
              <w:t>II</w:t>
            </w:r>
            <w:r w:rsidR="007466D4" w:rsidRPr="00A71735">
              <w:rPr>
                <w:rFonts w:ascii="Times New Roman" w:hAnsi="Times New Roman"/>
                <w:b/>
                <w:color w:val="000000"/>
              </w:rPr>
              <w:t xml:space="preserve">. </w:t>
            </w:r>
            <w:r w:rsidR="004034AB" w:rsidRPr="00A71735">
              <w:rPr>
                <w:rFonts w:ascii="Times New Roman" w:hAnsi="Times New Roman"/>
                <w:b/>
              </w:rPr>
              <w:t xml:space="preserve"> Założenia przyjęte do określenia skutków finansowych </w:t>
            </w:r>
            <w:r w:rsidR="007466D4" w:rsidRPr="00A71735">
              <w:rPr>
                <w:rFonts w:ascii="Times New Roman" w:hAnsi="Times New Roman"/>
                <w:b/>
              </w:rPr>
              <w:t>przejęcia nadzoru nad medycznymi laboratoriami diagnostycznymi</w:t>
            </w:r>
          </w:p>
          <w:p w14:paraId="7B0230EF" w14:textId="77777777" w:rsidR="007466D4" w:rsidRPr="00A71735" w:rsidRDefault="007466D4" w:rsidP="00023B04">
            <w:pPr>
              <w:pStyle w:val="Akapitzlist"/>
              <w:spacing w:line="240" w:lineRule="auto"/>
              <w:ind w:left="0"/>
              <w:jc w:val="both"/>
              <w:rPr>
                <w:rFonts w:ascii="Times New Roman" w:hAnsi="Times New Roman"/>
              </w:rPr>
            </w:pPr>
          </w:p>
          <w:p w14:paraId="1E1C3950" w14:textId="77777777" w:rsidR="007466D4" w:rsidRPr="00A71735" w:rsidRDefault="00BA59F1" w:rsidP="00023B04">
            <w:pPr>
              <w:pStyle w:val="Akapitzlist"/>
              <w:spacing w:line="240" w:lineRule="auto"/>
              <w:ind w:left="0"/>
              <w:jc w:val="both"/>
              <w:rPr>
                <w:rFonts w:ascii="Times New Roman" w:hAnsi="Times New Roman"/>
              </w:rPr>
            </w:pPr>
            <w:r w:rsidRPr="00A71735">
              <w:rPr>
                <w:rFonts w:ascii="Times New Roman" w:hAnsi="Times New Roman"/>
              </w:rPr>
              <w:t xml:space="preserve">1. W związku z planowanym przejęciem nadzoru nad medycznymi laboratoriami diagnostycznymi </w:t>
            </w:r>
            <w:r w:rsidR="001D69A2" w:rsidRPr="00A71735">
              <w:rPr>
                <w:rFonts w:ascii="Times New Roman" w:hAnsi="Times New Roman"/>
              </w:rPr>
              <w:t>(</w:t>
            </w:r>
            <w:r w:rsidR="0006069A">
              <w:rPr>
                <w:rFonts w:ascii="Times New Roman" w:hAnsi="Times New Roman"/>
              </w:rPr>
              <w:t>2730</w:t>
            </w:r>
            <w:r w:rsidR="001D69A2" w:rsidRPr="00A71735">
              <w:rPr>
                <w:rFonts w:ascii="Times New Roman" w:hAnsi="Times New Roman"/>
              </w:rPr>
              <w:t xml:space="preserve"> podmiotów) </w:t>
            </w:r>
            <w:r w:rsidRPr="00A71735">
              <w:rPr>
                <w:rFonts w:ascii="Times New Roman" w:hAnsi="Times New Roman"/>
              </w:rPr>
              <w:t xml:space="preserve">przewidziano </w:t>
            </w:r>
            <w:r w:rsidR="004034AB" w:rsidRPr="00A71735">
              <w:rPr>
                <w:rFonts w:ascii="Times New Roman" w:hAnsi="Times New Roman"/>
              </w:rPr>
              <w:t>wzmocnieni</w:t>
            </w:r>
            <w:r w:rsidR="004034AB">
              <w:rPr>
                <w:rFonts w:ascii="Times New Roman" w:hAnsi="Times New Roman"/>
              </w:rPr>
              <w:t>e</w:t>
            </w:r>
            <w:r w:rsidRPr="00A71735">
              <w:rPr>
                <w:rFonts w:ascii="Times New Roman" w:hAnsi="Times New Roman"/>
              </w:rPr>
              <w:t xml:space="preserve"> Kierownictwa GIF poprzez zatrudnienie Zastępcy Głównego Inspektora Farmaceutycznego oraz  zatrudnienie pracowników w centrali oraz oddziałach terenowych GIF:</w:t>
            </w:r>
          </w:p>
          <w:p w14:paraId="3BCF6889" w14:textId="77777777" w:rsidR="00C024D9" w:rsidRPr="00A71735" w:rsidRDefault="00C024D9" w:rsidP="00023B04">
            <w:pPr>
              <w:pStyle w:val="Akapitzlist"/>
              <w:spacing w:line="240" w:lineRule="auto"/>
              <w:ind w:left="0"/>
              <w:jc w:val="both"/>
              <w:rPr>
                <w:rFonts w:ascii="Times New Roman" w:hAnsi="Times New Roman"/>
              </w:rPr>
            </w:pPr>
          </w:p>
          <w:p w14:paraId="1EEA2BA2" w14:textId="77777777" w:rsidR="00C024D9" w:rsidRPr="00A71735" w:rsidRDefault="00C024D9" w:rsidP="00023B04">
            <w:pPr>
              <w:pStyle w:val="Akapitzlist"/>
              <w:spacing w:line="240" w:lineRule="auto"/>
              <w:ind w:left="0"/>
              <w:jc w:val="both"/>
              <w:rPr>
                <w:rFonts w:ascii="Times New Roman" w:hAnsi="Times New Roman"/>
              </w:rPr>
            </w:pPr>
          </w:p>
          <w:tbl>
            <w:tblPr>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966"/>
            </w:tblGrid>
            <w:tr w:rsidR="00852DD4" w:rsidRPr="00A71735" w14:paraId="55E2611F" w14:textId="77777777" w:rsidTr="00852DD4">
              <w:tc>
                <w:tcPr>
                  <w:tcW w:w="3428" w:type="dxa"/>
                  <w:shd w:val="clear" w:color="auto" w:fill="auto"/>
                </w:tcPr>
                <w:p w14:paraId="1898B3DB" w14:textId="77777777" w:rsidR="00852DD4" w:rsidRPr="00A71735" w:rsidRDefault="00852DD4" w:rsidP="00290811">
                  <w:pPr>
                    <w:framePr w:hSpace="141" w:wrap="around" w:vAnchor="text" w:hAnchor="text" w:x="-176" w:y="1"/>
                    <w:suppressOverlap/>
                    <w:jc w:val="both"/>
                    <w:rPr>
                      <w:rFonts w:ascii="Times New Roman" w:hAnsi="Times New Roman"/>
                    </w:rPr>
                  </w:pPr>
                </w:p>
              </w:tc>
              <w:tc>
                <w:tcPr>
                  <w:tcW w:w="966" w:type="dxa"/>
                  <w:shd w:val="clear" w:color="auto" w:fill="auto"/>
                </w:tcPr>
                <w:p w14:paraId="35388F68"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Liczba etatów</w:t>
                  </w:r>
                </w:p>
              </w:tc>
            </w:tr>
            <w:tr w:rsidR="00852DD4" w:rsidRPr="00A71735" w14:paraId="5BBC1CA6" w14:textId="77777777" w:rsidTr="00852DD4">
              <w:tc>
                <w:tcPr>
                  <w:tcW w:w="3428" w:type="dxa"/>
                  <w:shd w:val="clear" w:color="auto" w:fill="auto"/>
                </w:tcPr>
                <w:p w14:paraId="68B4C205"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KIEROWNICTWO GIF</w:t>
                  </w:r>
                </w:p>
              </w:tc>
              <w:tc>
                <w:tcPr>
                  <w:tcW w:w="966" w:type="dxa"/>
                  <w:shd w:val="clear" w:color="auto" w:fill="auto"/>
                </w:tcPr>
                <w:p w14:paraId="798418E6" w14:textId="77777777" w:rsidR="00852DD4" w:rsidRPr="00A71735" w:rsidRDefault="00852DD4" w:rsidP="00290811">
                  <w:pPr>
                    <w:framePr w:hSpace="141" w:wrap="around" w:vAnchor="text" w:hAnchor="text" w:x="-176" w:y="1"/>
                    <w:suppressOverlap/>
                    <w:jc w:val="right"/>
                    <w:rPr>
                      <w:rFonts w:ascii="Times New Roman" w:hAnsi="Times New Roman"/>
                    </w:rPr>
                  </w:pPr>
                </w:p>
              </w:tc>
            </w:tr>
            <w:tr w:rsidR="00852DD4" w:rsidRPr="00A71735" w14:paraId="520BD6AF" w14:textId="77777777" w:rsidTr="00852DD4">
              <w:tc>
                <w:tcPr>
                  <w:tcW w:w="3428" w:type="dxa"/>
                  <w:shd w:val="clear" w:color="auto" w:fill="auto"/>
                </w:tcPr>
                <w:p w14:paraId="5AA3F820"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Zastępca Głównego Inspektora Farmaceutycznego</w:t>
                  </w:r>
                </w:p>
              </w:tc>
              <w:tc>
                <w:tcPr>
                  <w:tcW w:w="966" w:type="dxa"/>
                  <w:shd w:val="clear" w:color="auto" w:fill="auto"/>
                </w:tcPr>
                <w:p w14:paraId="5F72CC13" w14:textId="77777777" w:rsidR="00852DD4" w:rsidRPr="00A71735" w:rsidRDefault="00852DD4" w:rsidP="00290811">
                  <w:pPr>
                    <w:framePr w:hSpace="141" w:wrap="around" w:vAnchor="text" w:hAnchor="text" w:x="-176" w:y="1"/>
                    <w:suppressOverlap/>
                    <w:jc w:val="right"/>
                    <w:rPr>
                      <w:rFonts w:ascii="Times New Roman" w:hAnsi="Times New Roman"/>
                    </w:rPr>
                  </w:pPr>
                  <w:r w:rsidRPr="00A71735">
                    <w:rPr>
                      <w:rFonts w:ascii="Times New Roman" w:hAnsi="Times New Roman"/>
                    </w:rPr>
                    <w:t>1</w:t>
                  </w:r>
                </w:p>
              </w:tc>
            </w:tr>
            <w:tr w:rsidR="00852DD4" w:rsidRPr="00A71735" w14:paraId="561FEACE" w14:textId="77777777" w:rsidTr="00852DD4">
              <w:tc>
                <w:tcPr>
                  <w:tcW w:w="3428" w:type="dxa"/>
                  <w:shd w:val="clear" w:color="auto" w:fill="auto"/>
                </w:tcPr>
                <w:p w14:paraId="2B37D2FD"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RAZEM KIEROWNICTWO GIF</w:t>
                  </w:r>
                </w:p>
              </w:tc>
              <w:tc>
                <w:tcPr>
                  <w:tcW w:w="966" w:type="dxa"/>
                  <w:shd w:val="clear" w:color="auto" w:fill="auto"/>
                </w:tcPr>
                <w:p w14:paraId="17A5FE77" w14:textId="77777777" w:rsidR="00852DD4" w:rsidRPr="00A71735" w:rsidRDefault="00852DD4" w:rsidP="00290811">
                  <w:pPr>
                    <w:framePr w:hSpace="141" w:wrap="around" w:vAnchor="text" w:hAnchor="text" w:x="-176" w:y="1"/>
                    <w:suppressOverlap/>
                    <w:jc w:val="right"/>
                    <w:rPr>
                      <w:rFonts w:ascii="Times New Roman" w:hAnsi="Times New Roman"/>
                      <w:b/>
                    </w:rPr>
                  </w:pPr>
                  <w:r w:rsidRPr="00A71735">
                    <w:rPr>
                      <w:rFonts w:ascii="Times New Roman" w:hAnsi="Times New Roman"/>
                      <w:b/>
                    </w:rPr>
                    <w:t>1</w:t>
                  </w:r>
                </w:p>
              </w:tc>
            </w:tr>
          </w:tbl>
          <w:p w14:paraId="217FB6EE" w14:textId="77777777" w:rsidR="00BA59F1" w:rsidRPr="00A71735" w:rsidRDefault="00BA59F1" w:rsidP="00023B04">
            <w:pPr>
              <w:pStyle w:val="Akapitzlist"/>
              <w:spacing w:line="240" w:lineRule="auto"/>
              <w:ind w:left="0"/>
              <w:jc w:val="both"/>
              <w:rPr>
                <w:rFonts w:ascii="Times New Roman" w:hAnsi="Times New Roman"/>
              </w:rPr>
            </w:pPr>
          </w:p>
          <w:tbl>
            <w:tblPr>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966"/>
            </w:tblGrid>
            <w:tr w:rsidR="00852DD4" w:rsidRPr="00A71735" w14:paraId="1B325ED8" w14:textId="77777777" w:rsidTr="00852DD4">
              <w:tc>
                <w:tcPr>
                  <w:tcW w:w="3428" w:type="dxa"/>
                  <w:shd w:val="clear" w:color="auto" w:fill="auto"/>
                </w:tcPr>
                <w:p w14:paraId="3B9996FD" w14:textId="77777777" w:rsidR="00852DD4" w:rsidRPr="00A71735" w:rsidRDefault="00852DD4" w:rsidP="00290811">
                  <w:pPr>
                    <w:framePr w:hSpace="141" w:wrap="around" w:vAnchor="text" w:hAnchor="text" w:x="-176" w:y="1"/>
                    <w:suppressOverlap/>
                    <w:jc w:val="both"/>
                    <w:rPr>
                      <w:rFonts w:ascii="Times New Roman" w:hAnsi="Times New Roman"/>
                      <w:b/>
                    </w:rPr>
                  </w:pPr>
                </w:p>
              </w:tc>
              <w:tc>
                <w:tcPr>
                  <w:tcW w:w="966" w:type="dxa"/>
                  <w:shd w:val="clear" w:color="auto" w:fill="auto"/>
                </w:tcPr>
                <w:p w14:paraId="0E42292D" w14:textId="77777777" w:rsidR="00852DD4" w:rsidRPr="00A71735" w:rsidRDefault="00852DD4" w:rsidP="00290811">
                  <w:pPr>
                    <w:framePr w:hSpace="141" w:wrap="around" w:vAnchor="text" w:hAnchor="text" w:x="-176" w:y="1"/>
                    <w:suppressOverlap/>
                    <w:jc w:val="right"/>
                    <w:rPr>
                      <w:rFonts w:ascii="Times New Roman" w:hAnsi="Times New Roman"/>
                    </w:rPr>
                  </w:pPr>
                  <w:r w:rsidRPr="00A71735">
                    <w:rPr>
                      <w:rFonts w:ascii="Times New Roman" w:hAnsi="Times New Roman"/>
                      <w:b/>
                    </w:rPr>
                    <w:t>Liczba etatów</w:t>
                  </w:r>
                </w:p>
              </w:tc>
            </w:tr>
            <w:tr w:rsidR="00852DD4" w:rsidRPr="00A71735" w14:paraId="06CC4B6C" w14:textId="77777777" w:rsidTr="00852DD4">
              <w:tc>
                <w:tcPr>
                  <w:tcW w:w="3428" w:type="dxa"/>
                  <w:shd w:val="clear" w:color="auto" w:fill="auto"/>
                </w:tcPr>
                <w:p w14:paraId="766D407C"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CENTRALA  GIF</w:t>
                  </w:r>
                </w:p>
              </w:tc>
              <w:tc>
                <w:tcPr>
                  <w:tcW w:w="966" w:type="dxa"/>
                  <w:shd w:val="clear" w:color="auto" w:fill="auto"/>
                </w:tcPr>
                <w:p w14:paraId="584FC1D7" w14:textId="77777777" w:rsidR="00852DD4" w:rsidRPr="00A71735" w:rsidRDefault="00852DD4" w:rsidP="00290811">
                  <w:pPr>
                    <w:framePr w:hSpace="141" w:wrap="around" w:vAnchor="text" w:hAnchor="text" w:x="-176" w:y="1"/>
                    <w:suppressOverlap/>
                    <w:jc w:val="right"/>
                    <w:rPr>
                      <w:rFonts w:ascii="Times New Roman" w:hAnsi="Times New Roman"/>
                    </w:rPr>
                  </w:pPr>
                </w:p>
              </w:tc>
            </w:tr>
            <w:tr w:rsidR="00852DD4" w:rsidRPr="00A71735" w14:paraId="6B944360" w14:textId="77777777" w:rsidTr="00852DD4">
              <w:tc>
                <w:tcPr>
                  <w:tcW w:w="3428" w:type="dxa"/>
                  <w:shd w:val="clear" w:color="auto" w:fill="auto"/>
                </w:tcPr>
                <w:p w14:paraId="66761A71"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b/>
                    </w:rPr>
                    <w:t>Departament Nadzoru nad Laboratoriami Diagnostyki Medycznej</w:t>
                  </w:r>
                </w:p>
              </w:tc>
              <w:tc>
                <w:tcPr>
                  <w:tcW w:w="966" w:type="dxa"/>
                  <w:shd w:val="clear" w:color="auto" w:fill="auto"/>
                </w:tcPr>
                <w:p w14:paraId="5BE14155" w14:textId="77777777" w:rsidR="00852DD4" w:rsidRPr="00A71735" w:rsidRDefault="00852DD4" w:rsidP="00290811">
                  <w:pPr>
                    <w:framePr w:hSpace="141" w:wrap="around" w:vAnchor="text" w:hAnchor="text" w:x="-176" w:y="1"/>
                    <w:suppressOverlap/>
                    <w:jc w:val="right"/>
                    <w:rPr>
                      <w:rFonts w:ascii="Times New Roman" w:hAnsi="Times New Roman"/>
                    </w:rPr>
                  </w:pPr>
                </w:p>
              </w:tc>
            </w:tr>
            <w:tr w:rsidR="00852DD4" w:rsidRPr="00A71735" w14:paraId="2A725872" w14:textId="77777777" w:rsidTr="00852DD4">
              <w:tc>
                <w:tcPr>
                  <w:tcW w:w="3428" w:type="dxa"/>
                  <w:shd w:val="clear" w:color="auto" w:fill="auto"/>
                </w:tcPr>
                <w:p w14:paraId="31E9B07D"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rPr>
                    <w:t>- dyrektor</w:t>
                  </w:r>
                </w:p>
              </w:tc>
              <w:tc>
                <w:tcPr>
                  <w:tcW w:w="966" w:type="dxa"/>
                  <w:shd w:val="clear" w:color="auto" w:fill="auto"/>
                </w:tcPr>
                <w:p w14:paraId="6D247390" w14:textId="77777777" w:rsidR="00852DD4" w:rsidRPr="00A71735" w:rsidRDefault="00852DD4" w:rsidP="00290811">
                  <w:pPr>
                    <w:framePr w:hSpace="141" w:wrap="around" w:vAnchor="text" w:hAnchor="text" w:x="-176" w:y="1"/>
                    <w:suppressOverlap/>
                    <w:jc w:val="right"/>
                    <w:rPr>
                      <w:rFonts w:ascii="Times New Roman" w:hAnsi="Times New Roman"/>
                    </w:rPr>
                  </w:pPr>
                  <w:r w:rsidRPr="00A71735">
                    <w:rPr>
                      <w:rFonts w:ascii="Times New Roman" w:hAnsi="Times New Roman"/>
                    </w:rPr>
                    <w:t>1</w:t>
                  </w:r>
                </w:p>
              </w:tc>
            </w:tr>
            <w:tr w:rsidR="00852DD4" w:rsidRPr="00A71735" w14:paraId="750820CB" w14:textId="77777777" w:rsidTr="00852DD4">
              <w:tc>
                <w:tcPr>
                  <w:tcW w:w="3428" w:type="dxa"/>
                  <w:shd w:val="clear" w:color="auto" w:fill="auto"/>
                </w:tcPr>
                <w:p w14:paraId="7FB7CE13"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rPr>
                    <w:t>- sekretarka</w:t>
                  </w:r>
                </w:p>
              </w:tc>
              <w:tc>
                <w:tcPr>
                  <w:tcW w:w="966" w:type="dxa"/>
                  <w:shd w:val="clear" w:color="auto" w:fill="auto"/>
                </w:tcPr>
                <w:p w14:paraId="4969A5BD" w14:textId="77777777" w:rsidR="00852DD4" w:rsidRPr="00A71735" w:rsidRDefault="00852DD4" w:rsidP="00290811">
                  <w:pPr>
                    <w:framePr w:hSpace="141" w:wrap="around" w:vAnchor="text" w:hAnchor="text" w:x="-176" w:y="1"/>
                    <w:suppressOverlap/>
                    <w:jc w:val="right"/>
                    <w:rPr>
                      <w:rFonts w:ascii="Times New Roman" w:hAnsi="Times New Roman"/>
                    </w:rPr>
                  </w:pPr>
                  <w:r w:rsidRPr="00A71735">
                    <w:rPr>
                      <w:rFonts w:ascii="Times New Roman" w:hAnsi="Times New Roman"/>
                    </w:rPr>
                    <w:t>1</w:t>
                  </w:r>
                </w:p>
              </w:tc>
            </w:tr>
            <w:tr w:rsidR="00852DD4" w:rsidRPr="00A71735" w14:paraId="580557C3" w14:textId="77777777" w:rsidTr="00852DD4">
              <w:tc>
                <w:tcPr>
                  <w:tcW w:w="3428" w:type="dxa"/>
                  <w:shd w:val="clear" w:color="auto" w:fill="auto"/>
                </w:tcPr>
                <w:p w14:paraId="53DF037B"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rPr>
                    <w:t>- inspektorzy diagnostyki laboratoryjnej</w:t>
                  </w:r>
                </w:p>
              </w:tc>
              <w:tc>
                <w:tcPr>
                  <w:tcW w:w="966" w:type="dxa"/>
                  <w:shd w:val="clear" w:color="auto" w:fill="auto"/>
                </w:tcPr>
                <w:p w14:paraId="2D9569B7" w14:textId="77777777" w:rsidR="00852DD4" w:rsidRPr="00A71735" w:rsidRDefault="00EC3551" w:rsidP="00290811">
                  <w:pPr>
                    <w:framePr w:hSpace="141" w:wrap="around" w:vAnchor="text" w:hAnchor="text" w:x="-176" w:y="1"/>
                    <w:suppressOverlap/>
                    <w:jc w:val="right"/>
                    <w:rPr>
                      <w:rFonts w:ascii="Times New Roman" w:hAnsi="Times New Roman"/>
                    </w:rPr>
                  </w:pPr>
                  <w:r>
                    <w:rPr>
                      <w:rFonts w:ascii="Times New Roman" w:hAnsi="Times New Roman"/>
                    </w:rPr>
                    <w:t>10</w:t>
                  </w:r>
                </w:p>
              </w:tc>
            </w:tr>
            <w:tr w:rsidR="00852DD4" w:rsidRPr="00A71735" w14:paraId="39E89F48" w14:textId="77777777" w:rsidTr="00852DD4">
              <w:tc>
                <w:tcPr>
                  <w:tcW w:w="3428" w:type="dxa"/>
                  <w:shd w:val="clear" w:color="auto" w:fill="auto"/>
                </w:tcPr>
                <w:p w14:paraId="6004BC37"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RAZEM CENTRALA GIF</w:t>
                  </w:r>
                </w:p>
              </w:tc>
              <w:tc>
                <w:tcPr>
                  <w:tcW w:w="966" w:type="dxa"/>
                  <w:shd w:val="clear" w:color="auto" w:fill="auto"/>
                </w:tcPr>
                <w:p w14:paraId="30B564CB" w14:textId="77777777" w:rsidR="00852DD4" w:rsidRPr="00A71735" w:rsidRDefault="00EC3551" w:rsidP="00290811">
                  <w:pPr>
                    <w:framePr w:hSpace="141" w:wrap="around" w:vAnchor="text" w:hAnchor="text" w:x="-176" w:y="1"/>
                    <w:suppressOverlap/>
                    <w:jc w:val="right"/>
                    <w:rPr>
                      <w:rFonts w:ascii="Times New Roman" w:hAnsi="Times New Roman"/>
                      <w:b/>
                    </w:rPr>
                  </w:pPr>
                  <w:r>
                    <w:rPr>
                      <w:rFonts w:ascii="Times New Roman" w:hAnsi="Times New Roman"/>
                      <w:b/>
                    </w:rPr>
                    <w:t>12</w:t>
                  </w:r>
                </w:p>
              </w:tc>
            </w:tr>
            <w:tr w:rsidR="00852DD4" w:rsidRPr="00A71735" w14:paraId="48FF3AF1" w14:textId="77777777" w:rsidTr="00852DD4">
              <w:tc>
                <w:tcPr>
                  <w:tcW w:w="3428" w:type="dxa"/>
                  <w:shd w:val="clear" w:color="auto" w:fill="auto"/>
                </w:tcPr>
                <w:p w14:paraId="2C335756" w14:textId="77777777" w:rsidR="00852DD4" w:rsidRPr="00A71735" w:rsidRDefault="00852DD4" w:rsidP="00290811">
                  <w:pPr>
                    <w:framePr w:hSpace="141" w:wrap="around" w:vAnchor="text" w:hAnchor="text" w:x="-176" w:y="1"/>
                    <w:suppressOverlap/>
                    <w:jc w:val="both"/>
                    <w:rPr>
                      <w:rFonts w:ascii="Times New Roman" w:hAnsi="Times New Roman"/>
                      <w:b/>
                    </w:rPr>
                  </w:pPr>
                </w:p>
              </w:tc>
              <w:tc>
                <w:tcPr>
                  <w:tcW w:w="966" w:type="dxa"/>
                  <w:shd w:val="clear" w:color="auto" w:fill="auto"/>
                </w:tcPr>
                <w:p w14:paraId="48AA5156" w14:textId="77777777" w:rsidR="00852DD4" w:rsidRPr="00A71735" w:rsidRDefault="00852DD4" w:rsidP="00290811">
                  <w:pPr>
                    <w:framePr w:hSpace="141" w:wrap="around" w:vAnchor="text" w:hAnchor="text" w:x="-176" w:y="1"/>
                    <w:suppressOverlap/>
                    <w:jc w:val="right"/>
                    <w:rPr>
                      <w:rFonts w:ascii="Times New Roman" w:hAnsi="Times New Roman"/>
                      <w:b/>
                    </w:rPr>
                  </w:pPr>
                </w:p>
              </w:tc>
            </w:tr>
            <w:tr w:rsidR="00852DD4" w:rsidRPr="00A71735" w14:paraId="2D6AF3A3" w14:textId="77777777" w:rsidTr="00852DD4">
              <w:tc>
                <w:tcPr>
                  <w:tcW w:w="3428" w:type="dxa"/>
                  <w:shd w:val="clear" w:color="auto" w:fill="auto"/>
                </w:tcPr>
                <w:p w14:paraId="0284FC35"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ODDZIAŁY TERENOWE GIF</w:t>
                  </w:r>
                </w:p>
              </w:tc>
              <w:tc>
                <w:tcPr>
                  <w:tcW w:w="966" w:type="dxa"/>
                  <w:shd w:val="clear" w:color="auto" w:fill="auto"/>
                </w:tcPr>
                <w:p w14:paraId="42CC29C3" w14:textId="77777777" w:rsidR="00852DD4" w:rsidRPr="00A71735" w:rsidRDefault="00852DD4" w:rsidP="00290811">
                  <w:pPr>
                    <w:framePr w:hSpace="141" w:wrap="around" w:vAnchor="text" w:hAnchor="text" w:x="-176" w:y="1"/>
                    <w:suppressOverlap/>
                    <w:jc w:val="right"/>
                    <w:rPr>
                      <w:rFonts w:ascii="Times New Roman" w:hAnsi="Times New Roman"/>
                      <w:b/>
                    </w:rPr>
                  </w:pPr>
                </w:p>
              </w:tc>
            </w:tr>
            <w:tr w:rsidR="00852DD4" w:rsidRPr="00A71735" w14:paraId="238613A2" w14:textId="77777777" w:rsidTr="00852DD4">
              <w:tc>
                <w:tcPr>
                  <w:tcW w:w="3428" w:type="dxa"/>
                  <w:shd w:val="clear" w:color="auto" w:fill="auto"/>
                </w:tcPr>
                <w:p w14:paraId="7B117DDE"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rPr>
                    <w:t>inspektorzy diagnostyki laboratoryjnej</w:t>
                  </w:r>
                </w:p>
              </w:tc>
              <w:tc>
                <w:tcPr>
                  <w:tcW w:w="966" w:type="dxa"/>
                  <w:shd w:val="clear" w:color="auto" w:fill="auto"/>
                </w:tcPr>
                <w:p w14:paraId="69169CB1" w14:textId="77777777" w:rsidR="00852DD4" w:rsidRPr="00A71735" w:rsidRDefault="00EC3551" w:rsidP="00290811">
                  <w:pPr>
                    <w:framePr w:hSpace="141" w:wrap="around" w:vAnchor="text" w:hAnchor="text" w:x="-176" w:y="1"/>
                    <w:suppressOverlap/>
                    <w:jc w:val="right"/>
                    <w:rPr>
                      <w:rFonts w:ascii="Times New Roman" w:hAnsi="Times New Roman"/>
                    </w:rPr>
                  </w:pPr>
                  <w:r>
                    <w:rPr>
                      <w:rFonts w:ascii="Times New Roman" w:hAnsi="Times New Roman"/>
                    </w:rPr>
                    <w:t>16</w:t>
                  </w:r>
                </w:p>
              </w:tc>
            </w:tr>
            <w:tr w:rsidR="00852DD4" w:rsidRPr="00A71735" w14:paraId="3CC2EC95" w14:textId="77777777" w:rsidTr="00852DD4">
              <w:tc>
                <w:tcPr>
                  <w:tcW w:w="3428" w:type="dxa"/>
                  <w:shd w:val="clear" w:color="auto" w:fill="auto"/>
                </w:tcPr>
                <w:p w14:paraId="69AC05D1" w14:textId="77777777" w:rsidR="00852DD4" w:rsidRPr="00A71735" w:rsidRDefault="00852DD4" w:rsidP="00290811">
                  <w:pPr>
                    <w:framePr w:hSpace="141" w:wrap="around" w:vAnchor="text" w:hAnchor="text" w:x="-176" w:y="1"/>
                    <w:suppressOverlap/>
                    <w:jc w:val="both"/>
                    <w:rPr>
                      <w:rFonts w:ascii="Times New Roman" w:hAnsi="Times New Roman"/>
                    </w:rPr>
                  </w:pPr>
                  <w:r w:rsidRPr="00A71735">
                    <w:rPr>
                      <w:rFonts w:ascii="Times New Roman" w:hAnsi="Times New Roman"/>
                    </w:rPr>
                    <w:t xml:space="preserve">RAZEM </w:t>
                  </w:r>
                  <w:r w:rsidRPr="00A71735">
                    <w:rPr>
                      <w:rFonts w:ascii="Times New Roman" w:hAnsi="Times New Roman"/>
                      <w:b/>
                    </w:rPr>
                    <w:t>ODDZIAŁY TERENOWE GIF</w:t>
                  </w:r>
                </w:p>
              </w:tc>
              <w:tc>
                <w:tcPr>
                  <w:tcW w:w="966" w:type="dxa"/>
                  <w:shd w:val="clear" w:color="auto" w:fill="auto"/>
                </w:tcPr>
                <w:p w14:paraId="07680636" w14:textId="77777777" w:rsidR="00852DD4" w:rsidRPr="00A71735" w:rsidRDefault="00EC3551" w:rsidP="00290811">
                  <w:pPr>
                    <w:framePr w:hSpace="141" w:wrap="around" w:vAnchor="text" w:hAnchor="text" w:x="-176" w:y="1"/>
                    <w:suppressOverlap/>
                    <w:jc w:val="right"/>
                    <w:rPr>
                      <w:rFonts w:ascii="Times New Roman" w:hAnsi="Times New Roman"/>
                      <w:b/>
                    </w:rPr>
                  </w:pPr>
                  <w:r>
                    <w:rPr>
                      <w:rFonts w:ascii="Times New Roman" w:hAnsi="Times New Roman"/>
                      <w:b/>
                    </w:rPr>
                    <w:t>16</w:t>
                  </w:r>
                </w:p>
              </w:tc>
            </w:tr>
            <w:tr w:rsidR="00852DD4" w:rsidRPr="00A71735" w14:paraId="20968736" w14:textId="77777777" w:rsidTr="00852DD4">
              <w:tc>
                <w:tcPr>
                  <w:tcW w:w="3428" w:type="dxa"/>
                  <w:shd w:val="clear" w:color="auto" w:fill="auto"/>
                </w:tcPr>
                <w:p w14:paraId="1CFAD4FE" w14:textId="77777777" w:rsidR="00852DD4" w:rsidRPr="00A71735" w:rsidRDefault="00852DD4" w:rsidP="00290811">
                  <w:pPr>
                    <w:framePr w:hSpace="141" w:wrap="around" w:vAnchor="text" w:hAnchor="text" w:x="-176" w:y="1"/>
                    <w:suppressOverlap/>
                    <w:jc w:val="both"/>
                    <w:rPr>
                      <w:rFonts w:ascii="Times New Roman" w:hAnsi="Times New Roman"/>
                    </w:rPr>
                  </w:pPr>
                </w:p>
              </w:tc>
              <w:tc>
                <w:tcPr>
                  <w:tcW w:w="966" w:type="dxa"/>
                  <w:shd w:val="clear" w:color="auto" w:fill="auto"/>
                </w:tcPr>
                <w:p w14:paraId="5DC9C4FA" w14:textId="77777777" w:rsidR="00852DD4" w:rsidRPr="00A71735" w:rsidRDefault="00852DD4" w:rsidP="00290811">
                  <w:pPr>
                    <w:framePr w:hSpace="141" w:wrap="around" w:vAnchor="text" w:hAnchor="text" w:x="-176" w:y="1"/>
                    <w:suppressOverlap/>
                    <w:jc w:val="right"/>
                    <w:rPr>
                      <w:rFonts w:ascii="Times New Roman" w:hAnsi="Times New Roman"/>
                      <w:b/>
                    </w:rPr>
                  </w:pPr>
                </w:p>
              </w:tc>
            </w:tr>
            <w:tr w:rsidR="00852DD4" w:rsidRPr="00A71735" w14:paraId="442F81CC" w14:textId="77777777" w:rsidTr="00852DD4">
              <w:tc>
                <w:tcPr>
                  <w:tcW w:w="3428" w:type="dxa"/>
                  <w:shd w:val="clear" w:color="auto" w:fill="auto"/>
                </w:tcPr>
                <w:p w14:paraId="49CDD4AB" w14:textId="77777777" w:rsidR="00852DD4" w:rsidRPr="00A71735" w:rsidRDefault="00852DD4" w:rsidP="00290811">
                  <w:pPr>
                    <w:framePr w:hSpace="141" w:wrap="around" w:vAnchor="text" w:hAnchor="text" w:x="-176" w:y="1"/>
                    <w:suppressOverlap/>
                    <w:jc w:val="both"/>
                    <w:rPr>
                      <w:rFonts w:ascii="Times New Roman" w:hAnsi="Times New Roman"/>
                      <w:b/>
                    </w:rPr>
                  </w:pPr>
                  <w:r w:rsidRPr="00A71735">
                    <w:rPr>
                      <w:rFonts w:ascii="Times New Roman" w:hAnsi="Times New Roman"/>
                      <w:b/>
                    </w:rPr>
                    <w:t>Razem  Centrala i Oddziały terenowe GIF</w:t>
                  </w:r>
                </w:p>
              </w:tc>
              <w:tc>
                <w:tcPr>
                  <w:tcW w:w="966" w:type="dxa"/>
                  <w:shd w:val="clear" w:color="auto" w:fill="auto"/>
                </w:tcPr>
                <w:p w14:paraId="78648AD8" w14:textId="77777777" w:rsidR="00852DD4" w:rsidRPr="00A71735" w:rsidRDefault="00EC3551" w:rsidP="00290811">
                  <w:pPr>
                    <w:framePr w:hSpace="141" w:wrap="around" w:vAnchor="text" w:hAnchor="text" w:x="-176" w:y="1"/>
                    <w:suppressOverlap/>
                    <w:jc w:val="right"/>
                    <w:rPr>
                      <w:rFonts w:ascii="Times New Roman" w:hAnsi="Times New Roman"/>
                      <w:b/>
                    </w:rPr>
                  </w:pPr>
                  <w:r>
                    <w:rPr>
                      <w:rFonts w:ascii="Times New Roman" w:hAnsi="Times New Roman"/>
                      <w:b/>
                    </w:rPr>
                    <w:t>29</w:t>
                  </w:r>
                </w:p>
              </w:tc>
            </w:tr>
          </w:tbl>
          <w:p w14:paraId="6D93365D" w14:textId="77777777" w:rsidR="00C024D9" w:rsidRPr="00A71735" w:rsidRDefault="00C024D9" w:rsidP="00023B04">
            <w:pPr>
              <w:pStyle w:val="Akapitzlist"/>
              <w:spacing w:line="240" w:lineRule="auto"/>
              <w:ind w:left="0"/>
              <w:jc w:val="both"/>
              <w:rPr>
                <w:rFonts w:ascii="Times New Roman" w:hAnsi="Times New Roman"/>
              </w:rPr>
            </w:pPr>
          </w:p>
          <w:p w14:paraId="43998406" w14:textId="77777777" w:rsidR="006F4150" w:rsidRPr="00A71735" w:rsidRDefault="00CD1A06" w:rsidP="006F4150">
            <w:pPr>
              <w:pStyle w:val="Akapitzlist"/>
              <w:tabs>
                <w:tab w:val="left" w:pos="341"/>
              </w:tabs>
              <w:spacing w:line="240" w:lineRule="auto"/>
              <w:ind w:left="0"/>
              <w:jc w:val="both"/>
              <w:rPr>
                <w:rFonts w:ascii="Times New Roman" w:hAnsi="Times New Roman"/>
                <w:color w:val="000000"/>
              </w:rPr>
            </w:pPr>
            <w:r w:rsidRPr="00A71735">
              <w:rPr>
                <w:rFonts w:ascii="Times New Roman" w:hAnsi="Times New Roman"/>
                <w:color w:val="000000"/>
              </w:rPr>
              <w:t>Przed dniem wejścia w życie ustawy w zakresie przejęcia nadzoru GIF nad medycznymi laboratoriami diagnostycznymi (w okresie jej vacatio legis)</w:t>
            </w:r>
            <w:r w:rsidR="006F4150" w:rsidRPr="00A71735">
              <w:rPr>
                <w:rFonts w:ascii="Times New Roman" w:hAnsi="Times New Roman"/>
                <w:color w:val="000000"/>
              </w:rPr>
              <w:t>, przewidziane jest zatrudnienie 3 pracowników w</w:t>
            </w:r>
            <w:r w:rsidR="00402560" w:rsidRPr="00A71735">
              <w:rPr>
                <w:rFonts w:ascii="Times New Roman" w:hAnsi="Times New Roman"/>
                <w:color w:val="000000"/>
              </w:rPr>
              <w:t> </w:t>
            </w:r>
            <w:r w:rsidR="006F4150" w:rsidRPr="00A71735">
              <w:rPr>
                <w:rFonts w:ascii="Times New Roman" w:hAnsi="Times New Roman"/>
                <w:color w:val="000000"/>
              </w:rPr>
              <w:t xml:space="preserve">centrali GIF, natomiast w zakładanym momencie wejścia w życie ustawy przewidziano zatrudnienie pozostałych </w:t>
            </w:r>
            <w:r w:rsidR="00EC3551">
              <w:rPr>
                <w:rFonts w:ascii="Times New Roman" w:hAnsi="Times New Roman"/>
                <w:color w:val="000000"/>
              </w:rPr>
              <w:t>26</w:t>
            </w:r>
            <w:r w:rsidR="00EC3551" w:rsidRPr="00A71735">
              <w:rPr>
                <w:rFonts w:ascii="Times New Roman" w:hAnsi="Times New Roman"/>
                <w:color w:val="000000"/>
              </w:rPr>
              <w:t xml:space="preserve"> </w:t>
            </w:r>
            <w:r w:rsidR="006F4150" w:rsidRPr="00A71735">
              <w:rPr>
                <w:rFonts w:ascii="Times New Roman" w:hAnsi="Times New Roman"/>
                <w:color w:val="000000"/>
              </w:rPr>
              <w:t>pracowników w centrali GIF oraz oddziałach terenowych GIF.</w:t>
            </w:r>
          </w:p>
          <w:p w14:paraId="736AA5EE" w14:textId="77777777" w:rsidR="006F4150" w:rsidRPr="00A71735" w:rsidRDefault="006F4150" w:rsidP="006F4150">
            <w:pPr>
              <w:pStyle w:val="Akapitzlist"/>
              <w:tabs>
                <w:tab w:val="left" w:pos="341"/>
              </w:tabs>
              <w:spacing w:line="240" w:lineRule="auto"/>
              <w:ind w:left="341"/>
              <w:jc w:val="both"/>
              <w:rPr>
                <w:rFonts w:ascii="Times New Roman" w:hAnsi="Times New Roman"/>
                <w:color w:val="000000"/>
              </w:rPr>
            </w:pPr>
          </w:p>
          <w:p w14:paraId="5D6C8DCD" w14:textId="77777777" w:rsidR="006F4150" w:rsidRDefault="006F4150" w:rsidP="00970D65">
            <w:pPr>
              <w:pStyle w:val="Akapitzlist"/>
              <w:spacing w:line="240" w:lineRule="auto"/>
              <w:ind w:left="0"/>
              <w:jc w:val="both"/>
              <w:rPr>
                <w:rFonts w:ascii="Times New Roman" w:hAnsi="Times New Roman"/>
                <w:color w:val="000000"/>
              </w:rPr>
            </w:pPr>
            <w:r w:rsidRPr="00A71735">
              <w:rPr>
                <w:rFonts w:ascii="Times New Roman" w:hAnsi="Times New Roman"/>
                <w:color w:val="000000"/>
              </w:rPr>
              <w:t xml:space="preserve">Planując niezbędną do zatrudnienia liczbę inspektorów diagnostyki laboratoryjnej w oddziałach terenowych GIF przyjęto poziom zatrudnienia </w:t>
            </w:r>
            <w:r w:rsidR="001D7C27">
              <w:rPr>
                <w:rFonts w:ascii="Times New Roman" w:hAnsi="Times New Roman"/>
                <w:color w:val="000000"/>
              </w:rPr>
              <w:t>1</w:t>
            </w:r>
            <w:r w:rsidRPr="00A71735">
              <w:rPr>
                <w:rFonts w:ascii="Times New Roman" w:hAnsi="Times New Roman"/>
                <w:color w:val="000000"/>
              </w:rPr>
              <w:t xml:space="preserve"> etat</w:t>
            </w:r>
            <w:r w:rsidR="001D7C27">
              <w:rPr>
                <w:rFonts w:ascii="Times New Roman" w:hAnsi="Times New Roman"/>
                <w:color w:val="000000"/>
              </w:rPr>
              <w:t xml:space="preserve"> </w:t>
            </w:r>
            <w:r w:rsidRPr="00A71735">
              <w:rPr>
                <w:rFonts w:ascii="Times New Roman" w:hAnsi="Times New Roman"/>
                <w:color w:val="000000"/>
              </w:rPr>
              <w:t>na oddział terenowy GIF.</w:t>
            </w:r>
          </w:p>
          <w:p w14:paraId="2888D282" w14:textId="77777777" w:rsidR="00B36079" w:rsidRDefault="008B40FB" w:rsidP="00970D65">
            <w:pPr>
              <w:pStyle w:val="Akapitzlist"/>
              <w:spacing w:line="240" w:lineRule="auto"/>
              <w:ind w:left="0"/>
              <w:jc w:val="both"/>
              <w:rPr>
                <w:rFonts w:ascii="Times New Roman" w:hAnsi="Times New Roman"/>
                <w:color w:val="000000"/>
              </w:rPr>
            </w:pPr>
            <w:r>
              <w:rPr>
                <w:rFonts w:ascii="Times New Roman" w:hAnsi="Times New Roman"/>
                <w:color w:val="000000"/>
              </w:rPr>
              <w:t>Podkreślenia wymaga, że inspekcje w medycznych laboratoriach diagnostycznych będą prowadzone w</w:t>
            </w:r>
            <w:r w:rsidR="00A10094">
              <w:rPr>
                <w:rFonts w:ascii="Times New Roman" w:hAnsi="Times New Roman"/>
                <w:color w:val="000000"/>
              </w:rPr>
              <w:t> </w:t>
            </w:r>
            <w:r>
              <w:rPr>
                <w:rFonts w:ascii="Times New Roman" w:hAnsi="Times New Roman"/>
                <w:color w:val="000000"/>
              </w:rPr>
              <w:t>2</w:t>
            </w:r>
            <w:r w:rsidR="00A10094">
              <w:rPr>
                <w:rFonts w:ascii="Times New Roman" w:hAnsi="Times New Roman"/>
                <w:color w:val="000000"/>
              </w:rPr>
              <w:t> </w:t>
            </w:r>
            <w:r>
              <w:rPr>
                <w:rFonts w:ascii="Times New Roman" w:hAnsi="Times New Roman"/>
                <w:color w:val="000000"/>
              </w:rPr>
              <w:t xml:space="preserve">osobowych zespołach. </w:t>
            </w:r>
            <w:r w:rsidR="00B36079">
              <w:rPr>
                <w:rFonts w:ascii="Times New Roman" w:hAnsi="Times New Roman"/>
                <w:color w:val="000000"/>
              </w:rPr>
              <w:t>Aby zapewnić prawidłowy nadzór nad medycznymi laboratoriami diagnostycznymi przyjmuje się, że każdy podmiot powinien być skontrolowany w odstępie nieprzekraczającym 5 lat. Powyższe pozwoli Głównemu Inspektorowi Farmaceutycznemu na prawidłową ocenę sytuacji w przedmiotowym obszarze.</w:t>
            </w:r>
          </w:p>
          <w:p w14:paraId="24008152" w14:textId="77777777" w:rsidR="008B40FB" w:rsidRDefault="008B40FB" w:rsidP="00970D65">
            <w:pPr>
              <w:pStyle w:val="Akapitzlist"/>
              <w:spacing w:line="240" w:lineRule="auto"/>
              <w:ind w:left="0"/>
              <w:jc w:val="both"/>
              <w:rPr>
                <w:rFonts w:ascii="Times New Roman" w:hAnsi="Times New Roman"/>
                <w:color w:val="000000"/>
              </w:rPr>
            </w:pPr>
            <w:r>
              <w:rPr>
                <w:rFonts w:ascii="Times New Roman" w:hAnsi="Times New Roman"/>
                <w:color w:val="000000"/>
              </w:rPr>
              <w:t xml:space="preserve">Biorąc pod uwagę szacowaną liczbę kontrolowanych podmiotów (ok. </w:t>
            </w:r>
            <w:r w:rsidR="0006069A" w:rsidRPr="0006069A">
              <w:rPr>
                <w:rFonts w:ascii="Times New Roman" w:hAnsi="Times New Roman"/>
                <w:color w:val="000000"/>
              </w:rPr>
              <w:t>2730</w:t>
            </w:r>
            <w:r w:rsidR="0006069A">
              <w:rPr>
                <w:rFonts w:ascii="Times New Roman" w:hAnsi="Times New Roman"/>
                <w:color w:val="000000"/>
              </w:rPr>
              <w:t xml:space="preserve"> – dane z rejestru prowadzonego przez KRDL, który może nie obejmować wszystkich laboratoriów, właściwa liczba będzie możliwa do stwierdzenia po wprowadzeniu nadzoru przewidzianego w projekcie</w:t>
            </w:r>
            <w:r>
              <w:rPr>
                <w:rFonts w:ascii="Times New Roman" w:hAnsi="Times New Roman"/>
                <w:color w:val="000000"/>
              </w:rPr>
              <w:t xml:space="preserve">) na taki zespół przypadnie średnio </w:t>
            </w:r>
            <w:r w:rsidR="001D7C27">
              <w:rPr>
                <w:rFonts w:ascii="Times New Roman" w:hAnsi="Times New Roman"/>
                <w:color w:val="000000"/>
              </w:rPr>
              <w:t xml:space="preserve">210 </w:t>
            </w:r>
            <w:r>
              <w:rPr>
                <w:rFonts w:ascii="Times New Roman" w:hAnsi="Times New Roman"/>
                <w:color w:val="000000"/>
              </w:rPr>
              <w:t>kontrolowan</w:t>
            </w:r>
            <w:r w:rsidR="0006069A">
              <w:rPr>
                <w:rFonts w:ascii="Times New Roman" w:hAnsi="Times New Roman"/>
                <w:color w:val="000000"/>
              </w:rPr>
              <w:t>ych</w:t>
            </w:r>
            <w:r>
              <w:rPr>
                <w:rFonts w:ascii="Times New Roman" w:hAnsi="Times New Roman"/>
                <w:color w:val="000000"/>
              </w:rPr>
              <w:t xml:space="preserve"> podmiot</w:t>
            </w:r>
            <w:r w:rsidR="00BC625B">
              <w:rPr>
                <w:rFonts w:ascii="Times New Roman" w:hAnsi="Times New Roman"/>
                <w:color w:val="000000"/>
              </w:rPr>
              <w:t>ów</w:t>
            </w:r>
            <w:r>
              <w:rPr>
                <w:rFonts w:ascii="Times New Roman" w:hAnsi="Times New Roman"/>
                <w:color w:val="000000"/>
              </w:rPr>
              <w:t>.</w:t>
            </w:r>
          </w:p>
          <w:p w14:paraId="426DF431" w14:textId="77777777" w:rsidR="00706FBC" w:rsidRDefault="008B40FB" w:rsidP="00970D65">
            <w:pPr>
              <w:pStyle w:val="Akapitzlist"/>
              <w:spacing w:line="240" w:lineRule="auto"/>
              <w:ind w:left="0"/>
              <w:jc w:val="both"/>
              <w:rPr>
                <w:rFonts w:ascii="Times New Roman" w:hAnsi="Times New Roman"/>
                <w:color w:val="000000"/>
              </w:rPr>
            </w:pPr>
            <w:r>
              <w:rPr>
                <w:rFonts w:ascii="Times New Roman" w:hAnsi="Times New Roman"/>
                <w:color w:val="000000"/>
              </w:rPr>
              <w:t xml:space="preserve">Przyjmując średnią </w:t>
            </w:r>
            <w:r w:rsidR="001D7C27">
              <w:rPr>
                <w:rFonts w:ascii="Times New Roman" w:hAnsi="Times New Roman"/>
                <w:color w:val="000000"/>
              </w:rPr>
              <w:t xml:space="preserve">3,5 </w:t>
            </w:r>
            <w:r>
              <w:rPr>
                <w:rFonts w:ascii="Times New Roman" w:hAnsi="Times New Roman"/>
                <w:color w:val="000000"/>
              </w:rPr>
              <w:t xml:space="preserve">kontroli w miesiącu </w:t>
            </w:r>
            <w:r w:rsidR="00706FBC">
              <w:rPr>
                <w:rFonts w:ascii="Times New Roman" w:hAnsi="Times New Roman"/>
                <w:color w:val="000000"/>
              </w:rPr>
              <w:t xml:space="preserve">należy przyjąć, że zespół inspektorów będzie kontrolował ok. </w:t>
            </w:r>
            <w:r w:rsidR="001D7C27">
              <w:rPr>
                <w:rFonts w:ascii="Times New Roman" w:hAnsi="Times New Roman"/>
                <w:color w:val="000000"/>
              </w:rPr>
              <w:t xml:space="preserve">42 </w:t>
            </w:r>
            <w:r w:rsidR="00706FBC">
              <w:rPr>
                <w:rFonts w:ascii="Times New Roman" w:hAnsi="Times New Roman"/>
                <w:color w:val="000000"/>
              </w:rPr>
              <w:t>podmiot</w:t>
            </w:r>
            <w:r w:rsidR="001D7C27">
              <w:rPr>
                <w:rFonts w:ascii="Times New Roman" w:hAnsi="Times New Roman"/>
                <w:color w:val="000000"/>
              </w:rPr>
              <w:t>y</w:t>
            </w:r>
            <w:r w:rsidR="00706FBC">
              <w:rPr>
                <w:rFonts w:ascii="Times New Roman" w:hAnsi="Times New Roman"/>
                <w:color w:val="000000"/>
              </w:rPr>
              <w:t xml:space="preserve"> rocznie. Taka częstotliwość kontroli powinna zapewnić, że będzie możliwość skontrolowania całego obszaru działania medycznych laboratoriów diagnostycznych w terminie 5 lat.</w:t>
            </w:r>
          </w:p>
          <w:p w14:paraId="0F3DC7A2" w14:textId="77777777" w:rsidR="00706FBC" w:rsidRDefault="00706FBC" w:rsidP="00970D65">
            <w:pPr>
              <w:pStyle w:val="Akapitzlist"/>
              <w:spacing w:line="240" w:lineRule="auto"/>
              <w:ind w:left="0"/>
              <w:jc w:val="both"/>
              <w:rPr>
                <w:rFonts w:ascii="Times New Roman" w:hAnsi="Times New Roman"/>
                <w:color w:val="000000"/>
              </w:rPr>
            </w:pPr>
            <w:r>
              <w:rPr>
                <w:rFonts w:ascii="Times New Roman" w:hAnsi="Times New Roman"/>
                <w:color w:val="000000"/>
              </w:rPr>
              <w:t>Zapewni to prawidłowy nadzór w tym zakresie.</w:t>
            </w:r>
          </w:p>
          <w:p w14:paraId="50203E6F" w14:textId="77777777" w:rsidR="00706FBC" w:rsidRDefault="00706FBC" w:rsidP="00970D65">
            <w:pPr>
              <w:pStyle w:val="Akapitzlist"/>
              <w:spacing w:line="240" w:lineRule="auto"/>
              <w:ind w:left="0"/>
              <w:jc w:val="both"/>
              <w:rPr>
                <w:rFonts w:ascii="Times New Roman" w:hAnsi="Times New Roman"/>
                <w:color w:val="000000"/>
              </w:rPr>
            </w:pPr>
            <w:r>
              <w:rPr>
                <w:rFonts w:ascii="Times New Roman" w:hAnsi="Times New Roman"/>
                <w:color w:val="000000"/>
              </w:rPr>
              <w:t>(</w:t>
            </w:r>
            <w:r w:rsidR="0006069A">
              <w:t>2730</w:t>
            </w:r>
            <w:r>
              <w:rPr>
                <w:rFonts w:ascii="Times New Roman" w:hAnsi="Times New Roman"/>
                <w:color w:val="000000"/>
              </w:rPr>
              <w:t xml:space="preserve"> podmiotów / </w:t>
            </w:r>
            <w:r w:rsidR="001D7C27">
              <w:rPr>
                <w:rFonts w:ascii="Times New Roman" w:hAnsi="Times New Roman"/>
                <w:color w:val="000000"/>
              </w:rPr>
              <w:t xml:space="preserve">26 </w:t>
            </w:r>
            <w:r>
              <w:rPr>
                <w:rFonts w:ascii="Times New Roman" w:hAnsi="Times New Roman"/>
                <w:color w:val="000000"/>
              </w:rPr>
              <w:t xml:space="preserve">inspektorów = </w:t>
            </w:r>
            <w:r w:rsidR="001D7C27">
              <w:rPr>
                <w:rFonts w:ascii="Times New Roman" w:hAnsi="Times New Roman"/>
                <w:color w:val="000000"/>
              </w:rPr>
              <w:t>105</w:t>
            </w:r>
            <w:r>
              <w:rPr>
                <w:rFonts w:ascii="Times New Roman" w:hAnsi="Times New Roman"/>
                <w:color w:val="000000"/>
              </w:rPr>
              <w:t xml:space="preserve"> podmiotów;</w:t>
            </w:r>
          </w:p>
          <w:p w14:paraId="00080517" w14:textId="77777777" w:rsidR="00706FBC" w:rsidRDefault="001D7C27" w:rsidP="00970D65">
            <w:pPr>
              <w:pStyle w:val="Akapitzlist"/>
              <w:spacing w:line="240" w:lineRule="auto"/>
              <w:ind w:left="0"/>
              <w:jc w:val="both"/>
              <w:rPr>
                <w:rFonts w:ascii="Times New Roman" w:hAnsi="Times New Roman"/>
                <w:color w:val="000000"/>
              </w:rPr>
            </w:pPr>
            <w:r>
              <w:rPr>
                <w:rFonts w:ascii="Times New Roman" w:hAnsi="Times New Roman"/>
                <w:color w:val="000000"/>
              </w:rPr>
              <w:t>105</w:t>
            </w:r>
            <w:r w:rsidR="00706FBC">
              <w:rPr>
                <w:rFonts w:ascii="Times New Roman" w:hAnsi="Times New Roman"/>
                <w:color w:val="000000"/>
              </w:rPr>
              <w:t xml:space="preserve"> podmiotów x 2 inspektorów w zespole = </w:t>
            </w:r>
            <w:r>
              <w:rPr>
                <w:rFonts w:ascii="Times New Roman" w:hAnsi="Times New Roman"/>
                <w:color w:val="000000"/>
              </w:rPr>
              <w:t>210</w:t>
            </w:r>
            <w:r w:rsidR="00706FBC">
              <w:rPr>
                <w:rFonts w:ascii="Times New Roman" w:hAnsi="Times New Roman"/>
                <w:color w:val="000000"/>
              </w:rPr>
              <w:t xml:space="preserve"> podmiotów</w:t>
            </w:r>
            <w:r w:rsidR="00F63FAA">
              <w:rPr>
                <w:rFonts w:ascii="Times New Roman" w:hAnsi="Times New Roman"/>
                <w:color w:val="000000"/>
              </w:rPr>
              <w:t>;</w:t>
            </w:r>
          </w:p>
          <w:p w14:paraId="4EB7F1E3" w14:textId="77777777" w:rsidR="00706FBC" w:rsidRDefault="001D7C27" w:rsidP="00970D65">
            <w:pPr>
              <w:pStyle w:val="Akapitzlist"/>
              <w:spacing w:line="240" w:lineRule="auto"/>
              <w:ind w:left="0"/>
              <w:jc w:val="both"/>
              <w:rPr>
                <w:rFonts w:ascii="Times New Roman" w:hAnsi="Times New Roman"/>
                <w:color w:val="000000"/>
              </w:rPr>
            </w:pPr>
            <w:r>
              <w:rPr>
                <w:rFonts w:ascii="Times New Roman" w:hAnsi="Times New Roman"/>
                <w:color w:val="000000"/>
              </w:rPr>
              <w:t xml:space="preserve">210 </w:t>
            </w:r>
            <w:r w:rsidR="00706FBC">
              <w:rPr>
                <w:rFonts w:ascii="Times New Roman" w:hAnsi="Times New Roman"/>
                <w:color w:val="000000"/>
              </w:rPr>
              <w:t xml:space="preserve">podmiotów / 5 lat = </w:t>
            </w:r>
            <w:r>
              <w:rPr>
                <w:rFonts w:ascii="Times New Roman" w:hAnsi="Times New Roman"/>
                <w:color w:val="000000"/>
              </w:rPr>
              <w:t>42</w:t>
            </w:r>
            <w:r w:rsidR="00706FBC">
              <w:rPr>
                <w:rFonts w:ascii="Times New Roman" w:hAnsi="Times New Roman"/>
                <w:color w:val="000000"/>
              </w:rPr>
              <w:t xml:space="preserve"> podmiotów do kontroli rocznie</w:t>
            </w:r>
            <w:r w:rsidR="00F63FAA">
              <w:rPr>
                <w:rFonts w:ascii="Times New Roman" w:hAnsi="Times New Roman"/>
                <w:color w:val="000000"/>
              </w:rPr>
              <w:t>;</w:t>
            </w:r>
          </w:p>
          <w:p w14:paraId="01C76397" w14:textId="77777777" w:rsidR="008B40FB" w:rsidRDefault="001D7C27" w:rsidP="00970D65">
            <w:pPr>
              <w:pStyle w:val="Akapitzlist"/>
              <w:spacing w:line="240" w:lineRule="auto"/>
              <w:ind w:left="0"/>
              <w:jc w:val="both"/>
              <w:rPr>
                <w:rFonts w:ascii="Times New Roman" w:hAnsi="Times New Roman"/>
                <w:color w:val="000000"/>
              </w:rPr>
            </w:pPr>
            <w:r>
              <w:rPr>
                <w:rFonts w:ascii="Times New Roman" w:hAnsi="Times New Roman"/>
                <w:color w:val="000000"/>
              </w:rPr>
              <w:t>42</w:t>
            </w:r>
            <w:r w:rsidR="00706FBC">
              <w:rPr>
                <w:rFonts w:ascii="Times New Roman" w:hAnsi="Times New Roman"/>
                <w:color w:val="000000"/>
              </w:rPr>
              <w:t xml:space="preserve"> podmiotów / 12 miesięcy = </w:t>
            </w:r>
            <w:r>
              <w:rPr>
                <w:rFonts w:ascii="Times New Roman" w:hAnsi="Times New Roman"/>
                <w:color w:val="000000"/>
              </w:rPr>
              <w:t>3,5</w:t>
            </w:r>
            <w:r w:rsidR="00706FBC">
              <w:rPr>
                <w:rFonts w:ascii="Times New Roman" w:hAnsi="Times New Roman"/>
                <w:color w:val="000000"/>
              </w:rPr>
              <w:t xml:space="preserve"> kontroli miesięcznie). </w:t>
            </w:r>
          </w:p>
          <w:p w14:paraId="59445BF7" w14:textId="77777777" w:rsidR="00706FBC" w:rsidRDefault="00706FBC" w:rsidP="00970D65">
            <w:pPr>
              <w:pStyle w:val="Akapitzlist"/>
              <w:spacing w:line="240" w:lineRule="auto"/>
              <w:ind w:left="0"/>
              <w:jc w:val="both"/>
              <w:rPr>
                <w:rFonts w:ascii="Times New Roman" w:hAnsi="Times New Roman"/>
                <w:color w:val="000000"/>
                <w:sz w:val="21"/>
                <w:szCs w:val="21"/>
              </w:rPr>
            </w:pPr>
            <w:r>
              <w:rPr>
                <w:rFonts w:ascii="Times New Roman" w:hAnsi="Times New Roman"/>
                <w:color w:val="000000"/>
              </w:rPr>
              <w:t xml:space="preserve">Dlatego liczba </w:t>
            </w:r>
            <w:r w:rsidR="001D7C27">
              <w:rPr>
                <w:rFonts w:ascii="Times New Roman" w:hAnsi="Times New Roman"/>
                <w:color w:val="000000"/>
              </w:rPr>
              <w:t xml:space="preserve">26 </w:t>
            </w:r>
            <w:r>
              <w:rPr>
                <w:rFonts w:ascii="Times New Roman" w:hAnsi="Times New Roman"/>
                <w:color w:val="000000"/>
              </w:rPr>
              <w:t>inspektorów jest optymalna i pozwoli na właściwe nadzorowanie kontrolowanego obszaru.</w:t>
            </w:r>
            <w:r w:rsidR="006739DE">
              <w:rPr>
                <w:rFonts w:ascii="Times New Roman" w:hAnsi="Times New Roman"/>
                <w:color w:val="000000"/>
              </w:rPr>
              <w:t xml:space="preserve"> Należy zauważyć, że nadzór nad medycznymi laboratoriami diagnostycznymi stanowi dla GIF całkowicie nowe zadanie, obszar ten będzie dopiero regulowany więc liczba </w:t>
            </w:r>
            <w:r w:rsidR="001D7C27">
              <w:rPr>
                <w:rFonts w:ascii="Times New Roman" w:hAnsi="Times New Roman"/>
                <w:color w:val="000000"/>
              </w:rPr>
              <w:t xml:space="preserve">3,5 </w:t>
            </w:r>
            <w:r w:rsidR="006739DE">
              <w:rPr>
                <w:rFonts w:ascii="Times New Roman" w:hAnsi="Times New Roman"/>
                <w:color w:val="000000"/>
              </w:rPr>
              <w:t>inspekcji miesięcznie jest liczbą realną.</w:t>
            </w:r>
            <w:r w:rsidR="005E426D">
              <w:rPr>
                <w:rFonts w:ascii="Times New Roman" w:hAnsi="Times New Roman"/>
                <w:color w:val="000000"/>
              </w:rPr>
              <w:t xml:space="preserve"> Z uwagi na fakt, że </w:t>
            </w:r>
            <w:r w:rsidR="005E426D">
              <w:rPr>
                <w:rFonts w:ascii="Times New Roman" w:hAnsi="Times New Roman"/>
                <w:color w:val="000000"/>
                <w:sz w:val="21"/>
                <w:szCs w:val="21"/>
              </w:rPr>
              <w:t>w województwie mazowieckim znajduje się najwięcej medycznych laboratoriów diagnostycznych</w:t>
            </w:r>
            <w:r w:rsidR="00B42BD2">
              <w:rPr>
                <w:rFonts w:ascii="Times New Roman" w:hAnsi="Times New Roman"/>
                <w:color w:val="000000"/>
                <w:sz w:val="21"/>
                <w:szCs w:val="21"/>
              </w:rPr>
              <w:t xml:space="preserve"> (ok. 20%)</w:t>
            </w:r>
            <w:r w:rsidR="005E426D">
              <w:rPr>
                <w:rFonts w:ascii="Times New Roman" w:hAnsi="Times New Roman"/>
                <w:color w:val="000000"/>
                <w:sz w:val="21"/>
                <w:szCs w:val="21"/>
              </w:rPr>
              <w:t xml:space="preserve"> mających podlegać inspekcji w centrali GIF przewiduje się etaty dla </w:t>
            </w:r>
            <w:r w:rsidR="001D7C27">
              <w:rPr>
                <w:rFonts w:ascii="Times New Roman" w:hAnsi="Times New Roman"/>
                <w:color w:val="000000"/>
                <w:sz w:val="21"/>
                <w:szCs w:val="21"/>
              </w:rPr>
              <w:t xml:space="preserve">10 </w:t>
            </w:r>
            <w:r w:rsidR="005E426D">
              <w:rPr>
                <w:rFonts w:ascii="Times New Roman" w:hAnsi="Times New Roman"/>
                <w:color w:val="000000"/>
                <w:sz w:val="21"/>
                <w:szCs w:val="21"/>
              </w:rPr>
              <w:t xml:space="preserve">inspektorów natomiast w oddziałach terenowych </w:t>
            </w:r>
            <w:r w:rsidR="001D7C27">
              <w:rPr>
                <w:rFonts w:ascii="Times New Roman" w:hAnsi="Times New Roman"/>
                <w:color w:val="000000"/>
                <w:sz w:val="21"/>
                <w:szCs w:val="21"/>
              </w:rPr>
              <w:t xml:space="preserve">16 </w:t>
            </w:r>
            <w:r w:rsidR="005E426D">
              <w:rPr>
                <w:rFonts w:ascii="Times New Roman" w:hAnsi="Times New Roman"/>
                <w:color w:val="000000"/>
                <w:sz w:val="21"/>
                <w:szCs w:val="21"/>
              </w:rPr>
              <w:t>inspektorów, niezależnie od tego w razie potrzeby inspektorzy pracujący w centrali będą mogli być delegowani do kontroli laboratoriów na terenie innych województw</w:t>
            </w:r>
            <w:r w:rsidR="00B42BD2">
              <w:rPr>
                <w:rFonts w:ascii="Times New Roman" w:hAnsi="Times New Roman"/>
                <w:color w:val="000000"/>
                <w:sz w:val="21"/>
                <w:szCs w:val="21"/>
              </w:rPr>
              <w:t>.</w:t>
            </w:r>
          </w:p>
          <w:p w14:paraId="2E88F0D8" w14:textId="77777777" w:rsidR="005264E1" w:rsidRDefault="00BB071E" w:rsidP="00970D65">
            <w:pPr>
              <w:pStyle w:val="Akapitzlist"/>
              <w:spacing w:line="240" w:lineRule="auto"/>
              <w:ind w:left="0"/>
              <w:jc w:val="both"/>
              <w:rPr>
                <w:rFonts w:ascii="Times New Roman" w:hAnsi="Times New Roman"/>
                <w:color w:val="000000"/>
                <w:sz w:val="21"/>
                <w:szCs w:val="21"/>
              </w:rPr>
            </w:pPr>
            <w:r>
              <w:rPr>
                <w:rFonts w:ascii="Times New Roman" w:hAnsi="Times New Roman"/>
                <w:color w:val="000000"/>
                <w:sz w:val="21"/>
                <w:szCs w:val="21"/>
              </w:rPr>
              <w:t xml:space="preserve">Należy tutaj wskazać, że obszar nadzoru nad medycznymi laboratoriami diagnostycznymi stanowi całkowicie nową materię. Z uwagi na stopień skomplikowania </w:t>
            </w:r>
            <w:r w:rsidR="001D7C27">
              <w:rPr>
                <w:rFonts w:ascii="Times New Roman" w:hAnsi="Times New Roman"/>
                <w:color w:val="000000"/>
                <w:sz w:val="21"/>
                <w:szCs w:val="21"/>
              </w:rPr>
              <w:t xml:space="preserve">3,5 </w:t>
            </w:r>
            <w:r>
              <w:rPr>
                <w:rFonts w:ascii="Times New Roman" w:hAnsi="Times New Roman"/>
                <w:color w:val="000000"/>
                <w:sz w:val="21"/>
                <w:szCs w:val="21"/>
              </w:rPr>
              <w:t>inspekcj</w:t>
            </w:r>
            <w:r w:rsidR="001D7C27">
              <w:rPr>
                <w:rFonts w:ascii="Times New Roman" w:hAnsi="Times New Roman"/>
                <w:color w:val="000000"/>
                <w:sz w:val="21"/>
                <w:szCs w:val="21"/>
              </w:rPr>
              <w:t>i</w:t>
            </w:r>
            <w:r>
              <w:rPr>
                <w:rFonts w:ascii="Times New Roman" w:hAnsi="Times New Roman"/>
                <w:color w:val="000000"/>
                <w:sz w:val="21"/>
                <w:szCs w:val="21"/>
              </w:rPr>
              <w:t xml:space="preserve"> w miesiącu wydają się realne do przeprowadzenia. Wykonywanie pracy przez inspektorów nie polega jedynie na przeprowadzaniu inspekcji</w:t>
            </w:r>
            <w:r w:rsidR="002768C5">
              <w:rPr>
                <w:rFonts w:ascii="Times New Roman" w:hAnsi="Times New Roman"/>
                <w:color w:val="000000"/>
                <w:sz w:val="21"/>
                <w:szCs w:val="21"/>
              </w:rPr>
              <w:t xml:space="preserve"> w</w:t>
            </w:r>
            <w:r w:rsidR="00A10094">
              <w:rPr>
                <w:rFonts w:ascii="Times New Roman" w:hAnsi="Times New Roman"/>
                <w:color w:val="000000"/>
                <w:sz w:val="21"/>
                <w:szCs w:val="21"/>
              </w:rPr>
              <w:t> </w:t>
            </w:r>
            <w:r w:rsidR="002768C5">
              <w:rPr>
                <w:rFonts w:ascii="Times New Roman" w:hAnsi="Times New Roman"/>
                <w:color w:val="000000"/>
                <w:sz w:val="21"/>
                <w:szCs w:val="21"/>
              </w:rPr>
              <w:t xml:space="preserve">miejscu prowadzenia działalności gospodarczej </w:t>
            </w:r>
            <w:r>
              <w:rPr>
                <w:rFonts w:ascii="Times New Roman" w:hAnsi="Times New Roman"/>
                <w:color w:val="000000"/>
                <w:sz w:val="21"/>
                <w:szCs w:val="21"/>
              </w:rPr>
              <w:t>ale również</w:t>
            </w:r>
            <w:r w:rsidR="002768C5">
              <w:rPr>
                <w:rFonts w:ascii="Times New Roman" w:hAnsi="Times New Roman"/>
                <w:color w:val="000000"/>
                <w:sz w:val="21"/>
                <w:szCs w:val="21"/>
              </w:rPr>
              <w:t xml:space="preserve"> na opracowaniu zgromadzonych w tej inspekcji materiałów i dowodów, przygotowaniu kilkudziesięciu stronicowego raportu o dużej szczegółowości oraz o</w:t>
            </w:r>
            <w:r w:rsidR="00A10094">
              <w:rPr>
                <w:rFonts w:ascii="Times New Roman" w:hAnsi="Times New Roman"/>
                <w:color w:val="000000"/>
                <w:sz w:val="21"/>
                <w:szCs w:val="21"/>
              </w:rPr>
              <w:t> </w:t>
            </w:r>
            <w:r w:rsidR="002768C5">
              <w:rPr>
                <w:rFonts w:ascii="Times New Roman" w:hAnsi="Times New Roman"/>
                <w:color w:val="000000"/>
                <w:sz w:val="21"/>
                <w:szCs w:val="21"/>
              </w:rPr>
              <w:t xml:space="preserve">na przeprowadzeniu postepowania pokontrolnego, które może obejmować przygotowanie nowego raportu jak również każdorazowo obejmuje ocenę propozycji działań naprawczych przedstawioną przez podmiot kontrolowany. Zakładane jest, ze prowadzenie czynności w medycznych laboratoriach diagnostycznych będzie wymagało zbliżonego nakładu </w:t>
            </w:r>
            <w:r w:rsidR="000D3FE4">
              <w:rPr>
                <w:rFonts w:ascii="Times New Roman" w:hAnsi="Times New Roman"/>
                <w:color w:val="000000"/>
                <w:sz w:val="21"/>
                <w:szCs w:val="21"/>
              </w:rPr>
              <w:t>pracy</w:t>
            </w:r>
            <w:r w:rsidR="002768C5">
              <w:rPr>
                <w:rFonts w:ascii="Times New Roman" w:hAnsi="Times New Roman"/>
                <w:color w:val="000000"/>
                <w:sz w:val="21"/>
                <w:szCs w:val="21"/>
              </w:rPr>
              <w:t xml:space="preserve"> ze strony </w:t>
            </w:r>
            <w:r w:rsidR="005264E1">
              <w:rPr>
                <w:rFonts w:ascii="Times New Roman" w:hAnsi="Times New Roman"/>
                <w:color w:val="000000"/>
                <w:sz w:val="21"/>
                <w:szCs w:val="21"/>
              </w:rPr>
              <w:t>inspektorów</w:t>
            </w:r>
            <w:r w:rsidR="002768C5">
              <w:rPr>
                <w:rFonts w:ascii="Times New Roman" w:hAnsi="Times New Roman"/>
                <w:color w:val="000000"/>
                <w:sz w:val="21"/>
                <w:szCs w:val="21"/>
              </w:rPr>
              <w:t>.</w:t>
            </w:r>
          </w:p>
          <w:p w14:paraId="568C5E57" w14:textId="77777777" w:rsidR="002768C5" w:rsidRDefault="005264E1" w:rsidP="00970D65">
            <w:pPr>
              <w:pStyle w:val="Akapitzlist"/>
              <w:spacing w:line="240" w:lineRule="auto"/>
              <w:ind w:left="0"/>
              <w:jc w:val="both"/>
              <w:rPr>
                <w:rFonts w:ascii="Times New Roman" w:hAnsi="Times New Roman"/>
                <w:color w:val="000000"/>
                <w:sz w:val="21"/>
                <w:szCs w:val="21"/>
              </w:rPr>
            </w:pPr>
            <w:r>
              <w:rPr>
                <w:rFonts w:ascii="Times New Roman" w:hAnsi="Times New Roman"/>
                <w:color w:val="000000"/>
                <w:sz w:val="21"/>
                <w:szCs w:val="21"/>
              </w:rPr>
              <w:t>Należy bowiem wskazać na zadania wprowadzane ustawą</w:t>
            </w:r>
            <w:r w:rsidR="000D3FE4">
              <w:rPr>
                <w:rFonts w:ascii="Times New Roman" w:hAnsi="Times New Roman"/>
                <w:color w:val="000000"/>
                <w:sz w:val="21"/>
                <w:szCs w:val="21"/>
              </w:rPr>
              <w:t xml:space="preserve">, w tym w zakresie </w:t>
            </w:r>
            <w:r w:rsidR="000D3FE4">
              <w:t xml:space="preserve"> </w:t>
            </w:r>
            <w:r w:rsidR="000D3FE4" w:rsidRPr="000D3FE4">
              <w:rPr>
                <w:rFonts w:ascii="Times New Roman" w:hAnsi="Times New Roman"/>
                <w:color w:val="000000"/>
                <w:sz w:val="21"/>
                <w:szCs w:val="21"/>
              </w:rPr>
              <w:t>wstrzyma</w:t>
            </w:r>
            <w:r w:rsidR="000D3FE4">
              <w:rPr>
                <w:rFonts w:ascii="Times New Roman" w:hAnsi="Times New Roman"/>
                <w:color w:val="000000"/>
                <w:sz w:val="21"/>
                <w:szCs w:val="21"/>
              </w:rPr>
              <w:t>nia</w:t>
            </w:r>
            <w:r w:rsidR="000D3FE4" w:rsidRPr="000D3FE4">
              <w:rPr>
                <w:rFonts w:ascii="Times New Roman" w:hAnsi="Times New Roman"/>
                <w:color w:val="000000"/>
                <w:sz w:val="21"/>
                <w:szCs w:val="21"/>
              </w:rPr>
              <w:t>, wykonywani</w:t>
            </w:r>
            <w:r w:rsidR="000D3FE4">
              <w:rPr>
                <w:rFonts w:ascii="Times New Roman" w:hAnsi="Times New Roman"/>
                <w:color w:val="000000"/>
                <w:sz w:val="21"/>
                <w:szCs w:val="21"/>
              </w:rPr>
              <w:t>a</w:t>
            </w:r>
            <w:r w:rsidR="000D3FE4" w:rsidRPr="000D3FE4">
              <w:rPr>
                <w:rFonts w:ascii="Times New Roman" w:hAnsi="Times New Roman"/>
                <w:color w:val="000000"/>
                <w:sz w:val="21"/>
                <w:szCs w:val="21"/>
              </w:rPr>
              <w:t xml:space="preserve"> działalności laboratorium</w:t>
            </w:r>
            <w:r w:rsidR="000D3FE4">
              <w:rPr>
                <w:rFonts w:ascii="Times New Roman" w:hAnsi="Times New Roman"/>
                <w:color w:val="000000"/>
                <w:sz w:val="21"/>
                <w:szCs w:val="21"/>
              </w:rPr>
              <w:t>, czy jego wykreślenia z Rejestru, jeżeli w toku inspekcji zostanie stwierdzona taka konieczność</w:t>
            </w:r>
            <w:r w:rsidR="00BB6680">
              <w:rPr>
                <w:rFonts w:ascii="Times New Roman" w:hAnsi="Times New Roman"/>
                <w:color w:val="000000"/>
                <w:sz w:val="21"/>
                <w:szCs w:val="21"/>
              </w:rPr>
              <w:t>, a także konieczność analizy próbek kontrolnych i nakazywanie usunięcia stwierdzonych uchybień</w:t>
            </w:r>
            <w:r w:rsidR="000D3FE4">
              <w:rPr>
                <w:rFonts w:ascii="Times New Roman" w:hAnsi="Times New Roman"/>
                <w:color w:val="000000"/>
                <w:sz w:val="21"/>
                <w:szCs w:val="21"/>
              </w:rPr>
              <w:t xml:space="preserve">. </w:t>
            </w:r>
            <w:r w:rsidR="000D3FE4" w:rsidRPr="000D3FE4">
              <w:rPr>
                <w:rFonts w:ascii="Times New Roman" w:hAnsi="Times New Roman"/>
                <w:color w:val="000000"/>
                <w:sz w:val="21"/>
                <w:szCs w:val="21"/>
              </w:rPr>
              <w:t xml:space="preserve"> </w:t>
            </w:r>
            <w:r w:rsidR="00BB071E">
              <w:rPr>
                <w:rFonts w:ascii="Times New Roman" w:hAnsi="Times New Roman"/>
                <w:color w:val="000000"/>
                <w:sz w:val="21"/>
                <w:szCs w:val="21"/>
              </w:rPr>
              <w:t xml:space="preserve"> </w:t>
            </w:r>
          </w:p>
          <w:p w14:paraId="620C2192" w14:textId="77777777" w:rsidR="00EC7772" w:rsidRPr="00A71735" w:rsidRDefault="00EC7772" w:rsidP="00970D65">
            <w:pPr>
              <w:pStyle w:val="Akapitzlist"/>
              <w:spacing w:line="240" w:lineRule="auto"/>
              <w:ind w:left="0"/>
              <w:jc w:val="both"/>
              <w:rPr>
                <w:rFonts w:ascii="Times New Roman" w:hAnsi="Times New Roman"/>
                <w:color w:val="000000"/>
              </w:rPr>
            </w:pPr>
          </w:p>
          <w:p w14:paraId="0670C272" w14:textId="77777777" w:rsidR="0040584B" w:rsidRPr="00A71735" w:rsidRDefault="008F5D8D" w:rsidP="00970D65">
            <w:pPr>
              <w:pStyle w:val="Akapitzlist"/>
              <w:spacing w:line="240" w:lineRule="auto"/>
              <w:ind w:left="0"/>
              <w:jc w:val="both"/>
              <w:rPr>
                <w:rFonts w:ascii="Times New Roman" w:hAnsi="Times New Roman"/>
                <w:b/>
                <w:color w:val="000000"/>
              </w:rPr>
            </w:pPr>
            <w:r>
              <w:rPr>
                <w:rFonts w:ascii="Times New Roman" w:hAnsi="Times New Roman"/>
                <w:b/>
                <w:color w:val="000000"/>
              </w:rPr>
              <w:t>5</w:t>
            </w:r>
            <w:r w:rsidR="0040584B" w:rsidRPr="00A71735">
              <w:rPr>
                <w:rFonts w:ascii="Times New Roman" w:hAnsi="Times New Roman"/>
                <w:b/>
                <w:color w:val="000000"/>
              </w:rPr>
              <w:t>. Informacje uzasadniające zwiększenie zatrudnienia w Państwowej Inspekcji Farmaceutycznej.</w:t>
            </w:r>
          </w:p>
          <w:p w14:paraId="2EE0522D" w14:textId="77777777" w:rsidR="00EC7772" w:rsidRPr="00A71735" w:rsidRDefault="00EC7772" w:rsidP="00970D65">
            <w:pPr>
              <w:pStyle w:val="Akapitzlist"/>
              <w:spacing w:line="240" w:lineRule="auto"/>
              <w:ind w:left="0"/>
              <w:jc w:val="both"/>
              <w:rPr>
                <w:rFonts w:ascii="Times New Roman" w:hAnsi="Times New Roman"/>
                <w:color w:val="000000"/>
              </w:rPr>
            </w:pPr>
            <w:r w:rsidRPr="00A71735">
              <w:rPr>
                <w:rFonts w:ascii="Times New Roman" w:hAnsi="Times New Roman"/>
                <w:color w:val="000000"/>
              </w:rPr>
              <w:t>Podkreślenia wymaga fakt, że niezależnie od kwestii pionizacji Państwowej Inspekcji Farmaceutycznej dla prawidłowego funkcjonowania nadzoru farmaceutycznego jest konieczne zapewnienie dodatkowych etatów zarówno w obecnych wojewódzkich inspektoratach farmaceutycznych jak i w GIF. Państwowa Inspekcja Farmaceutyczna zmaga się z brakami kadrowymi, które uniemożliwiają zapewnienie optymalnego poziomu nadzoru nad rynkiem. Na co zwracała również Najwyższa Izba Kontroli.</w:t>
            </w:r>
          </w:p>
          <w:p w14:paraId="6EBD5C1D" w14:textId="77777777" w:rsidR="00473552" w:rsidRPr="00A71735" w:rsidRDefault="00473552" w:rsidP="00970D65">
            <w:pPr>
              <w:pStyle w:val="Akapitzlist"/>
              <w:spacing w:line="240" w:lineRule="auto"/>
              <w:ind w:left="0"/>
              <w:jc w:val="both"/>
              <w:rPr>
                <w:rFonts w:ascii="Times New Roman" w:hAnsi="Times New Roman"/>
                <w:color w:val="000000"/>
              </w:rPr>
            </w:pPr>
          </w:p>
          <w:p w14:paraId="7183C795" w14:textId="77777777" w:rsidR="00FA37D7" w:rsidRPr="00A71735" w:rsidRDefault="00FA37D7" w:rsidP="00970D65">
            <w:pPr>
              <w:pStyle w:val="Akapitzlist"/>
              <w:spacing w:line="240" w:lineRule="auto"/>
              <w:ind w:left="0"/>
              <w:jc w:val="both"/>
              <w:rPr>
                <w:rFonts w:ascii="Times New Roman" w:hAnsi="Times New Roman"/>
                <w:color w:val="000000"/>
              </w:rPr>
            </w:pPr>
            <w:r w:rsidRPr="00A71735">
              <w:rPr>
                <w:rFonts w:ascii="Times New Roman" w:hAnsi="Times New Roman"/>
              </w:rPr>
              <w:t>Analiza sytuacji kadrowej poszczególnych wojewódzkich inspektoratów farmaceutycznych wskazuje, iż dysponują one skromnym obszarem kadrowym, nieadekwatnym do zakresu wykonywanych zadań i</w:t>
            </w:r>
            <w:r w:rsidR="00A71735" w:rsidRPr="00A71735">
              <w:rPr>
                <w:rFonts w:ascii="Times New Roman" w:hAnsi="Times New Roman"/>
              </w:rPr>
              <w:t> </w:t>
            </w:r>
            <w:r w:rsidRPr="00A71735">
              <w:rPr>
                <w:rFonts w:ascii="Times New Roman" w:hAnsi="Times New Roman"/>
              </w:rPr>
              <w:t xml:space="preserve">zagrażającym prawidłowej realizacji zadań z obszaru zapewnienia bezpieczeństwa obrotu produktami leczniczymi na terytorium Rzeczypospolitej Polskiej. W obecnej sytuacji większość wojewódzkich inspektoratów farmaceutycznych nie jest w stanie w pełni realizować planów kontroli, a główną </w:t>
            </w:r>
            <w:r w:rsidRPr="00A71735">
              <w:rPr>
                <w:rFonts w:ascii="Times New Roman" w:hAnsi="Times New Roman"/>
              </w:rPr>
              <w:lastRenderedPageBreak/>
              <w:t>przyczyną jest trudna sytuacja kadrowa. Znaczna część inspektoratów realizuje zadania nie tyle własnym zasobem kadrowym, co poprzez umowy cywilnoprawne, co nie jest właściwym rozwiązaniem z punktu widzenia wrażliwości przedmiotu działalności.</w:t>
            </w:r>
          </w:p>
          <w:p w14:paraId="678C937E" w14:textId="77777777" w:rsidR="00EC7772" w:rsidRPr="00A71735" w:rsidRDefault="00FA37D7" w:rsidP="00970D65">
            <w:pPr>
              <w:pStyle w:val="Akapitzlist"/>
              <w:spacing w:line="240" w:lineRule="auto"/>
              <w:ind w:left="0"/>
              <w:jc w:val="both"/>
              <w:rPr>
                <w:rFonts w:ascii="Times New Roman" w:hAnsi="Times New Roman"/>
              </w:rPr>
            </w:pPr>
            <w:r w:rsidRPr="00A71735">
              <w:rPr>
                <w:rFonts w:ascii="Times New Roman" w:hAnsi="Times New Roman"/>
              </w:rPr>
              <w:t>Ogółem w Inspekcji Farmaceutycznej zatrudnienie wynosi 421,91 etatów (z czego 130,25 etatu w GIF, a</w:t>
            </w:r>
            <w:r w:rsidR="00A10094">
              <w:rPr>
                <w:rFonts w:ascii="Times New Roman" w:hAnsi="Times New Roman"/>
              </w:rPr>
              <w:t> </w:t>
            </w:r>
            <w:r w:rsidRPr="00A71735">
              <w:rPr>
                <w:rFonts w:ascii="Times New Roman" w:hAnsi="Times New Roman"/>
              </w:rPr>
              <w:t>291,66 etatu w wojewódzkich inspektoratach farmaceutycznych). Ogółem podmiotów nadzorowanych jest ponad 26 tys. Wliczając w to liczbę aktualnie istniejących laboratoriów diagnostycznych, tj. ponad 3</w:t>
            </w:r>
            <w:r w:rsidR="00A10094">
              <w:rPr>
                <w:rFonts w:ascii="Times New Roman" w:hAnsi="Times New Roman"/>
              </w:rPr>
              <w:t> </w:t>
            </w:r>
            <w:r w:rsidRPr="00A71735">
              <w:rPr>
                <w:rFonts w:ascii="Times New Roman" w:hAnsi="Times New Roman"/>
              </w:rPr>
              <w:t>tys., należy stwierdzić, że przy aktualnym stanie zatrudnienia (150 inspektorów) na jednego kontrolującego przypada ok. 194 kontrolowanych jednostek.</w:t>
            </w:r>
          </w:p>
          <w:p w14:paraId="17032610" w14:textId="77777777" w:rsidR="00FA37D7" w:rsidRPr="00A71735" w:rsidRDefault="00FA37D7" w:rsidP="00970D65">
            <w:pPr>
              <w:pStyle w:val="Akapitzlist"/>
              <w:spacing w:line="240" w:lineRule="auto"/>
              <w:ind w:left="0"/>
              <w:jc w:val="both"/>
              <w:rPr>
                <w:rFonts w:ascii="Times New Roman" w:hAnsi="Times New Roman"/>
              </w:rPr>
            </w:pPr>
            <w:r w:rsidRPr="00A71735">
              <w:rPr>
                <w:rFonts w:ascii="Times New Roman" w:hAnsi="Times New Roman"/>
              </w:rPr>
              <w:t>Należy zauważyć, że dotychczasowe funkcjonowanie Państwowej Inspekcji Farmaceutycznej nie zapewnia właściwego nadzoru nad rynkiem farmaceutycznym w Polsce. Zgodnie z wystąpieniem pokontrolnym NIK z dnia 25 marca 2021 r., znak: KZD.411.002.02.2020, celowym jest zwiększenie nadzoru nad obrotem produktami leczniczymi. W przedmiotowym raporcie wskazano, że GIF nadzorował: w 2019 r. 696 podmiotów, w tym 484 hurtownie farmaceutyczne i 157 pośredników oraz 55 hurtowni weterynaryjnych, a w 2020 r. 667 podmiotów, w tym 462 hurtownie farmaceutyczne i 167 pośredników oraz 38 hurtowni weterynaryjnych. Tym samym, na jednego inspektora ds. obrotu hurtowego przypadały 64 jednostki w 2019 r. i 60,6 w 2020 r. W zakresie nadzoru nad obrotem detalicznym przykładowo na jednego inspektora farmaceutycznego z Bydgoszczy przypadało 254 podmiotów, na jednego inspektora farmaceutycznego ze Szczecina przypadało 415 podmiotów, a na jednego inspektora farmaceutycznego z Wrocławia przypadało 264 podmiotów.</w:t>
            </w:r>
          </w:p>
          <w:p w14:paraId="6ED7ECC1" w14:textId="77777777" w:rsidR="00FA37D7" w:rsidRPr="00A71735" w:rsidRDefault="00FA37D7" w:rsidP="00FA37D7">
            <w:pPr>
              <w:pStyle w:val="Akapitzlist"/>
              <w:spacing w:line="240" w:lineRule="auto"/>
              <w:ind w:left="0"/>
              <w:jc w:val="both"/>
              <w:rPr>
                <w:rFonts w:ascii="Times New Roman" w:hAnsi="Times New Roman"/>
              </w:rPr>
            </w:pPr>
            <w:r w:rsidRPr="00A71735">
              <w:rPr>
                <w:rFonts w:ascii="Times New Roman" w:hAnsi="Times New Roman"/>
              </w:rPr>
              <w:t>Dlatego zachodzi konieczność zwiększenia kadrowego w Państwowej Inspekcji Farmaceutycznej.</w:t>
            </w:r>
          </w:p>
          <w:p w14:paraId="6CA2AA1D" w14:textId="77777777" w:rsidR="000975DD" w:rsidRPr="00A71735" w:rsidRDefault="000975DD" w:rsidP="0040584B">
            <w:pPr>
              <w:pStyle w:val="Akapitzlist"/>
              <w:spacing w:line="240" w:lineRule="auto"/>
              <w:ind w:left="0"/>
              <w:jc w:val="both"/>
              <w:rPr>
                <w:rFonts w:ascii="Times New Roman" w:hAnsi="Times New Roman"/>
              </w:rPr>
            </w:pPr>
            <w:r w:rsidRPr="00A71735">
              <w:rPr>
                <w:rFonts w:ascii="Times New Roman" w:hAnsi="Times New Roman"/>
              </w:rPr>
              <w:t>Na dzień 31 grudnia 2021 r</w:t>
            </w:r>
            <w:r w:rsidR="004034AB">
              <w:rPr>
                <w:rFonts w:ascii="Times New Roman" w:hAnsi="Times New Roman"/>
              </w:rPr>
              <w:t>.</w:t>
            </w:r>
            <w:r w:rsidRPr="00A71735">
              <w:rPr>
                <w:rFonts w:ascii="Times New Roman" w:hAnsi="Times New Roman"/>
              </w:rPr>
              <w:t xml:space="preserve">, we wszystkich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nspektoratach </w:t>
            </w:r>
            <w:r w:rsidR="0040584B" w:rsidRPr="00A71735">
              <w:rPr>
                <w:rFonts w:ascii="Times New Roman" w:hAnsi="Times New Roman"/>
              </w:rPr>
              <w:t>f</w:t>
            </w:r>
            <w:r w:rsidRPr="00A71735">
              <w:rPr>
                <w:rFonts w:ascii="Times New Roman" w:hAnsi="Times New Roman"/>
              </w:rPr>
              <w:t xml:space="preserve">armaceutycznych zatrudnionych było łącznie 324 pracowników, z czego: </w:t>
            </w:r>
          </w:p>
          <w:p w14:paraId="3764FA12" w14:textId="77777777" w:rsidR="000975DD" w:rsidRPr="00A71735" w:rsidRDefault="000975DD" w:rsidP="0040584B">
            <w:pPr>
              <w:pStyle w:val="Akapitzlist"/>
              <w:spacing w:line="240" w:lineRule="auto"/>
              <w:ind w:left="0"/>
              <w:jc w:val="both"/>
              <w:rPr>
                <w:rFonts w:ascii="Times New Roman" w:hAnsi="Times New Roman"/>
              </w:rPr>
            </w:pPr>
            <w:r w:rsidRPr="00A71735">
              <w:rPr>
                <w:rFonts w:ascii="Times New Roman" w:hAnsi="Times New Roman"/>
              </w:rPr>
              <w:t xml:space="preserve">1) 131 inspektorów farmaceutycznych, w tym 16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nspektorów </w:t>
            </w:r>
            <w:r w:rsidR="0040584B" w:rsidRPr="00A71735">
              <w:rPr>
                <w:rFonts w:ascii="Times New Roman" w:hAnsi="Times New Roman"/>
              </w:rPr>
              <w:t>f</w:t>
            </w:r>
            <w:r w:rsidRPr="00A71735">
              <w:rPr>
                <w:rFonts w:ascii="Times New Roman" w:hAnsi="Times New Roman"/>
              </w:rPr>
              <w:t>armaceutycznych oraz 6</w:t>
            </w:r>
            <w:r w:rsidR="00A10094">
              <w:rPr>
                <w:rFonts w:ascii="Times New Roman" w:hAnsi="Times New Roman"/>
              </w:rPr>
              <w:t> </w:t>
            </w:r>
            <w:r w:rsidRPr="00A71735">
              <w:rPr>
                <w:rFonts w:ascii="Times New Roman" w:hAnsi="Times New Roman"/>
              </w:rPr>
              <w:t>zastępców</w:t>
            </w:r>
            <w:r w:rsidR="00C15222" w:rsidRPr="00A71735">
              <w:rPr>
                <w:rFonts w:ascii="Times New Roman" w:hAnsi="Times New Roman"/>
              </w:rPr>
              <w:t xml:space="preserve"> </w:t>
            </w:r>
            <w:r w:rsidR="004034AB">
              <w:rPr>
                <w:rFonts w:ascii="Times New Roman" w:hAnsi="Times New Roman"/>
              </w:rPr>
              <w:t>–</w:t>
            </w:r>
            <w:r w:rsidR="00C15222" w:rsidRPr="00A71735">
              <w:rPr>
                <w:rFonts w:ascii="Times New Roman" w:hAnsi="Times New Roman"/>
              </w:rPr>
              <w:t xml:space="preserve"> stanowiło 41 % całego personelu</w:t>
            </w:r>
            <w:r w:rsidRPr="00A71735">
              <w:rPr>
                <w:rFonts w:ascii="Times New Roman" w:hAnsi="Times New Roman"/>
              </w:rPr>
              <w:t xml:space="preserve">; </w:t>
            </w:r>
          </w:p>
          <w:p w14:paraId="37DA4ECB" w14:textId="77777777" w:rsidR="000975DD" w:rsidRPr="00A71735" w:rsidRDefault="000975DD" w:rsidP="0040584B">
            <w:pPr>
              <w:pStyle w:val="Akapitzlist"/>
              <w:spacing w:line="240" w:lineRule="auto"/>
              <w:ind w:left="0"/>
              <w:jc w:val="both"/>
              <w:rPr>
                <w:rFonts w:ascii="Times New Roman" w:hAnsi="Times New Roman"/>
              </w:rPr>
            </w:pPr>
            <w:r w:rsidRPr="00A71735">
              <w:rPr>
                <w:rFonts w:ascii="Times New Roman" w:hAnsi="Times New Roman"/>
              </w:rPr>
              <w:t>2) 40 pracowników Laboratoriów Kontroli Jakości Leków</w:t>
            </w:r>
            <w:r w:rsidR="004034AB">
              <w:rPr>
                <w:rFonts w:ascii="Times New Roman" w:hAnsi="Times New Roman"/>
              </w:rPr>
              <w:t xml:space="preserve"> –</w:t>
            </w:r>
            <w:r w:rsidR="00C15222" w:rsidRPr="00A71735">
              <w:rPr>
                <w:rFonts w:ascii="Times New Roman" w:hAnsi="Times New Roman"/>
              </w:rPr>
              <w:t xml:space="preserve"> stanowiło 12 % całego personelu</w:t>
            </w:r>
            <w:r w:rsidRPr="00A71735">
              <w:rPr>
                <w:rFonts w:ascii="Times New Roman" w:hAnsi="Times New Roman"/>
              </w:rPr>
              <w:t xml:space="preserve">; </w:t>
            </w:r>
          </w:p>
          <w:p w14:paraId="4D0D9BCF" w14:textId="77777777" w:rsidR="000975DD" w:rsidRPr="00A71735" w:rsidRDefault="000975DD" w:rsidP="000975DD">
            <w:pPr>
              <w:pStyle w:val="Akapitzlist"/>
              <w:spacing w:line="240" w:lineRule="auto"/>
              <w:ind w:left="0"/>
              <w:jc w:val="both"/>
              <w:rPr>
                <w:rFonts w:ascii="Times New Roman" w:hAnsi="Times New Roman"/>
              </w:rPr>
            </w:pPr>
            <w:r w:rsidRPr="00A71735">
              <w:rPr>
                <w:rFonts w:ascii="Times New Roman" w:hAnsi="Times New Roman"/>
              </w:rPr>
              <w:t>3) 153 pozostałych pracowników administracyjnych i pomocniczych</w:t>
            </w:r>
            <w:r w:rsidR="004034AB">
              <w:rPr>
                <w:rFonts w:ascii="Times New Roman" w:hAnsi="Times New Roman"/>
              </w:rPr>
              <w:t xml:space="preserve"> –</w:t>
            </w:r>
            <w:r w:rsidR="00C15222" w:rsidRPr="00A71735">
              <w:rPr>
                <w:rFonts w:ascii="Times New Roman" w:hAnsi="Times New Roman"/>
              </w:rPr>
              <w:t xml:space="preserve"> stanowiło 47 % całego personelu</w:t>
            </w:r>
            <w:r w:rsidRPr="00A71735">
              <w:rPr>
                <w:rFonts w:ascii="Times New Roman" w:hAnsi="Times New Roman"/>
              </w:rPr>
              <w:t>.</w:t>
            </w:r>
          </w:p>
          <w:p w14:paraId="1E1F3AC7" w14:textId="77777777" w:rsidR="000975DD" w:rsidRPr="00A71735" w:rsidRDefault="00C15222" w:rsidP="000975DD">
            <w:pPr>
              <w:pStyle w:val="Akapitzlist"/>
              <w:spacing w:line="240" w:lineRule="auto"/>
              <w:ind w:left="0"/>
              <w:jc w:val="both"/>
              <w:rPr>
                <w:rFonts w:ascii="Times New Roman" w:hAnsi="Times New Roman"/>
              </w:rPr>
            </w:pPr>
            <w:r w:rsidRPr="00A71735">
              <w:rPr>
                <w:rFonts w:ascii="Times New Roman" w:hAnsi="Times New Roman"/>
              </w:rPr>
              <w:t>W 2021</w:t>
            </w:r>
            <w:r w:rsidR="00104F07">
              <w:rPr>
                <w:rFonts w:ascii="Times New Roman" w:hAnsi="Times New Roman"/>
              </w:rPr>
              <w:t xml:space="preserve"> </w:t>
            </w:r>
            <w:r w:rsidRPr="00A71735">
              <w:rPr>
                <w:rFonts w:ascii="Times New Roman" w:hAnsi="Times New Roman"/>
              </w:rPr>
              <w:t xml:space="preserve">r. największa liczba </w:t>
            </w:r>
            <w:r w:rsidR="0040584B" w:rsidRPr="00A71735">
              <w:rPr>
                <w:rFonts w:ascii="Times New Roman" w:hAnsi="Times New Roman"/>
              </w:rPr>
              <w:t>i</w:t>
            </w:r>
            <w:r w:rsidRPr="00A71735">
              <w:rPr>
                <w:rFonts w:ascii="Times New Roman" w:hAnsi="Times New Roman"/>
              </w:rPr>
              <w:t xml:space="preserve">nspektorów </w:t>
            </w:r>
            <w:r w:rsidR="0040584B" w:rsidRPr="00A71735">
              <w:rPr>
                <w:rFonts w:ascii="Times New Roman" w:hAnsi="Times New Roman"/>
              </w:rPr>
              <w:t>f</w:t>
            </w:r>
            <w:r w:rsidRPr="00A71735">
              <w:rPr>
                <w:rFonts w:ascii="Times New Roman" w:hAnsi="Times New Roman"/>
              </w:rPr>
              <w:t xml:space="preserve">armaceutycznych zatrudniona była w województwach: śląskim – 14, mazowieckim – 13, lubelskim  </w:t>
            </w:r>
            <w:r w:rsidR="004034AB">
              <w:rPr>
                <w:rFonts w:ascii="Times New Roman" w:hAnsi="Times New Roman"/>
              </w:rPr>
              <w:t>–</w:t>
            </w:r>
            <w:r w:rsidRPr="00A71735">
              <w:rPr>
                <w:rFonts w:ascii="Times New Roman" w:hAnsi="Times New Roman"/>
              </w:rPr>
              <w:t xml:space="preserve"> 12 oraz łódzkim i podkarpackim – po 10 inspektorów. Natomiast najniższe zatrudnienie inspektorów farmaceutycznych odnotowano w województwach: opolskim, lubuskim i zachodniopomorskim – po 2 inspektorów oraz warmińsko-mazurskim – 3 inspektorów.</w:t>
            </w:r>
          </w:p>
          <w:p w14:paraId="2F1EB152" w14:textId="77777777" w:rsidR="00FC76F2" w:rsidRPr="00A71735" w:rsidRDefault="00062EFD" w:rsidP="00062EFD">
            <w:pPr>
              <w:pStyle w:val="Akapitzlist"/>
              <w:spacing w:line="240" w:lineRule="auto"/>
              <w:ind w:left="0"/>
              <w:jc w:val="both"/>
              <w:rPr>
                <w:rFonts w:ascii="Times New Roman" w:hAnsi="Times New Roman"/>
              </w:rPr>
            </w:pPr>
            <w:r w:rsidRPr="00A71735">
              <w:rPr>
                <w:rFonts w:ascii="Times New Roman" w:hAnsi="Times New Roman"/>
              </w:rPr>
              <w:t>W 2021 r</w:t>
            </w:r>
            <w:r w:rsidR="004034AB">
              <w:rPr>
                <w:rFonts w:ascii="Times New Roman" w:hAnsi="Times New Roman"/>
              </w:rPr>
              <w:t>.</w:t>
            </w:r>
            <w:r w:rsidRPr="00A71735">
              <w:rPr>
                <w:rFonts w:ascii="Times New Roman" w:hAnsi="Times New Roman"/>
              </w:rPr>
              <w:t xml:space="preserve"> średnie wynagrodzenie brutto inspektora farmaceutycznego (bez wynagrodzenia WIF i</w:t>
            </w:r>
            <w:r w:rsidR="00104F07">
              <w:rPr>
                <w:rFonts w:ascii="Times New Roman" w:hAnsi="Times New Roman"/>
              </w:rPr>
              <w:t> </w:t>
            </w:r>
            <w:r w:rsidRPr="00A71735">
              <w:rPr>
                <w:rFonts w:ascii="Times New Roman" w:hAnsi="Times New Roman"/>
              </w:rPr>
              <w:t xml:space="preserve">zastępcy) wynosiło 6 505,49 zł, co stanowiło kwotę netto 4 675,07 zł. </w:t>
            </w:r>
          </w:p>
          <w:p w14:paraId="47856623" w14:textId="77777777" w:rsidR="00FC76F2" w:rsidRPr="00A71735" w:rsidRDefault="00FC76F2" w:rsidP="00062EFD">
            <w:pPr>
              <w:pStyle w:val="Akapitzlist"/>
              <w:spacing w:line="240" w:lineRule="auto"/>
              <w:ind w:left="0"/>
              <w:jc w:val="both"/>
              <w:rPr>
                <w:rFonts w:ascii="Times New Roman" w:hAnsi="Times New Roman"/>
              </w:rPr>
            </w:pPr>
            <w:r w:rsidRPr="00A71735">
              <w:rPr>
                <w:rFonts w:ascii="Times New Roman" w:hAnsi="Times New Roman"/>
              </w:rPr>
              <w:t>Średnie wynagrodzenia inspektorów farmaceutycznych w 2021</w:t>
            </w:r>
            <w:r w:rsidR="0040584B" w:rsidRPr="00A71735">
              <w:rPr>
                <w:rFonts w:ascii="Times New Roman" w:hAnsi="Times New Roman"/>
              </w:rPr>
              <w:t xml:space="preserve"> </w:t>
            </w:r>
            <w:r w:rsidRPr="00A71735">
              <w:rPr>
                <w:rFonts w:ascii="Times New Roman" w:hAnsi="Times New Roman"/>
              </w:rPr>
              <w:t xml:space="preserve">r. w poszczególnych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nspektoratach </w:t>
            </w:r>
            <w:r w:rsidR="0040584B" w:rsidRPr="00A71735">
              <w:rPr>
                <w:rFonts w:ascii="Times New Roman" w:hAnsi="Times New Roman"/>
              </w:rPr>
              <w:t>f</w:t>
            </w:r>
            <w:r w:rsidRPr="00A71735">
              <w:rPr>
                <w:rFonts w:ascii="Times New Roman" w:hAnsi="Times New Roman"/>
              </w:rPr>
              <w:t>armaceutycznych mieściły w przedziale 5 668,84 zł do 8 098,92 zł; średnia krajowa  wyniosła 6505,49 zł, natomiast mediana 6357,49 zł.</w:t>
            </w:r>
          </w:p>
          <w:p w14:paraId="63AC3444" w14:textId="77777777" w:rsidR="00C15222" w:rsidRPr="00A71735" w:rsidRDefault="00062EFD" w:rsidP="00062EFD">
            <w:pPr>
              <w:pStyle w:val="Akapitzlist"/>
              <w:spacing w:line="240" w:lineRule="auto"/>
              <w:ind w:left="0"/>
              <w:jc w:val="both"/>
              <w:rPr>
                <w:rFonts w:ascii="Times New Roman" w:hAnsi="Times New Roman"/>
              </w:rPr>
            </w:pPr>
            <w:r w:rsidRPr="00A71735">
              <w:rPr>
                <w:rFonts w:ascii="Times New Roman" w:hAnsi="Times New Roman"/>
              </w:rPr>
              <w:t>Takie wynagrodzenie w porównaniu do nakładu pracy inspektorów farmaceutycznych jest rażąco niskie oraz nie przystaje do warunków rynkowych. Powoduje to dużą rotację pracowników co skutkuje problemami z zachowaniem wykwalifikowanej kadry i często zadania inspektorów farmaceutycznych wykonują osoby z niewielkim doświadczeniem.</w:t>
            </w:r>
          </w:p>
          <w:p w14:paraId="605DEF97" w14:textId="77777777" w:rsidR="00062EFD" w:rsidRPr="00A71735" w:rsidRDefault="003853D0" w:rsidP="00062EFD">
            <w:pPr>
              <w:pStyle w:val="Akapitzlist"/>
              <w:spacing w:line="240" w:lineRule="auto"/>
              <w:ind w:left="0"/>
              <w:jc w:val="both"/>
              <w:rPr>
                <w:rFonts w:ascii="Times New Roman" w:hAnsi="Times New Roman"/>
              </w:rPr>
            </w:pPr>
            <w:r w:rsidRPr="00A71735">
              <w:rPr>
                <w:rFonts w:ascii="Times New Roman" w:hAnsi="Times New Roman"/>
              </w:rPr>
              <w:t>W 2021</w:t>
            </w:r>
            <w:r w:rsidR="004034AB">
              <w:rPr>
                <w:rFonts w:ascii="Times New Roman" w:hAnsi="Times New Roman"/>
              </w:rPr>
              <w:t xml:space="preserve"> r.</w:t>
            </w:r>
            <w:r w:rsidRPr="00A71735">
              <w:rPr>
                <w:rFonts w:ascii="Times New Roman" w:hAnsi="Times New Roman"/>
              </w:rPr>
              <w:t xml:space="preserve"> we wszystkich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nspektoratach </w:t>
            </w:r>
            <w:r w:rsidR="0040584B" w:rsidRPr="00A71735">
              <w:rPr>
                <w:rFonts w:ascii="Times New Roman" w:hAnsi="Times New Roman"/>
              </w:rPr>
              <w:t>f</w:t>
            </w:r>
            <w:r w:rsidRPr="00A71735">
              <w:rPr>
                <w:rFonts w:ascii="Times New Roman" w:hAnsi="Times New Roman"/>
              </w:rPr>
              <w:t>armaceutycznych zostało ogłoszonych łącznie 59 naborów na stanowisko inspektora farmaceutycznego, z czego tylko 14, czyli 23,7 % zakończyło się zatrudnieniem nowego pracownika.  Główne powody takiego stanu rzeczy to: brak zainteresowania ofertą pracy, nieatrakcyjne wynagrodzenia proponowane kandydatom, szczególnie w</w:t>
            </w:r>
            <w:r w:rsidR="00104F07">
              <w:rPr>
                <w:rFonts w:ascii="Times New Roman" w:hAnsi="Times New Roman"/>
              </w:rPr>
              <w:t> </w:t>
            </w:r>
            <w:r w:rsidRPr="00A71735">
              <w:rPr>
                <w:rFonts w:ascii="Times New Roman" w:hAnsi="Times New Roman"/>
              </w:rPr>
              <w:t xml:space="preserve">odniesieniu do wymogu spełnienia wysokich wymagań ustawowych przez kandydata na inspektora, dużej konkurencyjności ofert pracy i wysokich wynagrodzeń proponowanych farmaceutom na rynku aptecznym, jak również ze względu na specyficzny charakter pracy inspektora, która charakteryzuje się między innymi wysokim poziomem stresu. </w:t>
            </w:r>
          </w:p>
          <w:p w14:paraId="0EBD5A5C" w14:textId="77777777" w:rsidR="003853D0" w:rsidRPr="00A71735" w:rsidRDefault="003853D0" w:rsidP="00062EFD">
            <w:pPr>
              <w:pStyle w:val="Akapitzlist"/>
              <w:spacing w:line="240" w:lineRule="auto"/>
              <w:ind w:left="0"/>
              <w:jc w:val="both"/>
              <w:rPr>
                <w:rFonts w:ascii="Times New Roman" w:hAnsi="Times New Roman"/>
              </w:rPr>
            </w:pPr>
            <w:r w:rsidRPr="00A71735">
              <w:rPr>
                <w:rFonts w:ascii="Times New Roman" w:hAnsi="Times New Roman"/>
              </w:rPr>
              <w:t xml:space="preserve">Średnia wieku wśród inspektorów farmaceutycznych w poszczególnych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nspektoratach </w:t>
            </w:r>
            <w:r w:rsidR="0040584B" w:rsidRPr="00A71735">
              <w:rPr>
                <w:rFonts w:ascii="Times New Roman" w:hAnsi="Times New Roman"/>
              </w:rPr>
              <w:t>f</w:t>
            </w:r>
            <w:r w:rsidRPr="00A71735">
              <w:rPr>
                <w:rFonts w:ascii="Times New Roman" w:hAnsi="Times New Roman"/>
              </w:rPr>
              <w:t xml:space="preserve">armaceutycznych w 2021 r. mieściła się w przedziale 37 </w:t>
            </w:r>
            <w:r w:rsidR="004034AB">
              <w:rPr>
                <w:rFonts w:ascii="Times New Roman" w:hAnsi="Times New Roman"/>
              </w:rPr>
              <w:t>–</w:t>
            </w:r>
            <w:r w:rsidRPr="00A71735">
              <w:rPr>
                <w:rFonts w:ascii="Times New Roman" w:hAnsi="Times New Roman"/>
              </w:rPr>
              <w:t xml:space="preserve"> 58,4 lat i wynosiła w skali kraju 49,5 lat, zaś mediana 50,4 roku.</w:t>
            </w:r>
          </w:p>
          <w:p w14:paraId="1140417C" w14:textId="77777777" w:rsidR="003853D0" w:rsidRPr="00A71735" w:rsidRDefault="004034AB" w:rsidP="00062EFD">
            <w:pPr>
              <w:pStyle w:val="Akapitzlist"/>
              <w:spacing w:line="240" w:lineRule="auto"/>
              <w:ind w:left="0"/>
              <w:jc w:val="both"/>
              <w:rPr>
                <w:rFonts w:ascii="Times New Roman" w:hAnsi="Times New Roman"/>
              </w:rPr>
            </w:pPr>
            <w:r>
              <w:rPr>
                <w:rFonts w:ascii="Times New Roman" w:hAnsi="Times New Roman"/>
              </w:rPr>
              <w:t xml:space="preserve">Na dzień 31 grudnia </w:t>
            </w:r>
            <w:r w:rsidR="000643AE" w:rsidRPr="00A71735">
              <w:rPr>
                <w:rFonts w:ascii="Times New Roman" w:hAnsi="Times New Roman"/>
              </w:rPr>
              <w:t>2021 r</w:t>
            </w:r>
            <w:r>
              <w:rPr>
                <w:rFonts w:ascii="Times New Roman" w:hAnsi="Times New Roman"/>
              </w:rPr>
              <w:t>.</w:t>
            </w:r>
            <w:r w:rsidR="000643AE" w:rsidRPr="00A71735">
              <w:rPr>
                <w:rFonts w:ascii="Times New Roman" w:hAnsi="Times New Roman"/>
              </w:rPr>
              <w:t xml:space="preserve"> </w:t>
            </w:r>
            <w:r w:rsidR="0040584B" w:rsidRPr="00A71735">
              <w:rPr>
                <w:rFonts w:ascii="Times New Roman" w:hAnsi="Times New Roman"/>
              </w:rPr>
              <w:t>w</w:t>
            </w:r>
            <w:r w:rsidR="000643AE" w:rsidRPr="00A71735">
              <w:rPr>
                <w:rFonts w:ascii="Times New Roman" w:hAnsi="Times New Roman"/>
              </w:rPr>
              <w:t xml:space="preserve">ojewódzkie </w:t>
            </w:r>
            <w:r w:rsidR="0040584B" w:rsidRPr="00A71735">
              <w:rPr>
                <w:rFonts w:ascii="Times New Roman" w:hAnsi="Times New Roman"/>
              </w:rPr>
              <w:t>i</w:t>
            </w:r>
            <w:r w:rsidR="000643AE" w:rsidRPr="00A71735">
              <w:rPr>
                <w:rFonts w:ascii="Times New Roman" w:hAnsi="Times New Roman"/>
              </w:rPr>
              <w:t xml:space="preserve">nspektoraty </w:t>
            </w:r>
            <w:r w:rsidR="0040584B" w:rsidRPr="00A71735">
              <w:rPr>
                <w:rFonts w:ascii="Times New Roman" w:hAnsi="Times New Roman"/>
              </w:rPr>
              <w:t>f</w:t>
            </w:r>
            <w:r w:rsidR="000643AE" w:rsidRPr="00A71735">
              <w:rPr>
                <w:rFonts w:ascii="Times New Roman" w:hAnsi="Times New Roman"/>
              </w:rPr>
              <w:t>armaceutyczne nadzorowały łącznie 25 890 podmiotów, w tym 14 939 placówek obrotu aptecznego (apteki, punkty apteczne, działy farmacji szpitalnej) oraz 10 951 innych placówek (placówki obrotu pozaaptecznego, stacje sanitarno-epidemiologiczne, podmioty lecznicze bez apteki szpitalnej lub działu farmacji szpitalnej, indywidualne praktyki lekarskie i lekarsko-dentystyczne, zakłady lecznicze dla zwierząt, indywidualne praktyki weterynaryjne oraz pozostałe np. placówki naukowe, hurtownie inne niż farmaceutyczne, wytwórnie inne niż farmaceutyczne).</w:t>
            </w:r>
          </w:p>
          <w:p w14:paraId="691CDF27" w14:textId="77777777" w:rsidR="000643AE" w:rsidRPr="00A71735" w:rsidRDefault="000643AE" w:rsidP="00062EFD">
            <w:pPr>
              <w:pStyle w:val="Akapitzlist"/>
              <w:spacing w:line="240" w:lineRule="auto"/>
              <w:ind w:left="0"/>
              <w:jc w:val="both"/>
              <w:rPr>
                <w:rFonts w:ascii="Times New Roman" w:hAnsi="Times New Roman"/>
              </w:rPr>
            </w:pPr>
            <w:r w:rsidRPr="00A71735">
              <w:rPr>
                <w:rFonts w:ascii="Times New Roman" w:hAnsi="Times New Roman"/>
              </w:rPr>
              <w:t xml:space="preserve">W 2021 roku </w:t>
            </w:r>
            <w:r w:rsidR="0040584B" w:rsidRPr="00A71735">
              <w:rPr>
                <w:rFonts w:ascii="Times New Roman" w:hAnsi="Times New Roman"/>
              </w:rPr>
              <w:t>w</w:t>
            </w:r>
            <w:r w:rsidRPr="00A71735">
              <w:rPr>
                <w:rFonts w:ascii="Times New Roman" w:hAnsi="Times New Roman"/>
              </w:rPr>
              <w:t xml:space="preserve">ojewódzkie </w:t>
            </w:r>
            <w:r w:rsidR="0040584B" w:rsidRPr="00A71735">
              <w:rPr>
                <w:rFonts w:ascii="Times New Roman" w:hAnsi="Times New Roman"/>
              </w:rPr>
              <w:t>i</w:t>
            </w:r>
            <w:r w:rsidRPr="00A71735">
              <w:rPr>
                <w:rFonts w:ascii="Times New Roman" w:hAnsi="Times New Roman"/>
              </w:rPr>
              <w:t xml:space="preserve">nspektoraty </w:t>
            </w:r>
            <w:r w:rsidR="0040584B" w:rsidRPr="00A71735">
              <w:rPr>
                <w:rFonts w:ascii="Times New Roman" w:hAnsi="Times New Roman"/>
              </w:rPr>
              <w:t>f</w:t>
            </w:r>
            <w:r w:rsidRPr="00A71735">
              <w:rPr>
                <w:rFonts w:ascii="Times New Roman" w:hAnsi="Times New Roman"/>
              </w:rPr>
              <w:t xml:space="preserve">armaceutyczne  sprawowały nadzór nad 14 939 placówkami obrotu aptecznego, w tym nad 12 150 aptekami ogólnodostępnymi, 1 595 aptekami szpitalnymi, zakładowymi i działami farmacji szpitalnej oraz 1 194 punktami aptecznymi.  Żaden z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nspektorów </w:t>
            </w:r>
            <w:r w:rsidR="0040584B" w:rsidRPr="00A71735">
              <w:rPr>
                <w:rFonts w:ascii="Times New Roman" w:hAnsi="Times New Roman"/>
              </w:rPr>
              <w:t>f</w:t>
            </w:r>
            <w:r w:rsidRPr="00A71735">
              <w:rPr>
                <w:rFonts w:ascii="Times New Roman" w:hAnsi="Times New Roman"/>
              </w:rPr>
              <w:t xml:space="preserve">armaceutycznych  nie wskazał w sprawozdaniu rocznym liczby nadzorowanych sklepów </w:t>
            </w:r>
            <w:r w:rsidRPr="00A71735">
              <w:rPr>
                <w:rFonts w:ascii="Times New Roman" w:hAnsi="Times New Roman"/>
              </w:rPr>
              <w:lastRenderedPageBreak/>
              <w:t>ogólnodostępnych z uwagi na brak możliwości ustalenia liczby tego typu placówek prowadzących obrót produktami leczniczymi.</w:t>
            </w:r>
          </w:p>
          <w:p w14:paraId="13A9C259" w14:textId="77777777" w:rsidR="000643AE" w:rsidRPr="00A71735" w:rsidRDefault="000643AE" w:rsidP="00062EFD">
            <w:pPr>
              <w:pStyle w:val="Akapitzlist"/>
              <w:spacing w:line="240" w:lineRule="auto"/>
              <w:ind w:left="0"/>
              <w:jc w:val="both"/>
              <w:rPr>
                <w:rFonts w:ascii="Times New Roman" w:hAnsi="Times New Roman"/>
              </w:rPr>
            </w:pPr>
            <w:r w:rsidRPr="00A71735">
              <w:rPr>
                <w:rFonts w:ascii="Times New Roman" w:hAnsi="Times New Roman"/>
              </w:rPr>
              <w:t xml:space="preserve">Jak wynika </w:t>
            </w:r>
            <w:r w:rsidR="004034AB">
              <w:rPr>
                <w:rFonts w:ascii="Times New Roman" w:hAnsi="Times New Roman"/>
              </w:rPr>
              <w:t>z powyższego zestawienia, w</w:t>
            </w:r>
            <w:r w:rsidRPr="00A71735">
              <w:rPr>
                <w:rFonts w:ascii="Times New Roman" w:hAnsi="Times New Roman"/>
              </w:rPr>
              <w:t xml:space="preserve"> 2021</w:t>
            </w:r>
            <w:r w:rsidR="004034AB">
              <w:rPr>
                <w:rFonts w:ascii="Times New Roman" w:hAnsi="Times New Roman"/>
              </w:rPr>
              <w:t xml:space="preserve"> r.</w:t>
            </w:r>
            <w:r w:rsidRPr="00A71735">
              <w:rPr>
                <w:rFonts w:ascii="Times New Roman" w:hAnsi="Times New Roman"/>
              </w:rPr>
              <w:t>, na jednego inspektora farmaceutycznego przypadały w skali kraju średnio 244 podmioty podlegające nadzorowi WIF, w tym 141 placówek obrotu aptecznego oraz 103 pozostałe nadzorowane placówki.</w:t>
            </w:r>
          </w:p>
          <w:p w14:paraId="72918860" w14:textId="77777777" w:rsidR="000643AE" w:rsidRPr="00A71735" w:rsidRDefault="000643AE" w:rsidP="00062EFD">
            <w:pPr>
              <w:pStyle w:val="Akapitzlist"/>
              <w:spacing w:line="240" w:lineRule="auto"/>
              <w:ind w:left="0"/>
              <w:jc w:val="both"/>
              <w:rPr>
                <w:rFonts w:ascii="Times New Roman" w:hAnsi="Times New Roman"/>
              </w:rPr>
            </w:pPr>
            <w:r w:rsidRPr="00A71735">
              <w:rPr>
                <w:rFonts w:ascii="Times New Roman" w:hAnsi="Times New Roman"/>
              </w:rPr>
              <w:t xml:space="preserve">W </w:t>
            </w:r>
            <w:r w:rsidR="004034AB">
              <w:rPr>
                <w:rFonts w:ascii="Times New Roman" w:hAnsi="Times New Roman"/>
              </w:rPr>
              <w:t>2</w:t>
            </w:r>
            <w:r w:rsidRPr="00A71735">
              <w:rPr>
                <w:rFonts w:ascii="Times New Roman" w:hAnsi="Times New Roman"/>
              </w:rPr>
              <w:t>021</w:t>
            </w:r>
            <w:r w:rsidR="004034AB">
              <w:rPr>
                <w:rFonts w:ascii="Times New Roman" w:hAnsi="Times New Roman"/>
              </w:rPr>
              <w:t xml:space="preserve"> r.</w:t>
            </w:r>
            <w:r w:rsidRPr="00A71735">
              <w:rPr>
                <w:rFonts w:ascii="Times New Roman" w:hAnsi="Times New Roman"/>
              </w:rPr>
              <w:t>, największa liczba placówek nadzorowanych przez WIF, przypadała na jednego inspektora farmaceutycznego w województwie dolnośląskim (332) oraz pomorskim i lubuskim (po 322), natomiast najmniejsza w województwie lubelskim (149) oraz  podkarpackim (152).</w:t>
            </w:r>
          </w:p>
          <w:p w14:paraId="5429C5FB" w14:textId="77777777" w:rsidR="000643AE" w:rsidRPr="00A71735" w:rsidRDefault="000643AE" w:rsidP="00062EFD">
            <w:pPr>
              <w:pStyle w:val="Akapitzlist"/>
              <w:spacing w:line="240" w:lineRule="auto"/>
              <w:ind w:left="0"/>
              <w:jc w:val="both"/>
              <w:rPr>
                <w:rFonts w:ascii="Times New Roman" w:hAnsi="Times New Roman"/>
              </w:rPr>
            </w:pPr>
            <w:r w:rsidRPr="00A71735">
              <w:rPr>
                <w:rFonts w:ascii="Times New Roman" w:hAnsi="Times New Roman"/>
              </w:rPr>
              <w:t xml:space="preserve">W czterech </w:t>
            </w:r>
            <w:r w:rsidR="0040584B" w:rsidRPr="00A71735">
              <w:rPr>
                <w:rFonts w:ascii="Times New Roman" w:hAnsi="Times New Roman"/>
              </w:rPr>
              <w:t>w</w:t>
            </w:r>
            <w:r w:rsidRPr="00A71735">
              <w:rPr>
                <w:rFonts w:ascii="Times New Roman" w:hAnsi="Times New Roman"/>
              </w:rPr>
              <w:t xml:space="preserve">ojewódzkich </w:t>
            </w:r>
            <w:r w:rsidR="0040584B" w:rsidRPr="00A71735">
              <w:rPr>
                <w:rFonts w:ascii="Times New Roman" w:hAnsi="Times New Roman"/>
              </w:rPr>
              <w:t>i</w:t>
            </w:r>
            <w:r w:rsidRPr="00A71735">
              <w:rPr>
                <w:rFonts w:ascii="Times New Roman" w:hAnsi="Times New Roman"/>
              </w:rPr>
              <w:t xml:space="preserve">nspektoratach </w:t>
            </w:r>
            <w:r w:rsidR="0040584B" w:rsidRPr="00A71735">
              <w:rPr>
                <w:rFonts w:ascii="Times New Roman" w:hAnsi="Times New Roman"/>
              </w:rPr>
              <w:t>f</w:t>
            </w:r>
            <w:r w:rsidRPr="00A71735">
              <w:rPr>
                <w:rFonts w:ascii="Times New Roman" w:hAnsi="Times New Roman"/>
              </w:rPr>
              <w:t>armaceutycznych plan kontroli został zrealizowany całkowicie, tj. w województwie: podkarpackim, dolnośląskim, pomorskim oraz warmińsko-mazurskim, zaś w najmniejszym procencie zrealizowano plan kontroli w województwie opolskim – 40 % oraz wielkopolskim – 63 %.</w:t>
            </w:r>
          </w:p>
          <w:p w14:paraId="619D18CE" w14:textId="77777777" w:rsidR="000643AE" w:rsidRPr="00A71735" w:rsidRDefault="006F6C56" w:rsidP="006F6C56">
            <w:pPr>
              <w:pStyle w:val="Akapitzlist"/>
              <w:spacing w:line="240" w:lineRule="auto"/>
              <w:ind w:left="0"/>
              <w:jc w:val="both"/>
              <w:rPr>
                <w:rFonts w:ascii="Times New Roman" w:hAnsi="Times New Roman"/>
              </w:rPr>
            </w:pPr>
            <w:r w:rsidRPr="00A71735">
              <w:rPr>
                <w:rFonts w:ascii="Times New Roman" w:hAnsi="Times New Roman"/>
              </w:rPr>
              <w:t xml:space="preserve">Najwyższa Izba Kontroli w raporcie  LZG.410.003.2015 „WYKONYWANIE PRZEZ PAŃSTWOWĄ INSPEKCJĘ FARMACEUTYCZNĄ ZADAŃ OKREŚLONYCH W USTAWIE PRAWO FARMACEUTYCZNE” stwierdziła, następujące nieprawidłowości. Niekorzystny wpływ na skuteczność działania Inspekcji Farmaceutycznej, miała w dużej mierze niewystraczająca obsada kadrowa, zwłaszcza w sytuacji nakładania dodatkowych zadań wynikających z kolejnych nowelizacji Prawa farmaceutycznego, będąca następstwem niedostatecznego poziomu finansowania. Brak skuteczności wynikał także z niejednolitego postępowania Wojewódzkich Inspektorów </w:t>
            </w:r>
            <w:r w:rsidR="00E014BB">
              <w:rPr>
                <w:rFonts w:ascii="Times New Roman" w:hAnsi="Times New Roman"/>
              </w:rPr>
              <w:t xml:space="preserve">Farmaceutycznych </w:t>
            </w:r>
            <w:r w:rsidRPr="00A71735">
              <w:rPr>
                <w:rFonts w:ascii="Times New Roman" w:hAnsi="Times New Roman"/>
              </w:rPr>
              <w:t>w przypadku ujawnionych naruszeń prawa. Niewystarczająca obsada kadrowa  miała istotny wpływ na ograniczenie liczby i zakresu kontroli. Oferty zatrudnienia w WIF nie spotykały się na ogół z zainteresowaniem farmaceutów, głównie z uwagi na nieatrakcyjne w stosunku do ofert rynkowych warunki wynagrodzenia. Średnie wynagrodzenie inspektora farmaceutycznego mieściło się w granicach 3,4–4,4 tys. zł brutto. Tymczasem mediana wynagrodzeń kierownika apteki ogólnodostępnej wynosiła 6,6 tys. zł brutto. Odnotować należy, iż osoba pełniąca funkcję kierownika apteki musi spełniać te same wymagania co inspektor farmaceutyczny. Podejmowane przez  wojewódzkich inspektorów farmaceutycznych próby pozyskania od właściwych wojewodów większej puli środków na wynagrodzenia lub bieżące utrzymanie spotykały się z odmową lub brakiem jakiejkolwiek odpowiedzi.</w:t>
            </w:r>
          </w:p>
          <w:p w14:paraId="62CD82E1" w14:textId="77777777" w:rsidR="009272F3" w:rsidRPr="00A71735" w:rsidRDefault="009272F3" w:rsidP="009272F3">
            <w:pPr>
              <w:pStyle w:val="Akapitzlist"/>
              <w:spacing w:line="240" w:lineRule="auto"/>
              <w:ind w:left="0"/>
              <w:jc w:val="both"/>
              <w:rPr>
                <w:rFonts w:ascii="Times New Roman" w:hAnsi="Times New Roman"/>
              </w:rPr>
            </w:pPr>
            <w:r w:rsidRPr="00A71735">
              <w:rPr>
                <w:rFonts w:ascii="Times New Roman" w:hAnsi="Times New Roman"/>
              </w:rPr>
              <w:t>NIK stwierdziła również, że prawidłowa realizacja zadań oraz skuteczny nadzór nad obrotem produktami leczniczymi wymagają zdecydowanego wzmocnienia kadrowego Inspekcji Farmaceutycznej, szczególnie w sytuacji rosnącej liczby nadzorowanych placówek i licznych nowelizacji Prawa farmaceutycznego, które nałożyły dodatkowe zadania. Powinno temu towarzyszyć zapewnienie w budżecie Ministra Zdrowia oraz poszczególnych wojewodów odpowiednich środków finansowych na funkcjonowanie Inspekcji Farmaceutycznej. Aktualne dysproporcje między ofertą rynkową, a możliwościami płacowymi Inspekcji nie sprzyjają zatrudnianiu osób o wysokich kwalifikacjach.</w:t>
            </w:r>
          </w:p>
          <w:p w14:paraId="0122EF19" w14:textId="77777777" w:rsidR="009272F3" w:rsidRPr="00A71735" w:rsidRDefault="009272F3" w:rsidP="009272F3">
            <w:pPr>
              <w:pStyle w:val="Akapitzlist"/>
              <w:spacing w:line="240" w:lineRule="auto"/>
              <w:ind w:left="0"/>
              <w:jc w:val="both"/>
              <w:rPr>
                <w:rFonts w:ascii="Times New Roman" w:hAnsi="Times New Roman"/>
              </w:rPr>
            </w:pPr>
            <w:r w:rsidRPr="00A71735">
              <w:rPr>
                <w:rFonts w:ascii="Times New Roman" w:hAnsi="Times New Roman"/>
              </w:rPr>
              <w:t xml:space="preserve">NIK stwierdziła, że w latach 2012–2014 skontrolowane </w:t>
            </w:r>
            <w:r w:rsidR="00C347D6" w:rsidRPr="00A71735">
              <w:rPr>
                <w:rFonts w:ascii="Times New Roman" w:hAnsi="Times New Roman"/>
              </w:rPr>
              <w:t>wojewódzkie inspektoraty farmaceutyczne</w:t>
            </w:r>
            <w:r w:rsidRPr="00A71735">
              <w:rPr>
                <w:rFonts w:ascii="Times New Roman" w:hAnsi="Times New Roman"/>
              </w:rPr>
              <w:t xml:space="preserve"> realizowały zadania w oparciu o roczne plany kontroli, w których uwzględniano wszystkie typy placówek obrotu aptecznego i pozaaptecznego – w niewielkim zakresie sklepy ogólnodostępne. Kontrole prowadzono zgodnie z zasadami sformułowanymi w Prawie farmaceutycznym oraz z wewnętrzną procedurą zatwierdzoną przez Głównego Inspektora</w:t>
            </w:r>
            <w:r w:rsidR="00E014BB">
              <w:rPr>
                <w:rFonts w:ascii="Times New Roman" w:hAnsi="Times New Roman"/>
              </w:rPr>
              <w:t xml:space="preserve"> Farmaceutycznego</w:t>
            </w:r>
            <w:r w:rsidRPr="00A71735">
              <w:rPr>
                <w:rFonts w:ascii="Times New Roman" w:hAnsi="Times New Roman"/>
              </w:rPr>
              <w:t>. Jednakże były one prowadzone za rzadko. Średnio, kontrole w poszczególnych typach placówek, prowadzono raz na dwa do czterech lat, a w województwie śląskim raz na pięć do siedmiu lat. W takich warunkach trudno zapewnić skuteczność działalności kontrolnej, w szczególności wynikającą z funkcji prewencyjnej kontroli. Łącznie szesnaście WIF przeprowadziło odpowiednio: 6.214, 6.463, 6.795 oraz w 2015 r. – 6.003 kontrole w nadzorowanych placówkach.</w:t>
            </w:r>
          </w:p>
          <w:p w14:paraId="343B4123" w14:textId="77777777" w:rsidR="009272F3" w:rsidRPr="00A71735" w:rsidRDefault="009272F3" w:rsidP="009272F3">
            <w:pPr>
              <w:pStyle w:val="Akapitzlist"/>
              <w:spacing w:line="240" w:lineRule="auto"/>
              <w:ind w:left="0"/>
              <w:jc w:val="both"/>
              <w:rPr>
                <w:rFonts w:ascii="Times New Roman" w:hAnsi="Times New Roman"/>
              </w:rPr>
            </w:pPr>
            <w:r w:rsidRPr="00A71735">
              <w:rPr>
                <w:rFonts w:ascii="Times New Roman" w:hAnsi="Times New Roman"/>
              </w:rPr>
              <w:t xml:space="preserve">W raporcie NIK wskazano, że spośród ośmiu skontrolowanych </w:t>
            </w:r>
            <w:r w:rsidR="00C347D6" w:rsidRPr="00A71735">
              <w:rPr>
                <w:rFonts w:ascii="Times New Roman" w:hAnsi="Times New Roman"/>
              </w:rPr>
              <w:t>wojewódzkich inspektoratach farmaceutycznych</w:t>
            </w:r>
            <w:r w:rsidRPr="00A71735">
              <w:rPr>
                <w:rFonts w:ascii="Times New Roman" w:hAnsi="Times New Roman"/>
              </w:rPr>
              <w:t>, cztery – w Katowicach, Lublinie, Łodzi i Wrocławiu wprowadziły do planów działalności na lata 2012–2014 kontrole sklepów ogólnodostępnych. W woj. śląskim skontrolowano 40 sklepów ogólnodostępnych, w lubelskim – 32 sklepy ogólnodostępne, dolnośląskim – 25, a w łódzkim – 8. W pozostałych przypadkach, sprzedaż produktów leczniczych w obrocie pozaaptecznym (markety, hipermarkety, dyskonty, sklepy osiedlowe, stacje benzynowe, kioski z prasą), w praktyce wyłączona była spod nadzoru Inspekcji Farmaceutycznej. Brak weryfikacji, w następstwie kontroli, sposobu sprzedaży produktów leczniczych w obrocie pozaaptecznym powoduje, że organy Inspekcji Farmaceutycznej, poza nielicznymi przypadkami, nie posiadają informacji, czy produkty lecznicze są prawidłowo przechowywane oraz czy pozostają zabezpieczone przed dostępem dzieci.</w:t>
            </w:r>
          </w:p>
          <w:p w14:paraId="603EB840" w14:textId="77777777" w:rsidR="009272F3" w:rsidRPr="00A71735" w:rsidRDefault="00E5362C" w:rsidP="009272F3">
            <w:pPr>
              <w:pStyle w:val="Akapitzlist"/>
              <w:spacing w:line="240" w:lineRule="auto"/>
              <w:ind w:left="0"/>
              <w:jc w:val="both"/>
              <w:rPr>
                <w:rFonts w:ascii="Times New Roman" w:hAnsi="Times New Roman"/>
              </w:rPr>
            </w:pPr>
            <w:r w:rsidRPr="00A71735">
              <w:rPr>
                <w:rFonts w:ascii="Times New Roman" w:hAnsi="Times New Roman"/>
              </w:rPr>
              <w:t xml:space="preserve">W wynikach kontroli NIK wskazała m.in., że stan zatrudnienia w WIF był niewystarczający w stosunku do zadań nałożonych na Inspekcję Farmaceutyczną. Mimo nakładania kolejnych zadań wynikających ze zmian przepisów Prawa farmaceutycznego, w tym licznych postępowań związanych z ujawnianiem odwróconego łańcucha dystrybucji, postępowań w sprawie zakazu stosowania niedozwolonej reklamy oraz rosnącej liczby nadzorowanych placówek, zatrudnienie inspektorów farmaceutycznych </w:t>
            </w:r>
            <w:r w:rsidRPr="00A71735">
              <w:rPr>
                <w:rFonts w:ascii="Times New Roman" w:hAnsi="Times New Roman"/>
              </w:rPr>
              <w:lastRenderedPageBreak/>
              <w:t xml:space="preserve">w analizowanym okresie pozostawało na podobnym poziomie. Wszystkie osoby zatrudnione na stanowiskach inspektorów farmaceutycznych posiadały odpowiednią praktykę zawodową i kwalifikacje wymagane przepisami art. 114 </w:t>
            </w:r>
            <w:r w:rsidR="004034AB">
              <w:rPr>
                <w:rFonts w:ascii="Times New Roman" w:hAnsi="Times New Roman"/>
              </w:rPr>
              <w:t>PF</w:t>
            </w:r>
            <w:r w:rsidRPr="00A71735">
              <w:rPr>
                <w:rFonts w:ascii="Times New Roman" w:hAnsi="Times New Roman"/>
              </w:rPr>
              <w:t>.</w:t>
            </w:r>
          </w:p>
          <w:p w14:paraId="612F611A" w14:textId="77777777" w:rsidR="004819BB" w:rsidRPr="00A71735" w:rsidRDefault="004819BB" w:rsidP="009272F3">
            <w:pPr>
              <w:pStyle w:val="Akapitzlist"/>
              <w:spacing w:line="240" w:lineRule="auto"/>
              <w:ind w:left="0"/>
              <w:jc w:val="both"/>
              <w:rPr>
                <w:rFonts w:ascii="Times New Roman" w:hAnsi="Times New Roman"/>
              </w:rPr>
            </w:pPr>
            <w:r w:rsidRPr="00A71735">
              <w:rPr>
                <w:rFonts w:ascii="Times New Roman" w:hAnsi="Times New Roman"/>
              </w:rPr>
              <w:t>Łącznie w WIF zatrudnienie zmniejszyło się z 346 osób na koniec 2012 r. do 338 na koniec 2015 r. Mimo rosnącej liczby nadzorowanych placówek (o 14 punktów procentowych w okresie od 2012 r. do 2015 r.), zatrudnienie inspektorów farmaceutycznych pozostawało na podobnym poziomie. Tendencja spadkowa w zatrudnieniu w wojewódzkich inspektoratach farmaceutycznych utrzymuje się.</w:t>
            </w:r>
          </w:p>
          <w:p w14:paraId="71AD0F8A" w14:textId="77777777" w:rsidR="002A318A" w:rsidRPr="00A71735" w:rsidRDefault="0010347C" w:rsidP="009272F3">
            <w:pPr>
              <w:pStyle w:val="Akapitzlist"/>
              <w:spacing w:line="240" w:lineRule="auto"/>
              <w:ind w:left="0"/>
              <w:jc w:val="both"/>
              <w:rPr>
                <w:rFonts w:ascii="Times New Roman" w:hAnsi="Times New Roman"/>
              </w:rPr>
            </w:pPr>
            <w:r w:rsidRPr="00A71735">
              <w:rPr>
                <w:rFonts w:ascii="Times New Roman" w:hAnsi="Times New Roman"/>
              </w:rPr>
              <w:t>WIF realizowały zadania w oparciu o roczne plany kontroli, w których uwzględniano wszystkie typy placówek obrotu aptecznego i pozaaptecznego – za wyjątkiem sklepów ogólnodostępnych. Średnio, kontrole w poszczególnych typach placówek, prowadzono raz na dwa do czterech lat, a w woj. śląskim – raz na pięć do siedmiu lat.</w:t>
            </w:r>
            <w:r w:rsidR="00C2216A" w:rsidRPr="00A71735">
              <w:rPr>
                <w:rFonts w:ascii="Times New Roman" w:hAnsi="Times New Roman"/>
              </w:rPr>
              <w:t xml:space="preserve">  Sprzedaż produktów leczniczych w obrocie pozaaptecznym, tj. w sklepach ogólnodostępnych w  większości przypadków w  praktyce wyłączona była spod nadzoru Inspekcji Farmaceutycznej.</w:t>
            </w:r>
            <w:r w:rsidR="00EA7BE4" w:rsidRPr="00A71735">
              <w:rPr>
                <w:rFonts w:ascii="Times New Roman" w:hAnsi="Times New Roman"/>
              </w:rPr>
              <w:t xml:space="preserve"> </w:t>
            </w:r>
            <w:r w:rsidR="002A318A" w:rsidRPr="00A71735">
              <w:rPr>
                <w:rFonts w:ascii="Times New Roman" w:hAnsi="Times New Roman"/>
              </w:rPr>
              <w:t>W celu zmiany tego stanu rzeczy, planuje się doszczegółowienie regulacji dotyczących prowadzenia kontroli również w takich miejscach. Należy zauważyć, że liczbę takich placówek należy szacować na ok. 115</w:t>
            </w:r>
            <w:r w:rsidR="00EA7BE4" w:rsidRPr="00A71735">
              <w:rPr>
                <w:rFonts w:ascii="Times New Roman" w:hAnsi="Times New Roman"/>
              </w:rPr>
              <w:t> 000, które również podlega</w:t>
            </w:r>
            <w:r w:rsidR="00E014BB">
              <w:rPr>
                <w:rFonts w:ascii="Times New Roman" w:hAnsi="Times New Roman"/>
              </w:rPr>
              <w:t>ją</w:t>
            </w:r>
            <w:r w:rsidR="00EA7BE4" w:rsidRPr="00A71735">
              <w:rPr>
                <w:rFonts w:ascii="Times New Roman" w:hAnsi="Times New Roman"/>
              </w:rPr>
              <w:t xml:space="preserve"> kontroli Państwowej Inspekcji Farmaceutycznej.</w:t>
            </w:r>
          </w:p>
          <w:p w14:paraId="173A0CF5" w14:textId="77777777" w:rsidR="005737C9" w:rsidRPr="00A71735" w:rsidRDefault="005737C9" w:rsidP="009272F3">
            <w:pPr>
              <w:pStyle w:val="Akapitzlist"/>
              <w:spacing w:line="240" w:lineRule="auto"/>
              <w:ind w:left="0"/>
              <w:jc w:val="both"/>
              <w:rPr>
                <w:rFonts w:ascii="Times New Roman" w:hAnsi="Times New Roman"/>
              </w:rPr>
            </w:pPr>
            <w:r w:rsidRPr="00A71735">
              <w:rPr>
                <w:rFonts w:ascii="Times New Roman" w:hAnsi="Times New Roman"/>
              </w:rPr>
              <w:t>Planowane zwiększenie zatrudnienia na stanowiskach inspektorskich ma na celu przede wszystkim zapewnienie skutecznej kontroli nad podmiotami posiadającymi zezwolenie na prowadzenie placówek obrotu produktami leczniczymi (ponad 26</w:t>
            </w:r>
            <w:r w:rsidR="000F3AB6" w:rsidRPr="00A71735">
              <w:rPr>
                <w:rFonts w:ascii="Times New Roman" w:hAnsi="Times New Roman"/>
              </w:rPr>
              <w:t xml:space="preserve"> </w:t>
            </w:r>
            <w:r w:rsidRPr="00A71735">
              <w:rPr>
                <w:rFonts w:ascii="Times New Roman" w:hAnsi="Times New Roman"/>
              </w:rPr>
              <w:t>000 podmiotów), a także zapewnienie nadzoru nad innymi miejscami, w których może być prowadzony obrót produktami leczniczymi</w:t>
            </w:r>
            <w:r w:rsidR="000F3AB6" w:rsidRPr="00A71735">
              <w:rPr>
                <w:rFonts w:ascii="Times New Roman" w:hAnsi="Times New Roman"/>
              </w:rPr>
              <w:t xml:space="preserve"> jak wskazano powyżej ok. 115 000 podmiotów.</w:t>
            </w:r>
            <w:r w:rsidRPr="00A71735">
              <w:rPr>
                <w:rFonts w:ascii="Times New Roman" w:hAnsi="Times New Roman"/>
              </w:rPr>
              <w:t xml:space="preserve"> </w:t>
            </w:r>
          </w:p>
          <w:p w14:paraId="290FD52B" w14:textId="77777777" w:rsidR="00C2216A" w:rsidRPr="00A71735" w:rsidRDefault="00C2216A" w:rsidP="009272F3">
            <w:pPr>
              <w:pStyle w:val="Akapitzlist"/>
              <w:spacing w:line="240" w:lineRule="auto"/>
              <w:ind w:left="0"/>
              <w:jc w:val="both"/>
              <w:rPr>
                <w:rFonts w:ascii="Times New Roman" w:hAnsi="Times New Roman"/>
              </w:rPr>
            </w:pPr>
            <w:r w:rsidRPr="00A71735">
              <w:rPr>
                <w:rFonts w:ascii="Times New Roman" w:hAnsi="Times New Roman"/>
              </w:rPr>
              <w:t>W wystąpieniu pokontrolnym KZD.411.002.02.2020 NIK stwierdziła, że w latach 2019-2020 GIF nie realizował ustawowego obowiązku z</w:t>
            </w:r>
            <w:r w:rsidR="00E014BB">
              <w:rPr>
                <w:rFonts w:ascii="Times New Roman" w:hAnsi="Times New Roman"/>
              </w:rPr>
              <w:t>obowiązującego go do sprawdzenia</w:t>
            </w:r>
            <w:r w:rsidRPr="00A71735">
              <w:rPr>
                <w:rFonts w:ascii="Times New Roman" w:hAnsi="Times New Roman"/>
              </w:rPr>
              <w:t xml:space="preserve"> nie rzadziej niż raz na 3 lata czy przedsiębiorca prowadzący obrót hurtowy spełnia obowiązki wynikające z art. 76b ust. 1 P</w:t>
            </w:r>
            <w:r w:rsidR="00E014BB">
              <w:rPr>
                <w:rFonts w:ascii="Times New Roman" w:hAnsi="Times New Roman"/>
              </w:rPr>
              <w:t xml:space="preserve">rawa </w:t>
            </w:r>
            <w:r w:rsidRPr="00A71735">
              <w:rPr>
                <w:rFonts w:ascii="Times New Roman" w:hAnsi="Times New Roman"/>
              </w:rPr>
              <w:t>f</w:t>
            </w:r>
            <w:r w:rsidR="00E014BB">
              <w:rPr>
                <w:rFonts w:ascii="Times New Roman" w:hAnsi="Times New Roman"/>
              </w:rPr>
              <w:t>armaceutycznego</w:t>
            </w:r>
            <w:r w:rsidRPr="00A71735">
              <w:rPr>
                <w:rFonts w:ascii="Times New Roman" w:hAnsi="Times New Roman"/>
              </w:rPr>
              <w:t>. Przyczyną tego stanu rzeczy były niedobory kadrowe.</w:t>
            </w:r>
            <w:r w:rsidR="006E2ECF" w:rsidRPr="00A71735">
              <w:rPr>
                <w:rFonts w:ascii="Times New Roman" w:hAnsi="Times New Roman"/>
              </w:rPr>
              <w:t xml:space="preserve"> Z tego samego powodu nie były zachowywane terminy wynikające z przyjętej instrukcji sporządzenia raportów z inspekcji. GIF niewystarczająco sprawował nadzór nad obrotem produktami leczniczymi. Zrealizowano 54% do 63% zaplanowanych kontroli a częstotliwość inspekcji  hurtowni była niezgodna z P</w:t>
            </w:r>
            <w:r w:rsidR="00E014BB">
              <w:rPr>
                <w:rFonts w:ascii="Times New Roman" w:hAnsi="Times New Roman"/>
              </w:rPr>
              <w:t xml:space="preserve">rawem </w:t>
            </w:r>
            <w:r w:rsidR="006E2ECF" w:rsidRPr="00A71735">
              <w:rPr>
                <w:rFonts w:ascii="Times New Roman" w:hAnsi="Times New Roman"/>
              </w:rPr>
              <w:t>f</w:t>
            </w:r>
            <w:r w:rsidR="00E014BB">
              <w:rPr>
                <w:rFonts w:ascii="Times New Roman" w:hAnsi="Times New Roman"/>
              </w:rPr>
              <w:t>armaceutycznym</w:t>
            </w:r>
            <w:r w:rsidR="006E2ECF" w:rsidRPr="00A71735">
              <w:rPr>
                <w:rFonts w:ascii="Times New Roman" w:hAnsi="Times New Roman"/>
              </w:rPr>
              <w:t>. W przypadku 40% inspekcji przekroczono wymagany prawem czas inspekcji.</w:t>
            </w:r>
          </w:p>
          <w:p w14:paraId="5F719502" w14:textId="77777777" w:rsidR="0010347C" w:rsidRPr="00A71735" w:rsidRDefault="006E2ECF" w:rsidP="009272F3">
            <w:pPr>
              <w:pStyle w:val="Akapitzlist"/>
              <w:spacing w:line="240" w:lineRule="auto"/>
              <w:ind w:left="0"/>
              <w:jc w:val="both"/>
              <w:rPr>
                <w:rFonts w:ascii="Times New Roman" w:hAnsi="Times New Roman"/>
              </w:rPr>
            </w:pPr>
            <w:r w:rsidRPr="00A71735">
              <w:rPr>
                <w:rFonts w:ascii="Times New Roman" w:hAnsi="Times New Roman"/>
              </w:rPr>
              <w:t xml:space="preserve">Wszystkie wskazane powyżej </w:t>
            </w:r>
            <w:r w:rsidR="00C347D6" w:rsidRPr="00A71735">
              <w:rPr>
                <w:rFonts w:ascii="Times New Roman" w:hAnsi="Times New Roman"/>
              </w:rPr>
              <w:t>a</w:t>
            </w:r>
            <w:r w:rsidRPr="00A71735">
              <w:rPr>
                <w:rFonts w:ascii="Times New Roman" w:hAnsi="Times New Roman"/>
              </w:rPr>
              <w:t xml:space="preserve">rgumenty przemawiają za koniecznością zatrudnienia nowych pracowników w Państwowej Inspekcji Farmaceutycznej. </w:t>
            </w:r>
          </w:p>
          <w:p w14:paraId="236E4505" w14:textId="77777777" w:rsidR="0040584B" w:rsidRDefault="0040584B" w:rsidP="0010347C">
            <w:pPr>
              <w:pStyle w:val="Akapitzlist"/>
              <w:spacing w:line="240" w:lineRule="auto"/>
              <w:ind w:left="0"/>
              <w:jc w:val="both"/>
              <w:rPr>
                <w:rFonts w:ascii="Times New Roman" w:hAnsi="Times New Roman"/>
              </w:rPr>
            </w:pPr>
            <w:r w:rsidRPr="00A71735">
              <w:rPr>
                <w:rFonts w:ascii="Times New Roman" w:hAnsi="Times New Roman"/>
              </w:rPr>
              <w:t xml:space="preserve">Należy również wskazać, że przewidziane </w:t>
            </w:r>
            <w:r w:rsidR="00250085">
              <w:rPr>
                <w:rFonts w:ascii="Times New Roman" w:hAnsi="Times New Roman"/>
              </w:rPr>
              <w:t>26</w:t>
            </w:r>
            <w:r w:rsidR="00250085" w:rsidRPr="00A71735">
              <w:rPr>
                <w:rFonts w:ascii="Times New Roman" w:hAnsi="Times New Roman"/>
              </w:rPr>
              <w:t xml:space="preserve"> </w:t>
            </w:r>
            <w:r w:rsidRPr="00A71735">
              <w:rPr>
                <w:rFonts w:ascii="Times New Roman" w:hAnsi="Times New Roman"/>
              </w:rPr>
              <w:t xml:space="preserve">etatów dla inspektorów mających sprawować nadzór nad medycznymi laboratoriami diagnostycznymi jest uzasadnione. Obecnie funkcjonuje </w:t>
            </w:r>
            <w:r w:rsidR="0006069A" w:rsidRPr="0006069A">
              <w:rPr>
                <w:rFonts w:ascii="Times New Roman" w:hAnsi="Times New Roman"/>
              </w:rPr>
              <w:t>2730</w:t>
            </w:r>
            <w:r w:rsidRPr="00A71735">
              <w:rPr>
                <w:rFonts w:ascii="Times New Roman" w:hAnsi="Times New Roman"/>
              </w:rPr>
              <w:t xml:space="preserve"> takich laboratoriów</w:t>
            </w:r>
            <w:r w:rsidR="0006069A">
              <w:rPr>
                <w:rFonts w:ascii="Times New Roman" w:hAnsi="Times New Roman"/>
              </w:rPr>
              <w:t xml:space="preserve"> (</w:t>
            </w:r>
            <w:r w:rsidR="0006069A" w:rsidRPr="0006069A">
              <w:rPr>
                <w:rFonts w:ascii="Times New Roman" w:hAnsi="Times New Roman"/>
              </w:rPr>
              <w:t>dane na podstawie rejestru</w:t>
            </w:r>
            <w:r w:rsidR="0006069A">
              <w:rPr>
                <w:rFonts w:ascii="Times New Roman" w:hAnsi="Times New Roman"/>
              </w:rPr>
              <w:t xml:space="preserve"> KRDL</w:t>
            </w:r>
            <w:r w:rsidR="0006069A" w:rsidRPr="0006069A">
              <w:rPr>
                <w:rFonts w:ascii="Times New Roman" w:hAnsi="Times New Roman"/>
              </w:rPr>
              <w:t>, który może nie obejmować wszystkich medycznych laboratoriów diagnostycznych</w:t>
            </w:r>
            <w:r w:rsidR="0006069A">
              <w:rPr>
                <w:rFonts w:ascii="Times New Roman" w:hAnsi="Times New Roman"/>
              </w:rPr>
              <w:t>)</w:t>
            </w:r>
            <w:r w:rsidRPr="00A71735">
              <w:rPr>
                <w:rFonts w:ascii="Times New Roman" w:hAnsi="Times New Roman"/>
              </w:rPr>
              <w:t xml:space="preserve">. Przy założeniu zatrudnienia dodatkowych </w:t>
            </w:r>
            <w:r w:rsidR="00250085">
              <w:rPr>
                <w:rFonts w:ascii="Times New Roman" w:hAnsi="Times New Roman"/>
              </w:rPr>
              <w:t>26</w:t>
            </w:r>
            <w:r w:rsidR="00250085" w:rsidRPr="00A71735">
              <w:rPr>
                <w:rFonts w:ascii="Times New Roman" w:hAnsi="Times New Roman"/>
              </w:rPr>
              <w:t xml:space="preserve"> </w:t>
            </w:r>
            <w:r w:rsidRPr="00A71735">
              <w:rPr>
                <w:rFonts w:ascii="Times New Roman" w:hAnsi="Times New Roman"/>
              </w:rPr>
              <w:t xml:space="preserve">inspektorów na jednego inspektora będzie przypadać ok. </w:t>
            </w:r>
            <w:r w:rsidR="007858A8">
              <w:rPr>
                <w:rFonts w:ascii="Times New Roman" w:hAnsi="Times New Roman"/>
              </w:rPr>
              <w:t>63</w:t>
            </w:r>
            <w:r w:rsidR="007858A8" w:rsidRPr="00A71735">
              <w:rPr>
                <w:rFonts w:ascii="Times New Roman" w:hAnsi="Times New Roman"/>
              </w:rPr>
              <w:t xml:space="preserve"> </w:t>
            </w:r>
            <w:r w:rsidRPr="00A71735">
              <w:rPr>
                <w:rFonts w:ascii="Times New Roman" w:hAnsi="Times New Roman"/>
              </w:rPr>
              <w:t>podmiotów nadzorowanych, co i tak stanowi znaczną liczbę nadzorowanych podmiotów.</w:t>
            </w:r>
            <w:r w:rsidR="00C347D6" w:rsidRPr="00A71735">
              <w:rPr>
                <w:rFonts w:ascii="Times New Roman" w:hAnsi="Times New Roman"/>
              </w:rPr>
              <w:t xml:space="preserve"> W chwili obecnej w GIF brak jest inspektorów właściwych do nadzorowania medycznych laboratoriów diagnostycznych, z uwagi na fakt, że zadania nałożone projektowaną ustawą są zadaniami nowymi. Dotychczas nadzór nad tymi laboratoriami nie był w takiej formie sprawowany.</w:t>
            </w:r>
          </w:p>
          <w:p w14:paraId="585A9BBE" w14:textId="77777777" w:rsidR="002A58AB" w:rsidRPr="00A71735" w:rsidRDefault="002A58AB" w:rsidP="0010347C">
            <w:pPr>
              <w:pStyle w:val="Akapitzlist"/>
              <w:spacing w:line="240" w:lineRule="auto"/>
              <w:ind w:left="0"/>
              <w:jc w:val="both"/>
              <w:rPr>
                <w:rFonts w:ascii="Times New Roman" w:hAnsi="Times New Roman"/>
              </w:rPr>
            </w:pPr>
          </w:p>
        </w:tc>
      </w:tr>
      <w:tr w:rsidR="00887204" w:rsidRPr="008B4FE6" w14:paraId="5D6B7888" w14:textId="77777777" w:rsidTr="0023197B">
        <w:trPr>
          <w:gridAfter w:val="1"/>
          <w:wAfter w:w="10" w:type="dxa"/>
          <w:trHeight w:val="345"/>
        </w:trPr>
        <w:tc>
          <w:tcPr>
            <w:tcW w:w="10937" w:type="dxa"/>
            <w:gridSpan w:val="29"/>
            <w:shd w:val="clear" w:color="auto" w:fill="99CCFF"/>
            <w:vAlign w:val="center"/>
          </w:tcPr>
          <w:p w14:paraId="079E428B" w14:textId="77777777" w:rsidR="00887204" w:rsidRPr="00C53F26" w:rsidRDefault="00887204" w:rsidP="0068624E">
            <w:pPr>
              <w:numPr>
                <w:ilvl w:val="0"/>
                <w:numId w:val="31"/>
              </w:numPr>
              <w:spacing w:before="60" w:after="60" w:line="240" w:lineRule="auto"/>
              <w:jc w:val="both"/>
              <w:rPr>
                <w:rFonts w:ascii="Times New Roman" w:hAnsi="Times New Roman"/>
                <w:color w:val="000000"/>
                <w:sz w:val="21"/>
                <w:szCs w:val="21"/>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orców oraz na rodzinę, obywateli i gospodarstwa domowe</w:t>
            </w:r>
          </w:p>
        </w:tc>
      </w:tr>
      <w:tr w:rsidR="00887204" w:rsidRPr="008B4FE6" w14:paraId="1D515028" w14:textId="77777777" w:rsidTr="0023197B">
        <w:trPr>
          <w:gridAfter w:val="1"/>
          <w:wAfter w:w="10" w:type="dxa"/>
          <w:trHeight w:val="142"/>
        </w:trPr>
        <w:tc>
          <w:tcPr>
            <w:tcW w:w="10937" w:type="dxa"/>
            <w:gridSpan w:val="29"/>
            <w:shd w:val="clear" w:color="auto" w:fill="FFFFFF"/>
          </w:tcPr>
          <w:p w14:paraId="7EFBCF6C" w14:textId="77777777" w:rsidR="00887204" w:rsidRPr="00301959" w:rsidRDefault="00887204" w:rsidP="00887204">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887204" w:rsidRPr="008B4FE6" w14:paraId="0367E9E3" w14:textId="77777777" w:rsidTr="0023197B">
        <w:trPr>
          <w:gridAfter w:val="1"/>
          <w:wAfter w:w="10" w:type="dxa"/>
          <w:trHeight w:val="142"/>
        </w:trPr>
        <w:tc>
          <w:tcPr>
            <w:tcW w:w="3889" w:type="dxa"/>
            <w:gridSpan w:val="7"/>
            <w:shd w:val="clear" w:color="auto" w:fill="FFFFFF"/>
          </w:tcPr>
          <w:p w14:paraId="537CD3FD" w14:textId="77777777" w:rsidR="00887204" w:rsidRPr="00301959"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6DD795B"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2985A034"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065FC662"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234A48C3"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3D62C4A"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7A6E0FB6" w14:textId="77777777" w:rsidR="00887204" w:rsidRPr="00301959" w:rsidRDefault="00887204" w:rsidP="0088720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6B5DAAA2" w14:textId="77777777" w:rsidR="00887204" w:rsidRPr="001B3460" w:rsidRDefault="00887204" w:rsidP="00887204">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887204" w:rsidRPr="008B4FE6" w14:paraId="297E98EC" w14:textId="77777777" w:rsidTr="0023197B">
        <w:trPr>
          <w:gridAfter w:val="1"/>
          <w:wAfter w:w="10" w:type="dxa"/>
          <w:trHeight w:val="142"/>
        </w:trPr>
        <w:tc>
          <w:tcPr>
            <w:tcW w:w="1596" w:type="dxa"/>
            <w:gridSpan w:val="2"/>
            <w:vMerge w:val="restart"/>
            <w:shd w:val="clear" w:color="auto" w:fill="FFFFFF"/>
          </w:tcPr>
          <w:p w14:paraId="448465A2" w14:textId="77777777" w:rsidR="00887204" w:rsidRDefault="00887204" w:rsidP="0088720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63BCC39" w14:textId="77777777" w:rsidR="00887204" w:rsidRDefault="00887204" w:rsidP="00887204">
            <w:pPr>
              <w:rPr>
                <w:rFonts w:ascii="Times New Roman" w:hAnsi="Times New Roman"/>
                <w:spacing w:val="-2"/>
                <w:sz w:val="21"/>
                <w:szCs w:val="21"/>
              </w:rPr>
            </w:pPr>
            <w:r>
              <w:rPr>
                <w:rFonts w:ascii="Times New Roman" w:hAnsi="Times New Roman"/>
                <w:spacing w:val="-2"/>
                <w:sz w:val="21"/>
                <w:szCs w:val="21"/>
              </w:rPr>
              <w:t xml:space="preserve">(w mln zł, </w:t>
            </w:r>
          </w:p>
          <w:p w14:paraId="5F166E69" w14:textId="77777777" w:rsidR="00887204" w:rsidRPr="00301959" w:rsidRDefault="00887204" w:rsidP="00887204">
            <w:pPr>
              <w:spacing w:line="240" w:lineRule="auto"/>
              <w:rPr>
                <w:rFonts w:ascii="Times New Roman" w:hAnsi="Times New Roman"/>
                <w:color w:val="000000"/>
                <w:sz w:val="21"/>
                <w:szCs w:val="21"/>
              </w:rPr>
            </w:pPr>
            <w:r>
              <w:rPr>
                <w:rFonts w:ascii="Times New Roman" w:hAnsi="Times New Roman"/>
                <w:spacing w:val="-2"/>
                <w:sz w:val="21"/>
                <w:szCs w:val="21"/>
              </w:rPr>
              <w:t xml:space="preserve">ceny stałe z </w:t>
            </w:r>
            <w:r w:rsidR="000E283C">
              <w:rPr>
                <w:rFonts w:ascii="Times New Roman" w:hAnsi="Times New Roman"/>
                <w:spacing w:val="-2"/>
                <w:sz w:val="21"/>
                <w:szCs w:val="21"/>
              </w:rPr>
              <w:t xml:space="preserve">2022 </w:t>
            </w:r>
            <w:r>
              <w:rPr>
                <w:rFonts w:ascii="Times New Roman" w:hAnsi="Times New Roman"/>
                <w:spacing w:val="-2"/>
                <w:sz w:val="21"/>
                <w:szCs w:val="21"/>
              </w:rPr>
              <w:t>r.)</w:t>
            </w:r>
          </w:p>
        </w:tc>
        <w:tc>
          <w:tcPr>
            <w:tcW w:w="2293" w:type="dxa"/>
            <w:gridSpan w:val="5"/>
            <w:shd w:val="clear" w:color="auto" w:fill="FFFFFF"/>
          </w:tcPr>
          <w:p w14:paraId="7A96ABD3" w14:textId="77777777" w:rsidR="00887204" w:rsidRPr="00301959"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14ABD42"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5"/>
            <w:shd w:val="clear" w:color="auto" w:fill="FFFFFF"/>
          </w:tcPr>
          <w:p w14:paraId="2B4B4D57"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02E2DD93" w14:textId="77777777" w:rsidR="00887204" w:rsidRPr="00B37C80" w:rsidRDefault="00887204" w:rsidP="00887204">
            <w:pPr>
              <w:spacing w:line="240" w:lineRule="auto"/>
              <w:rPr>
                <w:rFonts w:ascii="Times New Roman" w:hAnsi="Times New Roman"/>
                <w:color w:val="000000"/>
                <w:sz w:val="21"/>
                <w:szCs w:val="21"/>
              </w:rPr>
            </w:pPr>
          </w:p>
        </w:tc>
        <w:tc>
          <w:tcPr>
            <w:tcW w:w="937" w:type="dxa"/>
            <w:gridSpan w:val="3"/>
            <w:shd w:val="clear" w:color="auto" w:fill="FFFFFF"/>
          </w:tcPr>
          <w:p w14:paraId="545AFCA6"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419B3CE5"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3"/>
            <w:shd w:val="clear" w:color="auto" w:fill="FFFFFF"/>
          </w:tcPr>
          <w:p w14:paraId="7B7BE20C" w14:textId="77777777" w:rsidR="00887204" w:rsidRPr="00B37C80" w:rsidRDefault="00887204" w:rsidP="00887204">
            <w:pPr>
              <w:spacing w:line="240" w:lineRule="auto"/>
              <w:rPr>
                <w:rFonts w:ascii="Times New Roman" w:hAnsi="Times New Roman"/>
                <w:color w:val="000000"/>
                <w:sz w:val="21"/>
                <w:szCs w:val="21"/>
              </w:rPr>
            </w:pPr>
          </w:p>
        </w:tc>
        <w:tc>
          <w:tcPr>
            <w:tcW w:w="1422" w:type="dxa"/>
            <w:shd w:val="clear" w:color="auto" w:fill="FFFFFF"/>
          </w:tcPr>
          <w:p w14:paraId="5A9BE3CA" w14:textId="77777777" w:rsidR="00887204" w:rsidRPr="00B37C80" w:rsidRDefault="00887204" w:rsidP="00887204">
            <w:pPr>
              <w:spacing w:line="240" w:lineRule="auto"/>
              <w:rPr>
                <w:rFonts w:ascii="Times New Roman" w:hAnsi="Times New Roman"/>
                <w:color w:val="000000"/>
                <w:spacing w:val="-2"/>
                <w:sz w:val="21"/>
                <w:szCs w:val="21"/>
              </w:rPr>
            </w:pPr>
          </w:p>
        </w:tc>
      </w:tr>
      <w:tr w:rsidR="00887204" w:rsidRPr="008B4FE6" w14:paraId="4FDFD4C4" w14:textId="77777777" w:rsidTr="0023197B">
        <w:trPr>
          <w:gridAfter w:val="1"/>
          <w:wAfter w:w="10" w:type="dxa"/>
          <w:trHeight w:val="142"/>
        </w:trPr>
        <w:tc>
          <w:tcPr>
            <w:tcW w:w="1596" w:type="dxa"/>
            <w:gridSpan w:val="2"/>
            <w:vMerge/>
            <w:shd w:val="clear" w:color="auto" w:fill="FFFFFF"/>
          </w:tcPr>
          <w:p w14:paraId="78BD55B8" w14:textId="77777777" w:rsidR="00887204" w:rsidRPr="00301959" w:rsidRDefault="00887204" w:rsidP="00887204">
            <w:pPr>
              <w:spacing w:line="240" w:lineRule="auto"/>
              <w:rPr>
                <w:rFonts w:ascii="Times New Roman" w:hAnsi="Times New Roman"/>
                <w:color w:val="000000"/>
                <w:sz w:val="21"/>
                <w:szCs w:val="21"/>
              </w:rPr>
            </w:pPr>
          </w:p>
        </w:tc>
        <w:tc>
          <w:tcPr>
            <w:tcW w:w="2293" w:type="dxa"/>
            <w:gridSpan w:val="5"/>
            <w:shd w:val="clear" w:color="auto" w:fill="FFFFFF"/>
          </w:tcPr>
          <w:p w14:paraId="128E78B2" w14:textId="77777777" w:rsidR="00887204" w:rsidRPr="00301959"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7EB8FA16"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5"/>
            <w:shd w:val="clear" w:color="auto" w:fill="FFFFFF"/>
          </w:tcPr>
          <w:p w14:paraId="195F0B64"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6E44B64B" w14:textId="77777777" w:rsidR="00887204" w:rsidRPr="00B37C80" w:rsidRDefault="00887204" w:rsidP="00887204">
            <w:pPr>
              <w:spacing w:line="240" w:lineRule="auto"/>
              <w:rPr>
                <w:rFonts w:ascii="Times New Roman" w:hAnsi="Times New Roman"/>
                <w:color w:val="000000"/>
                <w:sz w:val="21"/>
                <w:szCs w:val="21"/>
              </w:rPr>
            </w:pPr>
          </w:p>
        </w:tc>
        <w:tc>
          <w:tcPr>
            <w:tcW w:w="937" w:type="dxa"/>
            <w:gridSpan w:val="3"/>
            <w:shd w:val="clear" w:color="auto" w:fill="FFFFFF"/>
          </w:tcPr>
          <w:p w14:paraId="5D125993"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24033FD6"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3"/>
            <w:shd w:val="clear" w:color="auto" w:fill="FFFFFF"/>
          </w:tcPr>
          <w:p w14:paraId="2BB4A9A5" w14:textId="77777777" w:rsidR="00887204" w:rsidRPr="00B37C80" w:rsidRDefault="00887204" w:rsidP="00887204">
            <w:pPr>
              <w:spacing w:line="240" w:lineRule="auto"/>
              <w:rPr>
                <w:rFonts w:ascii="Times New Roman" w:hAnsi="Times New Roman"/>
                <w:color w:val="000000"/>
                <w:sz w:val="21"/>
                <w:szCs w:val="21"/>
              </w:rPr>
            </w:pPr>
          </w:p>
        </w:tc>
        <w:tc>
          <w:tcPr>
            <w:tcW w:w="1422" w:type="dxa"/>
            <w:shd w:val="clear" w:color="auto" w:fill="FFFFFF"/>
          </w:tcPr>
          <w:p w14:paraId="4CDCDB8F" w14:textId="77777777" w:rsidR="00887204" w:rsidRPr="00B37C80" w:rsidRDefault="00887204" w:rsidP="00887204">
            <w:pPr>
              <w:spacing w:line="240" w:lineRule="auto"/>
              <w:rPr>
                <w:rFonts w:ascii="Times New Roman" w:hAnsi="Times New Roman"/>
                <w:color w:val="000000"/>
                <w:spacing w:val="-2"/>
                <w:sz w:val="21"/>
                <w:szCs w:val="21"/>
              </w:rPr>
            </w:pPr>
          </w:p>
        </w:tc>
      </w:tr>
      <w:tr w:rsidR="00887204" w:rsidRPr="008B4FE6" w14:paraId="5220286A" w14:textId="77777777" w:rsidTr="0023197B">
        <w:trPr>
          <w:gridAfter w:val="1"/>
          <w:wAfter w:w="10" w:type="dxa"/>
          <w:trHeight w:val="142"/>
        </w:trPr>
        <w:tc>
          <w:tcPr>
            <w:tcW w:w="1596" w:type="dxa"/>
            <w:gridSpan w:val="2"/>
            <w:vMerge/>
            <w:shd w:val="clear" w:color="auto" w:fill="FFFFFF"/>
          </w:tcPr>
          <w:p w14:paraId="58F2388C" w14:textId="77777777" w:rsidR="00887204" w:rsidRPr="00301959" w:rsidRDefault="00887204" w:rsidP="00887204">
            <w:pPr>
              <w:spacing w:line="240" w:lineRule="auto"/>
              <w:rPr>
                <w:rFonts w:ascii="Times New Roman" w:hAnsi="Times New Roman"/>
                <w:color w:val="000000"/>
                <w:sz w:val="21"/>
                <w:szCs w:val="21"/>
              </w:rPr>
            </w:pPr>
          </w:p>
        </w:tc>
        <w:tc>
          <w:tcPr>
            <w:tcW w:w="2293" w:type="dxa"/>
            <w:gridSpan w:val="5"/>
            <w:shd w:val="clear" w:color="auto" w:fill="FFFFFF"/>
          </w:tcPr>
          <w:p w14:paraId="5F70286D" w14:textId="77777777" w:rsidR="00887204" w:rsidRPr="00301959" w:rsidRDefault="00887204" w:rsidP="00887204">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6CCBC811"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5"/>
            <w:shd w:val="clear" w:color="auto" w:fill="FFFFFF"/>
          </w:tcPr>
          <w:p w14:paraId="60C738A6"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55D5178A" w14:textId="77777777" w:rsidR="00887204" w:rsidRPr="00B37C80" w:rsidRDefault="00887204" w:rsidP="00887204">
            <w:pPr>
              <w:spacing w:line="240" w:lineRule="auto"/>
              <w:rPr>
                <w:rFonts w:ascii="Times New Roman" w:hAnsi="Times New Roman"/>
                <w:color w:val="000000"/>
                <w:sz w:val="21"/>
                <w:szCs w:val="21"/>
              </w:rPr>
            </w:pPr>
          </w:p>
        </w:tc>
        <w:tc>
          <w:tcPr>
            <w:tcW w:w="937" w:type="dxa"/>
            <w:gridSpan w:val="3"/>
            <w:shd w:val="clear" w:color="auto" w:fill="FFFFFF"/>
          </w:tcPr>
          <w:p w14:paraId="6AF4DDCD"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4EEDE50D"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3"/>
            <w:shd w:val="clear" w:color="auto" w:fill="FFFFFF"/>
          </w:tcPr>
          <w:p w14:paraId="17790D00" w14:textId="77777777" w:rsidR="00887204" w:rsidRPr="00B37C80" w:rsidRDefault="00887204" w:rsidP="00887204">
            <w:pPr>
              <w:spacing w:line="240" w:lineRule="auto"/>
              <w:rPr>
                <w:rFonts w:ascii="Times New Roman" w:hAnsi="Times New Roman"/>
                <w:color w:val="000000"/>
                <w:sz w:val="21"/>
                <w:szCs w:val="21"/>
              </w:rPr>
            </w:pPr>
          </w:p>
        </w:tc>
        <w:tc>
          <w:tcPr>
            <w:tcW w:w="1422" w:type="dxa"/>
            <w:shd w:val="clear" w:color="auto" w:fill="FFFFFF"/>
          </w:tcPr>
          <w:p w14:paraId="19F47459" w14:textId="77777777" w:rsidR="00887204" w:rsidRPr="00B37C80" w:rsidRDefault="00887204" w:rsidP="00887204">
            <w:pPr>
              <w:spacing w:line="240" w:lineRule="auto"/>
              <w:rPr>
                <w:rFonts w:ascii="Times New Roman" w:hAnsi="Times New Roman"/>
                <w:color w:val="000000"/>
                <w:spacing w:val="-2"/>
                <w:sz w:val="21"/>
                <w:szCs w:val="21"/>
              </w:rPr>
            </w:pPr>
          </w:p>
        </w:tc>
      </w:tr>
      <w:tr w:rsidR="00887204" w:rsidRPr="008B4FE6" w14:paraId="3CCB692B" w14:textId="77777777" w:rsidTr="0023197B">
        <w:trPr>
          <w:gridAfter w:val="1"/>
          <w:wAfter w:w="10" w:type="dxa"/>
          <w:trHeight w:val="142"/>
        </w:trPr>
        <w:tc>
          <w:tcPr>
            <w:tcW w:w="1596" w:type="dxa"/>
            <w:gridSpan w:val="2"/>
            <w:vMerge/>
            <w:shd w:val="clear" w:color="auto" w:fill="FFFFFF"/>
          </w:tcPr>
          <w:p w14:paraId="36BB392F" w14:textId="77777777" w:rsidR="00887204" w:rsidRPr="00301959" w:rsidRDefault="00887204" w:rsidP="00887204">
            <w:pPr>
              <w:spacing w:line="240" w:lineRule="auto"/>
              <w:rPr>
                <w:rFonts w:ascii="Times New Roman" w:hAnsi="Times New Roman"/>
                <w:color w:val="000000"/>
                <w:sz w:val="21"/>
                <w:szCs w:val="21"/>
              </w:rPr>
            </w:pPr>
          </w:p>
        </w:tc>
        <w:tc>
          <w:tcPr>
            <w:tcW w:w="2293" w:type="dxa"/>
            <w:gridSpan w:val="5"/>
            <w:shd w:val="clear" w:color="auto" w:fill="FFFFFF"/>
          </w:tcPr>
          <w:p w14:paraId="478D8F46" w14:textId="77777777" w:rsidR="00887204" w:rsidRPr="00301959" w:rsidRDefault="00887204" w:rsidP="00887204">
            <w:pPr>
              <w:spacing w:line="240" w:lineRule="auto"/>
              <w:rPr>
                <w:rFonts w:ascii="Times New Roman" w:hAnsi="Times New Roman"/>
                <w:color w:val="000000"/>
                <w:sz w:val="21"/>
                <w:szCs w:val="21"/>
              </w:rPr>
            </w:pPr>
          </w:p>
        </w:tc>
        <w:tc>
          <w:tcPr>
            <w:tcW w:w="937" w:type="dxa"/>
            <w:gridSpan w:val="2"/>
            <w:shd w:val="clear" w:color="auto" w:fill="FFFFFF"/>
          </w:tcPr>
          <w:p w14:paraId="1CBE4A0C"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5"/>
            <w:shd w:val="clear" w:color="auto" w:fill="FFFFFF"/>
          </w:tcPr>
          <w:p w14:paraId="4B2B6B20"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5BB99060" w14:textId="77777777" w:rsidR="00887204" w:rsidRPr="00B37C80" w:rsidRDefault="00887204" w:rsidP="00887204">
            <w:pPr>
              <w:spacing w:line="240" w:lineRule="auto"/>
              <w:rPr>
                <w:rFonts w:ascii="Times New Roman" w:hAnsi="Times New Roman"/>
                <w:color w:val="000000"/>
                <w:sz w:val="21"/>
                <w:szCs w:val="21"/>
              </w:rPr>
            </w:pPr>
          </w:p>
        </w:tc>
        <w:tc>
          <w:tcPr>
            <w:tcW w:w="937" w:type="dxa"/>
            <w:gridSpan w:val="3"/>
            <w:shd w:val="clear" w:color="auto" w:fill="FFFFFF"/>
          </w:tcPr>
          <w:p w14:paraId="78E4A656"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4"/>
            <w:shd w:val="clear" w:color="auto" w:fill="FFFFFF"/>
          </w:tcPr>
          <w:p w14:paraId="76CE2DEB" w14:textId="77777777" w:rsidR="00887204" w:rsidRPr="00B37C80" w:rsidRDefault="00887204" w:rsidP="00887204">
            <w:pPr>
              <w:spacing w:line="240" w:lineRule="auto"/>
              <w:rPr>
                <w:rFonts w:ascii="Times New Roman" w:hAnsi="Times New Roman"/>
                <w:color w:val="000000"/>
                <w:sz w:val="21"/>
                <w:szCs w:val="21"/>
              </w:rPr>
            </w:pPr>
          </w:p>
        </w:tc>
        <w:tc>
          <w:tcPr>
            <w:tcW w:w="938" w:type="dxa"/>
            <w:gridSpan w:val="3"/>
            <w:shd w:val="clear" w:color="auto" w:fill="FFFFFF"/>
          </w:tcPr>
          <w:p w14:paraId="5EC49A2A" w14:textId="77777777" w:rsidR="00887204" w:rsidRPr="00B37C80" w:rsidRDefault="00887204" w:rsidP="00887204">
            <w:pPr>
              <w:spacing w:line="240" w:lineRule="auto"/>
              <w:rPr>
                <w:rFonts w:ascii="Times New Roman" w:hAnsi="Times New Roman"/>
                <w:color w:val="000000"/>
                <w:sz w:val="21"/>
                <w:szCs w:val="21"/>
              </w:rPr>
            </w:pPr>
          </w:p>
        </w:tc>
        <w:tc>
          <w:tcPr>
            <w:tcW w:w="1422" w:type="dxa"/>
            <w:shd w:val="clear" w:color="auto" w:fill="FFFFFF"/>
          </w:tcPr>
          <w:p w14:paraId="375B1899" w14:textId="77777777" w:rsidR="00887204" w:rsidRPr="00B37C80" w:rsidRDefault="00887204" w:rsidP="00887204">
            <w:pPr>
              <w:spacing w:line="240" w:lineRule="auto"/>
              <w:rPr>
                <w:rFonts w:ascii="Times New Roman" w:hAnsi="Times New Roman"/>
                <w:color w:val="000000"/>
                <w:spacing w:val="-2"/>
                <w:sz w:val="21"/>
                <w:szCs w:val="21"/>
              </w:rPr>
            </w:pPr>
          </w:p>
        </w:tc>
      </w:tr>
      <w:tr w:rsidR="00BE06F6" w:rsidRPr="00F02170" w14:paraId="6B434BEB" w14:textId="77777777" w:rsidTr="0023197B">
        <w:trPr>
          <w:gridAfter w:val="1"/>
          <w:wAfter w:w="10" w:type="dxa"/>
          <w:trHeight w:val="142"/>
        </w:trPr>
        <w:tc>
          <w:tcPr>
            <w:tcW w:w="1596" w:type="dxa"/>
            <w:gridSpan w:val="2"/>
            <w:vMerge w:val="restart"/>
            <w:shd w:val="clear" w:color="auto" w:fill="FFFFFF"/>
          </w:tcPr>
          <w:p w14:paraId="628E6A50" w14:textId="77777777" w:rsidR="00BE06F6" w:rsidRPr="00301959" w:rsidRDefault="00BE06F6" w:rsidP="00BE06F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5"/>
            <w:shd w:val="clear" w:color="auto" w:fill="FFFFFF"/>
          </w:tcPr>
          <w:p w14:paraId="0C917B26" w14:textId="77777777" w:rsidR="00BE06F6" w:rsidRPr="00301959" w:rsidRDefault="00BE06F6" w:rsidP="00BE06F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442E0C7D" w14:textId="77777777" w:rsidR="00A34992" w:rsidRPr="00F02170" w:rsidRDefault="00A34992"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t xml:space="preserve">Projektowana ustawa będzie miała wpływ na działalność dużych przedsiębiorców w zakresie w jakim </w:t>
            </w:r>
            <w:r w:rsidR="00B848B6" w:rsidRPr="00F02170">
              <w:rPr>
                <w:rFonts w:ascii="Times New Roman" w:hAnsi="Times New Roman"/>
                <w:color w:val="000000"/>
                <w:spacing w:val="-2"/>
              </w:rPr>
              <w:t xml:space="preserve">będą </w:t>
            </w:r>
            <w:r w:rsidRPr="00F02170">
              <w:rPr>
                <w:rFonts w:ascii="Times New Roman" w:hAnsi="Times New Roman"/>
                <w:color w:val="000000"/>
                <w:spacing w:val="-2"/>
              </w:rPr>
              <w:t>podlega</w:t>
            </w:r>
            <w:r w:rsidR="00B848B6" w:rsidRPr="00F02170">
              <w:rPr>
                <w:rFonts w:ascii="Times New Roman" w:hAnsi="Times New Roman"/>
                <w:color w:val="000000"/>
                <w:spacing w:val="-2"/>
              </w:rPr>
              <w:t>ć</w:t>
            </w:r>
            <w:r w:rsidRPr="00F02170">
              <w:rPr>
                <w:rFonts w:ascii="Times New Roman" w:hAnsi="Times New Roman"/>
                <w:color w:val="000000"/>
                <w:spacing w:val="-2"/>
              </w:rPr>
              <w:t xml:space="preserve"> kontroli </w:t>
            </w:r>
            <w:r w:rsidR="000518F2" w:rsidRPr="00F02170">
              <w:rPr>
                <w:rFonts w:ascii="Times New Roman" w:hAnsi="Times New Roman"/>
                <w:color w:val="000000"/>
                <w:spacing w:val="-2"/>
              </w:rPr>
              <w:t>Głównego Inspektora Farmaceutycznego</w:t>
            </w:r>
            <w:r w:rsidRPr="00F02170">
              <w:rPr>
                <w:rFonts w:ascii="Times New Roman" w:hAnsi="Times New Roman"/>
                <w:color w:val="000000"/>
                <w:spacing w:val="-2"/>
              </w:rPr>
              <w:t>.</w:t>
            </w:r>
          </w:p>
          <w:p w14:paraId="35A1ED47" w14:textId="77777777" w:rsidR="00BE06F6" w:rsidRDefault="00A34992"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t xml:space="preserve">Przedsiębiorcy prowadzący medyczne laboratoria diagnostyczne będą </w:t>
            </w:r>
            <w:r w:rsidR="00B848B6" w:rsidRPr="00F02170">
              <w:rPr>
                <w:rFonts w:ascii="Times New Roman" w:hAnsi="Times New Roman"/>
                <w:color w:val="000000"/>
                <w:spacing w:val="-2"/>
              </w:rPr>
              <w:t>ponosiły</w:t>
            </w:r>
            <w:r w:rsidRPr="00F02170">
              <w:rPr>
                <w:rFonts w:ascii="Times New Roman" w:hAnsi="Times New Roman"/>
                <w:color w:val="000000"/>
                <w:spacing w:val="-2"/>
              </w:rPr>
              <w:t xml:space="preserve"> koszty badania tzw. próbek kontrolnych w celu sprawdzenia prawidłowości wykonywania czynności medycyny laboratoryjnej.</w:t>
            </w:r>
          </w:p>
          <w:p w14:paraId="20189CC7" w14:textId="77777777" w:rsidR="0032345B" w:rsidRPr="00F02170" w:rsidRDefault="0032345B" w:rsidP="0032345B">
            <w:pPr>
              <w:spacing w:line="240" w:lineRule="auto"/>
              <w:jc w:val="both"/>
              <w:rPr>
                <w:rFonts w:ascii="Times New Roman" w:hAnsi="Times New Roman"/>
                <w:color w:val="000000"/>
                <w:spacing w:val="-2"/>
              </w:rPr>
            </w:pPr>
            <w:r>
              <w:rPr>
                <w:rFonts w:ascii="Times New Roman" w:hAnsi="Times New Roman"/>
                <w:color w:val="000000"/>
                <w:spacing w:val="-2"/>
              </w:rPr>
              <w:t xml:space="preserve">Ponadto przedsiębiorstwa będą ponosiły dodatkowe koszty związane z wprowadzaną opłatą roczną, co zostało omówione dokładnie w pkt 6 OSR. </w:t>
            </w:r>
          </w:p>
        </w:tc>
      </w:tr>
      <w:tr w:rsidR="00BE06F6" w:rsidRPr="00F02170" w14:paraId="43A3958A" w14:textId="77777777" w:rsidTr="0023197B">
        <w:trPr>
          <w:gridAfter w:val="1"/>
          <w:wAfter w:w="10" w:type="dxa"/>
          <w:trHeight w:val="142"/>
        </w:trPr>
        <w:tc>
          <w:tcPr>
            <w:tcW w:w="1596" w:type="dxa"/>
            <w:gridSpan w:val="2"/>
            <w:vMerge/>
            <w:shd w:val="clear" w:color="auto" w:fill="FFFFFF"/>
          </w:tcPr>
          <w:p w14:paraId="0FC4571B" w14:textId="77777777" w:rsidR="00BE06F6" w:rsidRPr="00301959" w:rsidRDefault="00BE06F6" w:rsidP="00BE06F6">
            <w:pPr>
              <w:spacing w:line="240" w:lineRule="auto"/>
              <w:rPr>
                <w:rFonts w:ascii="Times New Roman" w:hAnsi="Times New Roman"/>
                <w:color w:val="000000"/>
                <w:sz w:val="21"/>
                <w:szCs w:val="21"/>
              </w:rPr>
            </w:pPr>
          </w:p>
        </w:tc>
        <w:tc>
          <w:tcPr>
            <w:tcW w:w="2293" w:type="dxa"/>
            <w:gridSpan w:val="5"/>
            <w:shd w:val="clear" w:color="auto" w:fill="FFFFFF"/>
          </w:tcPr>
          <w:p w14:paraId="7A4E6D76" w14:textId="77777777" w:rsidR="00BE06F6" w:rsidRPr="00301959" w:rsidRDefault="00BE06F6" w:rsidP="00BE06F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2DCA5316" w14:textId="77777777" w:rsidR="00A34992" w:rsidRPr="00F02170" w:rsidRDefault="00A34992"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t xml:space="preserve">Projektowana ustawa będzie miała wpływ na działalność mikroprzedsiębiorców, małych i średnich przedsiębiorców w zakresie w jakim </w:t>
            </w:r>
            <w:r w:rsidR="00B848B6" w:rsidRPr="00F02170">
              <w:rPr>
                <w:rFonts w:ascii="Times New Roman" w:hAnsi="Times New Roman"/>
                <w:color w:val="000000"/>
                <w:spacing w:val="-2"/>
              </w:rPr>
              <w:t xml:space="preserve">będą </w:t>
            </w:r>
            <w:r w:rsidRPr="00F02170">
              <w:rPr>
                <w:rFonts w:ascii="Times New Roman" w:hAnsi="Times New Roman"/>
                <w:color w:val="000000"/>
                <w:spacing w:val="-2"/>
              </w:rPr>
              <w:t>podlega</w:t>
            </w:r>
            <w:r w:rsidR="00B848B6" w:rsidRPr="00F02170">
              <w:rPr>
                <w:rFonts w:ascii="Times New Roman" w:hAnsi="Times New Roman"/>
                <w:color w:val="000000"/>
                <w:spacing w:val="-2"/>
              </w:rPr>
              <w:t>ć</w:t>
            </w:r>
            <w:r w:rsidRPr="00F02170">
              <w:rPr>
                <w:rFonts w:ascii="Times New Roman" w:hAnsi="Times New Roman"/>
                <w:color w:val="000000"/>
                <w:spacing w:val="-2"/>
              </w:rPr>
              <w:t xml:space="preserve"> kontroli </w:t>
            </w:r>
            <w:r w:rsidR="000518F2" w:rsidRPr="00F02170">
              <w:rPr>
                <w:rFonts w:ascii="Times New Roman" w:hAnsi="Times New Roman"/>
                <w:color w:val="000000"/>
                <w:spacing w:val="-2"/>
              </w:rPr>
              <w:t>Głównego Inspektora</w:t>
            </w:r>
            <w:r w:rsidR="00B848B6" w:rsidRPr="00F02170">
              <w:rPr>
                <w:rFonts w:ascii="Times New Roman" w:hAnsi="Times New Roman"/>
                <w:color w:val="000000"/>
                <w:spacing w:val="-2"/>
              </w:rPr>
              <w:t xml:space="preserve"> </w:t>
            </w:r>
            <w:r w:rsidR="000518F2" w:rsidRPr="00F02170">
              <w:rPr>
                <w:rFonts w:ascii="Times New Roman" w:hAnsi="Times New Roman"/>
                <w:color w:val="000000"/>
                <w:spacing w:val="-2"/>
              </w:rPr>
              <w:t>Farmaceutycznego</w:t>
            </w:r>
            <w:r w:rsidRPr="00F02170">
              <w:rPr>
                <w:rFonts w:ascii="Times New Roman" w:hAnsi="Times New Roman"/>
                <w:color w:val="000000"/>
                <w:spacing w:val="-2"/>
              </w:rPr>
              <w:t>.</w:t>
            </w:r>
          </w:p>
          <w:p w14:paraId="45E2395A" w14:textId="77777777" w:rsidR="00BE06F6" w:rsidRDefault="00A34992"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lastRenderedPageBreak/>
              <w:t>Przedsiębiorcy prowadzący medyczne laboratoria diagnostyczne będą ponosili koszty badania tzw. próbek kontrolnych w celu sprawdzenia prawidłowości wykonywania czynności medycyny laboratoryjnej.</w:t>
            </w:r>
          </w:p>
          <w:p w14:paraId="12BEFAAE" w14:textId="77777777" w:rsidR="0032345B" w:rsidRPr="00F02170" w:rsidRDefault="0032345B" w:rsidP="0015236C">
            <w:pPr>
              <w:spacing w:line="240" w:lineRule="auto"/>
              <w:jc w:val="both"/>
              <w:rPr>
                <w:rFonts w:ascii="Times New Roman" w:hAnsi="Times New Roman"/>
                <w:color w:val="000000"/>
                <w:spacing w:val="-2"/>
              </w:rPr>
            </w:pPr>
            <w:r>
              <w:rPr>
                <w:rFonts w:ascii="Times New Roman" w:hAnsi="Times New Roman"/>
                <w:color w:val="000000"/>
                <w:spacing w:val="-2"/>
              </w:rPr>
              <w:t>Ponadto przedsiębiorstwa będą ponosiły dodatkowe koszty związane z wprowadzaną opłatą roczną, co zostało omówione dokładnie w pkt 6 OSR, z tym, że mikroprzedsiębiorcy będą zwolnieni z opłaty w wysokości 0,02% od wysokości przychodu.</w:t>
            </w:r>
          </w:p>
        </w:tc>
      </w:tr>
      <w:tr w:rsidR="00BE06F6" w:rsidRPr="00F02170" w14:paraId="2513DFA3" w14:textId="77777777" w:rsidTr="0023197B">
        <w:trPr>
          <w:gridAfter w:val="1"/>
          <w:wAfter w:w="10" w:type="dxa"/>
          <w:trHeight w:val="596"/>
        </w:trPr>
        <w:tc>
          <w:tcPr>
            <w:tcW w:w="1596" w:type="dxa"/>
            <w:gridSpan w:val="2"/>
            <w:vMerge/>
            <w:shd w:val="clear" w:color="auto" w:fill="FFFFFF"/>
          </w:tcPr>
          <w:p w14:paraId="75ACAF0A" w14:textId="77777777" w:rsidR="00BE06F6" w:rsidRPr="00301959" w:rsidRDefault="00BE06F6" w:rsidP="00BE06F6">
            <w:pPr>
              <w:spacing w:line="240" w:lineRule="auto"/>
              <w:rPr>
                <w:rFonts w:ascii="Times New Roman" w:hAnsi="Times New Roman"/>
                <w:color w:val="000000"/>
                <w:sz w:val="21"/>
                <w:szCs w:val="21"/>
              </w:rPr>
            </w:pPr>
          </w:p>
        </w:tc>
        <w:tc>
          <w:tcPr>
            <w:tcW w:w="2293" w:type="dxa"/>
            <w:gridSpan w:val="5"/>
            <w:shd w:val="clear" w:color="auto" w:fill="FFFFFF"/>
          </w:tcPr>
          <w:p w14:paraId="7CC3FFA6" w14:textId="77777777" w:rsidR="00BE06F6" w:rsidRPr="00301959" w:rsidRDefault="00BE06F6" w:rsidP="00BE06F6">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w:t>
            </w:r>
            <w:r w:rsidR="0096310C">
              <w:rPr>
                <w:rFonts w:ascii="Times New Roman" w:hAnsi="Times New Roman"/>
                <w:sz w:val="21"/>
                <w:szCs w:val="21"/>
              </w:rPr>
              <w:t>,</w:t>
            </w:r>
            <w:r w:rsidRPr="00301959">
              <w:rPr>
                <w:rFonts w:ascii="Times New Roman" w:hAnsi="Times New Roman"/>
                <w:sz w:val="21"/>
                <w:szCs w:val="21"/>
              </w:rPr>
              <w:t xml:space="preserve"> gospodarstwa domowe</w:t>
            </w:r>
            <w:r w:rsidR="0096310C">
              <w:rPr>
                <w:rFonts w:ascii="Times New Roman" w:hAnsi="Times New Roman"/>
                <w:sz w:val="21"/>
                <w:szCs w:val="21"/>
              </w:rPr>
              <w:t xml:space="preserve"> oraz osoby starsze i niepełnosprawne </w:t>
            </w:r>
            <w:r w:rsidRPr="00301959">
              <w:rPr>
                <w:rFonts w:ascii="Times New Roman" w:hAnsi="Times New Roman"/>
                <w:color w:val="000000"/>
                <w:sz w:val="21"/>
                <w:szCs w:val="21"/>
              </w:rPr>
              <w:t xml:space="preserve"> </w:t>
            </w:r>
          </w:p>
        </w:tc>
        <w:tc>
          <w:tcPr>
            <w:tcW w:w="7048" w:type="dxa"/>
            <w:gridSpan w:val="22"/>
            <w:shd w:val="clear" w:color="auto" w:fill="FFFFFF"/>
          </w:tcPr>
          <w:p w14:paraId="06338E9A" w14:textId="77777777" w:rsidR="00BE06F6" w:rsidRPr="00F02170" w:rsidRDefault="00BE06F6"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t>Projektowana ustawa nie będzie miała w</w:t>
            </w:r>
            <w:r w:rsidR="00CE3D94" w:rsidRPr="00F02170">
              <w:rPr>
                <w:rFonts w:ascii="Times New Roman" w:hAnsi="Times New Roman"/>
                <w:color w:val="000000"/>
                <w:spacing w:val="-2"/>
              </w:rPr>
              <w:t>pływu na sytuację ekonomiczną i </w:t>
            </w:r>
            <w:r w:rsidRPr="00F02170">
              <w:rPr>
                <w:rFonts w:ascii="Times New Roman" w:hAnsi="Times New Roman"/>
                <w:color w:val="000000"/>
                <w:spacing w:val="-2"/>
              </w:rPr>
              <w:t>społeczną rodziny, a także nie będzie miało wp</w:t>
            </w:r>
            <w:r w:rsidR="00CE3D94" w:rsidRPr="00F02170">
              <w:rPr>
                <w:rFonts w:ascii="Times New Roman" w:hAnsi="Times New Roman"/>
                <w:color w:val="000000"/>
                <w:spacing w:val="-2"/>
              </w:rPr>
              <w:t>ływu na osoby niepełnosprawne i </w:t>
            </w:r>
            <w:r w:rsidRPr="00F02170">
              <w:rPr>
                <w:rFonts w:ascii="Times New Roman" w:hAnsi="Times New Roman"/>
                <w:color w:val="000000"/>
                <w:spacing w:val="-2"/>
              </w:rPr>
              <w:t xml:space="preserve">osoby starsze, obywateli i gospodarstwa domowe. </w:t>
            </w:r>
          </w:p>
          <w:p w14:paraId="02F250D6" w14:textId="77777777" w:rsidR="00BE06F6" w:rsidRPr="00F02170" w:rsidRDefault="00BE06F6" w:rsidP="0015236C">
            <w:pPr>
              <w:spacing w:line="240" w:lineRule="auto"/>
              <w:jc w:val="both"/>
              <w:rPr>
                <w:rFonts w:ascii="Times New Roman" w:hAnsi="Times New Roman"/>
                <w:color w:val="000000"/>
                <w:spacing w:val="-2"/>
              </w:rPr>
            </w:pPr>
            <w:r w:rsidRPr="00F02170">
              <w:rPr>
                <w:rFonts w:ascii="Times New Roman" w:hAnsi="Times New Roman"/>
                <w:color w:val="000000"/>
                <w:spacing w:val="-2"/>
              </w:rPr>
              <w:t>Jednakże z uwagi na objęcie nadzorem medycznych laboratoriów diagnostycznych oraz doprecyzowaniem przepisów odnoszących się do kontroli i inspekcji oraz pionizacją Państwowej Inspekcji Farmaceutycznej ustawa powinna się przyczynić do poprawy bezpieczeństwa tych grup społecznych.</w:t>
            </w:r>
            <w:r w:rsidR="00262155" w:rsidRPr="00F02170">
              <w:rPr>
                <w:rFonts w:ascii="Times New Roman" w:hAnsi="Times New Roman"/>
                <w:color w:val="000000"/>
                <w:spacing w:val="-2"/>
              </w:rPr>
              <w:t xml:space="preserve"> Projektowany nadzór nad medycznymi laboratoriami diagnostycznymi wpłynie pozytywnie na sytuację zdrowotną osób starszych i niepełnosprawnych dzięki zwiększeniu rzetelności wykonywanych badań, które w tej grupie społecznej są częste.</w:t>
            </w:r>
          </w:p>
        </w:tc>
      </w:tr>
      <w:tr w:rsidR="00887204" w:rsidRPr="00F02170" w14:paraId="3B14D624" w14:textId="77777777" w:rsidTr="0023197B">
        <w:trPr>
          <w:gridAfter w:val="1"/>
          <w:wAfter w:w="10" w:type="dxa"/>
          <w:trHeight w:val="240"/>
        </w:trPr>
        <w:tc>
          <w:tcPr>
            <w:tcW w:w="1596" w:type="dxa"/>
            <w:gridSpan w:val="2"/>
            <w:vMerge/>
            <w:shd w:val="clear" w:color="auto" w:fill="FFFFFF"/>
          </w:tcPr>
          <w:p w14:paraId="0677250C" w14:textId="77777777" w:rsidR="00887204" w:rsidRPr="00301959" w:rsidRDefault="00887204" w:rsidP="00887204">
            <w:pPr>
              <w:spacing w:line="240" w:lineRule="auto"/>
              <w:rPr>
                <w:rFonts w:ascii="Times New Roman" w:hAnsi="Times New Roman"/>
                <w:color w:val="000000"/>
                <w:sz w:val="21"/>
                <w:szCs w:val="21"/>
              </w:rPr>
            </w:pPr>
          </w:p>
        </w:tc>
        <w:tc>
          <w:tcPr>
            <w:tcW w:w="2293" w:type="dxa"/>
            <w:gridSpan w:val="5"/>
            <w:shd w:val="clear" w:color="auto" w:fill="FFFFFF"/>
          </w:tcPr>
          <w:p w14:paraId="23D4E3A6" w14:textId="77777777" w:rsidR="00887204" w:rsidRPr="00301959" w:rsidRDefault="00887204" w:rsidP="00887204">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392E2A2D" w14:textId="77777777" w:rsidR="00887204" w:rsidRPr="00F02170" w:rsidRDefault="00887204" w:rsidP="00887204">
            <w:pPr>
              <w:tabs>
                <w:tab w:val="left" w:pos="3000"/>
              </w:tabs>
              <w:rPr>
                <w:rFonts w:ascii="Times New Roman" w:hAnsi="Times New Roman"/>
                <w:color w:val="000000"/>
                <w:spacing w:val="-2"/>
              </w:rPr>
            </w:pPr>
          </w:p>
        </w:tc>
      </w:tr>
      <w:tr w:rsidR="00887204" w:rsidRPr="00F02170" w14:paraId="383651F6" w14:textId="77777777" w:rsidTr="0023197B">
        <w:trPr>
          <w:gridAfter w:val="1"/>
          <w:wAfter w:w="10" w:type="dxa"/>
          <w:trHeight w:val="142"/>
        </w:trPr>
        <w:tc>
          <w:tcPr>
            <w:tcW w:w="1596" w:type="dxa"/>
            <w:gridSpan w:val="2"/>
            <w:vMerge w:val="restart"/>
            <w:shd w:val="clear" w:color="auto" w:fill="FFFFFF"/>
          </w:tcPr>
          <w:p w14:paraId="2967FC18" w14:textId="77777777" w:rsidR="00887204" w:rsidRPr="00301959"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5"/>
            <w:shd w:val="clear" w:color="auto" w:fill="FFFFFF"/>
          </w:tcPr>
          <w:p w14:paraId="153EF678" w14:textId="77777777" w:rsidR="00887204" w:rsidRPr="00301959" w:rsidRDefault="00887204" w:rsidP="00887204">
            <w:pPr>
              <w:spacing w:line="240" w:lineRule="auto"/>
              <w:rPr>
                <w:rFonts w:ascii="Times New Roman" w:hAnsi="Times New Roman"/>
                <w:color w:val="000000"/>
                <w:sz w:val="21"/>
                <w:szCs w:val="21"/>
              </w:rPr>
            </w:pPr>
          </w:p>
        </w:tc>
        <w:tc>
          <w:tcPr>
            <w:tcW w:w="7048" w:type="dxa"/>
            <w:gridSpan w:val="22"/>
            <w:shd w:val="clear" w:color="auto" w:fill="FFFFFF"/>
          </w:tcPr>
          <w:p w14:paraId="2B821397" w14:textId="77777777" w:rsidR="00887204" w:rsidRPr="00F02170" w:rsidRDefault="00887204" w:rsidP="0050108E">
            <w:pPr>
              <w:spacing w:line="240" w:lineRule="auto"/>
              <w:jc w:val="both"/>
              <w:rPr>
                <w:rFonts w:ascii="Times New Roman" w:hAnsi="Times New Roman"/>
                <w:color w:val="000000"/>
                <w:spacing w:val="-2"/>
              </w:rPr>
            </w:pPr>
          </w:p>
        </w:tc>
      </w:tr>
      <w:tr w:rsidR="00887204" w:rsidRPr="00F02170" w14:paraId="35580388" w14:textId="77777777" w:rsidTr="0023197B">
        <w:trPr>
          <w:gridAfter w:val="1"/>
          <w:wAfter w:w="10" w:type="dxa"/>
          <w:trHeight w:val="142"/>
        </w:trPr>
        <w:tc>
          <w:tcPr>
            <w:tcW w:w="1596" w:type="dxa"/>
            <w:gridSpan w:val="2"/>
            <w:vMerge/>
            <w:shd w:val="clear" w:color="auto" w:fill="FFFFFF"/>
          </w:tcPr>
          <w:p w14:paraId="16F3167F" w14:textId="77777777" w:rsidR="00887204" w:rsidRPr="00301959" w:rsidRDefault="00887204" w:rsidP="00887204">
            <w:pPr>
              <w:spacing w:line="240" w:lineRule="auto"/>
              <w:rPr>
                <w:rFonts w:ascii="Times New Roman" w:hAnsi="Times New Roman"/>
                <w:color w:val="000000"/>
                <w:sz w:val="21"/>
                <w:szCs w:val="21"/>
              </w:rPr>
            </w:pPr>
          </w:p>
        </w:tc>
        <w:tc>
          <w:tcPr>
            <w:tcW w:w="2293" w:type="dxa"/>
            <w:gridSpan w:val="5"/>
            <w:shd w:val="clear" w:color="auto" w:fill="FFFFFF"/>
          </w:tcPr>
          <w:p w14:paraId="06B2CE99" w14:textId="77777777" w:rsidR="00887204" w:rsidRPr="00301959" w:rsidRDefault="00887204" w:rsidP="00887204">
            <w:pPr>
              <w:spacing w:line="240" w:lineRule="auto"/>
              <w:rPr>
                <w:rFonts w:ascii="Times New Roman" w:hAnsi="Times New Roman"/>
                <w:color w:val="000000"/>
                <w:sz w:val="21"/>
                <w:szCs w:val="21"/>
              </w:rPr>
            </w:pPr>
          </w:p>
        </w:tc>
        <w:tc>
          <w:tcPr>
            <w:tcW w:w="7048" w:type="dxa"/>
            <w:gridSpan w:val="22"/>
            <w:shd w:val="clear" w:color="auto" w:fill="FFFFFF"/>
          </w:tcPr>
          <w:p w14:paraId="14AC6980" w14:textId="77777777" w:rsidR="00887204" w:rsidRPr="00F02170" w:rsidRDefault="00887204" w:rsidP="00887204">
            <w:pPr>
              <w:spacing w:line="240" w:lineRule="auto"/>
              <w:rPr>
                <w:rFonts w:ascii="Times New Roman" w:hAnsi="Times New Roman"/>
                <w:color w:val="000000"/>
                <w:spacing w:val="-2"/>
              </w:rPr>
            </w:pPr>
          </w:p>
        </w:tc>
      </w:tr>
      <w:tr w:rsidR="00887204" w:rsidRPr="00F02170" w14:paraId="7DCB2355" w14:textId="77777777" w:rsidTr="0068624E">
        <w:trPr>
          <w:gridAfter w:val="1"/>
          <w:wAfter w:w="10" w:type="dxa"/>
          <w:trHeight w:val="1643"/>
        </w:trPr>
        <w:tc>
          <w:tcPr>
            <w:tcW w:w="1526" w:type="dxa"/>
            <w:shd w:val="clear" w:color="auto" w:fill="FFFFFF"/>
          </w:tcPr>
          <w:p w14:paraId="0C8C3C72" w14:textId="77777777" w:rsidR="00887204" w:rsidRPr="00301959" w:rsidRDefault="00887204" w:rsidP="00887204">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9411" w:type="dxa"/>
            <w:gridSpan w:val="28"/>
            <w:shd w:val="clear" w:color="auto" w:fill="FFFFFF"/>
            <w:vAlign w:val="center"/>
          </w:tcPr>
          <w:p w14:paraId="7AF79230" w14:textId="77777777" w:rsidR="00175B13" w:rsidRPr="00A10094" w:rsidRDefault="00B47FA4" w:rsidP="00887204">
            <w:pPr>
              <w:spacing w:line="240" w:lineRule="auto"/>
              <w:jc w:val="both"/>
              <w:rPr>
                <w:rFonts w:ascii="Times New Roman" w:hAnsi="Times New Roman"/>
                <w:color w:val="000000"/>
              </w:rPr>
            </w:pPr>
            <w:r w:rsidRPr="00F02170">
              <w:rPr>
                <w:rFonts w:ascii="Times New Roman" w:hAnsi="Times New Roman"/>
                <w:color w:val="000000"/>
              </w:rPr>
              <w:t>Ubiegających się o wpis od rejestru będzie ok. 3 tys. podmiotów, a koszt złożenia wniosku o</w:t>
            </w:r>
            <w:r w:rsidR="00957C09" w:rsidRPr="00F02170">
              <w:rPr>
                <w:rFonts w:ascii="Times New Roman" w:hAnsi="Times New Roman"/>
                <w:color w:val="000000"/>
              </w:rPr>
              <w:t> </w:t>
            </w:r>
            <w:r w:rsidRPr="00F02170">
              <w:rPr>
                <w:rFonts w:ascii="Times New Roman" w:hAnsi="Times New Roman"/>
                <w:color w:val="000000"/>
              </w:rPr>
              <w:t xml:space="preserve">wpis na chwilę obecną zgodnie z projektem wynosi 6064,16 </w:t>
            </w:r>
            <w:r w:rsidR="00A1638D" w:rsidRPr="00F02170">
              <w:rPr>
                <w:rFonts w:ascii="Times New Roman" w:hAnsi="Times New Roman"/>
                <w:color w:val="000000"/>
              </w:rPr>
              <w:t xml:space="preserve">zł </w:t>
            </w:r>
            <w:r w:rsidRPr="00F02170">
              <w:rPr>
                <w:rFonts w:ascii="Times New Roman" w:hAnsi="Times New Roman"/>
                <w:color w:val="000000"/>
              </w:rPr>
              <w:t>(przeciętne miesięczne wynagrodzenie w</w:t>
            </w:r>
            <w:r w:rsidR="00FA1FD0" w:rsidRPr="00F02170">
              <w:rPr>
                <w:rFonts w:ascii="Times New Roman" w:hAnsi="Times New Roman"/>
                <w:color w:val="000000"/>
              </w:rPr>
              <w:t> </w:t>
            </w:r>
            <w:r w:rsidRPr="00F02170">
              <w:rPr>
                <w:rFonts w:ascii="Times New Roman" w:hAnsi="Times New Roman"/>
                <w:color w:val="000000"/>
              </w:rPr>
              <w:t>sektorze przedsiębiorstw bez wypłat nagród z zysku w styczniu 2022 r.).</w:t>
            </w:r>
          </w:p>
          <w:p w14:paraId="06B04529" w14:textId="77777777" w:rsidR="00887204" w:rsidRDefault="00B47FA4" w:rsidP="00887204">
            <w:pPr>
              <w:spacing w:line="240" w:lineRule="auto"/>
              <w:jc w:val="both"/>
              <w:rPr>
                <w:rFonts w:ascii="Times New Roman" w:hAnsi="Times New Roman"/>
              </w:rPr>
            </w:pPr>
            <w:r w:rsidRPr="00F02170">
              <w:rPr>
                <w:rFonts w:ascii="Times New Roman" w:hAnsi="Times New Roman"/>
              </w:rPr>
              <w:t>Zdaniem NIK (raport z dnia 30 czerwca 2017 r., znak: KZD.430.001.2017), występuje niedobór specjalistów w dziedzinach diagnostyki laboratoryjnej oraz dziedzinach medycyny mających zastosowanie w diagnostyce laboratoryjnej. Braki kadrowe powodują, iż osoba posiadająca wymagane kwalifikacje pełni funkcję kierownika w kilku laboratoriach. Zdaniem NIK, taka sytuacja nie zapewnia należytego wykonywania obowiązków i ogranicza skuteczność sprawowanego nadzoru nad funkcjonowaniem tych laboratoriów.</w:t>
            </w:r>
          </w:p>
          <w:p w14:paraId="3359E3FA" w14:textId="77777777" w:rsidR="00057B8D" w:rsidRPr="00F02170" w:rsidRDefault="00057B8D" w:rsidP="00887204">
            <w:pPr>
              <w:spacing w:line="240" w:lineRule="auto"/>
              <w:jc w:val="both"/>
              <w:rPr>
                <w:rFonts w:ascii="Times New Roman" w:hAnsi="Times New Roman"/>
                <w:color w:val="000000"/>
              </w:rPr>
            </w:pPr>
            <w:r>
              <w:rPr>
                <w:rFonts w:ascii="Times New Roman" w:hAnsi="Times New Roman"/>
                <w:color w:val="000000"/>
              </w:rPr>
              <w:t>W</w:t>
            </w:r>
            <w:r w:rsidRPr="00057B8D">
              <w:rPr>
                <w:rFonts w:ascii="Times New Roman" w:hAnsi="Times New Roman"/>
                <w:color w:val="000000"/>
              </w:rPr>
              <w:t xml:space="preserve">prowadzenie przepisu </w:t>
            </w:r>
            <w:r>
              <w:rPr>
                <w:rFonts w:ascii="Times New Roman" w:hAnsi="Times New Roman"/>
                <w:color w:val="000000"/>
              </w:rPr>
              <w:t>stanowiącego</w:t>
            </w:r>
            <w:r w:rsidRPr="00057B8D">
              <w:rPr>
                <w:rFonts w:ascii="Times New Roman" w:hAnsi="Times New Roman"/>
                <w:color w:val="000000"/>
              </w:rPr>
              <w:t xml:space="preserve"> obowiązek zatrudnienia kierownika medycznego laboratorium diagnostycznego w pełnym wymiarze czasu pracy</w:t>
            </w:r>
            <w:r>
              <w:rPr>
                <w:rFonts w:ascii="Times New Roman" w:hAnsi="Times New Roman"/>
                <w:color w:val="000000"/>
              </w:rPr>
              <w:t>, jako wymogu wnioskodawcy ubiegającego się o wpis do Krajowego Rejestru Laboratoriów Medycznych,</w:t>
            </w:r>
            <w:r w:rsidRPr="00057B8D">
              <w:rPr>
                <w:rFonts w:ascii="Times New Roman" w:hAnsi="Times New Roman"/>
                <w:color w:val="000000"/>
              </w:rPr>
              <w:t xml:space="preserve"> nie będzie miało znaczącego wpływu na przedsiębiorców. Analogiczny przepis znajduje się już w ustawie z dnia 5 września 2022 r. o medycynie laboratoryjnej (projekt zna</w:t>
            </w:r>
            <w:r>
              <w:rPr>
                <w:rFonts w:ascii="Times New Roman" w:hAnsi="Times New Roman"/>
                <w:color w:val="000000"/>
              </w:rPr>
              <w:t>jduje się obecnie w Senacie RP)</w:t>
            </w:r>
            <w:r w:rsidRPr="00057B8D">
              <w:rPr>
                <w:rFonts w:ascii="Times New Roman" w:hAnsi="Times New Roman"/>
                <w:color w:val="000000"/>
              </w:rPr>
              <w:t>, stanowiący o tym, że kierownikiem laboratorium może być osoba zatrudniona na podstawie umowy o pracę w pełnym wymiarze czasu pracy</w:t>
            </w:r>
            <w:r>
              <w:rPr>
                <w:rFonts w:ascii="Times New Roman" w:hAnsi="Times New Roman"/>
                <w:color w:val="000000"/>
              </w:rPr>
              <w:t>.</w:t>
            </w:r>
          </w:p>
          <w:p w14:paraId="1A8BBC7F" w14:textId="77777777" w:rsidR="00887204" w:rsidRPr="00F02170" w:rsidRDefault="00887204" w:rsidP="00887204">
            <w:pPr>
              <w:spacing w:line="240" w:lineRule="auto"/>
              <w:jc w:val="both"/>
              <w:rPr>
                <w:rFonts w:ascii="Times New Roman" w:hAnsi="Times New Roman"/>
                <w:color w:val="000000"/>
              </w:rPr>
            </w:pPr>
          </w:p>
        </w:tc>
      </w:tr>
      <w:tr w:rsidR="00887204" w:rsidRPr="008B4FE6" w14:paraId="1FC47BB1" w14:textId="77777777" w:rsidTr="0023197B">
        <w:trPr>
          <w:gridAfter w:val="1"/>
          <w:wAfter w:w="10" w:type="dxa"/>
          <w:trHeight w:val="342"/>
        </w:trPr>
        <w:tc>
          <w:tcPr>
            <w:tcW w:w="10937" w:type="dxa"/>
            <w:gridSpan w:val="29"/>
            <w:shd w:val="clear" w:color="auto" w:fill="99CCFF"/>
            <w:vAlign w:val="center"/>
          </w:tcPr>
          <w:p w14:paraId="751773DA" w14:textId="77777777" w:rsidR="00887204" w:rsidRPr="008B4FE6" w:rsidRDefault="00887204" w:rsidP="0068624E">
            <w:pPr>
              <w:numPr>
                <w:ilvl w:val="0"/>
                <w:numId w:val="31"/>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887204" w:rsidRPr="008B4FE6" w14:paraId="11BFD747" w14:textId="77777777" w:rsidTr="0023197B">
        <w:trPr>
          <w:gridAfter w:val="1"/>
          <w:wAfter w:w="10" w:type="dxa"/>
          <w:trHeight w:val="151"/>
        </w:trPr>
        <w:tc>
          <w:tcPr>
            <w:tcW w:w="10937" w:type="dxa"/>
            <w:gridSpan w:val="29"/>
            <w:shd w:val="clear" w:color="auto" w:fill="FFFFFF"/>
          </w:tcPr>
          <w:p w14:paraId="4FC9F4C4" w14:textId="77777777" w:rsidR="00887204" w:rsidRPr="008B4FE6" w:rsidRDefault="00BE06F6" w:rsidP="0088720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Pr>
                <w:rFonts w:ascii="Times New Roman" w:hAnsi="Times New Roman"/>
                <w:color w:val="000000"/>
              </w:rPr>
              <w:fldChar w:fldCharType="end"/>
            </w:r>
            <w:r w:rsidR="00887204" w:rsidRPr="001A5FDA">
              <w:rPr>
                <w:rFonts w:ascii="Times New Roman" w:hAnsi="Times New Roman"/>
                <w:color w:val="000000"/>
              </w:rPr>
              <w:t xml:space="preserve"> </w:t>
            </w:r>
            <w:r w:rsidR="00887204" w:rsidRPr="001A5FDA">
              <w:rPr>
                <w:rFonts w:ascii="Times New Roman" w:hAnsi="Times New Roman"/>
                <w:color w:val="000000"/>
                <w:spacing w:val="-2"/>
              </w:rPr>
              <w:t>nie dotyczy</w:t>
            </w:r>
          </w:p>
        </w:tc>
      </w:tr>
      <w:tr w:rsidR="00887204" w:rsidRPr="008B4FE6" w14:paraId="74078C64" w14:textId="77777777" w:rsidTr="0023197B">
        <w:trPr>
          <w:gridAfter w:val="1"/>
          <w:wAfter w:w="10" w:type="dxa"/>
          <w:trHeight w:val="946"/>
        </w:trPr>
        <w:tc>
          <w:tcPr>
            <w:tcW w:w="5111" w:type="dxa"/>
            <w:gridSpan w:val="12"/>
            <w:shd w:val="clear" w:color="auto" w:fill="FFFFFF"/>
          </w:tcPr>
          <w:p w14:paraId="07B26AA1" w14:textId="77777777" w:rsidR="00887204" w:rsidRDefault="00887204" w:rsidP="00887204">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62B15FED"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9BA0534"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0666A45" w14:textId="77777777" w:rsidR="00887204" w:rsidRDefault="00B667F2" w:rsidP="00887204">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00887204">
              <w:rPr>
                <w:rFonts w:ascii="Times New Roman" w:hAnsi="Times New Roman"/>
                <w:color w:val="000000"/>
              </w:rPr>
              <w:t xml:space="preserve"> nie dotyczy</w:t>
            </w:r>
          </w:p>
        </w:tc>
      </w:tr>
      <w:tr w:rsidR="00887204" w:rsidRPr="008B4FE6" w14:paraId="41813BAC" w14:textId="77777777" w:rsidTr="0023197B">
        <w:trPr>
          <w:gridAfter w:val="1"/>
          <w:wAfter w:w="10" w:type="dxa"/>
          <w:trHeight w:val="1245"/>
        </w:trPr>
        <w:tc>
          <w:tcPr>
            <w:tcW w:w="5111" w:type="dxa"/>
            <w:gridSpan w:val="12"/>
            <w:shd w:val="clear" w:color="auto" w:fill="FFFFFF"/>
          </w:tcPr>
          <w:p w14:paraId="60A1C26D"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38ACBF9E"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563FD914" w14:textId="77777777" w:rsidR="00887204" w:rsidRDefault="00167A89" w:rsidP="00887204">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00887204" w:rsidRPr="008B4FE6">
              <w:rPr>
                <w:rFonts w:ascii="Times New Roman" w:hAnsi="Times New Roman"/>
                <w:color w:val="000000"/>
                <w:sz w:val="20"/>
                <w:szCs w:val="20"/>
              </w:rPr>
              <w:t xml:space="preserve"> </w:t>
            </w:r>
            <w:r w:rsidR="00887204" w:rsidRPr="008B4FE6">
              <w:rPr>
                <w:rFonts w:ascii="Times New Roman" w:hAnsi="Times New Roman"/>
                <w:color w:val="000000"/>
                <w:spacing w:val="-2"/>
              </w:rPr>
              <w:t>skrócenie czasu</w:t>
            </w:r>
            <w:r w:rsidR="00887204">
              <w:rPr>
                <w:rFonts w:ascii="Times New Roman" w:hAnsi="Times New Roman"/>
                <w:color w:val="000000"/>
                <w:spacing w:val="-2"/>
              </w:rPr>
              <w:t xml:space="preserve"> na załatwienie sprawy</w:t>
            </w:r>
          </w:p>
          <w:p w14:paraId="6A77B572" w14:textId="77777777" w:rsidR="00887204" w:rsidRPr="008B4FE6" w:rsidRDefault="00887204" w:rsidP="00887204">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0D78C6CF"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D6FB85B"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72006DFF"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1588C20E" w14:textId="77777777" w:rsidR="00887204" w:rsidRPr="008B4FE6"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A8954A6" w14:textId="77777777" w:rsidR="00887204" w:rsidRPr="008B4FE6" w:rsidRDefault="00887204" w:rsidP="00887204">
            <w:pPr>
              <w:spacing w:line="240" w:lineRule="auto"/>
              <w:rPr>
                <w:rFonts w:ascii="Times New Roman" w:hAnsi="Times New Roman"/>
                <w:color w:val="000000"/>
              </w:rPr>
            </w:pPr>
          </w:p>
        </w:tc>
      </w:tr>
      <w:tr w:rsidR="00887204" w:rsidRPr="008B4FE6" w14:paraId="7B7C64C2" w14:textId="77777777" w:rsidTr="0023197B">
        <w:trPr>
          <w:gridAfter w:val="1"/>
          <w:wAfter w:w="10" w:type="dxa"/>
          <w:trHeight w:val="870"/>
        </w:trPr>
        <w:tc>
          <w:tcPr>
            <w:tcW w:w="5111" w:type="dxa"/>
            <w:gridSpan w:val="12"/>
            <w:shd w:val="clear" w:color="auto" w:fill="FFFFFF"/>
          </w:tcPr>
          <w:p w14:paraId="15DB0762" w14:textId="77777777" w:rsidR="00887204" w:rsidRPr="008B4FE6" w:rsidRDefault="00887204" w:rsidP="00887204">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0EB70289" w14:textId="77777777" w:rsidR="00887204" w:rsidRDefault="00167A89" w:rsidP="0088720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00887204">
              <w:rPr>
                <w:rFonts w:ascii="Times New Roman" w:hAnsi="Times New Roman"/>
                <w:color w:val="000000"/>
              </w:rPr>
              <w:t xml:space="preserve"> tak</w:t>
            </w:r>
          </w:p>
          <w:p w14:paraId="1DE903A2"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F3D2ABB"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389D0959" w14:textId="77777777" w:rsidR="00887204" w:rsidRPr="008B4FE6" w:rsidRDefault="00887204" w:rsidP="00887204">
            <w:pPr>
              <w:spacing w:line="240" w:lineRule="auto"/>
              <w:rPr>
                <w:rFonts w:ascii="Times New Roman" w:hAnsi="Times New Roman"/>
                <w:color w:val="000000"/>
              </w:rPr>
            </w:pPr>
          </w:p>
        </w:tc>
      </w:tr>
      <w:tr w:rsidR="00887204" w:rsidRPr="008B4FE6" w14:paraId="1EA57271" w14:textId="77777777" w:rsidTr="0023197B">
        <w:trPr>
          <w:gridAfter w:val="1"/>
          <w:wAfter w:w="10" w:type="dxa"/>
          <w:trHeight w:val="630"/>
        </w:trPr>
        <w:tc>
          <w:tcPr>
            <w:tcW w:w="10937" w:type="dxa"/>
            <w:gridSpan w:val="29"/>
            <w:shd w:val="clear" w:color="auto" w:fill="FFFFFF"/>
          </w:tcPr>
          <w:p w14:paraId="6E3266FA" w14:textId="77777777" w:rsidR="00887204" w:rsidRPr="008B4FE6" w:rsidRDefault="00887204" w:rsidP="00A10094">
            <w:pPr>
              <w:spacing w:line="240" w:lineRule="auto"/>
              <w:jc w:val="both"/>
              <w:rPr>
                <w:rFonts w:ascii="Times New Roman" w:hAnsi="Times New Roman"/>
                <w:color w:val="000000"/>
              </w:rPr>
            </w:pPr>
            <w:r>
              <w:rPr>
                <w:rFonts w:ascii="Times New Roman" w:hAnsi="Times New Roman"/>
                <w:color w:val="000000"/>
              </w:rPr>
              <w:t>Komentarz:</w:t>
            </w:r>
            <w:r w:rsidR="00211554">
              <w:rPr>
                <w:rFonts w:ascii="Times New Roman" w:hAnsi="Times New Roman"/>
                <w:color w:val="000000"/>
              </w:rPr>
              <w:t xml:space="preserve"> </w:t>
            </w:r>
            <w:r w:rsidR="00167A89">
              <w:rPr>
                <w:rFonts w:ascii="Times New Roman" w:hAnsi="Times New Roman"/>
                <w:color w:val="000000"/>
              </w:rPr>
              <w:t xml:space="preserve">Przewiduje się skrócenie czasu potrzebnego na załatwienie sprawy administracyjnej z uwagi na projektowaną pionizację inspekcji, która wyeliminuje istniejącą dotychczas praktykę przesyłania dokumentacji sprawy </w:t>
            </w:r>
            <w:r w:rsidR="0068624E">
              <w:rPr>
                <w:rFonts w:ascii="Times New Roman" w:hAnsi="Times New Roman"/>
                <w:color w:val="000000"/>
              </w:rPr>
              <w:t xml:space="preserve"> między GIF a</w:t>
            </w:r>
            <w:r w:rsidR="00A10094">
              <w:rPr>
                <w:rFonts w:ascii="Times New Roman" w:hAnsi="Times New Roman"/>
                <w:color w:val="000000"/>
              </w:rPr>
              <w:t> </w:t>
            </w:r>
            <w:r w:rsidR="0068624E">
              <w:rPr>
                <w:rFonts w:ascii="Times New Roman" w:hAnsi="Times New Roman"/>
                <w:color w:val="000000"/>
              </w:rPr>
              <w:t xml:space="preserve">wojewódzkimi inspektoratami farmaceutycznymi </w:t>
            </w:r>
            <w:r w:rsidR="00167A89">
              <w:rPr>
                <w:rFonts w:ascii="Times New Roman" w:hAnsi="Times New Roman"/>
                <w:color w:val="000000"/>
              </w:rPr>
              <w:t>za pośrednictwem Poczty Polskiej.</w:t>
            </w:r>
          </w:p>
        </w:tc>
      </w:tr>
      <w:tr w:rsidR="00887204" w:rsidRPr="008B4FE6" w14:paraId="2245B793" w14:textId="77777777" w:rsidTr="0023197B">
        <w:trPr>
          <w:gridAfter w:val="1"/>
          <w:wAfter w:w="10" w:type="dxa"/>
          <w:trHeight w:val="142"/>
        </w:trPr>
        <w:tc>
          <w:tcPr>
            <w:tcW w:w="10937" w:type="dxa"/>
            <w:gridSpan w:val="29"/>
            <w:shd w:val="clear" w:color="auto" w:fill="99CCFF"/>
          </w:tcPr>
          <w:p w14:paraId="4C242900" w14:textId="77777777" w:rsidR="00887204" w:rsidRPr="008B4FE6" w:rsidRDefault="00887204" w:rsidP="0068624E">
            <w:pPr>
              <w:numPr>
                <w:ilvl w:val="0"/>
                <w:numId w:val="3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887204" w:rsidRPr="008B4FE6" w14:paraId="0936FF4B" w14:textId="77777777" w:rsidTr="0023197B">
        <w:trPr>
          <w:gridAfter w:val="1"/>
          <w:wAfter w:w="10" w:type="dxa"/>
          <w:trHeight w:val="142"/>
        </w:trPr>
        <w:tc>
          <w:tcPr>
            <w:tcW w:w="10937" w:type="dxa"/>
            <w:gridSpan w:val="29"/>
            <w:shd w:val="clear" w:color="auto" w:fill="auto"/>
          </w:tcPr>
          <w:p w14:paraId="67A03C52" w14:textId="77777777" w:rsidR="00887204" w:rsidRPr="008B4FE6" w:rsidRDefault="00BE06F6" w:rsidP="00887204">
            <w:pPr>
              <w:spacing w:line="240" w:lineRule="auto"/>
              <w:jc w:val="both"/>
              <w:rPr>
                <w:rFonts w:ascii="Times New Roman" w:hAnsi="Times New Roman"/>
                <w:color w:val="000000"/>
              </w:rPr>
            </w:pPr>
            <w:r>
              <w:rPr>
                <w:rFonts w:ascii="Times New Roman" w:hAnsi="Times New Roman"/>
                <w:color w:val="000000"/>
              </w:rPr>
              <w:t>Projektowana regulacja nie będzie miała wpływu na rynek pracy.</w:t>
            </w:r>
          </w:p>
        </w:tc>
      </w:tr>
      <w:tr w:rsidR="00887204" w:rsidRPr="008B4FE6" w14:paraId="167C026F" w14:textId="77777777" w:rsidTr="0023197B">
        <w:trPr>
          <w:gridAfter w:val="1"/>
          <w:wAfter w:w="10" w:type="dxa"/>
          <w:trHeight w:val="142"/>
        </w:trPr>
        <w:tc>
          <w:tcPr>
            <w:tcW w:w="10937" w:type="dxa"/>
            <w:gridSpan w:val="29"/>
            <w:shd w:val="clear" w:color="auto" w:fill="99CCFF"/>
          </w:tcPr>
          <w:p w14:paraId="1DEC8A22" w14:textId="77777777" w:rsidR="00887204" w:rsidRPr="008B4FE6" w:rsidRDefault="00887204" w:rsidP="0068624E">
            <w:pPr>
              <w:numPr>
                <w:ilvl w:val="0"/>
                <w:numId w:val="3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887204" w:rsidRPr="008B4FE6" w14:paraId="25EDD7B6" w14:textId="77777777" w:rsidTr="0023197B">
        <w:trPr>
          <w:gridAfter w:val="1"/>
          <w:wAfter w:w="10" w:type="dxa"/>
          <w:trHeight w:val="1031"/>
        </w:trPr>
        <w:tc>
          <w:tcPr>
            <w:tcW w:w="3547" w:type="dxa"/>
            <w:gridSpan w:val="5"/>
            <w:shd w:val="clear" w:color="auto" w:fill="FFFFFF"/>
          </w:tcPr>
          <w:p w14:paraId="2E762C20" w14:textId="77777777" w:rsidR="00887204" w:rsidRPr="008B4FE6" w:rsidRDefault="00887204" w:rsidP="00887204">
            <w:pPr>
              <w:spacing w:line="240" w:lineRule="auto"/>
              <w:rPr>
                <w:rFonts w:ascii="Times New Roman" w:hAnsi="Times New Roman"/>
                <w:color w:val="000000"/>
              </w:rPr>
            </w:pPr>
          </w:p>
          <w:p w14:paraId="06878C43"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191CA881"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7B791F3F" w14:textId="77777777" w:rsidR="00887204" w:rsidRPr="00BF6667"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70B0B18A" w14:textId="77777777" w:rsidR="00887204" w:rsidRPr="008B4FE6" w:rsidRDefault="00887204" w:rsidP="00887204">
            <w:pPr>
              <w:spacing w:line="240" w:lineRule="auto"/>
              <w:rPr>
                <w:rFonts w:ascii="Times New Roman" w:hAnsi="Times New Roman"/>
                <w:color w:val="000000"/>
              </w:rPr>
            </w:pPr>
          </w:p>
          <w:p w14:paraId="4597EC80" w14:textId="77777777" w:rsidR="00887204" w:rsidRPr="008B4FE6"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7058BD98" w14:textId="77777777" w:rsidR="00887204"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176E5AEB" w14:textId="77777777" w:rsidR="00887204" w:rsidRPr="008B4FE6" w:rsidRDefault="00887204" w:rsidP="0088720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7FA2B605" w14:textId="77777777" w:rsidR="00887204" w:rsidRPr="008B4FE6" w:rsidRDefault="00887204" w:rsidP="00887204">
            <w:pPr>
              <w:spacing w:line="240" w:lineRule="auto"/>
              <w:rPr>
                <w:rFonts w:ascii="Times New Roman" w:hAnsi="Times New Roman"/>
                <w:color w:val="000000"/>
              </w:rPr>
            </w:pPr>
          </w:p>
          <w:p w14:paraId="202DD70D" w14:textId="77777777" w:rsidR="00887204" w:rsidRDefault="00887204" w:rsidP="0088720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199FE3AB" w14:textId="77777777" w:rsidR="00887204" w:rsidRPr="008B4FE6" w:rsidRDefault="000E283C" w:rsidP="0088720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90811">
              <w:rPr>
                <w:rFonts w:ascii="Times New Roman" w:hAnsi="Times New Roman"/>
                <w:color w:val="000000"/>
              </w:rPr>
            </w:r>
            <w:r w:rsidR="00290811">
              <w:rPr>
                <w:rFonts w:ascii="Times New Roman" w:hAnsi="Times New Roman"/>
                <w:color w:val="000000"/>
              </w:rPr>
              <w:fldChar w:fldCharType="separate"/>
            </w:r>
            <w:r>
              <w:rPr>
                <w:rFonts w:ascii="Times New Roman" w:hAnsi="Times New Roman"/>
                <w:color w:val="000000"/>
              </w:rPr>
              <w:fldChar w:fldCharType="end"/>
            </w:r>
            <w:r w:rsidR="00887204" w:rsidRPr="008B4FE6">
              <w:rPr>
                <w:rFonts w:ascii="Times New Roman" w:hAnsi="Times New Roman"/>
                <w:color w:val="000000"/>
                <w:sz w:val="20"/>
                <w:szCs w:val="20"/>
              </w:rPr>
              <w:t xml:space="preserve"> </w:t>
            </w:r>
            <w:r w:rsidR="00887204">
              <w:rPr>
                <w:rFonts w:ascii="Times New Roman" w:hAnsi="Times New Roman"/>
                <w:color w:val="000000"/>
                <w:spacing w:val="-2"/>
              </w:rPr>
              <w:t>zdrowie</w:t>
            </w:r>
          </w:p>
        </w:tc>
      </w:tr>
      <w:tr w:rsidR="00887204" w:rsidRPr="008B4FE6" w14:paraId="435F8C13" w14:textId="77777777" w:rsidTr="0068624E">
        <w:trPr>
          <w:gridAfter w:val="1"/>
          <w:wAfter w:w="10" w:type="dxa"/>
          <w:trHeight w:val="712"/>
        </w:trPr>
        <w:tc>
          <w:tcPr>
            <w:tcW w:w="1526" w:type="dxa"/>
            <w:shd w:val="clear" w:color="auto" w:fill="FFFFFF"/>
            <w:vAlign w:val="center"/>
          </w:tcPr>
          <w:p w14:paraId="30792AA0" w14:textId="77777777" w:rsidR="00887204" w:rsidRPr="008B4FE6" w:rsidRDefault="00887204" w:rsidP="00887204">
            <w:pPr>
              <w:spacing w:line="240" w:lineRule="auto"/>
              <w:rPr>
                <w:rFonts w:ascii="Times New Roman" w:hAnsi="Times New Roman"/>
                <w:color w:val="000000"/>
              </w:rPr>
            </w:pPr>
            <w:r w:rsidRPr="008B4FE6">
              <w:rPr>
                <w:rFonts w:ascii="Times New Roman" w:hAnsi="Times New Roman"/>
                <w:color w:val="000000"/>
              </w:rPr>
              <w:t>Omówienie wpływu</w:t>
            </w:r>
          </w:p>
        </w:tc>
        <w:tc>
          <w:tcPr>
            <w:tcW w:w="9411" w:type="dxa"/>
            <w:gridSpan w:val="28"/>
            <w:shd w:val="clear" w:color="auto" w:fill="FFFFFF"/>
            <w:vAlign w:val="center"/>
          </w:tcPr>
          <w:p w14:paraId="3364F6DF" w14:textId="77777777" w:rsidR="00887204" w:rsidRPr="008B4FE6" w:rsidRDefault="004033BC" w:rsidP="000518F2">
            <w:pPr>
              <w:spacing w:line="240" w:lineRule="auto"/>
              <w:jc w:val="both"/>
              <w:rPr>
                <w:rFonts w:ascii="Times New Roman" w:hAnsi="Times New Roman"/>
                <w:color w:val="000000"/>
                <w:spacing w:val="-2"/>
              </w:rPr>
            </w:pPr>
            <w:r w:rsidRPr="004033BC">
              <w:rPr>
                <w:rFonts w:ascii="Times New Roman" w:hAnsi="Times New Roman"/>
                <w:color w:val="000000"/>
                <w:spacing w:val="-2"/>
              </w:rPr>
              <w:t xml:space="preserve">Efektem wejścia w życie projektu ustawy </w:t>
            </w:r>
            <w:r>
              <w:rPr>
                <w:rFonts w:ascii="Times New Roman" w:hAnsi="Times New Roman"/>
                <w:color w:val="000000"/>
                <w:spacing w:val="-2"/>
              </w:rPr>
              <w:t xml:space="preserve">ma być </w:t>
            </w:r>
            <w:r w:rsidR="000518F2">
              <w:rPr>
                <w:rFonts w:ascii="Times New Roman" w:hAnsi="Times New Roman"/>
                <w:color w:val="000000"/>
                <w:spacing w:val="-2"/>
              </w:rPr>
              <w:t>z</w:t>
            </w:r>
            <w:r w:rsidR="000518F2" w:rsidRPr="000518F2">
              <w:rPr>
                <w:rFonts w:ascii="Times New Roman" w:hAnsi="Times New Roman"/>
                <w:color w:val="000000"/>
                <w:spacing w:val="-2"/>
              </w:rPr>
              <w:t xml:space="preserve">apewnienie właściwego funkcjonowania organu administracji rządowej </w:t>
            </w:r>
            <w:r w:rsidR="000518F2">
              <w:rPr>
                <w:rFonts w:ascii="Times New Roman" w:hAnsi="Times New Roman"/>
                <w:color w:val="000000"/>
                <w:spacing w:val="-2"/>
              </w:rPr>
              <w:t xml:space="preserve">‒ Głównego Inspektora Farmaceutycznego kierującego </w:t>
            </w:r>
            <w:r w:rsidR="0096310C">
              <w:rPr>
                <w:rFonts w:ascii="Times New Roman" w:hAnsi="Times New Roman"/>
                <w:color w:val="000000"/>
                <w:spacing w:val="-2"/>
              </w:rPr>
              <w:t>GIF</w:t>
            </w:r>
            <w:r w:rsidRPr="004033BC">
              <w:rPr>
                <w:rFonts w:ascii="Times New Roman" w:hAnsi="Times New Roman"/>
                <w:color w:val="000000"/>
                <w:spacing w:val="-2"/>
              </w:rPr>
              <w:t xml:space="preserve">, przede wszystkim przez dopasowanie </w:t>
            </w:r>
            <w:r>
              <w:rPr>
                <w:rFonts w:ascii="Times New Roman" w:hAnsi="Times New Roman"/>
                <w:color w:val="000000"/>
                <w:spacing w:val="-2"/>
              </w:rPr>
              <w:t>liczby inspekcji</w:t>
            </w:r>
            <w:r w:rsidRPr="004033BC">
              <w:rPr>
                <w:rFonts w:ascii="Times New Roman" w:hAnsi="Times New Roman"/>
                <w:color w:val="000000"/>
                <w:spacing w:val="-2"/>
              </w:rPr>
              <w:t xml:space="preserve"> do </w:t>
            </w:r>
            <w:r>
              <w:rPr>
                <w:rFonts w:ascii="Times New Roman" w:hAnsi="Times New Roman"/>
                <w:color w:val="000000"/>
                <w:spacing w:val="-2"/>
              </w:rPr>
              <w:t xml:space="preserve">liczby przedsiębiorców z branży farmaceutycznej na danym terenie. </w:t>
            </w:r>
            <w:r w:rsidRPr="004033BC">
              <w:rPr>
                <w:rFonts w:ascii="Times New Roman" w:hAnsi="Times New Roman"/>
                <w:color w:val="000000"/>
                <w:spacing w:val="-2"/>
              </w:rPr>
              <w:t xml:space="preserve">Korzyścią będzie również odpowiednia alokacja nakładów finansowych oraz koncentracja </w:t>
            </w:r>
            <w:r>
              <w:rPr>
                <w:rFonts w:ascii="Times New Roman" w:hAnsi="Times New Roman"/>
                <w:color w:val="000000"/>
                <w:spacing w:val="-2"/>
              </w:rPr>
              <w:t>działań nadzorczych</w:t>
            </w:r>
            <w:r w:rsidRPr="004033BC">
              <w:rPr>
                <w:rFonts w:ascii="Times New Roman" w:hAnsi="Times New Roman"/>
                <w:color w:val="000000"/>
                <w:spacing w:val="-2"/>
              </w:rPr>
              <w:t xml:space="preserve">, jak również </w:t>
            </w:r>
            <w:r>
              <w:rPr>
                <w:rFonts w:ascii="Times New Roman" w:hAnsi="Times New Roman"/>
                <w:color w:val="000000"/>
                <w:spacing w:val="-2"/>
              </w:rPr>
              <w:t>ujednolicenie procedur</w:t>
            </w:r>
            <w:r w:rsidRPr="004033BC">
              <w:rPr>
                <w:rFonts w:ascii="Times New Roman" w:hAnsi="Times New Roman"/>
                <w:color w:val="000000"/>
                <w:spacing w:val="-2"/>
              </w:rPr>
              <w:t xml:space="preserve"> w</w:t>
            </w:r>
            <w:r w:rsidR="00B848B6">
              <w:rPr>
                <w:rFonts w:ascii="Times New Roman" w:hAnsi="Times New Roman"/>
                <w:color w:val="000000"/>
                <w:spacing w:val="-2"/>
              </w:rPr>
              <w:t> </w:t>
            </w:r>
            <w:r w:rsidRPr="004033BC">
              <w:rPr>
                <w:rFonts w:ascii="Times New Roman" w:hAnsi="Times New Roman"/>
                <w:color w:val="000000"/>
                <w:spacing w:val="-2"/>
              </w:rPr>
              <w:t xml:space="preserve">zakresie realizowanych </w:t>
            </w:r>
            <w:r>
              <w:rPr>
                <w:rFonts w:ascii="Times New Roman" w:hAnsi="Times New Roman"/>
                <w:color w:val="000000"/>
                <w:spacing w:val="-2"/>
              </w:rPr>
              <w:t>zadań</w:t>
            </w:r>
            <w:r w:rsidRPr="004033BC">
              <w:rPr>
                <w:rFonts w:ascii="Times New Roman" w:hAnsi="Times New Roman"/>
                <w:color w:val="000000"/>
                <w:spacing w:val="-2"/>
              </w:rPr>
              <w:t xml:space="preserve">. </w:t>
            </w:r>
            <w:r>
              <w:rPr>
                <w:rFonts w:ascii="Times New Roman" w:hAnsi="Times New Roman"/>
                <w:color w:val="000000"/>
                <w:spacing w:val="-2"/>
              </w:rPr>
              <w:t>Ustanowienie nadzoru</w:t>
            </w:r>
            <w:r>
              <w:t xml:space="preserve"> </w:t>
            </w:r>
            <w:r w:rsidR="000518F2">
              <w:rPr>
                <w:rFonts w:ascii="Times New Roman" w:hAnsi="Times New Roman"/>
                <w:color w:val="000000"/>
                <w:spacing w:val="-2"/>
              </w:rPr>
              <w:t>Głównego Inspektora Farmaceutycznego</w:t>
            </w:r>
            <w:r w:rsidRPr="004033BC">
              <w:rPr>
                <w:rFonts w:ascii="Times New Roman" w:hAnsi="Times New Roman"/>
                <w:color w:val="000000"/>
                <w:spacing w:val="-2"/>
              </w:rPr>
              <w:t xml:space="preserve"> nad medycznymi laboratoriami diagnostycznymi</w:t>
            </w:r>
            <w:r>
              <w:rPr>
                <w:rFonts w:ascii="Times New Roman" w:hAnsi="Times New Roman"/>
                <w:color w:val="000000"/>
                <w:spacing w:val="-2"/>
              </w:rPr>
              <w:t xml:space="preserve"> ma</w:t>
            </w:r>
            <w:r w:rsidRPr="004033BC">
              <w:rPr>
                <w:rFonts w:ascii="Times New Roman" w:hAnsi="Times New Roman"/>
                <w:color w:val="000000"/>
                <w:spacing w:val="-2"/>
              </w:rPr>
              <w:t xml:space="preserve"> na celu poprawę </w:t>
            </w:r>
            <w:r>
              <w:rPr>
                <w:rFonts w:ascii="Times New Roman" w:hAnsi="Times New Roman"/>
                <w:color w:val="000000"/>
                <w:spacing w:val="-2"/>
              </w:rPr>
              <w:t>jakości przeprowadzanych w nich badań. Projektowane przepisy wpłyną pozytywnie na obszar opieki zdrowotnej oraz poprawią jakość</w:t>
            </w:r>
            <w:r w:rsidRPr="004033BC">
              <w:rPr>
                <w:rFonts w:ascii="Times New Roman" w:hAnsi="Times New Roman"/>
                <w:color w:val="000000"/>
                <w:spacing w:val="-2"/>
              </w:rPr>
              <w:t xml:space="preserve"> świa</w:t>
            </w:r>
            <w:r w:rsidR="00E27C95">
              <w:rPr>
                <w:rFonts w:ascii="Times New Roman" w:hAnsi="Times New Roman"/>
                <w:color w:val="000000"/>
                <w:spacing w:val="-2"/>
              </w:rPr>
              <w:t>dczeń dzięki wdrożeniu w laboratoriach wymagań Dobrej Praktyki Laboratoryjnej</w:t>
            </w:r>
            <w:r w:rsidRPr="004033BC">
              <w:rPr>
                <w:rFonts w:ascii="Times New Roman" w:hAnsi="Times New Roman"/>
                <w:color w:val="000000"/>
                <w:spacing w:val="-2"/>
              </w:rPr>
              <w:t xml:space="preserve">. </w:t>
            </w:r>
          </w:p>
        </w:tc>
      </w:tr>
      <w:tr w:rsidR="00887204" w:rsidRPr="008B4FE6" w14:paraId="262E9D47" w14:textId="77777777" w:rsidTr="0023197B">
        <w:trPr>
          <w:gridAfter w:val="1"/>
          <w:wAfter w:w="10" w:type="dxa"/>
          <w:trHeight w:val="142"/>
        </w:trPr>
        <w:tc>
          <w:tcPr>
            <w:tcW w:w="10937" w:type="dxa"/>
            <w:gridSpan w:val="29"/>
            <w:shd w:val="clear" w:color="auto" w:fill="99CCFF"/>
          </w:tcPr>
          <w:p w14:paraId="438D7E2F" w14:textId="77777777" w:rsidR="00887204" w:rsidRPr="00627221" w:rsidRDefault="00887204" w:rsidP="0068624E">
            <w:pPr>
              <w:numPr>
                <w:ilvl w:val="0"/>
                <w:numId w:val="3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887204" w:rsidRPr="008B4FE6" w14:paraId="3C79E04C" w14:textId="77777777" w:rsidTr="0023197B">
        <w:trPr>
          <w:gridAfter w:val="1"/>
          <w:wAfter w:w="10" w:type="dxa"/>
          <w:trHeight w:val="142"/>
        </w:trPr>
        <w:tc>
          <w:tcPr>
            <w:tcW w:w="10937" w:type="dxa"/>
            <w:gridSpan w:val="29"/>
            <w:shd w:val="clear" w:color="auto" w:fill="FFFFFF"/>
          </w:tcPr>
          <w:p w14:paraId="65547C37" w14:textId="77777777" w:rsidR="004034AB" w:rsidRPr="00891EE4" w:rsidRDefault="004034AB" w:rsidP="004034AB">
            <w:pPr>
              <w:spacing w:line="240" w:lineRule="auto"/>
              <w:jc w:val="both"/>
              <w:rPr>
                <w:rFonts w:ascii="Times New Roman" w:hAnsi="Times New Roman"/>
                <w:spacing w:val="-2"/>
              </w:rPr>
            </w:pPr>
            <w:r w:rsidRPr="00891EE4">
              <w:rPr>
                <w:rFonts w:ascii="Times New Roman" w:hAnsi="Times New Roman"/>
                <w:spacing w:val="-2"/>
              </w:rPr>
              <w:t>Przewiduje się, że ustawa wejdzie w życie pierwszego dnia miesiąca następującego po upływie 6 miesięcy od dnia ogłoszenia, z wyjątkiem</w:t>
            </w:r>
            <w:r>
              <w:rPr>
                <w:rFonts w:ascii="Times New Roman" w:hAnsi="Times New Roman"/>
                <w:spacing w:val="-2"/>
              </w:rPr>
              <w:t xml:space="preserve"> przepisów przewidujących</w:t>
            </w:r>
            <w:r w:rsidRPr="00891EE4">
              <w:rPr>
                <w:rFonts w:ascii="Times New Roman" w:hAnsi="Times New Roman"/>
                <w:spacing w:val="-2"/>
              </w:rPr>
              <w:t>:</w:t>
            </w:r>
          </w:p>
          <w:p w14:paraId="752E387F" w14:textId="77777777" w:rsidR="004034AB" w:rsidRPr="00891EE4" w:rsidRDefault="004034AB" w:rsidP="004034AB">
            <w:pPr>
              <w:numPr>
                <w:ilvl w:val="0"/>
                <w:numId w:val="32"/>
              </w:numPr>
              <w:spacing w:line="240" w:lineRule="auto"/>
              <w:ind w:left="426"/>
              <w:jc w:val="both"/>
              <w:rPr>
                <w:rFonts w:ascii="Times New Roman" w:hAnsi="Times New Roman"/>
                <w:spacing w:val="-2"/>
              </w:rPr>
            </w:pPr>
            <w:r>
              <w:rPr>
                <w:rFonts w:ascii="Times New Roman" w:hAnsi="Times New Roman"/>
                <w:spacing w:val="-2"/>
              </w:rPr>
              <w:t>przeznaczenie nieruchomości Skarbu Państwa, będących</w:t>
            </w:r>
            <w:r w:rsidRPr="002557D4">
              <w:rPr>
                <w:rFonts w:ascii="Times New Roman" w:hAnsi="Times New Roman"/>
                <w:spacing w:val="-2"/>
              </w:rPr>
              <w:t xml:space="preserve"> w trwałym zarządzie wojewódzkich  inspektoratów farmaceutycznych</w:t>
            </w:r>
            <w:r>
              <w:rPr>
                <w:rFonts w:ascii="Times New Roman" w:hAnsi="Times New Roman"/>
                <w:spacing w:val="-2"/>
              </w:rPr>
              <w:t>,</w:t>
            </w:r>
            <w:r>
              <w:t xml:space="preserve"> </w:t>
            </w:r>
            <w:r w:rsidRPr="002557D4">
              <w:rPr>
                <w:rFonts w:ascii="Times New Roman" w:hAnsi="Times New Roman"/>
                <w:spacing w:val="-2"/>
              </w:rPr>
              <w:t>Centralnego Ośrodka Badań Jakości w Diagnostyce Laboratoryjnej oraz Centralnego Ośrodka Badań Jakości w Diagnostyce Mikrobiologicznej na potrzeby Główneg</w:t>
            </w:r>
            <w:r>
              <w:rPr>
                <w:rFonts w:ascii="Times New Roman" w:hAnsi="Times New Roman"/>
                <w:spacing w:val="-2"/>
              </w:rPr>
              <w:t>o Inspektoratu Farmaceutycznego</w:t>
            </w:r>
            <w:r w:rsidRPr="00891EE4">
              <w:rPr>
                <w:rFonts w:ascii="Times New Roman" w:hAnsi="Times New Roman"/>
                <w:spacing w:val="-2"/>
              </w:rPr>
              <w:t xml:space="preserve">, które </w:t>
            </w:r>
            <w:r>
              <w:rPr>
                <w:rFonts w:ascii="Times New Roman" w:hAnsi="Times New Roman"/>
                <w:spacing w:val="-2"/>
              </w:rPr>
              <w:t>wejdą</w:t>
            </w:r>
            <w:r w:rsidRPr="00891EE4">
              <w:rPr>
                <w:rFonts w:ascii="Times New Roman" w:hAnsi="Times New Roman"/>
                <w:spacing w:val="-2"/>
              </w:rPr>
              <w:t xml:space="preserve"> w życie po upływie 14 dni od dnia ogłoszenia;</w:t>
            </w:r>
          </w:p>
          <w:p w14:paraId="093A5D45" w14:textId="77777777" w:rsidR="004034AB" w:rsidRPr="00891EE4" w:rsidRDefault="004034AB" w:rsidP="004034AB">
            <w:pPr>
              <w:numPr>
                <w:ilvl w:val="0"/>
                <w:numId w:val="32"/>
              </w:numPr>
              <w:spacing w:line="240" w:lineRule="auto"/>
              <w:ind w:left="426"/>
              <w:jc w:val="both"/>
              <w:rPr>
                <w:rFonts w:ascii="Times New Roman" w:hAnsi="Times New Roman"/>
                <w:spacing w:val="-2"/>
              </w:rPr>
            </w:pPr>
            <w:r>
              <w:rPr>
                <w:rFonts w:ascii="Times New Roman" w:hAnsi="Times New Roman"/>
                <w:spacing w:val="-2"/>
              </w:rPr>
              <w:t>przekazanie</w:t>
            </w:r>
            <w:r w:rsidRPr="002557D4">
              <w:rPr>
                <w:rFonts w:ascii="Times New Roman" w:hAnsi="Times New Roman"/>
                <w:spacing w:val="-2"/>
              </w:rPr>
              <w:t xml:space="preserve"> Głównemu Inspektorowi Farmaceutycznemu </w:t>
            </w:r>
            <w:r>
              <w:rPr>
                <w:rFonts w:ascii="Times New Roman" w:hAnsi="Times New Roman"/>
                <w:spacing w:val="-2"/>
              </w:rPr>
              <w:t>dokumentacji przez</w:t>
            </w:r>
            <w:r>
              <w:t xml:space="preserve"> </w:t>
            </w:r>
            <w:r w:rsidRPr="002557D4">
              <w:rPr>
                <w:rFonts w:ascii="Times New Roman" w:hAnsi="Times New Roman"/>
                <w:spacing w:val="-2"/>
              </w:rPr>
              <w:t>wojewódzkich inspektoratów farmaceut</w:t>
            </w:r>
            <w:r>
              <w:rPr>
                <w:rFonts w:ascii="Times New Roman" w:hAnsi="Times New Roman"/>
                <w:spacing w:val="-2"/>
              </w:rPr>
              <w:t>ycznych</w:t>
            </w:r>
            <w:r w:rsidRPr="00891EE4">
              <w:rPr>
                <w:rFonts w:ascii="Times New Roman" w:hAnsi="Times New Roman"/>
                <w:spacing w:val="-2"/>
              </w:rPr>
              <w:t xml:space="preserve">, które </w:t>
            </w:r>
            <w:r>
              <w:rPr>
                <w:rFonts w:ascii="Times New Roman" w:hAnsi="Times New Roman"/>
                <w:spacing w:val="-2"/>
              </w:rPr>
              <w:t xml:space="preserve"> wejdą</w:t>
            </w:r>
            <w:r w:rsidRPr="00891EE4">
              <w:rPr>
                <w:rFonts w:ascii="Times New Roman" w:hAnsi="Times New Roman"/>
                <w:spacing w:val="-2"/>
              </w:rPr>
              <w:t xml:space="preserve"> w życie po upływie 5 miesięcy od dnia ogłoszenia;</w:t>
            </w:r>
          </w:p>
          <w:p w14:paraId="1F18E0BB" w14:textId="77777777" w:rsidR="004034AB" w:rsidRPr="00891EE4" w:rsidRDefault="004034AB" w:rsidP="004034AB">
            <w:pPr>
              <w:numPr>
                <w:ilvl w:val="0"/>
                <w:numId w:val="32"/>
              </w:numPr>
              <w:spacing w:line="240" w:lineRule="auto"/>
              <w:ind w:left="426"/>
              <w:jc w:val="both"/>
              <w:rPr>
                <w:rFonts w:ascii="Times New Roman" w:hAnsi="Times New Roman"/>
                <w:spacing w:val="-2"/>
              </w:rPr>
            </w:pPr>
            <w:r>
              <w:rPr>
                <w:rFonts w:ascii="Times New Roman" w:hAnsi="Times New Roman"/>
                <w:spacing w:val="-2"/>
              </w:rPr>
              <w:t>przekazanie</w:t>
            </w:r>
            <w:r w:rsidRPr="002557D4">
              <w:rPr>
                <w:rFonts w:ascii="Times New Roman" w:hAnsi="Times New Roman"/>
                <w:spacing w:val="-2"/>
              </w:rPr>
              <w:t xml:space="preserve"> Głównemu Insp</w:t>
            </w:r>
            <w:r>
              <w:rPr>
                <w:rFonts w:ascii="Times New Roman" w:hAnsi="Times New Roman"/>
                <w:spacing w:val="-2"/>
              </w:rPr>
              <w:t>ektorowi Farmaceutycznemu wykazu</w:t>
            </w:r>
            <w:r w:rsidRPr="002557D4">
              <w:rPr>
                <w:rFonts w:ascii="Times New Roman" w:hAnsi="Times New Roman"/>
                <w:spacing w:val="-2"/>
              </w:rPr>
              <w:t xml:space="preserve"> pracowników</w:t>
            </w:r>
            <w:r w:rsidRPr="002557D4" w:rsidDel="002557D4">
              <w:rPr>
                <w:rFonts w:ascii="Times New Roman" w:hAnsi="Times New Roman"/>
                <w:spacing w:val="-2"/>
              </w:rPr>
              <w:t xml:space="preserve"> </w:t>
            </w:r>
            <w:r>
              <w:t xml:space="preserve"> </w:t>
            </w:r>
            <w:r w:rsidRPr="002557D4">
              <w:rPr>
                <w:rFonts w:ascii="Times New Roman" w:hAnsi="Times New Roman"/>
                <w:spacing w:val="-2"/>
              </w:rPr>
              <w:t>przez wojewódzkich  inspektoratów farmaceutycznych</w:t>
            </w:r>
            <w:r w:rsidRPr="00891EE4">
              <w:rPr>
                <w:rFonts w:ascii="Times New Roman" w:hAnsi="Times New Roman"/>
                <w:spacing w:val="-2"/>
              </w:rPr>
              <w:t xml:space="preserve">, który </w:t>
            </w:r>
            <w:r>
              <w:rPr>
                <w:rFonts w:ascii="Times New Roman" w:hAnsi="Times New Roman"/>
                <w:spacing w:val="-2"/>
              </w:rPr>
              <w:t xml:space="preserve"> wejdzie</w:t>
            </w:r>
            <w:r w:rsidRPr="00891EE4">
              <w:rPr>
                <w:rFonts w:ascii="Times New Roman" w:hAnsi="Times New Roman"/>
                <w:spacing w:val="-2"/>
              </w:rPr>
              <w:t xml:space="preserve"> w życie po upływie 4 miesięcy od dnia ogłoszenia;</w:t>
            </w:r>
          </w:p>
          <w:p w14:paraId="18723669" w14:textId="77777777" w:rsidR="004034AB" w:rsidRPr="00891EE4" w:rsidRDefault="004034AB" w:rsidP="004034AB">
            <w:pPr>
              <w:numPr>
                <w:ilvl w:val="0"/>
                <w:numId w:val="32"/>
              </w:numPr>
              <w:spacing w:line="240" w:lineRule="auto"/>
              <w:ind w:left="426"/>
              <w:jc w:val="both"/>
              <w:rPr>
                <w:rFonts w:ascii="Times New Roman" w:hAnsi="Times New Roman"/>
                <w:spacing w:val="-2"/>
              </w:rPr>
            </w:pPr>
            <w:r w:rsidRPr="002557D4">
              <w:rPr>
                <w:rFonts w:ascii="Times New Roman" w:hAnsi="Times New Roman"/>
                <w:spacing w:val="-2"/>
              </w:rPr>
              <w:t xml:space="preserve">przekazanie Głównemu Inspektorowi Farmaceutycznemu dokumentacji przez </w:t>
            </w:r>
            <w:r>
              <w:t xml:space="preserve"> </w:t>
            </w:r>
            <w:r>
              <w:rPr>
                <w:rFonts w:ascii="Times New Roman" w:hAnsi="Times New Roman"/>
                <w:spacing w:val="-2"/>
              </w:rPr>
              <w:t xml:space="preserve">Dyrektora </w:t>
            </w:r>
            <w:r w:rsidRPr="006762AB">
              <w:rPr>
                <w:rFonts w:ascii="Times New Roman" w:hAnsi="Times New Roman"/>
                <w:spacing w:val="-2"/>
              </w:rPr>
              <w:t>Centralnego Ośrodka Badań Jakości w Diagnostyce Laboratoryjnej oraz</w:t>
            </w:r>
            <w:r>
              <w:rPr>
                <w:rFonts w:ascii="Times New Roman" w:hAnsi="Times New Roman"/>
                <w:spacing w:val="-2"/>
              </w:rPr>
              <w:t xml:space="preserve"> Dyrektora</w:t>
            </w:r>
            <w:r w:rsidRPr="006762AB">
              <w:rPr>
                <w:rFonts w:ascii="Times New Roman" w:hAnsi="Times New Roman"/>
                <w:spacing w:val="-2"/>
              </w:rPr>
              <w:t xml:space="preserve"> Centralnego Ośrodka Badań Jakości w Diagnostyce Mikrobiologicznej</w:t>
            </w:r>
            <w:r w:rsidRPr="00891EE4">
              <w:rPr>
                <w:rFonts w:ascii="Times New Roman" w:hAnsi="Times New Roman"/>
                <w:spacing w:val="-2"/>
              </w:rPr>
              <w:t xml:space="preserve">, które </w:t>
            </w:r>
            <w:r>
              <w:rPr>
                <w:rFonts w:ascii="Times New Roman" w:hAnsi="Times New Roman"/>
                <w:spacing w:val="-2"/>
              </w:rPr>
              <w:t xml:space="preserve"> wejdą</w:t>
            </w:r>
            <w:r w:rsidRPr="00891EE4">
              <w:rPr>
                <w:rFonts w:ascii="Times New Roman" w:hAnsi="Times New Roman"/>
                <w:spacing w:val="-2"/>
              </w:rPr>
              <w:t xml:space="preserve"> w życie po upływie 11 miesięcy od dnia ogłoszenia;</w:t>
            </w:r>
          </w:p>
          <w:p w14:paraId="709E10C4" w14:textId="77777777" w:rsidR="004034AB" w:rsidRPr="00891EE4" w:rsidRDefault="004034AB" w:rsidP="004034AB">
            <w:pPr>
              <w:numPr>
                <w:ilvl w:val="0"/>
                <w:numId w:val="32"/>
              </w:numPr>
              <w:spacing w:line="240" w:lineRule="auto"/>
              <w:ind w:left="426"/>
              <w:jc w:val="both"/>
              <w:rPr>
                <w:rFonts w:ascii="Times New Roman" w:hAnsi="Times New Roman"/>
                <w:spacing w:val="-2"/>
              </w:rPr>
            </w:pPr>
            <w:r w:rsidRPr="006762AB">
              <w:rPr>
                <w:rFonts w:ascii="Times New Roman" w:hAnsi="Times New Roman"/>
                <w:spacing w:val="-2"/>
              </w:rPr>
              <w:t>przekazanie Głównemu Inspektorowi Farmaceutycznemu wykazu pracowników  prz</w:t>
            </w:r>
            <w:r>
              <w:rPr>
                <w:rFonts w:ascii="Times New Roman" w:hAnsi="Times New Roman"/>
                <w:spacing w:val="-2"/>
              </w:rPr>
              <w:t xml:space="preserve">ez </w:t>
            </w:r>
            <w:r>
              <w:t xml:space="preserve"> </w:t>
            </w:r>
            <w:r w:rsidRPr="006762AB">
              <w:rPr>
                <w:rFonts w:ascii="Times New Roman" w:hAnsi="Times New Roman"/>
                <w:spacing w:val="-2"/>
              </w:rPr>
              <w:t>Dyrektora Centralnego Ośrodka Badań Jakości w Diagnostyce Laboratoryjnej oraz Dyrektora Centralnego Ośrodka Badań Jakości w</w:t>
            </w:r>
            <w:r>
              <w:rPr>
                <w:rFonts w:ascii="Times New Roman" w:hAnsi="Times New Roman"/>
                <w:spacing w:val="-2"/>
              </w:rPr>
              <w:t> </w:t>
            </w:r>
            <w:r w:rsidRPr="006762AB">
              <w:rPr>
                <w:rFonts w:ascii="Times New Roman" w:hAnsi="Times New Roman"/>
                <w:spacing w:val="-2"/>
              </w:rPr>
              <w:t>Diagnostyce Mikrobiologicznej</w:t>
            </w:r>
            <w:r w:rsidRPr="00891EE4">
              <w:rPr>
                <w:rFonts w:ascii="Times New Roman" w:hAnsi="Times New Roman"/>
                <w:spacing w:val="-2"/>
              </w:rPr>
              <w:t xml:space="preserve">, który </w:t>
            </w:r>
            <w:r>
              <w:rPr>
                <w:rFonts w:ascii="Times New Roman" w:hAnsi="Times New Roman"/>
                <w:spacing w:val="-2"/>
              </w:rPr>
              <w:t>wejdzie</w:t>
            </w:r>
            <w:r w:rsidRPr="00891EE4">
              <w:rPr>
                <w:rFonts w:ascii="Times New Roman" w:hAnsi="Times New Roman"/>
                <w:spacing w:val="-2"/>
              </w:rPr>
              <w:t xml:space="preserve"> w życie po upływie 10 miesięcy od dnia ogłoszenia;</w:t>
            </w:r>
          </w:p>
          <w:p w14:paraId="7AF61900" w14:textId="77777777" w:rsidR="004034AB" w:rsidRPr="00891EE4" w:rsidRDefault="004034AB" w:rsidP="004034AB">
            <w:pPr>
              <w:numPr>
                <w:ilvl w:val="0"/>
                <w:numId w:val="32"/>
              </w:numPr>
              <w:spacing w:line="240" w:lineRule="auto"/>
              <w:ind w:left="426"/>
              <w:jc w:val="both"/>
              <w:rPr>
                <w:rFonts w:ascii="Times New Roman" w:hAnsi="Times New Roman"/>
                <w:spacing w:val="-2"/>
              </w:rPr>
            </w:pPr>
            <w:r w:rsidRPr="00372262">
              <w:rPr>
                <w:rFonts w:ascii="Times New Roman" w:hAnsi="Times New Roman"/>
              </w:rPr>
              <w:t xml:space="preserve">podjęcie czynności przez Głównego Inspektora Farmaceutycznego związanych z nadzorem nad </w:t>
            </w:r>
            <w:r w:rsidRPr="00372262">
              <w:rPr>
                <w:rFonts w:ascii="Times New Roman" w:hAnsi="Times New Roman"/>
                <w:spacing w:val="-2"/>
              </w:rPr>
              <w:t xml:space="preserve">medycznymi laboratoriami diagnostycznymi oraz przewidującego obowiązek </w:t>
            </w:r>
            <w:r w:rsidRPr="00372262">
              <w:rPr>
                <w:rFonts w:ascii="Times New Roman" w:hAnsi="Times New Roman"/>
              </w:rPr>
              <w:t xml:space="preserve">uzyskania </w:t>
            </w:r>
            <w:r w:rsidRPr="00372262">
              <w:rPr>
                <w:rFonts w:ascii="Times New Roman" w:hAnsi="Times New Roman"/>
                <w:spacing w:val="-2"/>
              </w:rPr>
              <w:t xml:space="preserve">wpisu do Krajowego Rejestru Laboratoriów, które </w:t>
            </w:r>
            <w:r>
              <w:rPr>
                <w:rFonts w:ascii="Times New Roman" w:hAnsi="Times New Roman"/>
                <w:spacing w:val="-2"/>
              </w:rPr>
              <w:t xml:space="preserve"> wejdą</w:t>
            </w:r>
            <w:r w:rsidRPr="00891EE4">
              <w:rPr>
                <w:rFonts w:ascii="Times New Roman" w:hAnsi="Times New Roman"/>
                <w:spacing w:val="-2"/>
              </w:rPr>
              <w:t xml:space="preserve"> </w:t>
            </w:r>
            <w:r w:rsidRPr="00372262">
              <w:rPr>
                <w:rFonts w:ascii="Times New Roman" w:hAnsi="Times New Roman"/>
                <w:spacing w:val="-2"/>
              </w:rPr>
              <w:t>w życie pierwszego dnia miesiąca następującego po upływie</w:t>
            </w:r>
            <w:r w:rsidRPr="00891EE4">
              <w:rPr>
                <w:rFonts w:ascii="Times New Roman" w:hAnsi="Times New Roman"/>
                <w:spacing w:val="-2"/>
              </w:rPr>
              <w:t xml:space="preserve"> 12 miesięcy od dnia ogłoszenia; </w:t>
            </w:r>
          </w:p>
          <w:p w14:paraId="4E2A011F" w14:textId="77777777" w:rsidR="00887204" w:rsidRPr="00B37C80" w:rsidRDefault="004034AB" w:rsidP="004034AB">
            <w:pPr>
              <w:numPr>
                <w:ilvl w:val="0"/>
                <w:numId w:val="32"/>
              </w:numPr>
              <w:spacing w:line="240" w:lineRule="auto"/>
              <w:ind w:left="426"/>
              <w:jc w:val="both"/>
              <w:rPr>
                <w:rFonts w:ascii="Times New Roman" w:hAnsi="Times New Roman"/>
                <w:spacing w:val="-2"/>
              </w:rPr>
            </w:pPr>
            <w:r>
              <w:rPr>
                <w:rFonts w:ascii="Times New Roman" w:hAnsi="Times New Roman"/>
                <w:spacing w:val="-2"/>
              </w:rPr>
              <w:t xml:space="preserve">zwolnienie </w:t>
            </w:r>
            <w:r>
              <w:t xml:space="preserve"> </w:t>
            </w:r>
            <w:r w:rsidRPr="00081D59">
              <w:rPr>
                <w:rFonts w:ascii="Times New Roman" w:hAnsi="Times New Roman"/>
                <w:spacing w:val="-2"/>
              </w:rPr>
              <w:t>Głównego Inspektora Farmaceutycznego</w:t>
            </w:r>
            <w:r>
              <w:rPr>
                <w:rFonts w:ascii="Times New Roman" w:hAnsi="Times New Roman"/>
                <w:spacing w:val="-2"/>
              </w:rPr>
              <w:t xml:space="preserve"> z obowiązku </w:t>
            </w:r>
            <w:r>
              <w:t xml:space="preserve"> </w:t>
            </w:r>
            <w:r>
              <w:rPr>
                <w:rFonts w:ascii="Times New Roman" w:hAnsi="Times New Roman"/>
                <w:spacing w:val="-2"/>
              </w:rPr>
              <w:t>zapewnienia</w:t>
            </w:r>
            <w:r w:rsidRPr="00081D59">
              <w:rPr>
                <w:rFonts w:ascii="Times New Roman" w:hAnsi="Times New Roman"/>
                <w:spacing w:val="-2"/>
              </w:rPr>
              <w:t>, aby udział pojazdów elektrycznych we flocie użytkowanych pojazdów samochodowych</w:t>
            </w:r>
            <w:r>
              <w:rPr>
                <w:rFonts w:ascii="Times New Roman" w:hAnsi="Times New Roman"/>
                <w:spacing w:val="-2"/>
              </w:rPr>
              <w:t xml:space="preserve"> wynosił 50%</w:t>
            </w:r>
            <w:r w:rsidRPr="00891EE4">
              <w:rPr>
                <w:rFonts w:ascii="Times New Roman" w:hAnsi="Times New Roman"/>
                <w:spacing w:val="-2"/>
              </w:rPr>
              <w:t xml:space="preserve">, który </w:t>
            </w:r>
            <w:r>
              <w:rPr>
                <w:rFonts w:ascii="Times New Roman" w:hAnsi="Times New Roman"/>
                <w:spacing w:val="-2"/>
              </w:rPr>
              <w:t>wejdzie</w:t>
            </w:r>
            <w:r w:rsidRPr="00891EE4">
              <w:rPr>
                <w:rFonts w:ascii="Times New Roman" w:hAnsi="Times New Roman"/>
                <w:spacing w:val="-2"/>
              </w:rPr>
              <w:t xml:space="preserve"> w życie z dniem 1 stycznia 2025 r.</w:t>
            </w:r>
          </w:p>
        </w:tc>
      </w:tr>
      <w:tr w:rsidR="00887204" w:rsidRPr="008B4FE6" w14:paraId="21CEB92B" w14:textId="77777777" w:rsidTr="0023197B">
        <w:trPr>
          <w:gridAfter w:val="1"/>
          <w:wAfter w:w="10" w:type="dxa"/>
          <w:trHeight w:val="142"/>
        </w:trPr>
        <w:tc>
          <w:tcPr>
            <w:tcW w:w="10937" w:type="dxa"/>
            <w:gridSpan w:val="29"/>
            <w:shd w:val="clear" w:color="auto" w:fill="99CCFF"/>
          </w:tcPr>
          <w:p w14:paraId="2A9E9BE0" w14:textId="77777777" w:rsidR="00887204" w:rsidRPr="008B4FE6" w:rsidRDefault="00887204" w:rsidP="0068624E">
            <w:pPr>
              <w:numPr>
                <w:ilvl w:val="0"/>
                <w:numId w:val="3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887204" w:rsidRPr="008B4FE6" w14:paraId="7ACE9296" w14:textId="77777777" w:rsidTr="0023197B">
        <w:trPr>
          <w:gridAfter w:val="1"/>
          <w:wAfter w:w="10" w:type="dxa"/>
          <w:trHeight w:val="142"/>
        </w:trPr>
        <w:tc>
          <w:tcPr>
            <w:tcW w:w="10937" w:type="dxa"/>
            <w:gridSpan w:val="29"/>
            <w:shd w:val="clear" w:color="auto" w:fill="FFFFFF"/>
          </w:tcPr>
          <w:p w14:paraId="12A26377" w14:textId="77777777" w:rsidR="00887204" w:rsidRPr="00B37C80" w:rsidRDefault="00BE06F6" w:rsidP="00A477DB">
            <w:pPr>
              <w:spacing w:line="240" w:lineRule="auto"/>
              <w:jc w:val="both"/>
              <w:rPr>
                <w:rFonts w:ascii="Times New Roman" w:hAnsi="Times New Roman"/>
                <w:color w:val="000000"/>
                <w:spacing w:val="-2"/>
              </w:rPr>
            </w:pPr>
            <w:r>
              <w:rPr>
                <w:rFonts w:ascii="Times New Roman" w:hAnsi="Times New Roman"/>
                <w:color w:val="000000"/>
                <w:spacing w:val="-2"/>
              </w:rPr>
              <w:t xml:space="preserve">Nie przewiduje się ewaluacji efektów projektu. Efektem będzie </w:t>
            </w:r>
            <w:r w:rsidR="00A477DB">
              <w:rPr>
                <w:rFonts w:ascii="Times New Roman" w:hAnsi="Times New Roman"/>
                <w:color w:val="000000"/>
                <w:spacing w:val="-2"/>
              </w:rPr>
              <w:t xml:space="preserve">ustanowienie nadzoru nad medycznymi laboratoriami medycznymi oraz </w:t>
            </w:r>
            <w:r>
              <w:rPr>
                <w:rFonts w:ascii="Times New Roman" w:hAnsi="Times New Roman"/>
                <w:color w:val="000000"/>
                <w:spacing w:val="-2"/>
              </w:rPr>
              <w:t xml:space="preserve">zwiększenie nadzoru nad </w:t>
            </w:r>
            <w:r w:rsidR="00A477DB" w:rsidRPr="00A477DB">
              <w:rPr>
                <w:rFonts w:ascii="Times New Roman" w:hAnsi="Times New Roman"/>
                <w:color w:val="000000"/>
                <w:spacing w:val="-2"/>
              </w:rPr>
              <w:t>rynkiem wewnętrznym (aptek, hurtowni, wytwórców, importerów, dystrybutorów substancji czynnych i pośredników w obrocie produktami leczniczymi)</w:t>
            </w:r>
            <w:r>
              <w:rPr>
                <w:rFonts w:ascii="Times New Roman" w:hAnsi="Times New Roman"/>
                <w:color w:val="000000"/>
                <w:spacing w:val="-2"/>
              </w:rPr>
              <w:t>.</w:t>
            </w:r>
          </w:p>
        </w:tc>
      </w:tr>
      <w:tr w:rsidR="00887204" w:rsidRPr="008B4FE6" w14:paraId="149AAF96" w14:textId="77777777" w:rsidTr="0023197B">
        <w:trPr>
          <w:gridAfter w:val="1"/>
          <w:wAfter w:w="10" w:type="dxa"/>
          <w:trHeight w:val="142"/>
        </w:trPr>
        <w:tc>
          <w:tcPr>
            <w:tcW w:w="10937" w:type="dxa"/>
            <w:gridSpan w:val="29"/>
            <w:shd w:val="clear" w:color="auto" w:fill="99CCFF"/>
          </w:tcPr>
          <w:p w14:paraId="61DA73D5" w14:textId="77777777" w:rsidR="00887204" w:rsidRPr="008B4FE6" w:rsidRDefault="00887204" w:rsidP="0068624E">
            <w:pPr>
              <w:numPr>
                <w:ilvl w:val="0"/>
                <w:numId w:val="3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887204" w:rsidRPr="008B4FE6" w14:paraId="244D393D" w14:textId="77777777" w:rsidTr="0023197B">
        <w:trPr>
          <w:gridAfter w:val="1"/>
          <w:wAfter w:w="10" w:type="dxa"/>
          <w:trHeight w:val="142"/>
        </w:trPr>
        <w:tc>
          <w:tcPr>
            <w:tcW w:w="10937" w:type="dxa"/>
            <w:gridSpan w:val="29"/>
            <w:shd w:val="clear" w:color="auto" w:fill="FFFFFF"/>
          </w:tcPr>
          <w:p w14:paraId="0D4ED4FA" w14:textId="77777777" w:rsidR="00887204" w:rsidRPr="00B37C80" w:rsidRDefault="00A1638D" w:rsidP="00A34992">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41999866" w14:textId="77777777" w:rsidR="006176ED" w:rsidRPr="00522D94" w:rsidRDefault="006176ED" w:rsidP="00BE06F6">
      <w:pPr>
        <w:pStyle w:val="Nagwek1"/>
        <w:rPr>
          <w:rFonts w:ascii="Times New Roman" w:hAnsi="Times New Roman"/>
          <w:sz w:val="20"/>
          <w:szCs w:val="20"/>
        </w:rPr>
      </w:pPr>
    </w:p>
    <w:sectPr w:rsidR="006176ED" w:rsidRPr="00522D94" w:rsidSect="00883806">
      <w:pgSz w:w="11906" w:h="16838"/>
      <w:pgMar w:top="567" w:right="709" w:bottom="567"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CF2E" w14:textId="77777777" w:rsidR="00461D53" w:rsidRDefault="00461D53" w:rsidP="00044739">
      <w:pPr>
        <w:spacing w:line="240" w:lineRule="auto"/>
      </w:pPr>
      <w:r>
        <w:separator/>
      </w:r>
    </w:p>
  </w:endnote>
  <w:endnote w:type="continuationSeparator" w:id="0">
    <w:p w14:paraId="0BC997A3" w14:textId="77777777" w:rsidR="00461D53" w:rsidRDefault="00461D5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0EA88" w14:textId="77777777" w:rsidR="00461D53" w:rsidRDefault="00461D53" w:rsidP="00044739">
      <w:pPr>
        <w:spacing w:line="240" w:lineRule="auto"/>
      </w:pPr>
      <w:r>
        <w:separator/>
      </w:r>
    </w:p>
  </w:footnote>
  <w:footnote w:type="continuationSeparator" w:id="0">
    <w:p w14:paraId="2DFBBB65" w14:textId="77777777" w:rsidR="00461D53" w:rsidRDefault="00461D53"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509"/>
    <w:multiLevelType w:val="hybridMultilevel"/>
    <w:tmpl w:val="602C1652"/>
    <w:lvl w:ilvl="0" w:tplc="AF980E26">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33414"/>
    <w:multiLevelType w:val="hybridMultilevel"/>
    <w:tmpl w:val="4D30B9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2472D"/>
    <w:multiLevelType w:val="hybridMultilevel"/>
    <w:tmpl w:val="8C3E992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084CE9"/>
    <w:multiLevelType w:val="hybridMultilevel"/>
    <w:tmpl w:val="A2CA91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4" w15:restartNumberingAfterBreak="0">
    <w:nsid w:val="16685871"/>
    <w:multiLevelType w:val="hybridMultilevel"/>
    <w:tmpl w:val="6552575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C60D2E"/>
    <w:multiLevelType w:val="hybridMultilevel"/>
    <w:tmpl w:val="08621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527F4"/>
    <w:multiLevelType w:val="hybridMultilevel"/>
    <w:tmpl w:val="7090A12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841A44"/>
    <w:multiLevelType w:val="hybridMultilevel"/>
    <w:tmpl w:val="B45A899A"/>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8" w15:restartNumberingAfterBreak="0">
    <w:nsid w:val="1EC531E0"/>
    <w:multiLevelType w:val="hybridMultilevel"/>
    <w:tmpl w:val="94421C32"/>
    <w:lvl w:ilvl="0" w:tplc="1FCC57D8">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9" w15:restartNumberingAfterBreak="0">
    <w:nsid w:val="2B841018"/>
    <w:multiLevelType w:val="hybridMultilevel"/>
    <w:tmpl w:val="3A064FCE"/>
    <w:lvl w:ilvl="0" w:tplc="0415000F">
      <w:start w:val="1"/>
      <w:numFmt w:val="decimal"/>
      <w:lvlText w:val="%1."/>
      <w:lvlJc w:val="left"/>
      <w:pPr>
        <w:ind w:left="1061" w:hanging="360"/>
      </w:pPr>
      <w:rPr>
        <w:rFonts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0" w15:restartNumberingAfterBreak="0">
    <w:nsid w:val="2BE47896"/>
    <w:multiLevelType w:val="hybridMultilevel"/>
    <w:tmpl w:val="5FB039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DFC54AA"/>
    <w:multiLevelType w:val="hybridMultilevel"/>
    <w:tmpl w:val="0C7C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5308F"/>
    <w:multiLevelType w:val="hybridMultilevel"/>
    <w:tmpl w:val="42F62222"/>
    <w:lvl w:ilvl="0" w:tplc="5E429F16">
      <w:start w:val="1"/>
      <w:numFmt w:val="upperRoman"/>
      <w:lvlText w:val="%1."/>
      <w:lvlJc w:val="left"/>
      <w:pPr>
        <w:ind w:left="1060" w:hanging="360"/>
      </w:pPr>
      <w:rPr>
        <w:rFonts w:ascii="Times New Roman" w:eastAsia="Calibri" w:hAnsi="Times New Roman" w:cs="Times New Roman"/>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340E286E"/>
    <w:multiLevelType w:val="hybridMultilevel"/>
    <w:tmpl w:val="8CC4A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D545C"/>
    <w:multiLevelType w:val="hybridMultilevel"/>
    <w:tmpl w:val="47FE47E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5F6408"/>
    <w:multiLevelType w:val="hybridMultilevel"/>
    <w:tmpl w:val="9D36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6423F"/>
    <w:multiLevelType w:val="hybridMultilevel"/>
    <w:tmpl w:val="30F0B072"/>
    <w:lvl w:ilvl="0" w:tplc="F314E5F2">
      <w:start w:val="1"/>
      <w:numFmt w:val="decimal"/>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8" w15:restartNumberingAfterBreak="0">
    <w:nsid w:val="3C16688F"/>
    <w:multiLevelType w:val="hybridMultilevel"/>
    <w:tmpl w:val="85A0BDC2"/>
    <w:lvl w:ilvl="0" w:tplc="E654B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3413"/>
    <w:multiLevelType w:val="hybridMultilevel"/>
    <w:tmpl w:val="C5EEDD80"/>
    <w:lvl w:ilvl="0" w:tplc="2028FF8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97174"/>
    <w:multiLevelType w:val="hybridMultilevel"/>
    <w:tmpl w:val="6E66DAD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4455350D"/>
    <w:multiLevelType w:val="hybridMultilevel"/>
    <w:tmpl w:val="FB7C9170"/>
    <w:lvl w:ilvl="0" w:tplc="7316709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46254235"/>
    <w:multiLevelType w:val="hybridMultilevel"/>
    <w:tmpl w:val="645C9B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E8274F"/>
    <w:multiLevelType w:val="hybridMultilevel"/>
    <w:tmpl w:val="634E36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F35502"/>
    <w:multiLevelType w:val="hybridMultilevel"/>
    <w:tmpl w:val="F5F2F58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2439CD"/>
    <w:multiLevelType w:val="hybridMultilevel"/>
    <w:tmpl w:val="346221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4516F56"/>
    <w:multiLevelType w:val="hybridMultilevel"/>
    <w:tmpl w:val="94421C32"/>
    <w:lvl w:ilvl="0" w:tplc="1FCC57D8">
      <w:start w:val="1"/>
      <w:numFmt w:val="decimal"/>
      <w:lvlText w:val="%1."/>
      <w:lvlJc w:val="left"/>
      <w:pPr>
        <w:ind w:left="785"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7" w15:restartNumberingAfterBreak="0">
    <w:nsid w:val="55060BA0"/>
    <w:multiLevelType w:val="hybridMultilevel"/>
    <w:tmpl w:val="E03C2032"/>
    <w:lvl w:ilvl="0" w:tplc="7F704F42">
      <w:start w:val="1"/>
      <w:numFmt w:val="upperRoman"/>
      <w:lvlText w:val="%1."/>
      <w:lvlJc w:val="righ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6942E37"/>
    <w:multiLevelType w:val="hybridMultilevel"/>
    <w:tmpl w:val="7C347EA0"/>
    <w:lvl w:ilvl="0" w:tplc="04150013">
      <w:start w:val="1"/>
      <w:numFmt w:val="upperRoman"/>
      <w:lvlText w:val="%1."/>
      <w:lvlJc w:val="right"/>
      <w:pPr>
        <w:ind w:left="1459" w:hanging="360"/>
      </w:p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29" w15:restartNumberingAfterBreak="0">
    <w:nsid w:val="57D70E62"/>
    <w:multiLevelType w:val="hybridMultilevel"/>
    <w:tmpl w:val="94421C32"/>
    <w:lvl w:ilvl="0" w:tplc="1FCC57D8">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0" w15:restartNumberingAfterBreak="0">
    <w:nsid w:val="60166D86"/>
    <w:multiLevelType w:val="hybridMultilevel"/>
    <w:tmpl w:val="94421C32"/>
    <w:lvl w:ilvl="0" w:tplc="1FCC57D8">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1" w15:restartNumberingAfterBreak="0">
    <w:nsid w:val="61D90458"/>
    <w:multiLevelType w:val="hybridMultilevel"/>
    <w:tmpl w:val="8F461756"/>
    <w:lvl w:ilvl="0" w:tplc="04150005">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32" w15:restartNumberingAfterBreak="0">
    <w:nsid w:val="63DA672B"/>
    <w:multiLevelType w:val="hybridMultilevel"/>
    <w:tmpl w:val="6E66DAD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15:restartNumberingAfterBreak="0">
    <w:nsid w:val="64270108"/>
    <w:multiLevelType w:val="hybridMultilevel"/>
    <w:tmpl w:val="8BBAD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D44DC"/>
    <w:multiLevelType w:val="hybridMultilevel"/>
    <w:tmpl w:val="F94A222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66423466"/>
    <w:multiLevelType w:val="hybridMultilevel"/>
    <w:tmpl w:val="EC1CA010"/>
    <w:lvl w:ilvl="0" w:tplc="04150005">
      <w:start w:val="1"/>
      <w:numFmt w:val="bullet"/>
      <w:lvlText w:val=""/>
      <w:lvlJc w:val="left"/>
      <w:pPr>
        <w:ind w:left="1061" w:hanging="360"/>
      </w:pPr>
      <w:rPr>
        <w:rFonts w:ascii="Wingdings" w:hAnsi="Wingdings"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36" w15:restartNumberingAfterBreak="0">
    <w:nsid w:val="68500F64"/>
    <w:multiLevelType w:val="hybridMultilevel"/>
    <w:tmpl w:val="E7FC6BE4"/>
    <w:lvl w:ilvl="0" w:tplc="85B290DA">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9F5C61"/>
    <w:multiLevelType w:val="hybridMultilevel"/>
    <w:tmpl w:val="1F869926"/>
    <w:lvl w:ilvl="0" w:tplc="76F056EC">
      <w:start w:val="1"/>
      <w:numFmt w:val="decimal"/>
      <w:lvlText w:val="%1."/>
      <w:lvlJc w:val="left"/>
      <w:pPr>
        <w:ind w:left="1004" w:hanging="360"/>
      </w:pPr>
      <w:rPr>
        <w:sz w:val="22"/>
        <w:szCs w:val="22"/>
      </w:rPr>
    </w:lvl>
    <w:lvl w:ilvl="1" w:tplc="34A882E8" w:tentative="1">
      <w:start w:val="1"/>
      <w:numFmt w:val="lowerLetter"/>
      <w:lvlText w:val="%2."/>
      <w:lvlJc w:val="left"/>
      <w:pPr>
        <w:ind w:left="1724" w:hanging="360"/>
      </w:pPr>
    </w:lvl>
    <w:lvl w:ilvl="2" w:tplc="5CEC2EB0" w:tentative="1">
      <w:start w:val="1"/>
      <w:numFmt w:val="lowerRoman"/>
      <w:lvlText w:val="%3."/>
      <w:lvlJc w:val="right"/>
      <w:pPr>
        <w:ind w:left="2444" w:hanging="180"/>
      </w:pPr>
    </w:lvl>
    <w:lvl w:ilvl="3" w:tplc="71F2E44E" w:tentative="1">
      <w:start w:val="1"/>
      <w:numFmt w:val="decimal"/>
      <w:lvlText w:val="%4."/>
      <w:lvlJc w:val="left"/>
      <w:pPr>
        <w:ind w:left="3164" w:hanging="360"/>
      </w:pPr>
    </w:lvl>
    <w:lvl w:ilvl="4" w:tplc="49209D32" w:tentative="1">
      <w:start w:val="1"/>
      <w:numFmt w:val="lowerLetter"/>
      <w:lvlText w:val="%5."/>
      <w:lvlJc w:val="left"/>
      <w:pPr>
        <w:ind w:left="3884" w:hanging="360"/>
      </w:pPr>
    </w:lvl>
    <w:lvl w:ilvl="5" w:tplc="15D6F4F2" w:tentative="1">
      <w:start w:val="1"/>
      <w:numFmt w:val="lowerRoman"/>
      <w:lvlText w:val="%6."/>
      <w:lvlJc w:val="right"/>
      <w:pPr>
        <w:ind w:left="4604" w:hanging="180"/>
      </w:pPr>
    </w:lvl>
    <w:lvl w:ilvl="6" w:tplc="AC721B4A" w:tentative="1">
      <w:start w:val="1"/>
      <w:numFmt w:val="decimal"/>
      <w:lvlText w:val="%7."/>
      <w:lvlJc w:val="left"/>
      <w:pPr>
        <w:ind w:left="5324" w:hanging="360"/>
      </w:pPr>
    </w:lvl>
    <w:lvl w:ilvl="7" w:tplc="675E0948" w:tentative="1">
      <w:start w:val="1"/>
      <w:numFmt w:val="lowerLetter"/>
      <w:lvlText w:val="%8."/>
      <w:lvlJc w:val="left"/>
      <w:pPr>
        <w:ind w:left="6044" w:hanging="360"/>
      </w:pPr>
    </w:lvl>
    <w:lvl w:ilvl="8" w:tplc="597C6990" w:tentative="1">
      <w:start w:val="1"/>
      <w:numFmt w:val="lowerRoman"/>
      <w:lvlText w:val="%9."/>
      <w:lvlJc w:val="right"/>
      <w:pPr>
        <w:ind w:left="6764" w:hanging="180"/>
      </w:pPr>
    </w:lvl>
  </w:abstractNum>
  <w:abstractNum w:abstractNumId="38" w15:restartNumberingAfterBreak="0">
    <w:nsid w:val="6E2B46C2"/>
    <w:multiLevelType w:val="hybridMultilevel"/>
    <w:tmpl w:val="83E21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761F8"/>
    <w:multiLevelType w:val="hybridMultilevel"/>
    <w:tmpl w:val="66DEB5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8441D0C"/>
    <w:multiLevelType w:val="hybridMultilevel"/>
    <w:tmpl w:val="FAFC1C0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9A2A70"/>
    <w:multiLevelType w:val="hybridMultilevel"/>
    <w:tmpl w:val="88F816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8F4851"/>
    <w:multiLevelType w:val="hybridMultilevel"/>
    <w:tmpl w:val="23B8B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40"/>
  </w:num>
  <w:num w:numId="5">
    <w:abstractNumId w:val="19"/>
  </w:num>
  <w:num w:numId="6">
    <w:abstractNumId w:val="12"/>
  </w:num>
  <w:num w:numId="7">
    <w:abstractNumId w:val="27"/>
  </w:num>
  <w:num w:numId="8">
    <w:abstractNumId w:val="21"/>
  </w:num>
  <w:num w:numId="9">
    <w:abstractNumId w:val="41"/>
  </w:num>
  <w:num w:numId="10">
    <w:abstractNumId w:val="33"/>
  </w:num>
  <w:num w:numId="11">
    <w:abstractNumId w:val="13"/>
  </w:num>
  <w:num w:numId="12">
    <w:abstractNumId w:val="0"/>
  </w:num>
  <w:num w:numId="13">
    <w:abstractNumId w:val="32"/>
  </w:num>
  <w:num w:numId="14">
    <w:abstractNumId w:val="23"/>
  </w:num>
  <w:num w:numId="15">
    <w:abstractNumId w:val="37"/>
  </w:num>
  <w:num w:numId="16">
    <w:abstractNumId w:val="39"/>
  </w:num>
  <w:num w:numId="17">
    <w:abstractNumId w:val="2"/>
  </w:num>
  <w:num w:numId="18">
    <w:abstractNumId w:val="4"/>
  </w:num>
  <w:num w:numId="19">
    <w:abstractNumId w:val="24"/>
  </w:num>
  <w:num w:numId="20">
    <w:abstractNumId w:val="14"/>
  </w:num>
  <w:num w:numId="21">
    <w:abstractNumId w:val="6"/>
  </w:num>
  <w:num w:numId="22">
    <w:abstractNumId w:val="10"/>
  </w:num>
  <w:num w:numId="23">
    <w:abstractNumId w:val="25"/>
  </w:num>
  <w:num w:numId="24">
    <w:abstractNumId w:val="15"/>
  </w:num>
  <w:num w:numId="25">
    <w:abstractNumId w:val="26"/>
  </w:num>
  <w:num w:numId="26">
    <w:abstractNumId w:val="31"/>
  </w:num>
  <w:num w:numId="27">
    <w:abstractNumId w:val="34"/>
  </w:num>
  <w:num w:numId="28">
    <w:abstractNumId w:val="17"/>
  </w:num>
  <w:num w:numId="29">
    <w:abstractNumId w:val="29"/>
  </w:num>
  <w:num w:numId="30">
    <w:abstractNumId w:val="30"/>
  </w:num>
  <w:num w:numId="31">
    <w:abstractNumId w:val="36"/>
  </w:num>
  <w:num w:numId="32">
    <w:abstractNumId w:val="42"/>
  </w:num>
  <w:num w:numId="33">
    <w:abstractNumId w:val="18"/>
  </w:num>
  <w:num w:numId="34">
    <w:abstractNumId w:val="7"/>
  </w:num>
  <w:num w:numId="35">
    <w:abstractNumId w:val="9"/>
  </w:num>
  <w:num w:numId="36">
    <w:abstractNumId w:val="3"/>
  </w:num>
  <w:num w:numId="37">
    <w:abstractNumId w:val="35"/>
  </w:num>
  <w:num w:numId="38">
    <w:abstractNumId w:val="8"/>
  </w:num>
  <w:num w:numId="39">
    <w:abstractNumId w:val="1"/>
  </w:num>
  <w:num w:numId="40">
    <w:abstractNumId w:val="28"/>
  </w:num>
  <w:num w:numId="41">
    <w:abstractNumId w:val="38"/>
  </w:num>
  <w:num w:numId="42">
    <w:abstractNumId w:val="20"/>
  </w:num>
  <w:num w:numId="4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A7A"/>
    <w:rsid w:val="000015EE"/>
    <w:rsid w:val="00001DDF"/>
    <w:rsid w:val="000022D5"/>
    <w:rsid w:val="00004C6A"/>
    <w:rsid w:val="0001290C"/>
    <w:rsid w:val="00012D11"/>
    <w:rsid w:val="00012FFE"/>
    <w:rsid w:val="00013EB5"/>
    <w:rsid w:val="00016B87"/>
    <w:rsid w:val="0002213B"/>
    <w:rsid w:val="00022D07"/>
    <w:rsid w:val="00023836"/>
    <w:rsid w:val="00023AD9"/>
    <w:rsid w:val="00023B04"/>
    <w:rsid w:val="00023C93"/>
    <w:rsid w:val="0002697E"/>
    <w:rsid w:val="00031B07"/>
    <w:rsid w:val="000345E8"/>
    <w:rsid w:val="000356A9"/>
    <w:rsid w:val="0003591B"/>
    <w:rsid w:val="00035D54"/>
    <w:rsid w:val="000362AF"/>
    <w:rsid w:val="00044138"/>
    <w:rsid w:val="00044739"/>
    <w:rsid w:val="00051637"/>
    <w:rsid w:val="00051869"/>
    <w:rsid w:val="000518F2"/>
    <w:rsid w:val="00056681"/>
    <w:rsid w:val="00057057"/>
    <w:rsid w:val="00057B8D"/>
    <w:rsid w:val="0006019B"/>
    <w:rsid w:val="0006069A"/>
    <w:rsid w:val="00060D00"/>
    <w:rsid w:val="00062EFD"/>
    <w:rsid w:val="000643AE"/>
    <w:rsid w:val="000648A7"/>
    <w:rsid w:val="0006618B"/>
    <w:rsid w:val="000670C0"/>
    <w:rsid w:val="00071B99"/>
    <w:rsid w:val="000756E5"/>
    <w:rsid w:val="0007704E"/>
    <w:rsid w:val="00080EC8"/>
    <w:rsid w:val="00081D59"/>
    <w:rsid w:val="000834BB"/>
    <w:rsid w:val="00083A45"/>
    <w:rsid w:val="000861EA"/>
    <w:rsid w:val="00087FE6"/>
    <w:rsid w:val="00092359"/>
    <w:rsid w:val="000944AC"/>
    <w:rsid w:val="00094CB9"/>
    <w:rsid w:val="00095570"/>
    <w:rsid w:val="000956B2"/>
    <w:rsid w:val="000969E7"/>
    <w:rsid w:val="000975DD"/>
    <w:rsid w:val="000A23DE"/>
    <w:rsid w:val="000A2717"/>
    <w:rsid w:val="000A2FA2"/>
    <w:rsid w:val="000A33D7"/>
    <w:rsid w:val="000A4020"/>
    <w:rsid w:val="000B51A1"/>
    <w:rsid w:val="000B54FB"/>
    <w:rsid w:val="000B67AE"/>
    <w:rsid w:val="000B6C53"/>
    <w:rsid w:val="000B7A71"/>
    <w:rsid w:val="000C1961"/>
    <w:rsid w:val="000C29B0"/>
    <w:rsid w:val="000C2B2D"/>
    <w:rsid w:val="000C34FB"/>
    <w:rsid w:val="000C76FC"/>
    <w:rsid w:val="000D0F5A"/>
    <w:rsid w:val="000D1E2A"/>
    <w:rsid w:val="000D2DE7"/>
    <w:rsid w:val="000D38FC"/>
    <w:rsid w:val="000D3FE4"/>
    <w:rsid w:val="000D4D90"/>
    <w:rsid w:val="000D6409"/>
    <w:rsid w:val="000E028F"/>
    <w:rsid w:val="000E283C"/>
    <w:rsid w:val="000E2D10"/>
    <w:rsid w:val="000E2F07"/>
    <w:rsid w:val="000E4C09"/>
    <w:rsid w:val="000E55FB"/>
    <w:rsid w:val="000E5E5D"/>
    <w:rsid w:val="000F265C"/>
    <w:rsid w:val="000F3204"/>
    <w:rsid w:val="000F3AB6"/>
    <w:rsid w:val="000F7F40"/>
    <w:rsid w:val="00101BFA"/>
    <w:rsid w:val="0010347C"/>
    <w:rsid w:val="0010398F"/>
    <w:rsid w:val="00104F07"/>
    <w:rsid w:val="0010548B"/>
    <w:rsid w:val="00105A6E"/>
    <w:rsid w:val="001060AA"/>
    <w:rsid w:val="00106AA0"/>
    <w:rsid w:val="001072D1"/>
    <w:rsid w:val="001119BF"/>
    <w:rsid w:val="00117017"/>
    <w:rsid w:val="00120B81"/>
    <w:rsid w:val="00120FDD"/>
    <w:rsid w:val="00122720"/>
    <w:rsid w:val="001237BE"/>
    <w:rsid w:val="00130086"/>
    <w:rsid w:val="001300E6"/>
    <w:rsid w:val="00130E8E"/>
    <w:rsid w:val="001310AA"/>
    <w:rsid w:val="00131AB6"/>
    <w:rsid w:val="0013216E"/>
    <w:rsid w:val="00135B1E"/>
    <w:rsid w:val="001371A1"/>
    <w:rsid w:val="001401B5"/>
    <w:rsid w:val="001405BD"/>
    <w:rsid w:val="001409A1"/>
    <w:rsid w:val="00141A63"/>
    <w:rsid w:val="001422B9"/>
    <w:rsid w:val="0014665F"/>
    <w:rsid w:val="00146B1C"/>
    <w:rsid w:val="0014793D"/>
    <w:rsid w:val="0015236C"/>
    <w:rsid w:val="00152AD9"/>
    <w:rsid w:val="00153179"/>
    <w:rsid w:val="00153464"/>
    <w:rsid w:val="001541B3"/>
    <w:rsid w:val="00154528"/>
    <w:rsid w:val="00154B58"/>
    <w:rsid w:val="00154E53"/>
    <w:rsid w:val="00155B15"/>
    <w:rsid w:val="00160564"/>
    <w:rsid w:val="001625BE"/>
    <w:rsid w:val="0016310F"/>
    <w:rsid w:val="00164087"/>
    <w:rsid w:val="001643A4"/>
    <w:rsid w:val="00165B8D"/>
    <w:rsid w:val="00165E43"/>
    <w:rsid w:val="001668C5"/>
    <w:rsid w:val="00167A89"/>
    <w:rsid w:val="001727BB"/>
    <w:rsid w:val="00175B13"/>
    <w:rsid w:val="00177631"/>
    <w:rsid w:val="001804DC"/>
    <w:rsid w:val="00180D25"/>
    <w:rsid w:val="0018318D"/>
    <w:rsid w:val="00185173"/>
    <w:rsid w:val="0018572C"/>
    <w:rsid w:val="00185A86"/>
    <w:rsid w:val="0018627E"/>
    <w:rsid w:val="00187E79"/>
    <w:rsid w:val="00187F0D"/>
    <w:rsid w:val="00192CC5"/>
    <w:rsid w:val="001947C5"/>
    <w:rsid w:val="001956A7"/>
    <w:rsid w:val="00195D5D"/>
    <w:rsid w:val="001A118A"/>
    <w:rsid w:val="001A27F4"/>
    <w:rsid w:val="001A2D95"/>
    <w:rsid w:val="001A3C7A"/>
    <w:rsid w:val="001B069B"/>
    <w:rsid w:val="001B0E2D"/>
    <w:rsid w:val="001B3460"/>
    <w:rsid w:val="001B4CA1"/>
    <w:rsid w:val="001B75D8"/>
    <w:rsid w:val="001C1060"/>
    <w:rsid w:val="001C12C0"/>
    <w:rsid w:val="001C3C63"/>
    <w:rsid w:val="001C6CFA"/>
    <w:rsid w:val="001D3655"/>
    <w:rsid w:val="001D4732"/>
    <w:rsid w:val="001D4FFF"/>
    <w:rsid w:val="001D680B"/>
    <w:rsid w:val="001D69A2"/>
    <w:rsid w:val="001D6A3C"/>
    <w:rsid w:val="001D6A7B"/>
    <w:rsid w:val="001D6D51"/>
    <w:rsid w:val="001D7C27"/>
    <w:rsid w:val="001E23B7"/>
    <w:rsid w:val="001E49A3"/>
    <w:rsid w:val="001E58AE"/>
    <w:rsid w:val="001F09D1"/>
    <w:rsid w:val="001F182D"/>
    <w:rsid w:val="001F5CA1"/>
    <w:rsid w:val="001F653A"/>
    <w:rsid w:val="001F6772"/>
    <w:rsid w:val="001F6979"/>
    <w:rsid w:val="001F7638"/>
    <w:rsid w:val="002001C7"/>
    <w:rsid w:val="00202239"/>
    <w:rsid w:val="00202BC6"/>
    <w:rsid w:val="00205141"/>
    <w:rsid w:val="0020516B"/>
    <w:rsid w:val="00205AAA"/>
    <w:rsid w:val="00210057"/>
    <w:rsid w:val="00211554"/>
    <w:rsid w:val="00211D8C"/>
    <w:rsid w:val="00213559"/>
    <w:rsid w:val="00213EFD"/>
    <w:rsid w:val="00215A8F"/>
    <w:rsid w:val="002172F1"/>
    <w:rsid w:val="0021795D"/>
    <w:rsid w:val="00223C7B"/>
    <w:rsid w:val="002242E9"/>
    <w:rsid w:val="002245C4"/>
    <w:rsid w:val="0022471F"/>
    <w:rsid w:val="00224AB1"/>
    <w:rsid w:val="00225139"/>
    <w:rsid w:val="0022687A"/>
    <w:rsid w:val="00230728"/>
    <w:rsid w:val="0023197B"/>
    <w:rsid w:val="002333CF"/>
    <w:rsid w:val="00234031"/>
    <w:rsid w:val="00234040"/>
    <w:rsid w:val="0023466E"/>
    <w:rsid w:val="00235CD2"/>
    <w:rsid w:val="002402B7"/>
    <w:rsid w:val="00250085"/>
    <w:rsid w:val="0025160A"/>
    <w:rsid w:val="002523AC"/>
    <w:rsid w:val="00253F2F"/>
    <w:rsid w:val="00254514"/>
    <w:rsid w:val="00254DED"/>
    <w:rsid w:val="00254F89"/>
    <w:rsid w:val="00255619"/>
    <w:rsid w:val="002557D4"/>
    <w:rsid w:val="002559B2"/>
    <w:rsid w:val="00255DAD"/>
    <w:rsid w:val="00256108"/>
    <w:rsid w:val="00260D4A"/>
    <w:rsid w:val="00260F33"/>
    <w:rsid w:val="00260F6E"/>
    <w:rsid w:val="002610B2"/>
    <w:rsid w:val="00261327"/>
    <w:rsid w:val="002613BD"/>
    <w:rsid w:val="00262155"/>
    <w:rsid w:val="002624F1"/>
    <w:rsid w:val="0026456F"/>
    <w:rsid w:val="0026655C"/>
    <w:rsid w:val="00270300"/>
    <w:rsid w:val="00270C81"/>
    <w:rsid w:val="00271558"/>
    <w:rsid w:val="00274862"/>
    <w:rsid w:val="0027652F"/>
    <w:rsid w:val="002768C5"/>
    <w:rsid w:val="00276D45"/>
    <w:rsid w:val="00280760"/>
    <w:rsid w:val="00281F61"/>
    <w:rsid w:val="00282D72"/>
    <w:rsid w:val="00283402"/>
    <w:rsid w:val="002901FE"/>
    <w:rsid w:val="002905D4"/>
    <w:rsid w:val="00290811"/>
    <w:rsid w:val="00290FD6"/>
    <w:rsid w:val="002914AF"/>
    <w:rsid w:val="00294259"/>
    <w:rsid w:val="00294D60"/>
    <w:rsid w:val="002950BE"/>
    <w:rsid w:val="002A163A"/>
    <w:rsid w:val="002A2C81"/>
    <w:rsid w:val="002A318A"/>
    <w:rsid w:val="002A4929"/>
    <w:rsid w:val="002A58AB"/>
    <w:rsid w:val="002B3D1A"/>
    <w:rsid w:val="002C27D0"/>
    <w:rsid w:val="002C2C9B"/>
    <w:rsid w:val="002C4599"/>
    <w:rsid w:val="002D09F7"/>
    <w:rsid w:val="002D17D6"/>
    <w:rsid w:val="002D18D7"/>
    <w:rsid w:val="002D21CE"/>
    <w:rsid w:val="002D24FD"/>
    <w:rsid w:val="002D2803"/>
    <w:rsid w:val="002D2CDD"/>
    <w:rsid w:val="002E38C1"/>
    <w:rsid w:val="002E3DA3"/>
    <w:rsid w:val="002E450F"/>
    <w:rsid w:val="002E5417"/>
    <w:rsid w:val="002E6B38"/>
    <w:rsid w:val="002E6C8D"/>
    <w:rsid w:val="002E6D63"/>
    <w:rsid w:val="002E6E2B"/>
    <w:rsid w:val="002F17CE"/>
    <w:rsid w:val="002F3DDF"/>
    <w:rsid w:val="002F4B2A"/>
    <w:rsid w:val="002F500B"/>
    <w:rsid w:val="002F58E9"/>
    <w:rsid w:val="002F68DF"/>
    <w:rsid w:val="002F75FC"/>
    <w:rsid w:val="00300537"/>
    <w:rsid w:val="00300991"/>
    <w:rsid w:val="00301959"/>
    <w:rsid w:val="00305B8A"/>
    <w:rsid w:val="00310A22"/>
    <w:rsid w:val="00311DD1"/>
    <w:rsid w:val="00320B59"/>
    <w:rsid w:val="0032345B"/>
    <w:rsid w:val="00325DDF"/>
    <w:rsid w:val="0032773E"/>
    <w:rsid w:val="00331BF9"/>
    <w:rsid w:val="003324A8"/>
    <w:rsid w:val="003339D2"/>
    <w:rsid w:val="0033436D"/>
    <w:rsid w:val="0033495E"/>
    <w:rsid w:val="00334A79"/>
    <w:rsid w:val="00334D8D"/>
    <w:rsid w:val="00334FA1"/>
    <w:rsid w:val="00337117"/>
    <w:rsid w:val="00337345"/>
    <w:rsid w:val="00337DD2"/>
    <w:rsid w:val="003404D1"/>
    <w:rsid w:val="00344153"/>
    <w:rsid w:val="003443FF"/>
    <w:rsid w:val="00350683"/>
    <w:rsid w:val="0035120E"/>
    <w:rsid w:val="003536A5"/>
    <w:rsid w:val="00355808"/>
    <w:rsid w:val="0036070A"/>
    <w:rsid w:val="0036162C"/>
    <w:rsid w:val="00362C7E"/>
    <w:rsid w:val="00362F5A"/>
    <w:rsid w:val="00363309"/>
    <w:rsid w:val="00363601"/>
    <w:rsid w:val="00367849"/>
    <w:rsid w:val="00367858"/>
    <w:rsid w:val="00367899"/>
    <w:rsid w:val="0037137B"/>
    <w:rsid w:val="00371D28"/>
    <w:rsid w:val="00372262"/>
    <w:rsid w:val="00372EC7"/>
    <w:rsid w:val="00374872"/>
    <w:rsid w:val="00376AC9"/>
    <w:rsid w:val="00377215"/>
    <w:rsid w:val="00380C1D"/>
    <w:rsid w:val="0038285F"/>
    <w:rsid w:val="003846D4"/>
    <w:rsid w:val="003853D0"/>
    <w:rsid w:val="00387C67"/>
    <w:rsid w:val="00393032"/>
    <w:rsid w:val="0039391F"/>
    <w:rsid w:val="00394419"/>
    <w:rsid w:val="00394B69"/>
    <w:rsid w:val="00397078"/>
    <w:rsid w:val="003A0662"/>
    <w:rsid w:val="003A15BB"/>
    <w:rsid w:val="003A638E"/>
    <w:rsid w:val="003A6953"/>
    <w:rsid w:val="003A7A76"/>
    <w:rsid w:val="003B453F"/>
    <w:rsid w:val="003B6083"/>
    <w:rsid w:val="003C3838"/>
    <w:rsid w:val="003C5200"/>
    <w:rsid w:val="003C52A8"/>
    <w:rsid w:val="003C5847"/>
    <w:rsid w:val="003C73B5"/>
    <w:rsid w:val="003C787E"/>
    <w:rsid w:val="003D0681"/>
    <w:rsid w:val="003D0C5D"/>
    <w:rsid w:val="003D12F6"/>
    <w:rsid w:val="003D1426"/>
    <w:rsid w:val="003D2BCC"/>
    <w:rsid w:val="003D4E5D"/>
    <w:rsid w:val="003D6480"/>
    <w:rsid w:val="003D6C74"/>
    <w:rsid w:val="003E1149"/>
    <w:rsid w:val="003E2F4E"/>
    <w:rsid w:val="003E44B1"/>
    <w:rsid w:val="003E53A4"/>
    <w:rsid w:val="003E60F5"/>
    <w:rsid w:val="003E68FD"/>
    <w:rsid w:val="003E720A"/>
    <w:rsid w:val="003F2A46"/>
    <w:rsid w:val="003F3AF1"/>
    <w:rsid w:val="003F5CE8"/>
    <w:rsid w:val="0040235E"/>
    <w:rsid w:val="00402560"/>
    <w:rsid w:val="004033BC"/>
    <w:rsid w:val="004034AB"/>
    <w:rsid w:val="00403A58"/>
    <w:rsid w:val="00403E6E"/>
    <w:rsid w:val="0040584B"/>
    <w:rsid w:val="004129B4"/>
    <w:rsid w:val="00414FB8"/>
    <w:rsid w:val="00417600"/>
    <w:rsid w:val="00417EF0"/>
    <w:rsid w:val="00422181"/>
    <w:rsid w:val="004244A8"/>
    <w:rsid w:val="00425F72"/>
    <w:rsid w:val="00427736"/>
    <w:rsid w:val="004308C3"/>
    <w:rsid w:val="0043179F"/>
    <w:rsid w:val="00434AD0"/>
    <w:rsid w:val="00440F22"/>
    <w:rsid w:val="00441787"/>
    <w:rsid w:val="00444F2D"/>
    <w:rsid w:val="00446F40"/>
    <w:rsid w:val="00452034"/>
    <w:rsid w:val="00452EC9"/>
    <w:rsid w:val="00455FA6"/>
    <w:rsid w:val="00461D53"/>
    <w:rsid w:val="00466C70"/>
    <w:rsid w:val="00467F02"/>
    <w:rsid w:val="004702C9"/>
    <w:rsid w:val="00472E45"/>
    <w:rsid w:val="00473552"/>
    <w:rsid w:val="00473E96"/>
    <w:rsid w:val="00473FEA"/>
    <w:rsid w:val="0047579D"/>
    <w:rsid w:val="00476F4C"/>
    <w:rsid w:val="004819BB"/>
    <w:rsid w:val="00482654"/>
    <w:rsid w:val="00483262"/>
    <w:rsid w:val="00484107"/>
    <w:rsid w:val="00485CC5"/>
    <w:rsid w:val="004912AF"/>
    <w:rsid w:val="0049343F"/>
    <w:rsid w:val="00493440"/>
    <w:rsid w:val="00494F53"/>
    <w:rsid w:val="004964FC"/>
    <w:rsid w:val="004A036A"/>
    <w:rsid w:val="004A145E"/>
    <w:rsid w:val="004A1F15"/>
    <w:rsid w:val="004A2A81"/>
    <w:rsid w:val="004A5CD0"/>
    <w:rsid w:val="004A7ABC"/>
    <w:rsid w:val="004A7BD7"/>
    <w:rsid w:val="004B1AFD"/>
    <w:rsid w:val="004B21A8"/>
    <w:rsid w:val="004B401D"/>
    <w:rsid w:val="004C15C2"/>
    <w:rsid w:val="004C279F"/>
    <w:rsid w:val="004C36D8"/>
    <w:rsid w:val="004C6A0C"/>
    <w:rsid w:val="004C7EFA"/>
    <w:rsid w:val="004D1248"/>
    <w:rsid w:val="004D1E3C"/>
    <w:rsid w:val="004D4169"/>
    <w:rsid w:val="004D56E9"/>
    <w:rsid w:val="004D6A04"/>
    <w:rsid w:val="004D6E14"/>
    <w:rsid w:val="004D71B7"/>
    <w:rsid w:val="004D7A24"/>
    <w:rsid w:val="004E1393"/>
    <w:rsid w:val="004E3C2D"/>
    <w:rsid w:val="004F2E11"/>
    <w:rsid w:val="004F4E17"/>
    <w:rsid w:val="0050082F"/>
    <w:rsid w:val="00500C56"/>
    <w:rsid w:val="0050108E"/>
    <w:rsid w:val="00501713"/>
    <w:rsid w:val="00502A6E"/>
    <w:rsid w:val="00503F21"/>
    <w:rsid w:val="00506568"/>
    <w:rsid w:val="0050743C"/>
    <w:rsid w:val="0051551B"/>
    <w:rsid w:val="00517732"/>
    <w:rsid w:val="00520C57"/>
    <w:rsid w:val="00522D94"/>
    <w:rsid w:val="005264E1"/>
    <w:rsid w:val="00531DB5"/>
    <w:rsid w:val="00533D89"/>
    <w:rsid w:val="00536564"/>
    <w:rsid w:val="00544597"/>
    <w:rsid w:val="00544FFE"/>
    <w:rsid w:val="005473F5"/>
    <w:rsid w:val="005477E7"/>
    <w:rsid w:val="00550110"/>
    <w:rsid w:val="00552794"/>
    <w:rsid w:val="00552A6C"/>
    <w:rsid w:val="00556FD4"/>
    <w:rsid w:val="005570B1"/>
    <w:rsid w:val="00560F2D"/>
    <w:rsid w:val="005629DC"/>
    <w:rsid w:val="00563199"/>
    <w:rsid w:val="00564874"/>
    <w:rsid w:val="0056727B"/>
    <w:rsid w:val="00567963"/>
    <w:rsid w:val="0057009A"/>
    <w:rsid w:val="00571260"/>
    <w:rsid w:val="0057189C"/>
    <w:rsid w:val="005737C9"/>
    <w:rsid w:val="00573FC1"/>
    <w:rsid w:val="005741EE"/>
    <w:rsid w:val="00575ACD"/>
    <w:rsid w:val="005760E5"/>
    <w:rsid w:val="0057668E"/>
    <w:rsid w:val="00580146"/>
    <w:rsid w:val="00580A40"/>
    <w:rsid w:val="00581A6F"/>
    <w:rsid w:val="00581E2A"/>
    <w:rsid w:val="00585211"/>
    <w:rsid w:val="00593224"/>
    <w:rsid w:val="00593CFB"/>
    <w:rsid w:val="00595E83"/>
    <w:rsid w:val="00596530"/>
    <w:rsid w:val="005967F3"/>
    <w:rsid w:val="0059684F"/>
    <w:rsid w:val="005A01D1"/>
    <w:rsid w:val="005A06DF"/>
    <w:rsid w:val="005A5527"/>
    <w:rsid w:val="005A5AE6"/>
    <w:rsid w:val="005A71DC"/>
    <w:rsid w:val="005A7BFE"/>
    <w:rsid w:val="005B059D"/>
    <w:rsid w:val="005B1206"/>
    <w:rsid w:val="005B37E8"/>
    <w:rsid w:val="005B3977"/>
    <w:rsid w:val="005B3FB5"/>
    <w:rsid w:val="005B4BA3"/>
    <w:rsid w:val="005B68B9"/>
    <w:rsid w:val="005B700B"/>
    <w:rsid w:val="005B78F2"/>
    <w:rsid w:val="005C0056"/>
    <w:rsid w:val="005C00D2"/>
    <w:rsid w:val="005C29BA"/>
    <w:rsid w:val="005C369A"/>
    <w:rsid w:val="005C4316"/>
    <w:rsid w:val="005C545C"/>
    <w:rsid w:val="005C6473"/>
    <w:rsid w:val="005D19D0"/>
    <w:rsid w:val="005D61D6"/>
    <w:rsid w:val="005D7FB4"/>
    <w:rsid w:val="005E099C"/>
    <w:rsid w:val="005E0D13"/>
    <w:rsid w:val="005E2E36"/>
    <w:rsid w:val="005E426D"/>
    <w:rsid w:val="005E5047"/>
    <w:rsid w:val="005E7205"/>
    <w:rsid w:val="005E7371"/>
    <w:rsid w:val="005F116C"/>
    <w:rsid w:val="005F1F58"/>
    <w:rsid w:val="005F2131"/>
    <w:rsid w:val="005F23EB"/>
    <w:rsid w:val="005F4A0F"/>
    <w:rsid w:val="005F6054"/>
    <w:rsid w:val="005F6BB6"/>
    <w:rsid w:val="00600381"/>
    <w:rsid w:val="00600415"/>
    <w:rsid w:val="00604E1E"/>
    <w:rsid w:val="00605EF6"/>
    <w:rsid w:val="00606455"/>
    <w:rsid w:val="006103E9"/>
    <w:rsid w:val="00613580"/>
    <w:rsid w:val="00614929"/>
    <w:rsid w:val="00616511"/>
    <w:rsid w:val="006168E9"/>
    <w:rsid w:val="006176ED"/>
    <w:rsid w:val="006202F3"/>
    <w:rsid w:val="0062097A"/>
    <w:rsid w:val="00621DA6"/>
    <w:rsid w:val="006232AE"/>
    <w:rsid w:val="00623C6E"/>
    <w:rsid w:val="00623CFE"/>
    <w:rsid w:val="00626D1D"/>
    <w:rsid w:val="00627221"/>
    <w:rsid w:val="00627EE8"/>
    <w:rsid w:val="006316FA"/>
    <w:rsid w:val="00632C39"/>
    <w:rsid w:val="0063307F"/>
    <w:rsid w:val="00633EF9"/>
    <w:rsid w:val="006370D2"/>
    <w:rsid w:val="0064074F"/>
    <w:rsid w:val="00641F55"/>
    <w:rsid w:val="00644B5F"/>
    <w:rsid w:val="00645E4A"/>
    <w:rsid w:val="0065196E"/>
    <w:rsid w:val="0065342A"/>
    <w:rsid w:val="00653688"/>
    <w:rsid w:val="00655160"/>
    <w:rsid w:val="0066091B"/>
    <w:rsid w:val="00664150"/>
    <w:rsid w:val="006660E9"/>
    <w:rsid w:val="00667249"/>
    <w:rsid w:val="00667558"/>
    <w:rsid w:val="00670CF3"/>
    <w:rsid w:val="00671424"/>
    <w:rsid w:val="00671523"/>
    <w:rsid w:val="006739DE"/>
    <w:rsid w:val="006754EF"/>
    <w:rsid w:val="00675F62"/>
    <w:rsid w:val="006762AB"/>
    <w:rsid w:val="00676A30"/>
    <w:rsid w:val="00676C8D"/>
    <w:rsid w:val="00676F1F"/>
    <w:rsid w:val="00676F7D"/>
    <w:rsid w:val="00677381"/>
    <w:rsid w:val="00677414"/>
    <w:rsid w:val="00677A60"/>
    <w:rsid w:val="006832CF"/>
    <w:rsid w:val="00683F45"/>
    <w:rsid w:val="00683FC5"/>
    <w:rsid w:val="00685614"/>
    <w:rsid w:val="0068601E"/>
    <w:rsid w:val="0068624E"/>
    <w:rsid w:val="006904B9"/>
    <w:rsid w:val="006944FE"/>
    <w:rsid w:val="006945A2"/>
    <w:rsid w:val="0069486B"/>
    <w:rsid w:val="00697345"/>
    <w:rsid w:val="006A4904"/>
    <w:rsid w:val="006A493A"/>
    <w:rsid w:val="006A548F"/>
    <w:rsid w:val="006A701A"/>
    <w:rsid w:val="006B1733"/>
    <w:rsid w:val="006B64DC"/>
    <w:rsid w:val="006B6A3B"/>
    <w:rsid w:val="006B7A91"/>
    <w:rsid w:val="006C02A0"/>
    <w:rsid w:val="006C2D8F"/>
    <w:rsid w:val="006C5DD2"/>
    <w:rsid w:val="006C7167"/>
    <w:rsid w:val="006D46C4"/>
    <w:rsid w:val="006D4704"/>
    <w:rsid w:val="006D5B4C"/>
    <w:rsid w:val="006D6A2D"/>
    <w:rsid w:val="006E1E18"/>
    <w:rsid w:val="006E2ECF"/>
    <w:rsid w:val="006E31CE"/>
    <w:rsid w:val="006E34D3"/>
    <w:rsid w:val="006E3AFB"/>
    <w:rsid w:val="006E79B2"/>
    <w:rsid w:val="006F1435"/>
    <w:rsid w:val="006F1EDE"/>
    <w:rsid w:val="006F4150"/>
    <w:rsid w:val="006F6C56"/>
    <w:rsid w:val="006F78C4"/>
    <w:rsid w:val="007024B3"/>
    <w:rsid w:val="007031A0"/>
    <w:rsid w:val="00704F4C"/>
    <w:rsid w:val="00705A29"/>
    <w:rsid w:val="00706FBC"/>
    <w:rsid w:val="00707498"/>
    <w:rsid w:val="00710848"/>
    <w:rsid w:val="00711A65"/>
    <w:rsid w:val="0071229C"/>
    <w:rsid w:val="00714133"/>
    <w:rsid w:val="00714DA4"/>
    <w:rsid w:val="007158B2"/>
    <w:rsid w:val="00715F55"/>
    <w:rsid w:val="00716081"/>
    <w:rsid w:val="00717CED"/>
    <w:rsid w:val="00722B48"/>
    <w:rsid w:val="00724164"/>
    <w:rsid w:val="00725C00"/>
    <w:rsid w:val="00725DE7"/>
    <w:rsid w:val="0072636A"/>
    <w:rsid w:val="00726B44"/>
    <w:rsid w:val="00726EAA"/>
    <w:rsid w:val="00731578"/>
    <w:rsid w:val="007318DD"/>
    <w:rsid w:val="0073294B"/>
    <w:rsid w:val="007329F5"/>
    <w:rsid w:val="00732C31"/>
    <w:rsid w:val="00733167"/>
    <w:rsid w:val="0073656D"/>
    <w:rsid w:val="00737504"/>
    <w:rsid w:val="00740CBD"/>
    <w:rsid w:val="00740D2C"/>
    <w:rsid w:val="00744BF9"/>
    <w:rsid w:val="007466D4"/>
    <w:rsid w:val="00752623"/>
    <w:rsid w:val="0075709A"/>
    <w:rsid w:val="00760F1F"/>
    <w:rsid w:val="00762AB6"/>
    <w:rsid w:val="0076423E"/>
    <w:rsid w:val="007646CB"/>
    <w:rsid w:val="007649CB"/>
    <w:rsid w:val="00765263"/>
    <w:rsid w:val="0076658F"/>
    <w:rsid w:val="0076690C"/>
    <w:rsid w:val="0077040A"/>
    <w:rsid w:val="00772D64"/>
    <w:rsid w:val="00776FB8"/>
    <w:rsid w:val="007858A8"/>
    <w:rsid w:val="00790A25"/>
    <w:rsid w:val="00792609"/>
    <w:rsid w:val="00792887"/>
    <w:rsid w:val="00792B09"/>
    <w:rsid w:val="007934C7"/>
    <w:rsid w:val="007943E2"/>
    <w:rsid w:val="00794939"/>
    <w:rsid w:val="00794F2C"/>
    <w:rsid w:val="00796460"/>
    <w:rsid w:val="007A11DB"/>
    <w:rsid w:val="007A1BFB"/>
    <w:rsid w:val="007A3286"/>
    <w:rsid w:val="007A3BC7"/>
    <w:rsid w:val="007A56D2"/>
    <w:rsid w:val="007A5AC4"/>
    <w:rsid w:val="007A628F"/>
    <w:rsid w:val="007B0FDD"/>
    <w:rsid w:val="007B4802"/>
    <w:rsid w:val="007B6668"/>
    <w:rsid w:val="007B6B33"/>
    <w:rsid w:val="007C122A"/>
    <w:rsid w:val="007C2701"/>
    <w:rsid w:val="007C4B4E"/>
    <w:rsid w:val="007C66DB"/>
    <w:rsid w:val="007D2192"/>
    <w:rsid w:val="007D721A"/>
    <w:rsid w:val="007E2117"/>
    <w:rsid w:val="007E48B4"/>
    <w:rsid w:val="007E52C0"/>
    <w:rsid w:val="007F0021"/>
    <w:rsid w:val="007F2F52"/>
    <w:rsid w:val="007F3A8E"/>
    <w:rsid w:val="008004CC"/>
    <w:rsid w:val="00801F71"/>
    <w:rsid w:val="00805F28"/>
    <w:rsid w:val="008061F0"/>
    <w:rsid w:val="0080749F"/>
    <w:rsid w:val="0080752D"/>
    <w:rsid w:val="00811D46"/>
    <w:rsid w:val="008125B0"/>
    <w:rsid w:val="00812904"/>
    <w:rsid w:val="008144CB"/>
    <w:rsid w:val="00821717"/>
    <w:rsid w:val="00821826"/>
    <w:rsid w:val="00824210"/>
    <w:rsid w:val="00824E65"/>
    <w:rsid w:val="00825478"/>
    <w:rsid w:val="008263C0"/>
    <w:rsid w:val="00827E91"/>
    <w:rsid w:val="008350B6"/>
    <w:rsid w:val="00841422"/>
    <w:rsid w:val="00841D3B"/>
    <w:rsid w:val="0084314C"/>
    <w:rsid w:val="00843171"/>
    <w:rsid w:val="008434B2"/>
    <w:rsid w:val="00844F34"/>
    <w:rsid w:val="0084683F"/>
    <w:rsid w:val="00846EE5"/>
    <w:rsid w:val="00851083"/>
    <w:rsid w:val="00852DD4"/>
    <w:rsid w:val="0085493B"/>
    <w:rsid w:val="00854FFB"/>
    <w:rsid w:val="00857004"/>
    <w:rsid w:val="008575C3"/>
    <w:rsid w:val="00861095"/>
    <w:rsid w:val="00863D28"/>
    <w:rsid w:val="008648C3"/>
    <w:rsid w:val="00871E8A"/>
    <w:rsid w:val="00880F26"/>
    <w:rsid w:val="00883806"/>
    <w:rsid w:val="00885049"/>
    <w:rsid w:val="00887204"/>
    <w:rsid w:val="00891EC1"/>
    <w:rsid w:val="008934A9"/>
    <w:rsid w:val="008958C3"/>
    <w:rsid w:val="008962B9"/>
    <w:rsid w:val="00896C2E"/>
    <w:rsid w:val="008A0226"/>
    <w:rsid w:val="008A202B"/>
    <w:rsid w:val="008A2713"/>
    <w:rsid w:val="008A5047"/>
    <w:rsid w:val="008A5095"/>
    <w:rsid w:val="008A608F"/>
    <w:rsid w:val="008A621E"/>
    <w:rsid w:val="008B1A9A"/>
    <w:rsid w:val="008B212C"/>
    <w:rsid w:val="008B34C5"/>
    <w:rsid w:val="008B3817"/>
    <w:rsid w:val="008B3DFC"/>
    <w:rsid w:val="008B40FB"/>
    <w:rsid w:val="008B42EA"/>
    <w:rsid w:val="008B4FE6"/>
    <w:rsid w:val="008B6C37"/>
    <w:rsid w:val="008B7346"/>
    <w:rsid w:val="008B7A75"/>
    <w:rsid w:val="008B7FF3"/>
    <w:rsid w:val="008C3BD9"/>
    <w:rsid w:val="008C44D4"/>
    <w:rsid w:val="008C6263"/>
    <w:rsid w:val="008C6301"/>
    <w:rsid w:val="008D5EB1"/>
    <w:rsid w:val="008D6AB1"/>
    <w:rsid w:val="008E02B5"/>
    <w:rsid w:val="008E064F"/>
    <w:rsid w:val="008E18F7"/>
    <w:rsid w:val="008E1E10"/>
    <w:rsid w:val="008E291B"/>
    <w:rsid w:val="008E2BD2"/>
    <w:rsid w:val="008E4F2F"/>
    <w:rsid w:val="008E4F99"/>
    <w:rsid w:val="008E6D30"/>
    <w:rsid w:val="008E74B0"/>
    <w:rsid w:val="008E7CA6"/>
    <w:rsid w:val="008F0BFE"/>
    <w:rsid w:val="008F53F4"/>
    <w:rsid w:val="008F5D8D"/>
    <w:rsid w:val="008F6963"/>
    <w:rsid w:val="008F6E47"/>
    <w:rsid w:val="008F707E"/>
    <w:rsid w:val="008F7347"/>
    <w:rsid w:val="0090066C"/>
    <w:rsid w:val="009008A8"/>
    <w:rsid w:val="009012B3"/>
    <w:rsid w:val="009024F2"/>
    <w:rsid w:val="00905037"/>
    <w:rsid w:val="0090623F"/>
    <w:rsid w:val="009063B0"/>
    <w:rsid w:val="00907106"/>
    <w:rsid w:val="00907BF4"/>
    <w:rsid w:val="009107FD"/>
    <w:rsid w:val="0091137C"/>
    <w:rsid w:val="00911567"/>
    <w:rsid w:val="00911658"/>
    <w:rsid w:val="0091594D"/>
    <w:rsid w:val="00917AAE"/>
    <w:rsid w:val="009251A9"/>
    <w:rsid w:val="009272F3"/>
    <w:rsid w:val="009302E6"/>
    <w:rsid w:val="00930699"/>
    <w:rsid w:val="00931F69"/>
    <w:rsid w:val="00934123"/>
    <w:rsid w:val="009346AD"/>
    <w:rsid w:val="00935B39"/>
    <w:rsid w:val="00944ABB"/>
    <w:rsid w:val="00952E98"/>
    <w:rsid w:val="00955774"/>
    <w:rsid w:val="009560B5"/>
    <w:rsid w:val="00957C09"/>
    <w:rsid w:val="00960BE9"/>
    <w:rsid w:val="0096310C"/>
    <w:rsid w:val="00964E30"/>
    <w:rsid w:val="009703D6"/>
    <w:rsid w:val="00970D65"/>
    <w:rsid w:val="0097181B"/>
    <w:rsid w:val="00972B69"/>
    <w:rsid w:val="009762C4"/>
    <w:rsid w:val="00976DC5"/>
    <w:rsid w:val="009818C7"/>
    <w:rsid w:val="00982DD4"/>
    <w:rsid w:val="00983C00"/>
    <w:rsid w:val="0098414D"/>
    <w:rsid w:val="009841E5"/>
    <w:rsid w:val="0098479F"/>
    <w:rsid w:val="00984A8A"/>
    <w:rsid w:val="009857B6"/>
    <w:rsid w:val="00985A8D"/>
    <w:rsid w:val="0098635E"/>
    <w:rsid w:val="00986610"/>
    <w:rsid w:val="0098701F"/>
    <w:rsid w:val="009877DC"/>
    <w:rsid w:val="00991F96"/>
    <w:rsid w:val="0099244D"/>
    <w:rsid w:val="00993262"/>
    <w:rsid w:val="00995E57"/>
    <w:rsid w:val="00996F0A"/>
    <w:rsid w:val="009A1D86"/>
    <w:rsid w:val="009A7062"/>
    <w:rsid w:val="009B049C"/>
    <w:rsid w:val="009B11C8"/>
    <w:rsid w:val="009B2BCF"/>
    <w:rsid w:val="009B2FF8"/>
    <w:rsid w:val="009B5BA3"/>
    <w:rsid w:val="009B7735"/>
    <w:rsid w:val="009C1AD6"/>
    <w:rsid w:val="009D0027"/>
    <w:rsid w:val="009D0655"/>
    <w:rsid w:val="009D0DF8"/>
    <w:rsid w:val="009E1E98"/>
    <w:rsid w:val="009E3ABE"/>
    <w:rsid w:val="009E3C4B"/>
    <w:rsid w:val="009E6F9F"/>
    <w:rsid w:val="009F0637"/>
    <w:rsid w:val="009F11B6"/>
    <w:rsid w:val="009F3204"/>
    <w:rsid w:val="009F32C8"/>
    <w:rsid w:val="009F4B87"/>
    <w:rsid w:val="009F62A6"/>
    <w:rsid w:val="009F674F"/>
    <w:rsid w:val="009F799E"/>
    <w:rsid w:val="00A002EB"/>
    <w:rsid w:val="00A02020"/>
    <w:rsid w:val="00A0348F"/>
    <w:rsid w:val="00A056CB"/>
    <w:rsid w:val="00A07A29"/>
    <w:rsid w:val="00A10094"/>
    <w:rsid w:val="00A10FF1"/>
    <w:rsid w:val="00A1322E"/>
    <w:rsid w:val="00A13837"/>
    <w:rsid w:val="00A1506B"/>
    <w:rsid w:val="00A1638D"/>
    <w:rsid w:val="00A163FB"/>
    <w:rsid w:val="00A17CB2"/>
    <w:rsid w:val="00A20D4E"/>
    <w:rsid w:val="00A23191"/>
    <w:rsid w:val="00A262D8"/>
    <w:rsid w:val="00A312F8"/>
    <w:rsid w:val="00A319C0"/>
    <w:rsid w:val="00A33560"/>
    <w:rsid w:val="00A34992"/>
    <w:rsid w:val="00A364E4"/>
    <w:rsid w:val="00A371A5"/>
    <w:rsid w:val="00A46EAD"/>
    <w:rsid w:val="00A477DB"/>
    <w:rsid w:val="00A47BDF"/>
    <w:rsid w:val="00A47DE6"/>
    <w:rsid w:val="00A51CD7"/>
    <w:rsid w:val="00A525FB"/>
    <w:rsid w:val="00A52ADB"/>
    <w:rsid w:val="00A533E8"/>
    <w:rsid w:val="00A542D9"/>
    <w:rsid w:val="00A55DBB"/>
    <w:rsid w:val="00A561E5"/>
    <w:rsid w:val="00A56E64"/>
    <w:rsid w:val="00A57EFC"/>
    <w:rsid w:val="00A624C3"/>
    <w:rsid w:val="00A63CFF"/>
    <w:rsid w:val="00A6641C"/>
    <w:rsid w:val="00A71735"/>
    <w:rsid w:val="00A72483"/>
    <w:rsid w:val="00A736B6"/>
    <w:rsid w:val="00A73DF5"/>
    <w:rsid w:val="00A767D2"/>
    <w:rsid w:val="00A77616"/>
    <w:rsid w:val="00A77FEE"/>
    <w:rsid w:val="00A805DA"/>
    <w:rsid w:val="00A811B4"/>
    <w:rsid w:val="00A867F0"/>
    <w:rsid w:val="00A86AEE"/>
    <w:rsid w:val="00A87CDE"/>
    <w:rsid w:val="00A9087D"/>
    <w:rsid w:val="00A92BAF"/>
    <w:rsid w:val="00A94737"/>
    <w:rsid w:val="00A94BA3"/>
    <w:rsid w:val="00A94F53"/>
    <w:rsid w:val="00A9633C"/>
    <w:rsid w:val="00A96CBA"/>
    <w:rsid w:val="00AA27AA"/>
    <w:rsid w:val="00AA5865"/>
    <w:rsid w:val="00AB1ACD"/>
    <w:rsid w:val="00AB277F"/>
    <w:rsid w:val="00AB4099"/>
    <w:rsid w:val="00AB4340"/>
    <w:rsid w:val="00AB449A"/>
    <w:rsid w:val="00AB4BAC"/>
    <w:rsid w:val="00AB4FCF"/>
    <w:rsid w:val="00AB6063"/>
    <w:rsid w:val="00AB666B"/>
    <w:rsid w:val="00AC52F7"/>
    <w:rsid w:val="00AC5975"/>
    <w:rsid w:val="00AD14F9"/>
    <w:rsid w:val="00AD21DC"/>
    <w:rsid w:val="00AD284D"/>
    <w:rsid w:val="00AD35D6"/>
    <w:rsid w:val="00AD58C5"/>
    <w:rsid w:val="00AD66BE"/>
    <w:rsid w:val="00AD746C"/>
    <w:rsid w:val="00AE281E"/>
    <w:rsid w:val="00AE36C4"/>
    <w:rsid w:val="00AE472C"/>
    <w:rsid w:val="00AE5375"/>
    <w:rsid w:val="00AE5893"/>
    <w:rsid w:val="00AE5DD4"/>
    <w:rsid w:val="00AE6CF8"/>
    <w:rsid w:val="00AF4CAC"/>
    <w:rsid w:val="00B00E03"/>
    <w:rsid w:val="00B0215E"/>
    <w:rsid w:val="00B03E0D"/>
    <w:rsid w:val="00B054F8"/>
    <w:rsid w:val="00B05E40"/>
    <w:rsid w:val="00B06281"/>
    <w:rsid w:val="00B1013E"/>
    <w:rsid w:val="00B11908"/>
    <w:rsid w:val="00B17BB0"/>
    <w:rsid w:val="00B17F6A"/>
    <w:rsid w:val="00B20FBD"/>
    <w:rsid w:val="00B2219A"/>
    <w:rsid w:val="00B22452"/>
    <w:rsid w:val="00B3581B"/>
    <w:rsid w:val="00B36079"/>
    <w:rsid w:val="00B36B81"/>
    <w:rsid w:val="00B36E74"/>
    <w:rsid w:val="00B36FEE"/>
    <w:rsid w:val="00B37C80"/>
    <w:rsid w:val="00B42BD2"/>
    <w:rsid w:val="00B473CC"/>
    <w:rsid w:val="00B47806"/>
    <w:rsid w:val="00B47FA4"/>
    <w:rsid w:val="00B5092B"/>
    <w:rsid w:val="00B5194E"/>
    <w:rsid w:val="00B51AF5"/>
    <w:rsid w:val="00B5232C"/>
    <w:rsid w:val="00B531FC"/>
    <w:rsid w:val="00B53BBC"/>
    <w:rsid w:val="00B55347"/>
    <w:rsid w:val="00B57E5E"/>
    <w:rsid w:val="00B61F37"/>
    <w:rsid w:val="00B6622A"/>
    <w:rsid w:val="00B667F2"/>
    <w:rsid w:val="00B67896"/>
    <w:rsid w:val="00B67DE4"/>
    <w:rsid w:val="00B70688"/>
    <w:rsid w:val="00B76101"/>
    <w:rsid w:val="00B76736"/>
    <w:rsid w:val="00B76F8B"/>
    <w:rsid w:val="00B7770F"/>
    <w:rsid w:val="00B77A89"/>
    <w:rsid w:val="00B77B27"/>
    <w:rsid w:val="00B806C7"/>
    <w:rsid w:val="00B8134E"/>
    <w:rsid w:val="00B81B55"/>
    <w:rsid w:val="00B82631"/>
    <w:rsid w:val="00B83C14"/>
    <w:rsid w:val="00B84613"/>
    <w:rsid w:val="00B848B6"/>
    <w:rsid w:val="00B85378"/>
    <w:rsid w:val="00B873CB"/>
    <w:rsid w:val="00B87AF0"/>
    <w:rsid w:val="00B9037B"/>
    <w:rsid w:val="00B910BD"/>
    <w:rsid w:val="00B920FE"/>
    <w:rsid w:val="00B93834"/>
    <w:rsid w:val="00B96469"/>
    <w:rsid w:val="00BA0DA2"/>
    <w:rsid w:val="00BA128B"/>
    <w:rsid w:val="00BA2981"/>
    <w:rsid w:val="00BA42EE"/>
    <w:rsid w:val="00BA48F9"/>
    <w:rsid w:val="00BA59F1"/>
    <w:rsid w:val="00BA5E61"/>
    <w:rsid w:val="00BB071E"/>
    <w:rsid w:val="00BB0DCA"/>
    <w:rsid w:val="00BB2418"/>
    <w:rsid w:val="00BB2666"/>
    <w:rsid w:val="00BB340D"/>
    <w:rsid w:val="00BB38DC"/>
    <w:rsid w:val="00BB5275"/>
    <w:rsid w:val="00BB6680"/>
    <w:rsid w:val="00BB6B80"/>
    <w:rsid w:val="00BC24BB"/>
    <w:rsid w:val="00BC3773"/>
    <w:rsid w:val="00BC381A"/>
    <w:rsid w:val="00BC625B"/>
    <w:rsid w:val="00BD0962"/>
    <w:rsid w:val="00BD1EED"/>
    <w:rsid w:val="00BD2410"/>
    <w:rsid w:val="00BD2C5D"/>
    <w:rsid w:val="00BD5300"/>
    <w:rsid w:val="00BD66DF"/>
    <w:rsid w:val="00BD707F"/>
    <w:rsid w:val="00BE06F6"/>
    <w:rsid w:val="00BE26BF"/>
    <w:rsid w:val="00BE2D98"/>
    <w:rsid w:val="00BE376D"/>
    <w:rsid w:val="00BE3F9B"/>
    <w:rsid w:val="00BE449D"/>
    <w:rsid w:val="00BF0DA2"/>
    <w:rsid w:val="00BF109C"/>
    <w:rsid w:val="00BF34FA"/>
    <w:rsid w:val="00BF3FFB"/>
    <w:rsid w:val="00BF6667"/>
    <w:rsid w:val="00C004B6"/>
    <w:rsid w:val="00C00D43"/>
    <w:rsid w:val="00C024D9"/>
    <w:rsid w:val="00C03087"/>
    <w:rsid w:val="00C047A7"/>
    <w:rsid w:val="00C05DE5"/>
    <w:rsid w:val="00C07D8A"/>
    <w:rsid w:val="00C15222"/>
    <w:rsid w:val="00C17B76"/>
    <w:rsid w:val="00C2216A"/>
    <w:rsid w:val="00C23122"/>
    <w:rsid w:val="00C31705"/>
    <w:rsid w:val="00C32FA1"/>
    <w:rsid w:val="00C33027"/>
    <w:rsid w:val="00C3468E"/>
    <w:rsid w:val="00C347D6"/>
    <w:rsid w:val="00C3757D"/>
    <w:rsid w:val="00C37667"/>
    <w:rsid w:val="00C41C34"/>
    <w:rsid w:val="00C435DB"/>
    <w:rsid w:val="00C445D0"/>
    <w:rsid w:val="00C44D73"/>
    <w:rsid w:val="00C47741"/>
    <w:rsid w:val="00C50B42"/>
    <w:rsid w:val="00C516FF"/>
    <w:rsid w:val="00C520AD"/>
    <w:rsid w:val="00C52BFA"/>
    <w:rsid w:val="00C53D1D"/>
    <w:rsid w:val="00C53F26"/>
    <w:rsid w:val="00C540BC"/>
    <w:rsid w:val="00C54A3E"/>
    <w:rsid w:val="00C61D5C"/>
    <w:rsid w:val="00C626D1"/>
    <w:rsid w:val="00C64F7D"/>
    <w:rsid w:val="00C66E5B"/>
    <w:rsid w:val="00C67309"/>
    <w:rsid w:val="00C7255A"/>
    <w:rsid w:val="00C7614E"/>
    <w:rsid w:val="00C77BF1"/>
    <w:rsid w:val="00C80D60"/>
    <w:rsid w:val="00C82FBD"/>
    <w:rsid w:val="00C85267"/>
    <w:rsid w:val="00C8721B"/>
    <w:rsid w:val="00C90B94"/>
    <w:rsid w:val="00C91A15"/>
    <w:rsid w:val="00C9372C"/>
    <w:rsid w:val="00C9470E"/>
    <w:rsid w:val="00C95132"/>
    <w:rsid w:val="00C95CEB"/>
    <w:rsid w:val="00CA1054"/>
    <w:rsid w:val="00CA1074"/>
    <w:rsid w:val="00CA5937"/>
    <w:rsid w:val="00CA63EB"/>
    <w:rsid w:val="00CA6539"/>
    <w:rsid w:val="00CA69F1"/>
    <w:rsid w:val="00CA7CF2"/>
    <w:rsid w:val="00CB370D"/>
    <w:rsid w:val="00CB3DC6"/>
    <w:rsid w:val="00CB4685"/>
    <w:rsid w:val="00CB6991"/>
    <w:rsid w:val="00CB72CC"/>
    <w:rsid w:val="00CC5392"/>
    <w:rsid w:val="00CC5968"/>
    <w:rsid w:val="00CC6194"/>
    <w:rsid w:val="00CC6305"/>
    <w:rsid w:val="00CC78A5"/>
    <w:rsid w:val="00CD0516"/>
    <w:rsid w:val="00CD1A06"/>
    <w:rsid w:val="00CD756B"/>
    <w:rsid w:val="00CE3D94"/>
    <w:rsid w:val="00CE720E"/>
    <w:rsid w:val="00CE734F"/>
    <w:rsid w:val="00CE7D34"/>
    <w:rsid w:val="00CF112E"/>
    <w:rsid w:val="00CF161D"/>
    <w:rsid w:val="00CF1A2E"/>
    <w:rsid w:val="00CF5F4F"/>
    <w:rsid w:val="00CF6B96"/>
    <w:rsid w:val="00D04EA1"/>
    <w:rsid w:val="00D119C7"/>
    <w:rsid w:val="00D21111"/>
    <w:rsid w:val="00D218DC"/>
    <w:rsid w:val="00D22F10"/>
    <w:rsid w:val="00D24E56"/>
    <w:rsid w:val="00D2667A"/>
    <w:rsid w:val="00D31643"/>
    <w:rsid w:val="00D31AEB"/>
    <w:rsid w:val="00D32B5A"/>
    <w:rsid w:val="00D32ECD"/>
    <w:rsid w:val="00D334A9"/>
    <w:rsid w:val="00D361E4"/>
    <w:rsid w:val="00D42A8F"/>
    <w:rsid w:val="00D439F6"/>
    <w:rsid w:val="00D4415C"/>
    <w:rsid w:val="00D459C6"/>
    <w:rsid w:val="00D50729"/>
    <w:rsid w:val="00D50C19"/>
    <w:rsid w:val="00D5379E"/>
    <w:rsid w:val="00D53AF8"/>
    <w:rsid w:val="00D57FA4"/>
    <w:rsid w:val="00D61929"/>
    <w:rsid w:val="00D62643"/>
    <w:rsid w:val="00D643A2"/>
    <w:rsid w:val="00D64C0F"/>
    <w:rsid w:val="00D72EFE"/>
    <w:rsid w:val="00D76227"/>
    <w:rsid w:val="00D77DF1"/>
    <w:rsid w:val="00D77EF0"/>
    <w:rsid w:val="00D81292"/>
    <w:rsid w:val="00D82A3F"/>
    <w:rsid w:val="00D86025"/>
    <w:rsid w:val="00D86AFF"/>
    <w:rsid w:val="00D912B6"/>
    <w:rsid w:val="00D931A5"/>
    <w:rsid w:val="00D93C2B"/>
    <w:rsid w:val="00D95A44"/>
    <w:rsid w:val="00D95D16"/>
    <w:rsid w:val="00D97C76"/>
    <w:rsid w:val="00DA0D13"/>
    <w:rsid w:val="00DA2DB6"/>
    <w:rsid w:val="00DA33D8"/>
    <w:rsid w:val="00DA7AEA"/>
    <w:rsid w:val="00DB02B4"/>
    <w:rsid w:val="00DB46D0"/>
    <w:rsid w:val="00DB538D"/>
    <w:rsid w:val="00DB6408"/>
    <w:rsid w:val="00DC102B"/>
    <w:rsid w:val="00DC1AFD"/>
    <w:rsid w:val="00DC275C"/>
    <w:rsid w:val="00DC300A"/>
    <w:rsid w:val="00DC4B0D"/>
    <w:rsid w:val="00DC7695"/>
    <w:rsid w:val="00DC7FE1"/>
    <w:rsid w:val="00DD264C"/>
    <w:rsid w:val="00DD397F"/>
    <w:rsid w:val="00DD3F3F"/>
    <w:rsid w:val="00DD5572"/>
    <w:rsid w:val="00DD6F3C"/>
    <w:rsid w:val="00DE5758"/>
    <w:rsid w:val="00DE5D80"/>
    <w:rsid w:val="00DF1216"/>
    <w:rsid w:val="00DF151B"/>
    <w:rsid w:val="00DF1659"/>
    <w:rsid w:val="00DF3DD0"/>
    <w:rsid w:val="00DF58CD"/>
    <w:rsid w:val="00DF65DE"/>
    <w:rsid w:val="00E014BB"/>
    <w:rsid w:val="00E019A5"/>
    <w:rsid w:val="00E02EC8"/>
    <w:rsid w:val="00E037F5"/>
    <w:rsid w:val="00E04ECB"/>
    <w:rsid w:val="00E05A09"/>
    <w:rsid w:val="00E0606B"/>
    <w:rsid w:val="00E06CA1"/>
    <w:rsid w:val="00E113C6"/>
    <w:rsid w:val="00E155E9"/>
    <w:rsid w:val="00E172B8"/>
    <w:rsid w:val="00E17DAC"/>
    <w:rsid w:val="00E17FB4"/>
    <w:rsid w:val="00E20B75"/>
    <w:rsid w:val="00E214F2"/>
    <w:rsid w:val="00E217BE"/>
    <w:rsid w:val="00E2214A"/>
    <w:rsid w:val="00E2371E"/>
    <w:rsid w:val="00E24BD7"/>
    <w:rsid w:val="00E26523"/>
    <w:rsid w:val="00E26809"/>
    <w:rsid w:val="00E27C95"/>
    <w:rsid w:val="00E317A8"/>
    <w:rsid w:val="00E3412D"/>
    <w:rsid w:val="00E37CD3"/>
    <w:rsid w:val="00E43B2C"/>
    <w:rsid w:val="00E47FFB"/>
    <w:rsid w:val="00E5362C"/>
    <w:rsid w:val="00E56356"/>
    <w:rsid w:val="00E57322"/>
    <w:rsid w:val="00E57682"/>
    <w:rsid w:val="00E57846"/>
    <w:rsid w:val="00E61AE3"/>
    <w:rsid w:val="00E628CB"/>
    <w:rsid w:val="00E62AD9"/>
    <w:rsid w:val="00E638C8"/>
    <w:rsid w:val="00E65DA2"/>
    <w:rsid w:val="00E6710E"/>
    <w:rsid w:val="00E726F9"/>
    <w:rsid w:val="00E7509B"/>
    <w:rsid w:val="00E761A3"/>
    <w:rsid w:val="00E85569"/>
    <w:rsid w:val="00E86590"/>
    <w:rsid w:val="00E9010E"/>
    <w:rsid w:val="00E906FB"/>
    <w:rsid w:val="00E907FF"/>
    <w:rsid w:val="00E9495D"/>
    <w:rsid w:val="00E97CAC"/>
    <w:rsid w:val="00EA1950"/>
    <w:rsid w:val="00EA42D1"/>
    <w:rsid w:val="00EA42EF"/>
    <w:rsid w:val="00EA7BE4"/>
    <w:rsid w:val="00EB1114"/>
    <w:rsid w:val="00EB2DD1"/>
    <w:rsid w:val="00EB6B37"/>
    <w:rsid w:val="00EC1078"/>
    <w:rsid w:val="00EC29FE"/>
    <w:rsid w:val="00EC3551"/>
    <w:rsid w:val="00EC3C70"/>
    <w:rsid w:val="00EC56B5"/>
    <w:rsid w:val="00EC7772"/>
    <w:rsid w:val="00ED0D01"/>
    <w:rsid w:val="00ED2EA0"/>
    <w:rsid w:val="00ED2F65"/>
    <w:rsid w:val="00ED366A"/>
    <w:rsid w:val="00ED3A3D"/>
    <w:rsid w:val="00ED538A"/>
    <w:rsid w:val="00ED6945"/>
    <w:rsid w:val="00ED6FBC"/>
    <w:rsid w:val="00EE2F16"/>
    <w:rsid w:val="00EE3861"/>
    <w:rsid w:val="00EE6308"/>
    <w:rsid w:val="00EE700D"/>
    <w:rsid w:val="00EF2E73"/>
    <w:rsid w:val="00EF536F"/>
    <w:rsid w:val="00EF5BE9"/>
    <w:rsid w:val="00EF7683"/>
    <w:rsid w:val="00EF7A2D"/>
    <w:rsid w:val="00F01E2B"/>
    <w:rsid w:val="00F02170"/>
    <w:rsid w:val="00F04F8D"/>
    <w:rsid w:val="00F10AD0"/>
    <w:rsid w:val="00F116CC"/>
    <w:rsid w:val="00F12BD1"/>
    <w:rsid w:val="00F14EC4"/>
    <w:rsid w:val="00F15327"/>
    <w:rsid w:val="00F168CF"/>
    <w:rsid w:val="00F2555C"/>
    <w:rsid w:val="00F31207"/>
    <w:rsid w:val="00F31DF3"/>
    <w:rsid w:val="00F33AE5"/>
    <w:rsid w:val="00F3597D"/>
    <w:rsid w:val="00F4251E"/>
    <w:rsid w:val="00F4376D"/>
    <w:rsid w:val="00F45399"/>
    <w:rsid w:val="00F46569"/>
    <w:rsid w:val="00F465EA"/>
    <w:rsid w:val="00F468D2"/>
    <w:rsid w:val="00F47951"/>
    <w:rsid w:val="00F54E7B"/>
    <w:rsid w:val="00F5550A"/>
    <w:rsid w:val="00F55A88"/>
    <w:rsid w:val="00F57309"/>
    <w:rsid w:val="00F615EE"/>
    <w:rsid w:val="00F62C95"/>
    <w:rsid w:val="00F63FAA"/>
    <w:rsid w:val="00F6529D"/>
    <w:rsid w:val="00F70125"/>
    <w:rsid w:val="00F72C71"/>
    <w:rsid w:val="00F74005"/>
    <w:rsid w:val="00F758E0"/>
    <w:rsid w:val="00F76884"/>
    <w:rsid w:val="00F82CD9"/>
    <w:rsid w:val="00F82DF7"/>
    <w:rsid w:val="00F83565"/>
    <w:rsid w:val="00F83D24"/>
    <w:rsid w:val="00F83DD9"/>
    <w:rsid w:val="00F83F40"/>
    <w:rsid w:val="00F862FD"/>
    <w:rsid w:val="00FA085E"/>
    <w:rsid w:val="00FA0DB0"/>
    <w:rsid w:val="00FA117A"/>
    <w:rsid w:val="00FA1FD0"/>
    <w:rsid w:val="00FA37D7"/>
    <w:rsid w:val="00FA3A08"/>
    <w:rsid w:val="00FA5CB4"/>
    <w:rsid w:val="00FA6D1C"/>
    <w:rsid w:val="00FB1584"/>
    <w:rsid w:val="00FB386A"/>
    <w:rsid w:val="00FB504B"/>
    <w:rsid w:val="00FC0507"/>
    <w:rsid w:val="00FC0786"/>
    <w:rsid w:val="00FC0D2B"/>
    <w:rsid w:val="00FC4425"/>
    <w:rsid w:val="00FC49EF"/>
    <w:rsid w:val="00FC5323"/>
    <w:rsid w:val="00FC5D8A"/>
    <w:rsid w:val="00FC6772"/>
    <w:rsid w:val="00FC76F2"/>
    <w:rsid w:val="00FD0319"/>
    <w:rsid w:val="00FD1E8A"/>
    <w:rsid w:val="00FD3CE1"/>
    <w:rsid w:val="00FD4B49"/>
    <w:rsid w:val="00FE36E2"/>
    <w:rsid w:val="00FF11AD"/>
    <w:rsid w:val="00FF2971"/>
    <w:rsid w:val="00FF34D4"/>
    <w:rsid w:val="00F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9D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CZWSPPKTODNONIKAczwsppunkwodnonika">
    <w:name w:val="CZ_WSP_PKT_ODNOŚNIKA – część wsp. punków odnośnika"/>
    <w:basedOn w:val="Normalny"/>
    <w:uiPriority w:val="21"/>
    <w:qFormat/>
    <w:rsid w:val="00BE06F6"/>
    <w:pPr>
      <w:spacing w:line="240" w:lineRule="auto"/>
      <w:ind w:left="284"/>
      <w:jc w:val="both"/>
    </w:pPr>
    <w:rPr>
      <w:rFonts w:ascii="Times New Roman" w:eastAsia="Times New Roman" w:hAnsi="Times New Roman" w:cs="Arial"/>
      <w:sz w:val="20"/>
      <w:szCs w:val="20"/>
      <w:lang w:eastAsia="pl-PL"/>
    </w:rPr>
  </w:style>
  <w:style w:type="paragraph" w:customStyle="1" w:styleId="ODNONIKSPECtreodnonikadoodnonika">
    <w:name w:val="ODNOŚNIK_SPEC – treść odnośnika do odnośnika"/>
    <w:basedOn w:val="Normalny"/>
    <w:uiPriority w:val="19"/>
    <w:qFormat/>
    <w:rsid w:val="005C6473"/>
    <w:pPr>
      <w:spacing w:line="240" w:lineRule="auto"/>
      <w:ind w:left="283" w:hanging="170"/>
    </w:pPr>
    <w:rPr>
      <w:rFonts w:ascii="Times New Roman" w:eastAsia="Times New Roman" w:hAnsi="Times New Roman" w:cs="Arial"/>
      <w:sz w:val="20"/>
      <w:szCs w:val="20"/>
      <w:lang w:eastAsia="pl-PL"/>
    </w:rPr>
  </w:style>
  <w:style w:type="paragraph" w:styleId="Poprawka">
    <w:name w:val="Revision"/>
    <w:hidden/>
    <w:uiPriority w:val="99"/>
    <w:semiHidden/>
    <w:rsid w:val="003D4E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45946183">
      <w:bodyDiv w:val="1"/>
      <w:marLeft w:val="0"/>
      <w:marRight w:val="0"/>
      <w:marTop w:val="0"/>
      <w:marBottom w:val="0"/>
      <w:divBdr>
        <w:top w:val="none" w:sz="0" w:space="0" w:color="auto"/>
        <w:left w:val="none" w:sz="0" w:space="0" w:color="auto"/>
        <w:bottom w:val="none" w:sz="0" w:space="0" w:color="auto"/>
        <w:right w:val="none" w:sz="0" w:space="0" w:color="auto"/>
      </w:divBdr>
    </w:div>
    <w:div w:id="167052257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69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jciech.krajewski@gi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omjvg44t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CB73-1100-43D6-B1AF-2C33E8B2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18959</Words>
  <Characters>134823</Characters>
  <Application>Microsoft Office Word</Application>
  <DocSecurity>0</DocSecurity>
  <Lines>1123</Lines>
  <Paragraphs>306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153476</CharactersWithSpaces>
  <SharedDoc>false</SharedDoc>
  <HLinks>
    <vt:vector size="12" baseType="variant">
      <vt:variant>
        <vt:i4>3211387</vt:i4>
      </vt:variant>
      <vt:variant>
        <vt:i4>6</vt:i4>
      </vt:variant>
      <vt:variant>
        <vt:i4>0</vt:i4>
      </vt:variant>
      <vt:variant>
        <vt:i4>5</vt:i4>
      </vt:variant>
      <vt:variant>
        <vt:lpwstr>https://sip.legalis.pl/document-view.seam?documentId=mfrxilrtg4ytomjvg44tq</vt:lpwstr>
      </vt:variant>
      <vt:variant>
        <vt:lpwstr/>
      </vt:variant>
      <vt:variant>
        <vt:i4>7667806</vt:i4>
      </vt:variant>
      <vt:variant>
        <vt:i4>0</vt:i4>
      </vt:variant>
      <vt:variant>
        <vt:i4>0</vt:i4>
      </vt:variant>
      <vt:variant>
        <vt:i4>5</vt:i4>
      </vt:variant>
      <vt:variant>
        <vt:lpwstr>mailto:wojciech.krajewski@gif.gov.pl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2022-10-28T12:11:00Z</dcterms:created>
  <dcterms:modified xsi:type="dcterms:W3CDTF">2022-10-28T12:11:00Z</dcterms:modified>
</cp:coreProperties>
</file>