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68CA4" w14:textId="6E423709" w:rsidR="00830E47" w:rsidRPr="00FB4E68" w:rsidRDefault="00830E47" w:rsidP="00830E47">
      <w:pPr>
        <w:pStyle w:val="OZNRODZAKTUtznustawalubrozporzdzenieiorganwydajcy"/>
        <w:spacing w:after="0" w:line="276" w:lineRule="auto"/>
        <w:jc w:val="right"/>
        <w:rPr>
          <w:rFonts w:ascii="Times New Roman" w:hAnsi="Times New Roman"/>
          <w:b w:val="0"/>
          <w:bCs w:val="0"/>
          <w:spacing w:val="0"/>
        </w:rPr>
      </w:pPr>
      <w:r w:rsidRPr="00083D3F">
        <w:rPr>
          <w:rFonts w:ascii="Times New Roman" w:hAnsi="Times New Roman"/>
          <w:b w:val="0"/>
          <w:bCs w:val="0"/>
          <w:caps w:val="0"/>
          <w:spacing w:val="0"/>
        </w:rPr>
        <w:t>Projekt z dnia</w:t>
      </w:r>
      <w:r>
        <w:rPr>
          <w:rFonts w:ascii="Times New Roman" w:hAnsi="Times New Roman"/>
          <w:b w:val="0"/>
          <w:bCs w:val="0"/>
          <w:spacing w:val="0"/>
        </w:rPr>
        <w:t xml:space="preserve"> </w:t>
      </w:r>
      <w:r w:rsidR="00774364">
        <w:rPr>
          <w:rFonts w:ascii="Times New Roman" w:hAnsi="Times New Roman"/>
          <w:b w:val="0"/>
          <w:bCs w:val="0"/>
          <w:spacing w:val="0"/>
        </w:rPr>
        <w:t>4.10</w:t>
      </w:r>
      <w:r>
        <w:rPr>
          <w:rFonts w:ascii="Times New Roman" w:hAnsi="Times New Roman"/>
          <w:b w:val="0"/>
          <w:bCs w:val="0"/>
          <w:spacing w:val="0"/>
        </w:rPr>
        <w:t xml:space="preserve">.2022 </w:t>
      </w:r>
    </w:p>
    <w:p w14:paraId="6EBE3E8D" w14:textId="77777777" w:rsidR="00830E47" w:rsidRPr="00FB4E68" w:rsidRDefault="00830E47" w:rsidP="00830E47">
      <w:pPr>
        <w:pStyle w:val="OZNRODZAKTUtznustawalubrozporzdzenieiorganwydajcy"/>
        <w:spacing w:after="0" w:line="276" w:lineRule="auto"/>
        <w:rPr>
          <w:rFonts w:ascii="Times New Roman" w:hAnsi="Times New Roman"/>
          <w:spacing w:val="0"/>
        </w:rPr>
      </w:pPr>
    </w:p>
    <w:p w14:paraId="523AB529" w14:textId="77777777" w:rsidR="00830E47" w:rsidRPr="008D3B31" w:rsidRDefault="00830E47" w:rsidP="00830E47">
      <w:pPr>
        <w:pStyle w:val="OZNRODZAKTUtznustawalubrozporzdzenieiorganwydajcy"/>
        <w:spacing w:after="0" w:line="276" w:lineRule="auto"/>
        <w:rPr>
          <w:rFonts w:ascii="Times New Roman" w:hAnsi="Times New Roman"/>
          <w:spacing w:val="12"/>
        </w:rPr>
      </w:pPr>
      <w:r w:rsidRPr="008D3B31">
        <w:rPr>
          <w:rFonts w:ascii="Times New Roman" w:hAnsi="Times New Roman"/>
          <w:spacing w:val="12"/>
        </w:rPr>
        <w:t>UZASADNIENIE</w:t>
      </w:r>
    </w:p>
    <w:p w14:paraId="508624AB" w14:textId="78F1F3BC" w:rsidR="00830E47" w:rsidRPr="00661895" w:rsidRDefault="00830E47" w:rsidP="007A6CBC">
      <w:pPr>
        <w:widowControl/>
        <w:suppressAutoHyphens/>
        <w:autoSpaceDE/>
        <w:autoSpaceDN/>
        <w:adjustRightInd/>
        <w:spacing w:before="240" w:after="60" w:line="276" w:lineRule="auto"/>
        <w:jc w:val="both"/>
        <w:rPr>
          <w:rFonts w:eastAsia="Calibri" w:cs="Times New Roman"/>
          <w:b/>
          <w:szCs w:val="24"/>
          <w:lang w:eastAsia="ar-SA"/>
        </w:rPr>
      </w:pPr>
      <w:r w:rsidRPr="00661895">
        <w:rPr>
          <w:rFonts w:eastAsia="Calibri" w:cs="Times New Roman"/>
          <w:b/>
          <w:szCs w:val="24"/>
          <w:lang w:eastAsia="ar-SA"/>
        </w:rPr>
        <w:t xml:space="preserve">1. Cel i potrzeba </w:t>
      </w:r>
      <w:r>
        <w:rPr>
          <w:rFonts w:eastAsia="Calibri" w:cs="Times New Roman"/>
          <w:b/>
          <w:szCs w:val="24"/>
          <w:lang w:eastAsia="ar-SA"/>
        </w:rPr>
        <w:t xml:space="preserve">wydania </w:t>
      </w:r>
      <w:r w:rsidR="00080095">
        <w:rPr>
          <w:rFonts w:eastAsia="Calibri" w:cs="Times New Roman"/>
          <w:b/>
          <w:szCs w:val="24"/>
          <w:lang w:eastAsia="ar-SA"/>
        </w:rPr>
        <w:t>ustawy</w:t>
      </w:r>
    </w:p>
    <w:p w14:paraId="353B0C1B" w14:textId="2877DF3B" w:rsidR="00480503" w:rsidRPr="006E55E2" w:rsidRDefault="005C1148" w:rsidP="003B431B">
      <w:pPr>
        <w:widowControl/>
        <w:suppressAutoHyphens/>
        <w:autoSpaceDE/>
        <w:autoSpaceDN/>
        <w:adjustRightInd/>
        <w:spacing w:after="60"/>
        <w:jc w:val="both"/>
        <w:rPr>
          <w:rFonts w:eastAsia="Calibri" w:cs="Times New Roman"/>
          <w:szCs w:val="24"/>
          <w:lang w:eastAsia="ar-SA"/>
        </w:rPr>
      </w:pPr>
      <w:r w:rsidRPr="006E55E2">
        <w:rPr>
          <w:rFonts w:eastAsia="Calibri" w:cs="Times New Roman"/>
          <w:szCs w:val="24"/>
          <w:lang w:eastAsia="ar-SA"/>
        </w:rPr>
        <w:t>Ostatnie lata wiązały się z intensywnym rozwojem krajowego rynku energii elektrycznej, który w skutek rozwoju</w:t>
      </w:r>
      <w:r w:rsidR="00977AB3">
        <w:rPr>
          <w:rFonts w:eastAsia="Calibri" w:cs="Times New Roman"/>
          <w:szCs w:val="24"/>
          <w:lang w:eastAsia="ar-SA"/>
        </w:rPr>
        <w:t xml:space="preserve"> poszczególnych sektorów</w:t>
      </w:r>
      <w:r w:rsidRPr="006E55E2">
        <w:rPr>
          <w:rFonts w:eastAsia="Calibri" w:cs="Times New Roman"/>
          <w:szCs w:val="24"/>
          <w:lang w:eastAsia="ar-SA"/>
        </w:rPr>
        <w:t xml:space="preserve"> gospodarki oraz podążającej w ślad za nią rosnącym zapotrzebowaniem na nośniki energii wymógł na przedsiębiorstwach energetycznych prowadzących działalność gospodarczą w zakresie dystrybucji energii elektrycznej wzmożenie wysiłków związanych z rozwojem sieci niskiego oraz średniego napięcia, tak by infrastruktura sieciowa była w stanie nadążyć za postępującą transformacją energetyczną</w:t>
      </w:r>
      <w:r w:rsidR="00977AB3">
        <w:rPr>
          <w:rFonts w:eastAsia="Calibri" w:cs="Times New Roman"/>
          <w:szCs w:val="24"/>
          <w:lang w:eastAsia="ar-SA"/>
        </w:rPr>
        <w:t xml:space="preserve"> oraz gospodarczą kraju</w:t>
      </w:r>
      <w:r w:rsidRPr="006E55E2">
        <w:rPr>
          <w:rFonts w:eastAsia="Calibri" w:cs="Times New Roman"/>
          <w:szCs w:val="24"/>
          <w:lang w:eastAsia="ar-SA"/>
        </w:rPr>
        <w:t>. Kolejne wyzwania związane czy to z integracją elektromobilności w sieci oraz postępująca elektryfikacją transport</w:t>
      </w:r>
      <w:r w:rsidR="00737E3B">
        <w:rPr>
          <w:rFonts w:eastAsia="Calibri" w:cs="Times New Roman"/>
          <w:szCs w:val="24"/>
          <w:lang w:eastAsia="ar-SA"/>
        </w:rPr>
        <w:t>u</w:t>
      </w:r>
      <w:r w:rsidR="00260759" w:rsidRPr="006E55E2">
        <w:rPr>
          <w:rFonts w:eastAsia="Calibri" w:cs="Times New Roman"/>
          <w:szCs w:val="24"/>
          <w:lang w:eastAsia="ar-SA"/>
        </w:rPr>
        <w:t>, koniecznoś</w:t>
      </w:r>
      <w:r w:rsidR="00737E3B">
        <w:rPr>
          <w:rFonts w:eastAsia="Calibri" w:cs="Times New Roman"/>
          <w:szCs w:val="24"/>
          <w:lang w:eastAsia="ar-SA"/>
        </w:rPr>
        <w:t>cią</w:t>
      </w:r>
      <w:r w:rsidR="00260759" w:rsidRPr="006E55E2">
        <w:rPr>
          <w:rFonts w:eastAsia="Calibri" w:cs="Times New Roman"/>
          <w:szCs w:val="24"/>
          <w:lang w:eastAsia="ar-SA"/>
        </w:rPr>
        <w:t xml:space="preserve"> modernizacji i skablowania sieci niskich i średnich napięć, wdrożenie</w:t>
      </w:r>
      <w:r w:rsidR="00737E3B">
        <w:rPr>
          <w:rFonts w:eastAsia="Calibri" w:cs="Times New Roman"/>
          <w:szCs w:val="24"/>
          <w:lang w:eastAsia="ar-SA"/>
        </w:rPr>
        <w:t>m</w:t>
      </w:r>
      <w:r w:rsidR="00260759" w:rsidRPr="006E55E2">
        <w:rPr>
          <w:rFonts w:eastAsia="Calibri" w:cs="Times New Roman"/>
          <w:szCs w:val="24"/>
          <w:lang w:eastAsia="ar-SA"/>
        </w:rPr>
        <w:t xml:space="preserve"> systemu inteligentnych liczników</w:t>
      </w:r>
      <w:r w:rsidR="006B0731">
        <w:rPr>
          <w:rFonts w:eastAsia="Calibri" w:cs="Times New Roman"/>
          <w:szCs w:val="24"/>
          <w:lang w:eastAsia="ar-SA"/>
        </w:rPr>
        <w:t>,</w:t>
      </w:r>
      <w:r w:rsidR="00260759" w:rsidRPr="006E55E2">
        <w:rPr>
          <w:rFonts w:eastAsia="Calibri" w:cs="Times New Roman"/>
          <w:szCs w:val="24"/>
          <w:lang w:eastAsia="ar-SA"/>
        </w:rPr>
        <w:t xml:space="preserve"> czy też rosnąca</w:t>
      </w:r>
      <w:r w:rsidR="00977AB3" w:rsidRPr="00977AB3">
        <w:rPr>
          <w:rFonts w:eastAsia="Calibri" w:cs="Times New Roman"/>
          <w:szCs w:val="24"/>
          <w:lang w:eastAsia="ar-SA"/>
        </w:rPr>
        <w:t xml:space="preserve"> </w:t>
      </w:r>
      <w:r w:rsidR="00977AB3">
        <w:rPr>
          <w:rFonts w:eastAsia="Calibri" w:cs="Times New Roman"/>
          <w:szCs w:val="24"/>
          <w:lang w:eastAsia="ar-SA"/>
        </w:rPr>
        <w:t>w Krajowym Systemie Elektroenergetycznym</w:t>
      </w:r>
      <w:r w:rsidR="00260759" w:rsidRPr="006E55E2">
        <w:rPr>
          <w:rFonts w:eastAsia="Calibri" w:cs="Times New Roman"/>
          <w:szCs w:val="24"/>
          <w:lang w:eastAsia="ar-SA"/>
        </w:rPr>
        <w:t xml:space="preserve"> moc</w:t>
      </w:r>
      <w:r w:rsidR="00977AB3">
        <w:rPr>
          <w:rFonts w:eastAsia="Calibri" w:cs="Times New Roman"/>
          <w:szCs w:val="24"/>
          <w:lang w:eastAsia="ar-SA"/>
        </w:rPr>
        <w:t xml:space="preserve"> </w:t>
      </w:r>
      <w:r w:rsidR="00260759" w:rsidRPr="006E55E2">
        <w:rPr>
          <w:rFonts w:eastAsia="Calibri" w:cs="Times New Roman"/>
          <w:szCs w:val="24"/>
          <w:lang w:eastAsia="ar-SA"/>
        </w:rPr>
        <w:t>jednostek wytwórczych działających w oparciu o odnawialne źródła energii, sprawiają, iż ryzyko ewentualnych spowolnień w rozwoju sieci dystrybucyjnej w obszarach kluczowych dla zapewnienia gwarancji stałych i niezawodnych dostaw energii elektrycznej do odbiorców</w:t>
      </w:r>
      <w:r w:rsidR="006B0731">
        <w:rPr>
          <w:rFonts w:eastAsia="Calibri" w:cs="Times New Roman"/>
          <w:szCs w:val="24"/>
          <w:lang w:eastAsia="ar-SA"/>
        </w:rPr>
        <w:t>,</w:t>
      </w:r>
      <w:r w:rsidR="00260759" w:rsidRPr="006E55E2">
        <w:rPr>
          <w:rFonts w:eastAsia="Calibri" w:cs="Times New Roman"/>
          <w:szCs w:val="24"/>
          <w:lang w:eastAsia="ar-SA"/>
        </w:rPr>
        <w:t xml:space="preserve"> może zostać zagrożone lub spotkać się z niewspółmiernie dużym wysiłkiem po stronie operatorów związanym z koniecznością ich realizacji</w:t>
      </w:r>
      <w:r w:rsidR="006B0731">
        <w:rPr>
          <w:rFonts w:eastAsia="Calibri" w:cs="Times New Roman"/>
          <w:szCs w:val="24"/>
          <w:lang w:eastAsia="ar-SA"/>
        </w:rPr>
        <w:t xml:space="preserve">. </w:t>
      </w:r>
    </w:p>
    <w:p w14:paraId="7FA6ADEC" w14:textId="04FCC87B" w:rsidR="00260759" w:rsidRPr="006E55E2" w:rsidRDefault="00260759" w:rsidP="003B431B">
      <w:pPr>
        <w:widowControl/>
        <w:suppressAutoHyphens/>
        <w:autoSpaceDE/>
        <w:autoSpaceDN/>
        <w:adjustRightInd/>
        <w:spacing w:after="60"/>
        <w:jc w:val="both"/>
        <w:rPr>
          <w:rFonts w:eastAsia="Calibri" w:cs="Times New Roman"/>
          <w:szCs w:val="24"/>
          <w:lang w:eastAsia="ar-SA"/>
        </w:rPr>
      </w:pPr>
      <w:r w:rsidRPr="006E55E2">
        <w:rPr>
          <w:rFonts w:eastAsia="Calibri" w:cs="Times New Roman"/>
          <w:szCs w:val="24"/>
          <w:lang w:eastAsia="ar-SA"/>
        </w:rPr>
        <w:t xml:space="preserve">Dlatego też celowym jest stworzenie możliwości dla wykorzystania istniejących mechanizmów prawnych, które umożliwią znaczne skrócenie oraz uproszczenie procedur administracyjnych związanych z realizacją inwestycji w sieci dystrybucyjne elektroenergetyczne o szczególnym znaczeniu dla funkcjonowania krajowego rynku oraz gwarantujących pewne i stabilne dostawy do odbiorców. </w:t>
      </w:r>
    </w:p>
    <w:p w14:paraId="6C76FE4A" w14:textId="1BA4CCBA" w:rsidR="002B0573" w:rsidRPr="006E55E2" w:rsidRDefault="00260759" w:rsidP="003B431B">
      <w:pPr>
        <w:widowControl/>
        <w:suppressAutoHyphens/>
        <w:autoSpaceDE/>
        <w:autoSpaceDN/>
        <w:adjustRightInd/>
        <w:spacing w:after="60"/>
        <w:jc w:val="both"/>
        <w:rPr>
          <w:rFonts w:eastAsia="Calibri" w:cs="Times New Roman"/>
          <w:szCs w:val="24"/>
          <w:lang w:eastAsia="ar-SA"/>
        </w:rPr>
      </w:pPr>
      <w:r w:rsidRPr="006E55E2">
        <w:rPr>
          <w:rFonts w:eastAsia="Calibri" w:cs="Times New Roman"/>
          <w:szCs w:val="24"/>
          <w:lang w:eastAsia="ar-SA"/>
        </w:rPr>
        <w:t>W tym celu projektodawca przeprowadził szczegółową analizę</w:t>
      </w:r>
      <w:r w:rsidR="003A3940">
        <w:rPr>
          <w:rFonts w:eastAsia="Calibri" w:cs="Times New Roman"/>
          <w:szCs w:val="24"/>
          <w:lang w:eastAsia="ar-SA"/>
        </w:rPr>
        <w:t>,</w:t>
      </w:r>
      <w:r w:rsidRPr="006E55E2">
        <w:rPr>
          <w:rFonts w:eastAsia="Calibri" w:cs="Times New Roman"/>
          <w:szCs w:val="24"/>
          <w:lang w:eastAsia="ar-SA"/>
        </w:rPr>
        <w:t xml:space="preserve"> w wyniku której </w:t>
      </w:r>
      <w:r w:rsidR="002B0573" w:rsidRPr="006E55E2">
        <w:rPr>
          <w:rFonts w:cs="Times New Roman"/>
          <w:color w:val="000000"/>
        </w:rPr>
        <w:t xml:space="preserve">stwierdzono, że rozwój niektórych projektów dystrybucyjnych jest kluczowy dla realizacji strategicznych celów energetycznych wskazanych w dokumencie </w:t>
      </w:r>
      <w:r w:rsidR="002B0573" w:rsidRPr="006E55E2">
        <w:rPr>
          <w:rFonts w:cs="Times New Roman"/>
          <w:i/>
          <w:iCs/>
          <w:color w:val="000000"/>
        </w:rPr>
        <w:t xml:space="preserve">Polityka energetyczna Polski do 2040 r., </w:t>
      </w:r>
      <w:r w:rsidR="002B0573" w:rsidRPr="006E55E2">
        <w:rPr>
          <w:rFonts w:cs="Times New Roman"/>
          <w:color w:val="000000"/>
        </w:rPr>
        <w:t>w</w:t>
      </w:r>
      <w:r w:rsidR="00774364">
        <w:rPr>
          <w:rFonts w:cs="Times New Roman"/>
          <w:color w:val="000000"/>
        </w:rPr>
        <w:t> </w:t>
      </w:r>
      <w:r w:rsidR="002B0573" w:rsidRPr="006E55E2">
        <w:rPr>
          <w:rFonts w:cs="Times New Roman"/>
          <w:color w:val="000000"/>
        </w:rPr>
        <w:t>szczególności w zakresie celu szczegółowego 2 część B (</w:t>
      </w:r>
      <w:r w:rsidR="002B0573" w:rsidRPr="006E55E2">
        <w:rPr>
          <w:rFonts w:cs="Times New Roman"/>
          <w:i/>
          <w:iCs/>
          <w:color w:val="000000"/>
        </w:rPr>
        <w:t>Rozbudowa elektroenergetycznej infrastruktury energetycznej</w:t>
      </w:r>
      <w:r w:rsidR="002B0573" w:rsidRPr="006E55E2">
        <w:rPr>
          <w:rFonts w:cs="Times New Roman"/>
          <w:color w:val="000000"/>
        </w:rPr>
        <w:t xml:space="preserve">), w tym w zakresie przekształcania systemu elektroenergetycznego z systemu jednokierunkowego (tzw. pasywnego) w system dwukierunkowy (aktywny), z aktywnym udziałem odbiorców energii elektrycznej. Co więcej, należy uznać, że rozwój sieci dystrybucyjnych przyczyni się do skuteczniejszej i szybszej integracji odnawialnych źródeł energii z systemem elektroenergetycznym, w szczególności </w:t>
      </w:r>
      <w:r w:rsidR="002B0573" w:rsidRPr="006E55E2">
        <w:rPr>
          <w:rFonts w:cs="Times New Roman"/>
          <w:color w:val="000000"/>
        </w:rPr>
        <w:lastRenderedPageBreak/>
        <w:t>w</w:t>
      </w:r>
      <w:r w:rsidR="00774364">
        <w:rPr>
          <w:rFonts w:cs="Times New Roman"/>
          <w:color w:val="000000"/>
        </w:rPr>
        <w:t> </w:t>
      </w:r>
      <w:r w:rsidR="002B0573" w:rsidRPr="006E55E2">
        <w:rPr>
          <w:rFonts w:cs="Times New Roman"/>
          <w:color w:val="000000"/>
        </w:rPr>
        <w:t>związku z realizacją programów rządowych wspierających rozwój energetyki prosumenckiej w Polsce.</w:t>
      </w:r>
    </w:p>
    <w:p w14:paraId="591AF0B6" w14:textId="79914BFB" w:rsidR="00080095" w:rsidRPr="006E55E2" w:rsidRDefault="00080095" w:rsidP="003B431B">
      <w:pPr>
        <w:widowControl/>
        <w:suppressAutoHyphens/>
        <w:autoSpaceDE/>
        <w:autoSpaceDN/>
        <w:adjustRightInd/>
        <w:spacing w:after="60"/>
        <w:jc w:val="both"/>
        <w:rPr>
          <w:rFonts w:eastAsia="Calibri" w:cs="Times New Roman"/>
          <w:szCs w:val="24"/>
          <w:lang w:eastAsia="ar-SA"/>
        </w:rPr>
      </w:pPr>
      <w:r w:rsidRPr="006E55E2">
        <w:rPr>
          <w:rFonts w:cs="Times New Roman"/>
          <w:color w:val="000000"/>
        </w:rPr>
        <w:t xml:space="preserve">W celu przyśpieszenia inwestycji w infrastrukturę dystrybucyjną kluczową dla systemu elektroenergetycznego oraz rozwoju odnawialnych źródeł energii w Polsce, proponuje się objęcie niektórych inwestycji dystrybucyjnych reżimem specustawy przesyłowej. Pozwoli to na skrócenie kluczowych projektów inwestycyjnych, w których niejednokrotnie 80% czasu poświęcone jest przygotowywaniu stosownej dokumentacji inwestycyjnej oraz uzyskiwaniu przez inwestora zgód administracyjnych wymaganych przez prawo.  </w:t>
      </w:r>
    </w:p>
    <w:p w14:paraId="5461B9D3" w14:textId="77230F7D" w:rsidR="00830E47" w:rsidRDefault="00830E47" w:rsidP="003B431B">
      <w:pPr>
        <w:widowControl/>
        <w:suppressAutoHyphens/>
        <w:autoSpaceDE/>
        <w:autoSpaceDN/>
        <w:adjustRightInd/>
        <w:spacing w:before="240" w:after="60"/>
        <w:jc w:val="both"/>
        <w:rPr>
          <w:rFonts w:eastAsia="Calibri" w:cs="Times New Roman"/>
          <w:b/>
          <w:bCs/>
          <w:szCs w:val="24"/>
          <w:lang w:eastAsia="ar-SA"/>
        </w:rPr>
      </w:pPr>
      <w:r w:rsidRPr="00661895">
        <w:rPr>
          <w:rFonts w:eastAsia="Calibri" w:cs="Times New Roman"/>
          <w:b/>
          <w:bCs/>
          <w:szCs w:val="24"/>
          <w:lang w:eastAsia="ar-SA"/>
        </w:rPr>
        <w:t>2. Projektowane zmiany</w:t>
      </w:r>
    </w:p>
    <w:p w14:paraId="18257569" w14:textId="3568756A" w:rsidR="004A3DD8" w:rsidRPr="004A3DD8" w:rsidRDefault="000C26F5" w:rsidP="004A3DD8">
      <w:pPr>
        <w:widowControl/>
        <w:suppressAutoHyphens/>
        <w:autoSpaceDE/>
        <w:autoSpaceDN/>
        <w:adjustRightInd/>
        <w:spacing w:after="60"/>
        <w:jc w:val="both"/>
        <w:rPr>
          <w:rFonts w:eastAsia="Calibri" w:cs="Times New Roman"/>
          <w:b/>
          <w:bCs/>
          <w:szCs w:val="24"/>
          <w:u w:val="single"/>
          <w:lang w:eastAsia="ar-SA"/>
        </w:rPr>
      </w:pPr>
      <w:r>
        <w:rPr>
          <w:b/>
          <w:bCs/>
          <w:u w:val="single"/>
        </w:rPr>
        <w:t>U</w:t>
      </w:r>
      <w:r w:rsidR="004A3DD8" w:rsidRPr="004A3DD8">
        <w:rPr>
          <w:b/>
          <w:bCs/>
          <w:u w:val="single"/>
        </w:rPr>
        <w:t xml:space="preserve">stawa </w:t>
      </w:r>
      <w:r w:rsidR="004A3DD8" w:rsidRPr="004A3DD8">
        <w:rPr>
          <w:b/>
          <w:bCs/>
          <w:i/>
          <w:iCs/>
          <w:u w:val="single"/>
        </w:rPr>
        <w:t>o przygotowaniu i realizacji strategicznych inwestycji w zakresie sieci przesyłowych</w:t>
      </w:r>
    </w:p>
    <w:p w14:paraId="171626F9" w14:textId="1D531A52" w:rsidR="00080095" w:rsidRPr="008215B1" w:rsidRDefault="008215B1" w:rsidP="003B431B">
      <w:pPr>
        <w:pStyle w:val="Akapitzlist"/>
        <w:widowControl/>
        <w:numPr>
          <w:ilvl w:val="0"/>
          <w:numId w:val="2"/>
        </w:numPr>
        <w:suppressAutoHyphens/>
        <w:autoSpaceDE/>
        <w:autoSpaceDN/>
        <w:adjustRightInd/>
        <w:spacing w:after="60"/>
        <w:jc w:val="both"/>
        <w:rPr>
          <w:rFonts w:eastAsia="Calibri" w:cs="Times New Roman"/>
          <w:b/>
          <w:bCs/>
          <w:szCs w:val="24"/>
          <w:lang w:eastAsia="ar-SA"/>
        </w:rPr>
      </w:pPr>
      <w:r w:rsidRPr="008215B1">
        <w:rPr>
          <w:rFonts w:eastAsia="Calibri" w:cs="Times New Roman"/>
          <w:b/>
          <w:bCs/>
          <w:szCs w:val="24"/>
          <w:lang w:eastAsia="ar-SA"/>
        </w:rPr>
        <w:t>a</w:t>
      </w:r>
      <w:r w:rsidR="00080095" w:rsidRPr="008215B1">
        <w:rPr>
          <w:rFonts w:eastAsia="Calibri" w:cs="Times New Roman"/>
          <w:b/>
          <w:bCs/>
          <w:szCs w:val="24"/>
          <w:lang w:eastAsia="ar-SA"/>
        </w:rPr>
        <w:t>rt. 1</w:t>
      </w:r>
    </w:p>
    <w:p w14:paraId="6A693499" w14:textId="4BA89C76" w:rsidR="008215B1" w:rsidRDefault="00080095" w:rsidP="003B431B">
      <w:pPr>
        <w:widowControl/>
        <w:suppressAutoHyphens/>
        <w:autoSpaceDE/>
        <w:autoSpaceDN/>
        <w:adjustRightInd/>
        <w:spacing w:after="60"/>
        <w:jc w:val="both"/>
      </w:pPr>
      <w:r>
        <w:rPr>
          <w:rFonts w:eastAsia="Calibri" w:cs="Times New Roman"/>
          <w:szCs w:val="24"/>
          <w:lang w:eastAsia="ar-SA"/>
        </w:rPr>
        <w:t xml:space="preserve">Dodanie w art. 1 ust. 2 ustawy zmienianej definicji inwestycji towarzyszącej, rozumianej jako inwestycje w sieci dystrybucyjne o napięciu </w:t>
      </w:r>
      <w:r>
        <w:t xml:space="preserve">znamionowym 110 </w:t>
      </w:r>
      <w:proofErr w:type="spellStart"/>
      <w:r>
        <w:t>kV</w:t>
      </w:r>
      <w:proofErr w:type="spellEnd"/>
      <w:r>
        <w:t xml:space="preserve"> lub wyższym, w</w:t>
      </w:r>
      <w:r w:rsidR="00E86664">
        <w:t> </w:t>
      </w:r>
      <w:r>
        <w:t xml:space="preserve">szczególności w koordynowaną sieć 110 kV w rozumieniu ustawy – Prawo energetyczne, ujęte w załączniku do ustawy lub w akcie wykonawczym przyjętym na podstawie art. 3b, ma na celu umożliwienie stosowania przepisów przedmiotowej ustawy do realizacji inwestycji związanych z rozwojem sieci dystrybucyjnej elektroenergetycznej. </w:t>
      </w:r>
    </w:p>
    <w:p w14:paraId="4011E3F5" w14:textId="433D3E17" w:rsidR="00080095" w:rsidRPr="00BE4488" w:rsidRDefault="008215B1" w:rsidP="003B431B">
      <w:pPr>
        <w:widowControl/>
        <w:suppressAutoHyphens/>
        <w:autoSpaceDE/>
        <w:autoSpaceDN/>
        <w:adjustRightInd/>
        <w:spacing w:before="240" w:after="60"/>
        <w:jc w:val="both"/>
      </w:pPr>
      <w:r>
        <w:t xml:space="preserve">Celem zmiany jest umożliwienie rozszerzenia stosowania przepisów </w:t>
      </w:r>
      <w:bookmarkStart w:id="0" w:name="_Hlk111029872"/>
      <w:r>
        <w:t xml:space="preserve">ustawy </w:t>
      </w:r>
      <w:r w:rsidRPr="008215B1">
        <w:rPr>
          <w:i/>
          <w:iCs/>
        </w:rPr>
        <w:t>o przygotowaniu i realizacji strategicznych inwestycji w zakresie sieci przesyłowych</w:t>
      </w:r>
      <w:bookmarkEnd w:id="0"/>
      <w:r>
        <w:t xml:space="preserve"> na określone inwestycje towarzyszące, a więc pozostające w funkcjonalnym związku z inwestycjami już ujętymi w</w:t>
      </w:r>
      <w:r w:rsidR="00E86664">
        <w:t> </w:t>
      </w:r>
      <w:r>
        <w:t xml:space="preserve">ustawie. Wprowadzenie definicji inwestycji towarzyszących umożliwia ograniczenie do minimum zmian w obowiązującym stanie prawnym, a tym samym sprzyjać będzie zachowaniu odpowiedniego stopnia pewności prawnej dla podmiotów realizujących obowiązki lub korzystających z uprawnień wynikających z ustawy </w:t>
      </w:r>
      <w:r w:rsidRPr="008215B1">
        <w:rPr>
          <w:i/>
          <w:iCs/>
        </w:rPr>
        <w:t>o przygotowaniu i realizacji strategicznych inwestycji w zakresie sieci przesyłowych</w:t>
      </w:r>
      <w:r>
        <w:t>.</w:t>
      </w:r>
      <w:r w:rsidRPr="008215B1">
        <w:t xml:space="preserve"> </w:t>
      </w:r>
    </w:p>
    <w:p w14:paraId="7CC6B832" w14:textId="4C8F4EFB" w:rsidR="00080095" w:rsidRPr="008215B1" w:rsidRDefault="007A6CBC" w:rsidP="003B431B">
      <w:pPr>
        <w:pStyle w:val="Akapitzlist"/>
        <w:widowControl/>
        <w:numPr>
          <w:ilvl w:val="0"/>
          <w:numId w:val="2"/>
        </w:numPr>
        <w:suppressAutoHyphens/>
        <w:autoSpaceDE/>
        <w:autoSpaceDN/>
        <w:adjustRightInd/>
        <w:spacing w:before="240" w:after="60"/>
        <w:jc w:val="both"/>
        <w:rPr>
          <w:rFonts w:eastAsia="Calibri" w:cs="Times New Roman"/>
          <w:b/>
          <w:bCs/>
          <w:szCs w:val="24"/>
          <w:lang w:eastAsia="ar-SA"/>
        </w:rPr>
      </w:pPr>
      <w:r w:rsidRPr="008215B1">
        <w:rPr>
          <w:rFonts w:eastAsia="Calibri" w:cs="Times New Roman"/>
          <w:b/>
          <w:bCs/>
          <w:szCs w:val="24"/>
          <w:lang w:eastAsia="ar-SA"/>
        </w:rPr>
        <w:t>d</w:t>
      </w:r>
      <w:r w:rsidR="00080095" w:rsidRPr="008215B1">
        <w:rPr>
          <w:rFonts w:eastAsia="Calibri" w:cs="Times New Roman"/>
          <w:b/>
          <w:bCs/>
          <w:szCs w:val="24"/>
          <w:lang w:eastAsia="ar-SA"/>
        </w:rPr>
        <w:t>odanie art. 3b</w:t>
      </w:r>
    </w:p>
    <w:p w14:paraId="0F950637" w14:textId="2034AD8D" w:rsidR="00CA4207" w:rsidRDefault="00CA4207" w:rsidP="003B431B">
      <w:pPr>
        <w:widowControl/>
        <w:suppressAutoHyphens/>
        <w:autoSpaceDE/>
        <w:autoSpaceDN/>
        <w:adjustRightInd/>
        <w:spacing w:after="60"/>
        <w:jc w:val="both"/>
        <w:rPr>
          <w:rFonts w:eastAsia="Calibri" w:cs="Times New Roman"/>
          <w:szCs w:val="24"/>
          <w:lang w:eastAsia="ar-SA"/>
        </w:rPr>
      </w:pPr>
      <w:r>
        <w:rPr>
          <w:rFonts w:eastAsia="Calibri" w:cs="Times New Roman"/>
          <w:szCs w:val="24"/>
          <w:lang w:eastAsia="ar-SA"/>
        </w:rPr>
        <w:t>Proponowany</w:t>
      </w:r>
      <w:r w:rsidR="0006428C" w:rsidRPr="00BE4488">
        <w:rPr>
          <w:rFonts w:eastAsia="Calibri" w:cs="Times New Roman"/>
          <w:szCs w:val="24"/>
          <w:lang w:eastAsia="ar-SA"/>
        </w:rPr>
        <w:t xml:space="preserve"> art. 3b</w:t>
      </w:r>
      <w:r>
        <w:rPr>
          <w:rFonts w:eastAsia="Calibri" w:cs="Times New Roman"/>
          <w:szCs w:val="24"/>
          <w:lang w:eastAsia="ar-SA"/>
        </w:rPr>
        <w:t xml:space="preserve"> ma na celu precyzyjne określenie zakresu stosowania ustawy</w:t>
      </w:r>
      <w:r w:rsidRPr="00CA4207">
        <w:rPr>
          <w:rFonts w:eastAsia="Calibri" w:cs="Times New Roman"/>
          <w:i/>
          <w:iCs/>
          <w:szCs w:val="24"/>
          <w:lang w:eastAsia="ar-SA"/>
        </w:rPr>
        <w:t xml:space="preserve"> o</w:t>
      </w:r>
      <w:r w:rsidR="00E86664">
        <w:rPr>
          <w:rFonts w:eastAsia="Calibri" w:cs="Times New Roman"/>
          <w:i/>
          <w:iCs/>
          <w:szCs w:val="24"/>
          <w:lang w:eastAsia="ar-SA"/>
        </w:rPr>
        <w:t> </w:t>
      </w:r>
      <w:r w:rsidRPr="00CA4207">
        <w:rPr>
          <w:rFonts w:eastAsia="Calibri" w:cs="Times New Roman"/>
          <w:i/>
          <w:iCs/>
          <w:szCs w:val="24"/>
          <w:lang w:eastAsia="ar-SA"/>
        </w:rPr>
        <w:t>przygotowaniu i realizacji strategicznych inwestycji w zakresie sieci przesyłowych</w:t>
      </w:r>
      <w:r>
        <w:rPr>
          <w:rFonts w:eastAsia="Calibri" w:cs="Times New Roman"/>
          <w:szCs w:val="24"/>
          <w:lang w:eastAsia="ar-SA"/>
        </w:rPr>
        <w:t xml:space="preserve"> do inwestycji towarzyszących. W tym celu, określono w przepisach sposób odpowiedniego stosowania i rozumienia poszczególnych pojęć stosowanych dotychczas do inwestora, </w:t>
      </w:r>
      <w:r>
        <w:rPr>
          <w:rFonts w:eastAsia="Calibri" w:cs="Times New Roman"/>
          <w:szCs w:val="24"/>
          <w:lang w:eastAsia="ar-SA"/>
        </w:rPr>
        <w:lastRenderedPageBreak/>
        <w:t>rozumianego jako operator systemu przesyłowego elektroenergetycznego, przy ich stosowaniu do operatorów systemów dystrybucyjnych elektroenergetycznych</w:t>
      </w:r>
      <w:r w:rsidR="0006428C" w:rsidRPr="00BE4488">
        <w:rPr>
          <w:rFonts w:eastAsia="Calibri" w:cs="Times New Roman"/>
          <w:szCs w:val="24"/>
          <w:lang w:eastAsia="ar-SA"/>
        </w:rPr>
        <w:t xml:space="preserve">. </w:t>
      </w:r>
    </w:p>
    <w:p w14:paraId="2EB6D890" w14:textId="2E185A1F" w:rsidR="0006428C" w:rsidRPr="00BE4488" w:rsidRDefault="00CA4207" w:rsidP="003B431B">
      <w:pPr>
        <w:widowControl/>
        <w:suppressAutoHyphens/>
        <w:autoSpaceDE/>
        <w:autoSpaceDN/>
        <w:adjustRightInd/>
        <w:spacing w:before="240" w:after="60"/>
        <w:jc w:val="both"/>
        <w:rPr>
          <w:rFonts w:eastAsia="Calibri" w:cs="Times New Roman"/>
          <w:szCs w:val="24"/>
          <w:lang w:eastAsia="ar-SA"/>
        </w:rPr>
      </w:pPr>
      <w:r>
        <w:t>Wprowadzenie przedmiotowej regulacji jest zasadne dla zapewnienia odpowiedniego stopnia precyzji nowych przepisów oraz uniknięcia wątpliwości dotyczących odpowiedniego stosowania przepisów ustawy</w:t>
      </w:r>
      <w:r w:rsidRPr="00CA4207">
        <w:rPr>
          <w:i/>
          <w:iCs/>
        </w:rPr>
        <w:t xml:space="preserve"> o przygotowaniu i realizacji strategicznych inwestycji w zakresie sieci przesyłowych</w:t>
      </w:r>
      <w:r>
        <w:t xml:space="preserve"> do inwestycji towarzyszących realizowanych przez operatorów systemów dystrybucyjnych elektroenergetycznych. </w:t>
      </w:r>
    </w:p>
    <w:p w14:paraId="3ADDB0BD" w14:textId="30D5C8E7" w:rsidR="00F71D53" w:rsidRPr="008215B1" w:rsidRDefault="007A6CBC" w:rsidP="003B431B">
      <w:pPr>
        <w:pStyle w:val="Akapitzlist"/>
        <w:widowControl/>
        <w:numPr>
          <w:ilvl w:val="0"/>
          <w:numId w:val="2"/>
        </w:numPr>
        <w:suppressAutoHyphens/>
        <w:autoSpaceDE/>
        <w:autoSpaceDN/>
        <w:adjustRightInd/>
        <w:spacing w:before="240" w:after="60"/>
        <w:jc w:val="both"/>
        <w:rPr>
          <w:rFonts w:eastAsia="Calibri" w:cs="Times New Roman"/>
          <w:b/>
          <w:szCs w:val="24"/>
          <w:lang w:eastAsia="ar-SA"/>
        </w:rPr>
      </w:pPr>
      <w:r w:rsidRPr="008215B1">
        <w:rPr>
          <w:rFonts w:eastAsia="Calibri" w:cs="Times New Roman"/>
          <w:b/>
          <w:bCs/>
          <w:szCs w:val="24"/>
          <w:lang w:eastAsia="ar-SA"/>
        </w:rPr>
        <w:t>d</w:t>
      </w:r>
      <w:r w:rsidR="00F71D53" w:rsidRPr="008215B1">
        <w:rPr>
          <w:rFonts w:eastAsia="Calibri" w:cs="Times New Roman"/>
          <w:b/>
          <w:bCs/>
          <w:szCs w:val="24"/>
          <w:lang w:eastAsia="ar-SA"/>
        </w:rPr>
        <w:t>odanie</w:t>
      </w:r>
      <w:r w:rsidR="00F71D53" w:rsidRPr="008215B1">
        <w:rPr>
          <w:rFonts w:eastAsia="Calibri" w:cs="Times New Roman"/>
          <w:b/>
          <w:szCs w:val="24"/>
          <w:lang w:eastAsia="ar-SA"/>
        </w:rPr>
        <w:t xml:space="preserve"> art. 3c</w:t>
      </w:r>
    </w:p>
    <w:p w14:paraId="1F731419" w14:textId="46B11968" w:rsidR="00BE4488" w:rsidRPr="00BE4488" w:rsidRDefault="00AA466D" w:rsidP="003B431B">
      <w:pPr>
        <w:widowControl/>
        <w:suppressAutoHyphens/>
        <w:autoSpaceDE/>
        <w:autoSpaceDN/>
        <w:adjustRightInd/>
        <w:spacing w:after="60"/>
        <w:jc w:val="both"/>
        <w:rPr>
          <w:rFonts w:eastAsia="Calibri" w:cs="Times New Roman"/>
          <w:szCs w:val="24"/>
          <w:lang w:eastAsia="ar-SA"/>
        </w:rPr>
      </w:pPr>
      <w:r>
        <w:rPr>
          <w:rFonts w:eastAsia="Calibri" w:cs="Times New Roman"/>
          <w:szCs w:val="24"/>
          <w:lang w:eastAsia="ar-SA"/>
        </w:rPr>
        <w:t>W celu zagwarantowania większej elastyczności w zakresie możliwości stosowania uproszczonych procedur dla inwestycji polegających na przebudowie lub remoncie istniejących linii, przewiduje się przyznanie Radzie Ministrów kompetencji w zakresie określenia w</w:t>
      </w:r>
      <w:r w:rsidR="00E86664">
        <w:rPr>
          <w:rFonts w:eastAsia="Calibri" w:cs="Times New Roman"/>
          <w:szCs w:val="24"/>
          <w:lang w:eastAsia="ar-SA"/>
        </w:rPr>
        <w:t> </w:t>
      </w:r>
      <w:r>
        <w:rPr>
          <w:rFonts w:eastAsia="Calibri" w:cs="Times New Roman"/>
          <w:szCs w:val="24"/>
          <w:lang w:eastAsia="ar-SA"/>
        </w:rPr>
        <w:t>rozporządzeniu listy inwestycji już istniejącej infrastruktury do których, w drodze wyjątku, zastosowanie znajdą przepisy ustawy</w:t>
      </w:r>
      <w:r w:rsidRPr="00AA466D">
        <w:rPr>
          <w:rFonts w:eastAsia="Calibri" w:cs="Times New Roman"/>
          <w:i/>
          <w:iCs/>
          <w:szCs w:val="24"/>
          <w:lang w:eastAsia="ar-SA"/>
        </w:rPr>
        <w:t xml:space="preserve"> </w:t>
      </w:r>
      <w:r w:rsidRPr="00AA466D">
        <w:rPr>
          <w:i/>
          <w:iCs/>
        </w:rPr>
        <w:t>o przygotowaniu i realizacji strategicznych inwestycji w</w:t>
      </w:r>
      <w:r w:rsidR="00E86664">
        <w:rPr>
          <w:i/>
          <w:iCs/>
        </w:rPr>
        <w:t> </w:t>
      </w:r>
      <w:r w:rsidRPr="00AA466D">
        <w:rPr>
          <w:i/>
          <w:iCs/>
        </w:rPr>
        <w:t>zakresie sieci przesyłowych</w:t>
      </w:r>
      <w:r>
        <w:t xml:space="preserve">. Przyjęcie proponowanego rozwiązania jest istotne dla zapewnienia możliwości remontów czy przebudowy istniejących linii, które mają kluczowe znaczenie dla zapewnienia odpowiednich rozpływów energii elektrycznej w systemie elektroenergetycznym oraz dla rozwoju regionalnego. Co więcej, wprowadzenie przepisów pozwoli na zagwarantowanie odpowiedniej elastyczności stosowania przepisów przy jednoczesnym pełnym uwzględnieniu konieczności zagwarantowania korzystnego środowiska regulacyjnego dla prowadzenia tego rodzaju inwestycji infrastrukturalnych. </w:t>
      </w:r>
    </w:p>
    <w:p w14:paraId="6A807549" w14:textId="20093A50" w:rsidR="00BE4488" w:rsidRPr="008215B1" w:rsidRDefault="007A6CBC" w:rsidP="003B431B">
      <w:pPr>
        <w:pStyle w:val="Akapitzlist"/>
        <w:widowControl/>
        <w:numPr>
          <w:ilvl w:val="0"/>
          <w:numId w:val="2"/>
        </w:numPr>
        <w:suppressAutoHyphens/>
        <w:autoSpaceDE/>
        <w:autoSpaceDN/>
        <w:adjustRightInd/>
        <w:spacing w:before="240" w:after="60"/>
        <w:jc w:val="both"/>
        <w:rPr>
          <w:rFonts w:eastAsia="Calibri" w:cs="Times New Roman"/>
          <w:b/>
          <w:szCs w:val="24"/>
          <w:lang w:eastAsia="ar-SA"/>
        </w:rPr>
      </w:pPr>
      <w:r w:rsidRPr="008215B1">
        <w:rPr>
          <w:rFonts w:eastAsia="Calibri" w:cs="Times New Roman"/>
          <w:b/>
          <w:szCs w:val="24"/>
          <w:lang w:eastAsia="ar-SA"/>
        </w:rPr>
        <w:t>u</w:t>
      </w:r>
      <w:r w:rsidR="00BE4488" w:rsidRPr="008215B1">
        <w:rPr>
          <w:rFonts w:eastAsia="Calibri" w:cs="Times New Roman"/>
          <w:b/>
          <w:szCs w:val="24"/>
          <w:lang w:eastAsia="ar-SA"/>
        </w:rPr>
        <w:t>chylenie art. 35 ust. 2</w:t>
      </w:r>
    </w:p>
    <w:p w14:paraId="5777C00B" w14:textId="21FBB7B8" w:rsidR="00977AB3" w:rsidRDefault="00AA466D" w:rsidP="003B431B">
      <w:pPr>
        <w:widowControl/>
        <w:suppressAutoHyphens/>
        <w:autoSpaceDE/>
        <w:autoSpaceDN/>
        <w:adjustRightInd/>
        <w:spacing w:after="60"/>
        <w:jc w:val="both"/>
        <w:rPr>
          <w:i/>
          <w:iCs/>
        </w:rPr>
      </w:pPr>
      <w:r>
        <w:rPr>
          <w:rFonts w:eastAsia="Calibri" w:cs="Times New Roman"/>
          <w:szCs w:val="24"/>
          <w:lang w:eastAsia="ar-SA"/>
        </w:rPr>
        <w:t xml:space="preserve">Projekt uchyla również art. 35 ust. 2 ustawy </w:t>
      </w:r>
      <w:r w:rsidRPr="00AA466D">
        <w:rPr>
          <w:i/>
          <w:iCs/>
        </w:rPr>
        <w:t>o przygotowaniu i realizacji strategicznych inwestycji w zakresie sieci przesyłowych</w:t>
      </w:r>
      <w:r>
        <w:t xml:space="preserve">, który wprowadza czasowe ograniczenie dla stosowania uproszczonych procedur do realizacji strategicznych inwestycji. Uchylenie tego przepisu jest konieczne mając na uwadze rozbudowanie listy inwestycji mogących skorzystać z udogodnień </w:t>
      </w:r>
      <w:r w:rsidR="003E2F06">
        <w:t xml:space="preserve">w zakresie procesu inwestycyjnego. Ponadto, w ocenie projektodawcy, brak jest uzasadnienia dla czasowego ograniczenia możliwości stosowania przepisów ustawy </w:t>
      </w:r>
      <w:r w:rsidR="003E2F06" w:rsidRPr="003E2F06">
        <w:rPr>
          <w:i/>
          <w:iCs/>
        </w:rPr>
        <w:t>o</w:t>
      </w:r>
      <w:r w:rsidR="00E86664">
        <w:rPr>
          <w:i/>
          <w:iCs/>
        </w:rPr>
        <w:t> </w:t>
      </w:r>
      <w:r w:rsidR="003E2F06" w:rsidRPr="003E2F06">
        <w:rPr>
          <w:i/>
          <w:iCs/>
        </w:rPr>
        <w:t>przygotowaniu i realizacji strategicznych inwestycji w zakresie sieci przesyłowych</w:t>
      </w:r>
      <w:r w:rsidR="003E2F06">
        <w:t>, w</w:t>
      </w:r>
      <w:r w:rsidR="00E86664">
        <w:t> </w:t>
      </w:r>
      <w:r w:rsidR="003E2F06">
        <w:t xml:space="preserve">szczególności w kontekście wyzwań związanych z transformacją energetyczną oraz zwiększającym się obciążeniem sieci przesyłowej elektroenergetycznej oraz sieci dystrybucyjnych w związku z dynamicznym wzrostem przyłączeń odnawialnych źródeł energii. Co więcej, proponowana zmiana polegająca na rezygnacji z ograniczenia czasowego </w:t>
      </w:r>
      <w:r w:rsidR="003E2F06">
        <w:lastRenderedPageBreak/>
        <w:t>obowiązywania ustawy</w:t>
      </w:r>
      <w:r w:rsidR="003E2F06" w:rsidRPr="003E2F06">
        <w:rPr>
          <w:i/>
          <w:iCs/>
        </w:rPr>
        <w:t xml:space="preserve"> o przygotowaniu i realizacji strategicznych inwestycji w zakresie sieci przesyłowych</w:t>
      </w:r>
      <w:r w:rsidR="003E2F06">
        <w:rPr>
          <w:i/>
          <w:iCs/>
        </w:rPr>
        <w:t xml:space="preserve"> </w:t>
      </w:r>
      <w:r w:rsidR="003E2F06">
        <w:t>jest zgodna z założeniami strategicznych dokumentów rządowych, w tym w</w:t>
      </w:r>
      <w:r w:rsidR="00E86664">
        <w:t> </w:t>
      </w:r>
      <w:r w:rsidR="003E2F06">
        <w:t xml:space="preserve">szczególności z </w:t>
      </w:r>
      <w:r w:rsidR="003E2F06">
        <w:rPr>
          <w:i/>
          <w:iCs/>
        </w:rPr>
        <w:t xml:space="preserve">Polityką energetyczną Polski do 2040 r. </w:t>
      </w:r>
    </w:p>
    <w:p w14:paraId="7B838B20" w14:textId="07ABA34B" w:rsidR="0092533E" w:rsidRPr="0054175C" w:rsidRDefault="0092533E" w:rsidP="003B431B">
      <w:pPr>
        <w:widowControl/>
        <w:suppressAutoHyphens/>
        <w:autoSpaceDE/>
        <w:autoSpaceDN/>
        <w:adjustRightInd/>
        <w:spacing w:after="60"/>
        <w:jc w:val="both"/>
        <w:rPr>
          <w:b/>
          <w:bCs/>
          <w:i/>
          <w:iCs/>
          <w:u w:val="single"/>
        </w:rPr>
      </w:pPr>
      <w:r w:rsidRPr="0054175C">
        <w:rPr>
          <w:b/>
          <w:bCs/>
          <w:u w:val="single"/>
        </w:rPr>
        <w:t>Ustawa</w:t>
      </w:r>
      <w:r w:rsidRPr="0054175C">
        <w:rPr>
          <w:b/>
          <w:bCs/>
          <w:i/>
          <w:iCs/>
          <w:u w:val="single"/>
        </w:rPr>
        <w:t xml:space="preserve"> </w:t>
      </w:r>
      <w:r w:rsidR="00FC28EC" w:rsidRPr="0054175C">
        <w:rPr>
          <w:b/>
          <w:bCs/>
          <w:u w:val="single"/>
        </w:rPr>
        <w:t xml:space="preserve">z dnia 7 lipca 1994 r. </w:t>
      </w:r>
      <w:r w:rsidRPr="0054175C">
        <w:rPr>
          <w:b/>
          <w:bCs/>
          <w:i/>
          <w:iCs/>
          <w:u w:val="single"/>
        </w:rPr>
        <w:t>– Prawo budowlane</w:t>
      </w:r>
    </w:p>
    <w:p w14:paraId="0F89BD05" w14:textId="51C80AC8" w:rsidR="0092533E" w:rsidRPr="001D4E2F" w:rsidRDefault="003F5A17" w:rsidP="0017221C">
      <w:pPr>
        <w:pStyle w:val="Akapitzlist"/>
        <w:widowControl/>
        <w:numPr>
          <w:ilvl w:val="0"/>
          <w:numId w:val="4"/>
        </w:numPr>
        <w:suppressAutoHyphens/>
        <w:autoSpaceDE/>
        <w:autoSpaceDN/>
        <w:adjustRightInd/>
        <w:spacing w:before="240" w:after="60"/>
        <w:jc w:val="both"/>
        <w:rPr>
          <w:rFonts w:eastAsia="Calibri" w:cs="Times New Roman"/>
          <w:b/>
          <w:bCs/>
          <w:szCs w:val="24"/>
          <w:lang w:eastAsia="ar-SA"/>
        </w:rPr>
      </w:pPr>
      <w:r w:rsidRPr="001D4E2F">
        <w:rPr>
          <w:rFonts w:eastAsia="Calibri" w:cs="Times New Roman"/>
          <w:b/>
          <w:bCs/>
          <w:szCs w:val="24"/>
          <w:lang w:eastAsia="ar-SA"/>
        </w:rPr>
        <w:t>zmiana art. 3 pkt 7a – zmiana definicji „przebudowy”</w:t>
      </w:r>
    </w:p>
    <w:p w14:paraId="1A3D9CB0" w14:textId="75E5275A" w:rsidR="003F5A17" w:rsidRPr="00C36939" w:rsidRDefault="003F5A17" w:rsidP="0017221C">
      <w:pPr>
        <w:widowControl/>
        <w:suppressAutoHyphens/>
        <w:autoSpaceDE/>
        <w:autoSpaceDN/>
        <w:adjustRightInd/>
        <w:spacing w:before="240" w:after="60"/>
        <w:jc w:val="both"/>
      </w:pPr>
      <w:r w:rsidRPr="00C36939">
        <w:t xml:space="preserve">Proponuje się zmianę definicji przebudowy tak, aby obejmowała ona również roboty budowlane dot. linii elektroenergetycznych, w których </w:t>
      </w:r>
      <w:r w:rsidR="00BB4127">
        <w:t>dopuszczalna jest</w:t>
      </w:r>
      <w:r w:rsidRPr="00C36939">
        <w:t xml:space="preserve"> zmian</w:t>
      </w:r>
      <w:r w:rsidR="00BB4127">
        <w:t>a</w:t>
      </w:r>
      <w:r w:rsidRPr="00C36939">
        <w:t xml:space="preserve"> </w:t>
      </w:r>
      <w:r w:rsidR="00211AF6">
        <w:t xml:space="preserve">niektórych </w:t>
      </w:r>
      <w:r w:rsidRPr="00C36939">
        <w:t>charakterystycznych parametrów. W tym celu, proponuje się wprowadzenie zastrzeżenia, że w</w:t>
      </w:r>
      <w:r w:rsidR="00E86664">
        <w:t> p</w:t>
      </w:r>
      <w:r w:rsidRPr="00C36939">
        <w:t xml:space="preserve">rzypadku robót budowalnych dotyczących linii elektroenergetycznych, za przebudowę można również traktować działanie, które </w:t>
      </w:r>
      <w:r w:rsidR="003604C4">
        <w:t xml:space="preserve">zmienia charakterystyczne parametry - </w:t>
      </w:r>
      <w:r w:rsidR="00211AF6">
        <w:t xml:space="preserve">np. </w:t>
      </w:r>
      <w:r w:rsidRPr="00C36939">
        <w:t xml:space="preserve">doprowadzi do zmiany długości wykorzystanego kabla. </w:t>
      </w:r>
    </w:p>
    <w:p w14:paraId="58C1EA24" w14:textId="6DF2E055" w:rsidR="003F5A17" w:rsidRDefault="003F5A17" w:rsidP="003F5A17">
      <w:pPr>
        <w:widowControl/>
        <w:suppressAutoHyphens/>
        <w:autoSpaceDE/>
        <w:autoSpaceDN/>
        <w:adjustRightInd/>
        <w:spacing w:after="60"/>
        <w:jc w:val="both"/>
      </w:pPr>
      <w:r w:rsidRPr="00C36939">
        <w:t xml:space="preserve">Projektowana zmiana pozwoli na częstsze korzystanie przez operatorów systemów elektroenergetycznych z instytucji przebudowy, a tym samym zwolnienie ich z obowiązku uzyskiwania pozwoleń na budowę w przypadku prowadzenia robót budowlanych, które nie prowadzą do istotnej zmiany </w:t>
      </w:r>
      <w:r w:rsidR="00C36939" w:rsidRPr="00C36939">
        <w:t xml:space="preserve">długości linii. </w:t>
      </w:r>
      <w:r w:rsidR="00882E01">
        <w:t>Proponowana zmiana ma na celu uproszczenie oraz przyśpieszenie procesów inwestycyjnych, które mają na celu jedynie przebudowę linii elektroenergetycznej.</w:t>
      </w:r>
      <w:r w:rsidR="0017221C">
        <w:t xml:space="preserve"> W celu uproszczenia procesu przebudowy linii elektroenergetycznych, proponuje się </w:t>
      </w:r>
      <w:r w:rsidR="00703DC7">
        <w:t xml:space="preserve">uzupełnienie </w:t>
      </w:r>
      <w:r w:rsidR="0017221C">
        <w:t>przedmiotowej definicji.</w:t>
      </w:r>
    </w:p>
    <w:p w14:paraId="1A94260C" w14:textId="7F54E19A" w:rsidR="0017221C" w:rsidRPr="001D4E2F" w:rsidRDefault="0017221C" w:rsidP="0017221C">
      <w:pPr>
        <w:pStyle w:val="Akapitzlist"/>
        <w:widowControl/>
        <w:numPr>
          <w:ilvl w:val="0"/>
          <w:numId w:val="4"/>
        </w:numPr>
        <w:suppressAutoHyphens/>
        <w:autoSpaceDE/>
        <w:autoSpaceDN/>
        <w:adjustRightInd/>
        <w:spacing w:before="240" w:after="60"/>
        <w:jc w:val="both"/>
        <w:rPr>
          <w:rFonts w:eastAsia="Calibri" w:cs="Times New Roman"/>
          <w:b/>
          <w:bCs/>
          <w:szCs w:val="24"/>
          <w:lang w:eastAsia="ar-SA"/>
        </w:rPr>
      </w:pPr>
      <w:r w:rsidRPr="001D4E2F">
        <w:rPr>
          <w:rFonts w:eastAsia="Calibri" w:cs="Times New Roman"/>
          <w:b/>
          <w:bCs/>
          <w:szCs w:val="24"/>
          <w:lang w:eastAsia="ar-SA"/>
        </w:rPr>
        <w:t xml:space="preserve">zmiana art. 5a poprzez dodanie nowego ust. 1a – wprowadzenie możliwości publicznego obwieszczania decyzji w przypadku gruntów o nieuregulowanym stanie prawnym </w:t>
      </w:r>
    </w:p>
    <w:p w14:paraId="765FC0F6" w14:textId="3E9179BE" w:rsidR="0017221C" w:rsidRDefault="00045569" w:rsidP="0017221C">
      <w:pPr>
        <w:widowControl/>
        <w:suppressAutoHyphens/>
        <w:autoSpaceDE/>
        <w:autoSpaceDN/>
        <w:adjustRightInd/>
        <w:spacing w:after="60"/>
        <w:jc w:val="both"/>
        <w:rPr>
          <w:rFonts w:eastAsia="Calibri" w:cs="Times New Roman"/>
          <w:szCs w:val="24"/>
          <w:lang w:eastAsia="ar-SA"/>
        </w:rPr>
      </w:pPr>
      <w:r>
        <w:rPr>
          <w:rFonts w:eastAsia="Calibri" w:cs="Times New Roman"/>
          <w:szCs w:val="24"/>
          <w:lang w:eastAsia="ar-SA"/>
        </w:rPr>
        <w:t xml:space="preserve">Proponuje się dodanie regulacji, która umożliwia zastosowanie art. 49 ustawy – </w:t>
      </w:r>
      <w:r>
        <w:rPr>
          <w:rFonts w:eastAsia="Calibri" w:cs="Times New Roman"/>
          <w:i/>
          <w:iCs/>
          <w:szCs w:val="24"/>
          <w:lang w:eastAsia="ar-SA"/>
        </w:rPr>
        <w:t xml:space="preserve">kodeks postępowania administracyjnego </w:t>
      </w:r>
      <w:r>
        <w:rPr>
          <w:rFonts w:eastAsia="Calibri" w:cs="Times New Roman"/>
          <w:szCs w:val="24"/>
          <w:lang w:eastAsia="ar-SA"/>
        </w:rPr>
        <w:t xml:space="preserve">do sytuacji, w której decyzja starosty dot. umożliwienia wejścia na grunt dotyczy gruntu o nieuregulowanym stanie prawnym. W konsekwencji, decyzja starosty będzie </w:t>
      </w:r>
      <w:r w:rsidR="00326690">
        <w:rPr>
          <w:rFonts w:eastAsia="Calibri" w:cs="Times New Roman"/>
          <w:szCs w:val="24"/>
          <w:lang w:eastAsia="ar-SA"/>
        </w:rPr>
        <w:t xml:space="preserve">podawana do publicznej wiadomości, w formie </w:t>
      </w:r>
      <w:r>
        <w:rPr>
          <w:rFonts w:eastAsia="Calibri" w:cs="Times New Roman"/>
          <w:szCs w:val="24"/>
          <w:lang w:eastAsia="ar-SA"/>
        </w:rPr>
        <w:t>publiczn</w:t>
      </w:r>
      <w:r w:rsidR="00326690">
        <w:rPr>
          <w:rFonts w:eastAsia="Calibri" w:cs="Times New Roman"/>
          <w:szCs w:val="24"/>
          <w:lang w:eastAsia="ar-SA"/>
        </w:rPr>
        <w:t>ego</w:t>
      </w:r>
      <w:r>
        <w:rPr>
          <w:rFonts w:eastAsia="Calibri" w:cs="Times New Roman"/>
          <w:szCs w:val="24"/>
          <w:lang w:eastAsia="ar-SA"/>
        </w:rPr>
        <w:t xml:space="preserve"> obwieszcz</w:t>
      </w:r>
      <w:r w:rsidR="00326690">
        <w:rPr>
          <w:rFonts w:eastAsia="Calibri" w:cs="Times New Roman"/>
          <w:szCs w:val="24"/>
          <w:lang w:eastAsia="ar-SA"/>
        </w:rPr>
        <w:t>e</w:t>
      </w:r>
      <w:r>
        <w:rPr>
          <w:rFonts w:eastAsia="Calibri" w:cs="Times New Roman"/>
          <w:szCs w:val="24"/>
          <w:lang w:eastAsia="ar-SA"/>
        </w:rPr>
        <w:t>n</w:t>
      </w:r>
      <w:r w:rsidR="00326690">
        <w:rPr>
          <w:rFonts w:eastAsia="Calibri" w:cs="Times New Roman"/>
          <w:szCs w:val="24"/>
          <w:lang w:eastAsia="ar-SA"/>
        </w:rPr>
        <w:t>i</w:t>
      </w:r>
      <w:r>
        <w:rPr>
          <w:rFonts w:eastAsia="Calibri" w:cs="Times New Roman"/>
          <w:szCs w:val="24"/>
          <w:lang w:eastAsia="ar-SA"/>
        </w:rPr>
        <w:t>a lub innej formie zwyczajowo przyjętej w danej miejscowości. W konsekwencji, zwiększy się pewność prawna inwestora w sieć elektroenergetyczną, która ma przebiegać przez grunt o</w:t>
      </w:r>
      <w:r w:rsidR="00E86664">
        <w:rPr>
          <w:rFonts w:eastAsia="Calibri" w:cs="Times New Roman"/>
          <w:szCs w:val="24"/>
          <w:lang w:eastAsia="ar-SA"/>
        </w:rPr>
        <w:t> </w:t>
      </w:r>
      <w:r>
        <w:rPr>
          <w:rFonts w:eastAsia="Calibri" w:cs="Times New Roman"/>
          <w:szCs w:val="24"/>
          <w:lang w:eastAsia="ar-SA"/>
        </w:rPr>
        <w:t>nieuregulowanym stanie prawnym, w szczególności w zakresie prawidłowego określenia terminu, w którym dana decyzja stała się ostateczna.</w:t>
      </w:r>
    </w:p>
    <w:p w14:paraId="28B13ACF" w14:textId="19951DD5" w:rsidR="00045569" w:rsidRPr="001D4E2F" w:rsidRDefault="001D4E2F" w:rsidP="00650C44">
      <w:pPr>
        <w:pStyle w:val="Akapitzlist"/>
        <w:widowControl/>
        <w:numPr>
          <w:ilvl w:val="0"/>
          <w:numId w:val="4"/>
        </w:numPr>
        <w:suppressAutoHyphens/>
        <w:autoSpaceDE/>
        <w:autoSpaceDN/>
        <w:adjustRightInd/>
        <w:spacing w:before="240" w:after="60"/>
        <w:jc w:val="both"/>
        <w:rPr>
          <w:rFonts w:eastAsia="Calibri" w:cs="Times New Roman"/>
          <w:b/>
          <w:bCs/>
          <w:szCs w:val="24"/>
          <w:lang w:eastAsia="ar-SA"/>
        </w:rPr>
      </w:pPr>
      <w:r w:rsidRPr="001D4E2F">
        <w:rPr>
          <w:rFonts w:eastAsia="Calibri" w:cs="Times New Roman"/>
          <w:b/>
          <w:bCs/>
          <w:szCs w:val="24"/>
          <w:lang w:eastAsia="ar-SA"/>
        </w:rPr>
        <w:t>z</w:t>
      </w:r>
      <w:r w:rsidR="00650C44" w:rsidRPr="001D4E2F">
        <w:rPr>
          <w:rFonts w:eastAsia="Calibri" w:cs="Times New Roman"/>
          <w:b/>
          <w:bCs/>
          <w:szCs w:val="24"/>
          <w:lang w:eastAsia="ar-SA"/>
        </w:rPr>
        <w:t>miana art. 20 ust. 1 poprzez dodanie pkt 1ba – obowiązek uzgodnień pomiędzy projektantem oraz operatorami systemów elektroenergetycznych</w:t>
      </w:r>
    </w:p>
    <w:p w14:paraId="2C01626C" w14:textId="05ACAF09" w:rsidR="00650C44" w:rsidRDefault="00650C44" w:rsidP="00650C44">
      <w:pPr>
        <w:widowControl/>
        <w:suppressAutoHyphens/>
        <w:autoSpaceDE/>
        <w:autoSpaceDN/>
        <w:adjustRightInd/>
        <w:spacing w:before="240" w:after="60"/>
        <w:jc w:val="both"/>
        <w:rPr>
          <w:rFonts w:eastAsia="Calibri" w:cs="Times New Roman"/>
          <w:szCs w:val="24"/>
          <w:lang w:eastAsia="ar-SA"/>
        </w:rPr>
      </w:pPr>
      <w:r>
        <w:rPr>
          <w:rFonts w:eastAsia="Calibri" w:cs="Times New Roman"/>
          <w:szCs w:val="24"/>
          <w:lang w:eastAsia="ar-SA"/>
        </w:rPr>
        <w:lastRenderedPageBreak/>
        <w:t xml:space="preserve">Proponowana zmiana ma na celu wprowadzenie obowiązku po stronie projektanta obiektu budowlanego do uzgodnienia z operatorami systemów elektroenergetycznych, czy planowany obiekt będzie znajdował się w bezpiecznej, wymaganej odrębnymi przepisami, odległości od linii elektroenergetycznej. Przedmiotowy przepis ma na celu ochronę zdrowia publicznego poprzez zwiększenie stopnia </w:t>
      </w:r>
      <w:r w:rsidR="001D4E2F">
        <w:rPr>
          <w:rFonts w:eastAsia="Calibri" w:cs="Times New Roman"/>
          <w:szCs w:val="24"/>
          <w:lang w:eastAsia="ar-SA"/>
        </w:rPr>
        <w:t xml:space="preserve">koordynacji pomiędzy planami rozbudowy zasobów mieszkalnych a planami rozwojowymi operatorów systemów elektroenergetycznych, opracowywanymi na podstawie art. 16 ustawy – </w:t>
      </w:r>
      <w:r w:rsidR="001D4E2F">
        <w:rPr>
          <w:rFonts w:eastAsia="Calibri" w:cs="Times New Roman"/>
          <w:i/>
          <w:iCs/>
          <w:szCs w:val="24"/>
          <w:lang w:eastAsia="ar-SA"/>
        </w:rPr>
        <w:t>Prawo energetyczne</w:t>
      </w:r>
      <w:r w:rsidR="001D4E2F">
        <w:rPr>
          <w:rFonts w:eastAsia="Calibri" w:cs="Times New Roman"/>
          <w:szCs w:val="24"/>
          <w:lang w:eastAsia="ar-SA"/>
        </w:rPr>
        <w:t xml:space="preserve">. </w:t>
      </w:r>
    </w:p>
    <w:p w14:paraId="4CC3ABA9" w14:textId="22A3B72F" w:rsidR="001D4E2F" w:rsidRDefault="001D4E2F" w:rsidP="001D4E2F">
      <w:pPr>
        <w:pStyle w:val="Akapitzlist"/>
        <w:widowControl/>
        <w:numPr>
          <w:ilvl w:val="0"/>
          <w:numId w:val="4"/>
        </w:numPr>
        <w:suppressAutoHyphens/>
        <w:autoSpaceDE/>
        <w:autoSpaceDN/>
        <w:adjustRightInd/>
        <w:spacing w:before="240" w:after="60"/>
        <w:jc w:val="both"/>
        <w:rPr>
          <w:rFonts w:eastAsia="Calibri" w:cs="Times New Roman"/>
          <w:b/>
          <w:bCs/>
          <w:szCs w:val="24"/>
          <w:lang w:eastAsia="ar-SA"/>
        </w:rPr>
      </w:pPr>
      <w:r w:rsidRPr="001D4E2F">
        <w:rPr>
          <w:rFonts w:eastAsia="Calibri" w:cs="Times New Roman"/>
          <w:b/>
          <w:bCs/>
          <w:szCs w:val="24"/>
          <w:lang w:eastAsia="ar-SA"/>
        </w:rPr>
        <w:t xml:space="preserve">zmiana art. 28 poprzez dodanie ust. 2a – wyłączenie z postępowania w sprawie pozwolenia na budowę osób względem których wydana została decyzja w sprawie </w:t>
      </w:r>
      <w:r>
        <w:rPr>
          <w:rFonts w:eastAsia="Calibri" w:cs="Times New Roman"/>
          <w:b/>
          <w:bCs/>
          <w:szCs w:val="24"/>
          <w:lang w:eastAsia="ar-SA"/>
        </w:rPr>
        <w:t>ograniczenia władztwa nad nieruchomością</w:t>
      </w:r>
    </w:p>
    <w:p w14:paraId="2514023E" w14:textId="67BEC868" w:rsidR="00F06E3F" w:rsidRDefault="00FC28EC" w:rsidP="001D4E2F">
      <w:pPr>
        <w:widowControl/>
        <w:suppressAutoHyphens/>
        <w:autoSpaceDE/>
        <w:autoSpaceDN/>
        <w:adjustRightInd/>
        <w:spacing w:before="240" w:after="60"/>
        <w:jc w:val="both"/>
        <w:rPr>
          <w:rFonts w:eastAsia="Calibri" w:cs="Times New Roman"/>
          <w:szCs w:val="24"/>
          <w:lang w:eastAsia="ar-SA"/>
        </w:rPr>
      </w:pPr>
      <w:r>
        <w:rPr>
          <w:rFonts w:eastAsia="Calibri" w:cs="Times New Roman"/>
          <w:szCs w:val="24"/>
          <w:lang w:eastAsia="ar-SA"/>
        </w:rPr>
        <w:t xml:space="preserve">Proponowana zmiana w ustawie – </w:t>
      </w:r>
      <w:r>
        <w:rPr>
          <w:rFonts w:eastAsia="Calibri" w:cs="Times New Roman"/>
          <w:i/>
          <w:iCs/>
          <w:szCs w:val="24"/>
          <w:lang w:eastAsia="ar-SA"/>
        </w:rPr>
        <w:t xml:space="preserve">Prawo budowlane </w:t>
      </w:r>
      <w:r>
        <w:rPr>
          <w:rFonts w:eastAsia="Calibri" w:cs="Times New Roman"/>
          <w:szCs w:val="24"/>
          <w:lang w:eastAsia="ar-SA"/>
        </w:rPr>
        <w:t xml:space="preserve">ma na celu przyśpieszenie postepowań administracyjnych w sprawie wydania pozwolenia na budowę odnośnie nieruchomości dla których starosta wydał decyzję w sprawie wywłaszczenia przez ograniczenie praw do gruntów (decyzję na podstawie art. 124 ustawy z dnia 21 sierpnia 1997 r. </w:t>
      </w:r>
      <w:r>
        <w:rPr>
          <w:rFonts w:eastAsia="Calibri" w:cs="Times New Roman"/>
          <w:i/>
          <w:iCs/>
          <w:szCs w:val="24"/>
          <w:lang w:eastAsia="ar-SA"/>
        </w:rPr>
        <w:t>o gospodarce nieruchomościami</w:t>
      </w:r>
      <w:r>
        <w:rPr>
          <w:rFonts w:eastAsia="Calibri" w:cs="Times New Roman"/>
          <w:szCs w:val="24"/>
          <w:lang w:eastAsia="ar-SA"/>
        </w:rPr>
        <w:t xml:space="preserve">). W praktyce inwestycyjnej, niejednokrotnie osoby, które były adresatami decyzji wydanej zgodnie z wyżej wspomnianym przepisem ustawy </w:t>
      </w:r>
      <w:r>
        <w:rPr>
          <w:rFonts w:eastAsia="Calibri" w:cs="Times New Roman"/>
          <w:i/>
          <w:iCs/>
          <w:szCs w:val="24"/>
          <w:lang w:eastAsia="ar-SA"/>
        </w:rPr>
        <w:t xml:space="preserve">o gospodarce nieruchomościami </w:t>
      </w:r>
      <w:r>
        <w:rPr>
          <w:rFonts w:eastAsia="Calibri" w:cs="Times New Roman"/>
          <w:szCs w:val="24"/>
          <w:lang w:eastAsia="ar-SA"/>
        </w:rPr>
        <w:t>przystępowały również jako strona do późniejszych postępowań administracyjnych, w tym postępowań administracyjnych w celu wydania decyzji o pozwoleniu na budowę. Proponowana zmiana ma na celu uniemożliwienie takim osobom utrudniania i</w:t>
      </w:r>
      <w:r w:rsidR="00E86664">
        <w:rPr>
          <w:rFonts w:eastAsia="Calibri" w:cs="Times New Roman"/>
          <w:szCs w:val="24"/>
          <w:lang w:eastAsia="ar-SA"/>
        </w:rPr>
        <w:t> </w:t>
      </w:r>
      <w:r>
        <w:rPr>
          <w:rFonts w:eastAsia="Calibri" w:cs="Times New Roman"/>
          <w:szCs w:val="24"/>
          <w:lang w:eastAsia="ar-SA"/>
        </w:rPr>
        <w:t>przedłużania postępowań w sprawie wydania pozwolenia na budowę</w:t>
      </w:r>
      <w:r w:rsidR="00F06E3F">
        <w:rPr>
          <w:rFonts w:eastAsia="Calibri" w:cs="Times New Roman"/>
          <w:szCs w:val="24"/>
          <w:lang w:eastAsia="ar-SA"/>
        </w:rPr>
        <w:t>.</w:t>
      </w:r>
    </w:p>
    <w:p w14:paraId="7DB745FC" w14:textId="2359E7DB" w:rsidR="001D4E2F" w:rsidRPr="00FC28EC" w:rsidRDefault="00F06E3F" w:rsidP="001D4E2F">
      <w:pPr>
        <w:widowControl/>
        <w:suppressAutoHyphens/>
        <w:autoSpaceDE/>
        <w:autoSpaceDN/>
        <w:adjustRightInd/>
        <w:spacing w:before="240" w:after="60"/>
        <w:jc w:val="both"/>
        <w:rPr>
          <w:rFonts w:eastAsia="Calibri" w:cs="Times New Roman"/>
          <w:szCs w:val="24"/>
          <w:lang w:eastAsia="ar-SA"/>
        </w:rPr>
      </w:pPr>
      <w:r>
        <w:rPr>
          <w:rFonts w:eastAsia="Calibri" w:cs="Times New Roman"/>
          <w:szCs w:val="24"/>
          <w:lang w:eastAsia="ar-SA"/>
        </w:rPr>
        <w:t xml:space="preserve">Należy przy tym zauważyć, że decyzja wydawana na podstawie art. 124 ustawy </w:t>
      </w:r>
      <w:r>
        <w:rPr>
          <w:rFonts w:eastAsia="Calibri" w:cs="Times New Roman"/>
          <w:i/>
          <w:iCs/>
          <w:szCs w:val="24"/>
          <w:lang w:eastAsia="ar-SA"/>
        </w:rPr>
        <w:t xml:space="preserve">o gospodarce nieruchomościami </w:t>
      </w:r>
      <w:r>
        <w:rPr>
          <w:rFonts w:eastAsia="Calibri" w:cs="Times New Roman"/>
          <w:szCs w:val="24"/>
          <w:lang w:eastAsia="ar-SA"/>
        </w:rPr>
        <w:t xml:space="preserve">zapewnia tym stronom prawo bycia wysłuchanym przez organ administracji publicznej oraz prawo przedstawienia swoich racji w ramach postępowania dot. wydania decyzji na podstawie ustawy </w:t>
      </w:r>
      <w:r>
        <w:rPr>
          <w:rFonts w:eastAsia="Calibri" w:cs="Times New Roman"/>
          <w:i/>
          <w:iCs/>
          <w:szCs w:val="24"/>
          <w:lang w:eastAsia="ar-SA"/>
        </w:rPr>
        <w:t>o  gospodarce nieruchomościami</w:t>
      </w:r>
      <w:r>
        <w:rPr>
          <w:rFonts w:eastAsia="Calibri" w:cs="Times New Roman"/>
          <w:szCs w:val="24"/>
          <w:lang w:eastAsia="ar-SA"/>
        </w:rPr>
        <w:t xml:space="preserve">. Tym samym, ograniczenie praw procesowych tych osób w postępowaniu w sprawie wydania decyzji w sprawie pozwolenia na budowę nie można traktować jako rzeczywiste pozbawienie tych osób praw aktywnego uczestniczenia w postępowaniu administracyjnym, a jedynie ograniczenie </w:t>
      </w:r>
      <w:r>
        <w:rPr>
          <w:rFonts w:eastAsia="Calibri" w:cs="Times New Roman"/>
          <w:i/>
          <w:iCs/>
          <w:szCs w:val="24"/>
          <w:lang w:eastAsia="ar-SA"/>
        </w:rPr>
        <w:t xml:space="preserve">de facto </w:t>
      </w:r>
      <w:r>
        <w:rPr>
          <w:rFonts w:eastAsia="Calibri" w:cs="Times New Roman"/>
          <w:szCs w:val="24"/>
          <w:lang w:eastAsia="ar-SA"/>
        </w:rPr>
        <w:t xml:space="preserve">dodatkowego uprawnienia ponownego przedstawienia swoich racji. W ocenie projektodawcy, uprawnienie to w pełni może być zrealizowane w ramach zwyczajowych procedur odwoławczych od decyzji wydanej przez starostę, również w ramach postępowania przed niezawisłym sądem administracyjny. </w:t>
      </w:r>
      <w:r>
        <w:rPr>
          <w:rFonts w:eastAsia="Calibri" w:cs="Times New Roman"/>
          <w:i/>
          <w:iCs/>
          <w:szCs w:val="24"/>
          <w:lang w:eastAsia="ar-SA"/>
        </w:rPr>
        <w:t xml:space="preserve"> </w:t>
      </w:r>
      <w:r w:rsidR="00FC28EC">
        <w:rPr>
          <w:rFonts w:eastAsia="Calibri" w:cs="Times New Roman"/>
          <w:szCs w:val="24"/>
          <w:lang w:eastAsia="ar-SA"/>
        </w:rPr>
        <w:t xml:space="preserve">  </w:t>
      </w:r>
    </w:p>
    <w:p w14:paraId="3709D6CD" w14:textId="64464680" w:rsidR="001D4E2F" w:rsidRDefault="0005611E" w:rsidP="0005611E">
      <w:pPr>
        <w:pStyle w:val="Akapitzlist"/>
        <w:widowControl/>
        <w:numPr>
          <w:ilvl w:val="0"/>
          <w:numId w:val="4"/>
        </w:numPr>
        <w:suppressAutoHyphens/>
        <w:autoSpaceDE/>
        <w:autoSpaceDN/>
        <w:adjustRightInd/>
        <w:spacing w:before="240" w:after="60"/>
        <w:jc w:val="both"/>
        <w:rPr>
          <w:rFonts w:eastAsia="Calibri" w:cs="Times New Roman"/>
          <w:b/>
          <w:bCs/>
          <w:szCs w:val="24"/>
          <w:lang w:eastAsia="ar-SA"/>
        </w:rPr>
      </w:pPr>
      <w:r w:rsidRPr="0005611E">
        <w:rPr>
          <w:rFonts w:eastAsia="Calibri" w:cs="Times New Roman"/>
          <w:b/>
          <w:bCs/>
          <w:szCs w:val="24"/>
          <w:lang w:eastAsia="ar-SA"/>
        </w:rPr>
        <w:lastRenderedPageBreak/>
        <w:t xml:space="preserve">zmiana art. 29 ust. 1 poprzez dodanie pkt 19a – zwolnienie inwestycji w sieć elektroenergetyczną o napięciu znamionowym </w:t>
      </w:r>
      <w:r w:rsidR="0054175C">
        <w:rPr>
          <w:rFonts w:eastAsia="Calibri" w:cs="Times New Roman"/>
          <w:b/>
          <w:bCs/>
          <w:szCs w:val="24"/>
          <w:lang w:eastAsia="ar-SA"/>
        </w:rPr>
        <w:t>niższ</w:t>
      </w:r>
      <w:r w:rsidRPr="0005611E">
        <w:rPr>
          <w:rFonts w:eastAsia="Calibri" w:cs="Times New Roman"/>
          <w:b/>
          <w:bCs/>
          <w:szCs w:val="24"/>
          <w:lang w:eastAsia="ar-SA"/>
        </w:rPr>
        <w:t>ym niż 110 kV z obowiązku uzyskania pozwolenia na budowę</w:t>
      </w:r>
    </w:p>
    <w:p w14:paraId="5D555B69" w14:textId="13403ABE" w:rsidR="0005611E" w:rsidRDefault="0054175C" w:rsidP="0005611E">
      <w:pPr>
        <w:widowControl/>
        <w:suppressAutoHyphens/>
        <w:autoSpaceDE/>
        <w:autoSpaceDN/>
        <w:adjustRightInd/>
        <w:spacing w:before="240" w:after="60"/>
        <w:jc w:val="both"/>
        <w:rPr>
          <w:rFonts w:eastAsia="Calibri" w:cs="Times New Roman"/>
          <w:szCs w:val="24"/>
          <w:lang w:eastAsia="ar-SA"/>
        </w:rPr>
      </w:pPr>
      <w:r>
        <w:rPr>
          <w:rFonts w:eastAsia="Calibri" w:cs="Times New Roman"/>
          <w:szCs w:val="24"/>
          <w:lang w:eastAsia="ar-SA"/>
        </w:rPr>
        <w:t>Proponowana zmiana ma na celu uproszczenie inwestycji w sieć elektroenergetyczną o</w:t>
      </w:r>
      <w:r w:rsidR="00E86664">
        <w:rPr>
          <w:rFonts w:eastAsia="Calibri" w:cs="Times New Roman"/>
          <w:szCs w:val="24"/>
          <w:lang w:eastAsia="ar-SA"/>
        </w:rPr>
        <w:t> </w:t>
      </w:r>
      <w:r>
        <w:rPr>
          <w:rFonts w:eastAsia="Calibri" w:cs="Times New Roman"/>
          <w:szCs w:val="24"/>
          <w:lang w:eastAsia="ar-SA"/>
        </w:rPr>
        <w:t>napięciu niższym i średnim i polega na zniesieniu obowiązku uzyskania pozwolenia na budowę w przypadku realizacji inwestycji w sieć elektroenergetyczną o napięciu znamionowym niższym niż 110 kV. Proponowana  zmiana doprowadzi do istotnego uproszczenia i usprawnienia procesu inwestycyjnego, a tym samym na szybszym i</w:t>
      </w:r>
      <w:r w:rsidR="00E86664">
        <w:rPr>
          <w:rFonts w:eastAsia="Calibri" w:cs="Times New Roman"/>
          <w:szCs w:val="24"/>
          <w:lang w:eastAsia="ar-SA"/>
        </w:rPr>
        <w:t> </w:t>
      </w:r>
      <w:r>
        <w:rPr>
          <w:rFonts w:eastAsia="Calibri" w:cs="Times New Roman"/>
          <w:szCs w:val="24"/>
          <w:lang w:eastAsia="ar-SA"/>
        </w:rPr>
        <w:t>skuteczniejszym zaspokojeniu lokalnego zapotrzebowania na energię elektryczną.</w:t>
      </w:r>
    </w:p>
    <w:p w14:paraId="6B11FBD8" w14:textId="63698B58" w:rsidR="0054175C" w:rsidRDefault="0054175C" w:rsidP="0005611E">
      <w:pPr>
        <w:widowControl/>
        <w:suppressAutoHyphens/>
        <w:autoSpaceDE/>
        <w:autoSpaceDN/>
        <w:adjustRightInd/>
        <w:spacing w:before="240" w:after="60"/>
        <w:jc w:val="both"/>
        <w:rPr>
          <w:rFonts w:eastAsia="Calibri" w:cs="Times New Roman"/>
          <w:szCs w:val="24"/>
          <w:lang w:eastAsia="ar-SA"/>
        </w:rPr>
      </w:pPr>
      <w:r>
        <w:rPr>
          <w:rFonts w:eastAsia="Calibri" w:cs="Times New Roman"/>
          <w:szCs w:val="24"/>
          <w:lang w:eastAsia="ar-SA"/>
        </w:rPr>
        <w:t xml:space="preserve">Należy jednocześnie podkreślić, że proponowana zmiana nie spowoduje obniżenia standardów bezpieczeństwa w zakresie realizacji inwestycji w sieć elektroenergetyczną. Wieloletnia praktyka inwestycyjna wskazuje, ze realizacja </w:t>
      </w:r>
      <w:r w:rsidR="00250E33">
        <w:rPr>
          <w:rFonts w:eastAsia="Calibri" w:cs="Times New Roman"/>
          <w:szCs w:val="24"/>
          <w:lang w:eastAsia="ar-SA"/>
        </w:rPr>
        <w:t>inwestycji w sieć elektroenergetyczną opiera się na wdrażaniu opracowanych i powszechnie akceptowanych zarówno przez naukowców jak i</w:t>
      </w:r>
      <w:r w:rsidR="00E86664">
        <w:rPr>
          <w:rFonts w:eastAsia="Calibri" w:cs="Times New Roman"/>
          <w:szCs w:val="24"/>
          <w:lang w:eastAsia="ar-SA"/>
        </w:rPr>
        <w:t> </w:t>
      </w:r>
      <w:r w:rsidR="00250E33">
        <w:rPr>
          <w:rFonts w:eastAsia="Calibri" w:cs="Times New Roman"/>
          <w:szCs w:val="24"/>
          <w:lang w:eastAsia="ar-SA"/>
        </w:rPr>
        <w:t xml:space="preserve">praktyków standardów realizacji takich inwestycji. Konieczność przestrzegania ustandaryzowanych procedur oraz </w:t>
      </w:r>
      <w:r w:rsidR="008F506A">
        <w:rPr>
          <w:rFonts w:eastAsia="Calibri" w:cs="Times New Roman"/>
          <w:szCs w:val="24"/>
          <w:lang w:eastAsia="ar-SA"/>
        </w:rPr>
        <w:t xml:space="preserve">powszechnie akceptowanych praktyk stanowi gwarancję należytego oraz bezpiecznego realizowania projektów inwestycyjnych przez operatorów systemów elektroenergetycznych. </w:t>
      </w:r>
    </w:p>
    <w:p w14:paraId="46C75028" w14:textId="5A235570" w:rsidR="00AA13CD" w:rsidRDefault="00AA13CD" w:rsidP="0005611E">
      <w:pPr>
        <w:widowControl/>
        <w:suppressAutoHyphens/>
        <w:autoSpaceDE/>
        <w:autoSpaceDN/>
        <w:adjustRightInd/>
        <w:spacing w:before="240" w:after="60"/>
        <w:jc w:val="both"/>
        <w:rPr>
          <w:rFonts w:eastAsia="Calibri" w:cs="Times New Roman"/>
          <w:b/>
          <w:bCs/>
          <w:i/>
          <w:iCs/>
          <w:szCs w:val="24"/>
          <w:u w:val="single"/>
          <w:lang w:eastAsia="ar-SA"/>
        </w:rPr>
      </w:pPr>
      <w:r>
        <w:rPr>
          <w:rFonts w:eastAsia="Calibri" w:cs="Times New Roman"/>
          <w:b/>
          <w:bCs/>
          <w:szCs w:val="24"/>
          <w:u w:val="single"/>
          <w:lang w:eastAsia="ar-SA"/>
        </w:rPr>
        <w:t xml:space="preserve">Zmiana ustawy z dnia 21 sierpnia 1997 r. </w:t>
      </w:r>
      <w:r>
        <w:rPr>
          <w:rFonts w:eastAsia="Calibri" w:cs="Times New Roman"/>
          <w:b/>
          <w:bCs/>
          <w:i/>
          <w:iCs/>
          <w:szCs w:val="24"/>
          <w:u w:val="single"/>
          <w:lang w:eastAsia="ar-SA"/>
        </w:rPr>
        <w:t>o gospodarce nieruchomościami</w:t>
      </w:r>
    </w:p>
    <w:p w14:paraId="1891839B" w14:textId="1A0FAC04" w:rsidR="00AA13CD" w:rsidRDefault="00AA13CD" w:rsidP="00AA13CD">
      <w:pPr>
        <w:pStyle w:val="Akapitzlist"/>
        <w:widowControl/>
        <w:numPr>
          <w:ilvl w:val="0"/>
          <w:numId w:val="5"/>
        </w:numPr>
        <w:suppressAutoHyphens/>
        <w:autoSpaceDE/>
        <w:autoSpaceDN/>
        <w:adjustRightInd/>
        <w:spacing w:before="240" w:after="60"/>
        <w:jc w:val="both"/>
        <w:rPr>
          <w:rFonts w:eastAsia="Calibri" w:cs="Times New Roman"/>
          <w:b/>
          <w:bCs/>
          <w:szCs w:val="24"/>
          <w:lang w:eastAsia="ar-SA"/>
        </w:rPr>
      </w:pPr>
      <w:r w:rsidRPr="00AA13CD">
        <w:rPr>
          <w:rFonts w:eastAsia="Calibri" w:cs="Times New Roman"/>
          <w:b/>
          <w:bCs/>
          <w:szCs w:val="24"/>
          <w:lang w:eastAsia="ar-SA"/>
        </w:rPr>
        <w:t xml:space="preserve">zmiana art. 124 ust. 3 – określenie formy oraz terminu rokowań przed wydaniem decyzji starosty </w:t>
      </w:r>
    </w:p>
    <w:p w14:paraId="6646E70C" w14:textId="503F931B" w:rsidR="00AA13CD" w:rsidRDefault="00512CB8" w:rsidP="00AA13CD">
      <w:pPr>
        <w:widowControl/>
        <w:suppressAutoHyphens/>
        <w:autoSpaceDE/>
        <w:autoSpaceDN/>
        <w:adjustRightInd/>
        <w:spacing w:before="240" w:after="60"/>
        <w:jc w:val="both"/>
        <w:rPr>
          <w:rFonts w:eastAsia="Calibri" w:cs="Times New Roman"/>
          <w:szCs w:val="24"/>
          <w:lang w:eastAsia="ar-SA"/>
        </w:rPr>
      </w:pPr>
      <w:r>
        <w:rPr>
          <w:rFonts w:eastAsia="Calibri" w:cs="Times New Roman"/>
          <w:szCs w:val="24"/>
          <w:lang w:eastAsia="ar-SA"/>
        </w:rPr>
        <w:t xml:space="preserve">Proponowana zmiana polega na doprecyzowaniu formy prowadzenia rokowań z właścicielem nieruchomości, która ma być przedmiotem decyzji wydanej na podstawie art. 124 ustawy </w:t>
      </w:r>
      <w:r>
        <w:rPr>
          <w:rFonts w:eastAsia="Calibri" w:cs="Times New Roman"/>
          <w:i/>
          <w:iCs/>
          <w:szCs w:val="24"/>
          <w:lang w:eastAsia="ar-SA"/>
        </w:rPr>
        <w:t>o gospodarce nieruchomościami</w:t>
      </w:r>
      <w:r>
        <w:rPr>
          <w:rFonts w:eastAsia="Calibri" w:cs="Times New Roman"/>
          <w:szCs w:val="24"/>
          <w:lang w:eastAsia="ar-SA"/>
        </w:rPr>
        <w:t>, a także wprowadzeniu maksymalnego terminu trwania tych rokowań. Konieczność powyższego doszczegółowienia procedury wynika z wielokrotnej praktyki właścicieli nieruchomości, która polega na odwlekaniu czy unikaniu rzeczywistego i w dobrej wierze przystąpienia do rokowań w sprawie ograniczenia prawa własności na potrzeby niektórych inwestycji.</w:t>
      </w:r>
    </w:p>
    <w:p w14:paraId="31FB4588" w14:textId="2CD9C5B9" w:rsidR="00512CB8" w:rsidRDefault="00512CB8" w:rsidP="00AA13CD">
      <w:pPr>
        <w:widowControl/>
        <w:suppressAutoHyphens/>
        <w:autoSpaceDE/>
        <w:autoSpaceDN/>
        <w:adjustRightInd/>
        <w:spacing w:before="240" w:after="60"/>
        <w:jc w:val="both"/>
        <w:rPr>
          <w:rFonts w:eastAsia="Calibri" w:cs="Times New Roman"/>
          <w:i/>
          <w:iCs/>
          <w:szCs w:val="24"/>
          <w:lang w:eastAsia="ar-SA"/>
        </w:rPr>
      </w:pPr>
      <w:r>
        <w:rPr>
          <w:rFonts w:eastAsia="Calibri" w:cs="Times New Roman"/>
          <w:szCs w:val="24"/>
          <w:lang w:eastAsia="ar-SA"/>
        </w:rPr>
        <w:t>Proponuje się doszczegółowienie, że rokowania powinny być prowadzone w formie dokumentowej, w rozumieniu art. 77</w:t>
      </w:r>
      <w:r w:rsidRPr="00512CB8">
        <w:rPr>
          <w:rFonts w:eastAsia="Calibri" w:cs="Times New Roman"/>
          <w:szCs w:val="24"/>
          <w:vertAlign w:val="superscript"/>
          <w:lang w:eastAsia="ar-SA"/>
        </w:rPr>
        <w:t>2</w:t>
      </w:r>
      <w:r>
        <w:rPr>
          <w:rFonts w:eastAsia="Calibri" w:cs="Times New Roman"/>
          <w:szCs w:val="24"/>
          <w:vertAlign w:val="superscript"/>
          <w:lang w:eastAsia="ar-SA"/>
        </w:rPr>
        <w:t xml:space="preserve"> </w:t>
      </w:r>
      <w:r>
        <w:rPr>
          <w:rFonts w:eastAsia="Calibri" w:cs="Times New Roman"/>
          <w:szCs w:val="24"/>
          <w:lang w:eastAsia="ar-SA"/>
        </w:rPr>
        <w:t xml:space="preserve">ustawy z dnia 23 kwietnia 1964 r. – </w:t>
      </w:r>
      <w:r>
        <w:rPr>
          <w:rFonts w:eastAsia="Calibri" w:cs="Times New Roman"/>
          <w:i/>
          <w:iCs/>
          <w:szCs w:val="24"/>
          <w:lang w:eastAsia="ar-SA"/>
        </w:rPr>
        <w:t>Kodeks cywilny</w:t>
      </w:r>
      <w:r>
        <w:rPr>
          <w:rFonts w:eastAsia="Calibri" w:cs="Times New Roman"/>
          <w:szCs w:val="24"/>
          <w:lang w:eastAsia="ar-SA"/>
        </w:rPr>
        <w:t xml:space="preserve">. Proponowane unormowanie polega na dopuszczeniu szerszego, niż ma to miejsce w przypadku </w:t>
      </w:r>
      <w:r>
        <w:rPr>
          <w:rFonts w:eastAsia="Calibri" w:cs="Times New Roman"/>
          <w:szCs w:val="24"/>
          <w:lang w:eastAsia="ar-SA"/>
        </w:rPr>
        <w:lastRenderedPageBreak/>
        <w:t xml:space="preserve">zastrzeżenia formy pisemnej, katalogu środków komunikacji pomiędzy stronami rokowań. Tym samym, wpłynie to pozytywnie na terminowość tychże rokowań. </w:t>
      </w:r>
      <w:r>
        <w:rPr>
          <w:rFonts w:eastAsia="Calibri" w:cs="Times New Roman"/>
          <w:i/>
          <w:iCs/>
          <w:szCs w:val="24"/>
          <w:lang w:eastAsia="ar-SA"/>
        </w:rPr>
        <w:t xml:space="preserve"> </w:t>
      </w:r>
    </w:p>
    <w:p w14:paraId="39831C41" w14:textId="549D2C7C" w:rsidR="00512CB8" w:rsidRDefault="00512CB8" w:rsidP="00AA13CD">
      <w:pPr>
        <w:widowControl/>
        <w:suppressAutoHyphens/>
        <w:autoSpaceDE/>
        <w:autoSpaceDN/>
        <w:adjustRightInd/>
        <w:spacing w:before="240" w:after="60"/>
        <w:jc w:val="both"/>
        <w:rPr>
          <w:rFonts w:eastAsia="Calibri" w:cs="Times New Roman"/>
          <w:szCs w:val="24"/>
          <w:lang w:eastAsia="ar-SA"/>
        </w:rPr>
      </w:pPr>
      <w:r>
        <w:rPr>
          <w:rFonts w:eastAsia="Calibri" w:cs="Times New Roman"/>
          <w:szCs w:val="24"/>
          <w:lang w:eastAsia="ar-SA"/>
        </w:rPr>
        <w:t xml:space="preserve">Dodatkowo, proponuje się ograniczenie terminu prowadzenia rokowań do 30 dni od dnia złożenia pierwszego oświadczenia woli przez którąkolwiek ze stron rokowań. W ocenie projektodawcy, termin 30-dniowy jest wystarczający dla zapewnienia </w:t>
      </w:r>
      <w:r w:rsidR="00EB3B3F">
        <w:rPr>
          <w:rFonts w:eastAsia="Calibri" w:cs="Times New Roman"/>
          <w:szCs w:val="24"/>
          <w:lang w:eastAsia="ar-SA"/>
        </w:rPr>
        <w:t>czasu na poczynienie uzgodnień, a jednocześnie gwarantuje, że rokowania nie będą się nadmiernie przedłużać opóźniając realizację kluczowych inwestycji infrastrukturalnych.</w:t>
      </w:r>
    </w:p>
    <w:p w14:paraId="2CC067AA" w14:textId="726B5A17" w:rsidR="00EB3B3F" w:rsidRDefault="00EB3B3F" w:rsidP="00AA13CD">
      <w:pPr>
        <w:widowControl/>
        <w:suppressAutoHyphens/>
        <w:autoSpaceDE/>
        <w:autoSpaceDN/>
        <w:adjustRightInd/>
        <w:spacing w:before="240" w:after="60"/>
        <w:jc w:val="both"/>
        <w:rPr>
          <w:rFonts w:eastAsia="Calibri" w:cs="Times New Roman"/>
          <w:szCs w:val="24"/>
          <w:lang w:eastAsia="ar-SA"/>
        </w:rPr>
      </w:pPr>
      <w:r>
        <w:rPr>
          <w:rFonts w:eastAsia="Calibri" w:cs="Times New Roman"/>
          <w:szCs w:val="24"/>
          <w:lang w:eastAsia="ar-SA"/>
        </w:rPr>
        <w:t xml:space="preserve">W celu zapewnienia sankcji za przekroczenie terminu rokowań określonego w ust. 3 w brzmieniu zaproponowanym niniejsza ustawą, proponuje się wprowadzenie regulacji, zgodnie z którym przekroczenie terminu rokowań lub </w:t>
      </w:r>
      <w:r w:rsidR="000C26F5">
        <w:rPr>
          <w:rFonts w:eastAsia="Calibri" w:cs="Times New Roman"/>
          <w:szCs w:val="24"/>
          <w:lang w:eastAsia="ar-SA"/>
        </w:rPr>
        <w:t xml:space="preserve">przy negatywnym ich wyniku, możliwe będzie wydanie decyzji, o której mowa w ust. 1 tego artykułu. </w:t>
      </w:r>
    </w:p>
    <w:p w14:paraId="1B6C0697" w14:textId="6BD97000" w:rsidR="000C26F5" w:rsidRDefault="000C26F5" w:rsidP="000C26F5">
      <w:pPr>
        <w:pStyle w:val="Akapitzlist"/>
        <w:widowControl/>
        <w:numPr>
          <w:ilvl w:val="0"/>
          <w:numId w:val="5"/>
        </w:numPr>
        <w:suppressAutoHyphens/>
        <w:autoSpaceDE/>
        <w:autoSpaceDN/>
        <w:adjustRightInd/>
        <w:spacing w:before="240" w:after="60"/>
        <w:jc w:val="both"/>
        <w:rPr>
          <w:rFonts w:eastAsia="Calibri" w:cs="Times New Roman"/>
          <w:b/>
          <w:bCs/>
          <w:szCs w:val="24"/>
          <w:lang w:eastAsia="ar-SA"/>
        </w:rPr>
      </w:pPr>
      <w:r w:rsidRPr="000C26F5">
        <w:rPr>
          <w:rFonts w:eastAsia="Calibri" w:cs="Times New Roman"/>
          <w:b/>
          <w:bCs/>
          <w:szCs w:val="24"/>
          <w:lang w:eastAsia="ar-SA"/>
        </w:rPr>
        <w:t xml:space="preserve">zmiana art. 124b w ust. 1 – umożliwienie wydania decyzji, o której mowa w tym artykule również w stosunku do inwestycji polegającej na przebudowie istniejącego obiektu budowlanego </w:t>
      </w:r>
    </w:p>
    <w:p w14:paraId="58A09033" w14:textId="77777777" w:rsidR="00C64F6C" w:rsidRDefault="00101173" w:rsidP="000C26F5">
      <w:pPr>
        <w:widowControl/>
        <w:suppressAutoHyphens/>
        <w:autoSpaceDE/>
        <w:autoSpaceDN/>
        <w:adjustRightInd/>
        <w:spacing w:before="240" w:after="60"/>
        <w:jc w:val="both"/>
        <w:rPr>
          <w:rFonts w:eastAsia="Calibri" w:cs="Times New Roman"/>
          <w:szCs w:val="24"/>
          <w:lang w:eastAsia="ar-SA"/>
        </w:rPr>
      </w:pPr>
      <w:r>
        <w:rPr>
          <w:rFonts w:eastAsia="Calibri" w:cs="Times New Roman"/>
          <w:szCs w:val="24"/>
          <w:lang w:eastAsia="ar-SA"/>
        </w:rPr>
        <w:t xml:space="preserve">Celem wprowadzenia art. 124b do ustawy </w:t>
      </w:r>
      <w:r>
        <w:rPr>
          <w:rFonts w:eastAsia="Calibri" w:cs="Times New Roman"/>
          <w:i/>
          <w:iCs/>
          <w:szCs w:val="24"/>
          <w:lang w:eastAsia="ar-SA"/>
        </w:rPr>
        <w:t xml:space="preserve">o gospodarce nieruchomościami </w:t>
      </w:r>
      <w:r>
        <w:rPr>
          <w:rFonts w:eastAsia="Calibri" w:cs="Times New Roman"/>
          <w:szCs w:val="24"/>
          <w:lang w:eastAsia="ar-SA"/>
        </w:rPr>
        <w:t xml:space="preserve">było zapewnienie skutecznego mechanizmu zapewnienia dostępu do obiektów znajdujących się na działce należącej do osoby trzeciej, w celu wykonania czynności </w:t>
      </w:r>
      <w:r w:rsidRPr="00101173">
        <w:rPr>
          <w:rFonts w:eastAsia="Calibri" w:cs="Times New Roman"/>
          <w:szCs w:val="24"/>
          <w:lang w:eastAsia="ar-SA"/>
        </w:rPr>
        <w:t>związanych z konserwacją, remontami oraz usuwaniem awarii ciągów drenażowych, przewodów i urządzeń</w:t>
      </w:r>
      <w:r>
        <w:rPr>
          <w:rFonts w:eastAsia="Calibri" w:cs="Times New Roman"/>
          <w:szCs w:val="24"/>
          <w:lang w:eastAsia="ar-SA"/>
        </w:rPr>
        <w:t xml:space="preserve">. W ocenie projektodawcy, w świetle proponowanej zmiany w art. 3 pkt 7a ustawy – </w:t>
      </w:r>
      <w:r>
        <w:rPr>
          <w:rFonts w:eastAsia="Calibri" w:cs="Times New Roman"/>
          <w:i/>
          <w:iCs/>
          <w:szCs w:val="24"/>
          <w:lang w:eastAsia="ar-SA"/>
        </w:rPr>
        <w:t xml:space="preserve">Prawo budowlane, </w:t>
      </w:r>
      <w:r>
        <w:rPr>
          <w:rFonts w:eastAsia="Calibri" w:cs="Times New Roman"/>
          <w:szCs w:val="24"/>
          <w:lang w:eastAsia="ar-SA"/>
        </w:rPr>
        <w:t xml:space="preserve">zasadnym jest rozciągnięcie zastosowania tego przepisu również w przypadku konieczności prowadzenia prac polegających na przebudowie infrastruktury znajdującej się na działce należącej do osoby trzeciej. Przyjęcie takiej regulacji pozwoli na ograniczenie obciążeń administracyjnych oraz przyśpieszeniu procesu inwestycyjnego polegającego na przebudowie kluczowych elementów infrastruktury. Należy przy tym jednocześnie zaznaczyć, że właściciel lub osoba posiadająca inne uprawnienia do korzystania z działki nie będzie ponosiła z tego tytułu dodatkowych szkód czy trudności, co bezwzględnie wynika z regulacji dotyczących obowiązku przywrócenia działki do stanu </w:t>
      </w:r>
      <w:r w:rsidR="00C64F6C">
        <w:rPr>
          <w:rFonts w:eastAsia="Calibri" w:cs="Times New Roman"/>
          <w:szCs w:val="24"/>
          <w:lang w:eastAsia="ar-SA"/>
        </w:rPr>
        <w:t>zastanego przez inwestora. W konsekwencji, w ocenie projektodawcy, przedmiotowa zmiana nie będzie powodowała dodatkowych negatywnych konsekwencji dla osób będących właścicielami lub posiadającymi inny tytuł prawny do korzystania z działki na której znajduje się element infrastruktury np. służącej do transportu (</w:t>
      </w:r>
      <w:proofErr w:type="spellStart"/>
      <w:r w:rsidR="00C64F6C">
        <w:rPr>
          <w:rFonts w:eastAsia="Calibri" w:cs="Times New Roman"/>
          <w:szCs w:val="24"/>
          <w:lang w:eastAsia="ar-SA"/>
        </w:rPr>
        <w:t>przesyłu</w:t>
      </w:r>
      <w:proofErr w:type="spellEnd"/>
      <w:r w:rsidR="00C64F6C">
        <w:rPr>
          <w:rFonts w:eastAsia="Calibri" w:cs="Times New Roman"/>
          <w:szCs w:val="24"/>
          <w:lang w:eastAsia="ar-SA"/>
        </w:rPr>
        <w:t xml:space="preserve"> lub dystrybucji) energii elektrycznej.</w:t>
      </w:r>
    </w:p>
    <w:p w14:paraId="0FAAAAF6" w14:textId="1DAA2452" w:rsidR="000C26F5" w:rsidRDefault="00C64F6C" w:rsidP="000C26F5">
      <w:pPr>
        <w:widowControl/>
        <w:suppressAutoHyphens/>
        <w:autoSpaceDE/>
        <w:autoSpaceDN/>
        <w:adjustRightInd/>
        <w:spacing w:before="240" w:after="60"/>
        <w:jc w:val="both"/>
        <w:rPr>
          <w:rFonts w:eastAsia="Calibri" w:cs="Times New Roman"/>
          <w:i/>
          <w:iCs/>
          <w:szCs w:val="24"/>
          <w:lang w:eastAsia="ar-SA"/>
        </w:rPr>
      </w:pPr>
      <w:r>
        <w:rPr>
          <w:rFonts w:eastAsia="Calibri" w:cs="Times New Roman"/>
          <w:b/>
          <w:bCs/>
          <w:szCs w:val="24"/>
          <w:u w:val="single"/>
          <w:lang w:eastAsia="ar-SA"/>
        </w:rPr>
        <w:lastRenderedPageBreak/>
        <w:t xml:space="preserve">Ustawa z dnia 21 marca 1985 r. </w:t>
      </w:r>
      <w:r w:rsidRPr="00C64F6C">
        <w:rPr>
          <w:rFonts w:eastAsia="Calibri" w:cs="Times New Roman"/>
          <w:b/>
          <w:bCs/>
          <w:i/>
          <w:iCs/>
          <w:szCs w:val="24"/>
          <w:u w:val="single"/>
          <w:lang w:eastAsia="ar-SA"/>
        </w:rPr>
        <w:t>o drogach publicznych</w:t>
      </w:r>
      <w:r>
        <w:rPr>
          <w:rFonts w:eastAsia="Calibri" w:cs="Times New Roman"/>
          <w:b/>
          <w:bCs/>
          <w:szCs w:val="24"/>
          <w:u w:val="single"/>
          <w:lang w:eastAsia="ar-SA"/>
        </w:rPr>
        <w:t xml:space="preserve"> </w:t>
      </w:r>
      <w:r>
        <w:rPr>
          <w:rFonts w:eastAsia="Calibri" w:cs="Times New Roman"/>
          <w:szCs w:val="24"/>
          <w:lang w:eastAsia="ar-SA"/>
        </w:rPr>
        <w:t xml:space="preserve"> </w:t>
      </w:r>
      <w:r w:rsidR="00101173">
        <w:rPr>
          <w:rFonts w:eastAsia="Calibri" w:cs="Times New Roman"/>
          <w:szCs w:val="24"/>
          <w:lang w:eastAsia="ar-SA"/>
        </w:rPr>
        <w:t xml:space="preserve"> </w:t>
      </w:r>
      <w:r w:rsidR="00101173">
        <w:rPr>
          <w:rFonts w:eastAsia="Calibri" w:cs="Times New Roman"/>
          <w:i/>
          <w:iCs/>
          <w:szCs w:val="24"/>
          <w:lang w:eastAsia="ar-SA"/>
        </w:rPr>
        <w:t xml:space="preserve"> </w:t>
      </w:r>
    </w:p>
    <w:p w14:paraId="2340305D" w14:textId="60BA073A" w:rsidR="00C64F6C" w:rsidRDefault="008450CA" w:rsidP="008450CA">
      <w:pPr>
        <w:pStyle w:val="Akapitzlist"/>
        <w:widowControl/>
        <w:numPr>
          <w:ilvl w:val="0"/>
          <w:numId w:val="6"/>
        </w:numPr>
        <w:suppressAutoHyphens/>
        <w:autoSpaceDE/>
        <w:autoSpaceDN/>
        <w:adjustRightInd/>
        <w:spacing w:before="240" w:after="60"/>
        <w:jc w:val="both"/>
        <w:rPr>
          <w:rFonts w:eastAsia="Calibri" w:cs="Times New Roman"/>
          <w:b/>
          <w:bCs/>
          <w:szCs w:val="24"/>
          <w:lang w:eastAsia="ar-SA"/>
        </w:rPr>
      </w:pPr>
      <w:r w:rsidRPr="008450CA">
        <w:rPr>
          <w:rFonts w:eastAsia="Calibri" w:cs="Times New Roman"/>
          <w:b/>
          <w:bCs/>
          <w:szCs w:val="24"/>
          <w:lang w:eastAsia="ar-SA"/>
        </w:rPr>
        <w:t xml:space="preserve">zmiana brzmienia art. 39 ust. 5 – zmiana podmiotu odpowiedzialnego za koszt przełożenia urządzenia lub obiektu w związku z budową, przebudową lub remontem drogi </w:t>
      </w:r>
    </w:p>
    <w:p w14:paraId="5BB42053" w14:textId="0117EBFE" w:rsidR="008450CA" w:rsidRDefault="00921967" w:rsidP="008450CA">
      <w:pPr>
        <w:widowControl/>
        <w:suppressAutoHyphens/>
        <w:autoSpaceDE/>
        <w:autoSpaceDN/>
        <w:adjustRightInd/>
        <w:spacing w:before="240" w:after="60"/>
        <w:jc w:val="both"/>
        <w:rPr>
          <w:rFonts w:eastAsia="Calibri" w:cs="Times New Roman"/>
          <w:szCs w:val="24"/>
          <w:lang w:eastAsia="ar-SA"/>
        </w:rPr>
      </w:pPr>
      <w:r>
        <w:rPr>
          <w:rFonts w:eastAsia="Calibri" w:cs="Times New Roman"/>
          <w:szCs w:val="24"/>
          <w:lang w:eastAsia="ar-SA"/>
        </w:rPr>
        <w:t>Proponowana zmiana ma na celu przeniesienie odpowiedzialności i kosztów związanych z</w:t>
      </w:r>
      <w:r w:rsidR="00E86664">
        <w:rPr>
          <w:rFonts w:eastAsia="Calibri" w:cs="Times New Roman"/>
          <w:szCs w:val="24"/>
          <w:lang w:eastAsia="ar-SA"/>
        </w:rPr>
        <w:t> </w:t>
      </w:r>
      <w:r>
        <w:rPr>
          <w:rFonts w:eastAsia="Calibri" w:cs="Times New Roman"/>
          <w:szCs w:val="24"/>
          <w:lang w:eastAsia="ar-SA"/>
        </w:rPr>
        <w:t>przenoszeniem urządzeń lub obiektów podczas robót budowlanych polegających na budowie, przebudowie lub remo</w:t>
      </w:r>
      <w:r w:rsidR="00F7584F">
        <w:rPr>
          <w:rFonts w:eastAsia="Calibri" w:cs="Times New Roman"/>
          <w:szCs w:val="24"/>
          <w:lang w:eastAsia="ar-SA"/>
        </w:rPr>
        <w:t xml:space="preserve">ntu dróg. W ocenie projektodawcy, obecnie obowiązujące uregulowania stanowią nieuzasadnione obciążenie dla podmiotów posiadających np. obiekty liniowe, takie jak linie elektroenergetyczne. </w:t>
      </w:r>
    </w:p>
    <w:p w14:paraId="68453E15" w14:textId="48D36DB8" w:rsidR="00F7584F" w:rsidRDefault="00212BA0" w:rsidP="00F7584F">
      <w:pPr>
        <w:pStyle w:val="Akapitzlist"/>
        <w:widowControl/>
        <w:numPr>
          <w:ilvl w:val="0"/>
          <w:numId w:val="6"/>
        </w:numPr>
        <w:suppressAutoHyphens/>
        <w:autoSpaceDE/>
        <w:autoSpaceDN/>
        <w:adjustRightInd/>
        <w:spacing w:before="240" w:after="60"/>
        <w:jc w:val="both"/>
        <w:rPr>
          <w:rFonts w:eastAsia="Calibri" w:cs="Times New Roman"/>
          <w:b/>
          <w:bCs/>
          <w:szCs w:val="24"/>
          <w:lang w:eastAsia="ar-SA"/>
        </w:rPr>
      </w:pPr>
      <w:r>
        <w:rPr>
          <w:rFonts w:eastAsia="Calibri" w:cs="Times New Roman"/>
          <w:b/>
          <w:bCs/>
          <w:szCs w:val="24"/>
          <w:lang w:eastAsia="ar-SA"/>
        </w:rPr>
        <w:t>z</w:t>
      </w:r>
      <w:r w:rsidR="00F7584F" w:rsidRPr="00F7584F">
        <w:rPr>
          <w:rFonts w:eastAsia="Calibri" w:cs="Times New Roman"/>
          <w:b/>
          <w:bCs/>
          <w:szCs w:val="24"/>
          <w:lang w:eastAsia="ar-SA"/>
        </w:rPr>
        <w:t>miana art. 42 ust. 3 – rozciągnięcie zastosowania regulacji również do przyłączy elektroenergetycznych</w:t>
      </w:r>
    </w:p>
    <w:p w14:paraId="3D13107A" w14:textId="66C7E926" w:rsidR="00F7584F" w:rsidRDefault="00212BA0" w:rsidP="00F7584F">
      <w:pPr>
        <w:widowControl/>
        <w:suppressAutoHyphens/>
        <w:autoSpaceDE/>
        <w:autoSpaceDN/>
        <w:adjustRightInd/>
        <w:spacing w:before="240" w:after="60"/>
        <w:jc w:val="both"/>
        <w:rPr>
          <w:rFonts w:eastAsia="Calibri" w:cs="Times New Roman"/>
          <w:szCs w:val="24"/>
          <w:lang w:eastAsia="ar-SA"/>
        </w:rPr>
      </w:pPr>
      <w:r>
        <w:rPr>
          <w:rFonts w:eastAsia="Calibri" w:cs="Times New Roman"/>
          <w:szCs w:val="24"/>
          <w:lang w:eastAsia="ar-SA"/>
        </w:rPr>
        <w:t>W ocenie projektodawcy, koniecznym jest doprecyzowanie, że również przyłącza elektroenergetyczne mogą znajdować się na elementach określonych w pkt 1 – 3, po uzyskani</w:t>
      </w:r>
      <w:r w:rsidR="00AE4B42">
        <w:rPr>
          <w:rFonts w:eastAsia="Calibri" w:cs="Times New Roman"/>
          <w:szCs w:val="24"/>
          <w:lang w:eastAsia="ar-SA"/>
        </w:rPr>
        <w:t>u</w:t>
      </w:r>
      <w:r>
        <w:rPr>
          <w:rFonts w:eastAsia="Calibri" w:cs="Times New Roman"/>
          <w:szCs w:val="24"/>
          <w:lang w:eastAsia="ar-SA"/>
        </w:rPr>
        <w:t xml:space="preserve"> stosownej zgody zarządcy drogi publicznej. Proponowana zmiana pozwoli na uniknięcie niepewności regulacyjnej oraz interpretacyjnej w zakresie możliwości stawiania przyłączy elektroenergetycznych.</w:t>
      </w:r>
    </w:p>
    <w:p w14:paraId="6EE7078E" w14:textId="00CD1034" w:rsidR="00212BA0" w:rsidRDefault="00212BA0" w:rsidP="00F7584F">
      <w:pPr>
        <w:widowControl/>
        <w:suppressAutoHyphens/>
        <w:autoSpaceDE/>
        <w:autoSpaceDN/>
        <w:adjustRightInd/>
        <w:spacing w:before="240" w:after="60"/>
        <w:jc w:val="both"/>
        <w:rPr>
          <w:rFonts w:eastAsia="Calibri" w:cs="Times New Roman"/>
          <w:b/>
          <w:bCs/>
          <w:szCs w:val="24"/>
          <w:u w:val="single"/>
          <w:lang w:eastAsia="ar-SA"/>
        </w:rPr>
      </w:pPr>
      <w:r>
        <w:rPr>
          <w:rFonts w:eastAsia="Calibri" w:cs="Times New Roman"/>
          <w:b/>
          <w:bCs/>
          <w:szCs w:val="24"/>
          <w:u w:val="single"/>
          <w:lang w:eastAsia="ar-SA"/>
        </w:rPr>
        <w:t xml:space="preserve">Ustawa z dnia 27 marca 2003 r. </w:t>
      </w:r>
      <w:r w:rsidRPr="00212BA0">
        <w:rPr>
          <w:rFonts w:eastAsia="Calibri" w:cs="Times New Roman"/>
          <w:b/>
          <w:bCs/>
          <w:i/>
          <w:iCs/>
          <w:szCs w:val="24"/>
          <w:u w:val="single"/>
          <w:lang w:eastAsia="ar-SA"/>
        </w:rPr>
        <w:t>o planowaniu i zagospodarowaniu przestrzennym</w:t>
      </w:r>
      <w:r>
        <w:rPr>
          <w:rFonts w:eastAsia="Calibri" w:cs="Times New Roman"/>
          <w:b/>
          <w:bCs/>
          <w:szCs w:val="24"/>
          <w:u w:val="single"/>
          <w:lang w:eastAsia="ar-SA"/>
        </w:rPr>
        <w:t xml:space="preserve"> </w:t>
      </w:r>
    </w:p>
    <w:p w14:paraId="55F34A8B" w14:textId="60935D3F" w:rsidR="00212BA0" w:rsidRDefault="00212BA0" w:rsidP="00AE20D9">
      <w:pPr>
        <w:pStyle w:val="Akapitzlist"/>
        <w:widowControl/>
        <w:numPr>
          <w:ilvl w:val="0"/>
          <w:numId w:val="7"/>
        </w:numPr>
        <w:suppressAutoHyphens/>
        <w:autoSpaceDE/>
        <w:autoSpaceDN/>
        <w:adjustRightInd/>
        <w:spacing w:before="240" w:after="60"/>
        <w:jc w:val="both"/>
        <w:rPr>
          <w:rFonts w:eastAsia="Calibri" w:cs="Times New Roman"/>
          <w:b/>
          <w:bCs/>
          <w:szCs w:val="24"/>
          <w:lang w:eastAsia="ar-SA"/>
        </w:rPr>
      </w:pPr>
      <w:r w:rsidRPr="00AE20D9">
        <w:rPr>
          <w:rFonts w:eastAsia="Calibri" w:cs="Times New Roman"/>
          <w:b/>
          <w:bCs/>
          <w:szCs w:val="24"/>
          <w:lang w:eastAsia="ar-SA"/>
        </w:rPr>
        <w:t xml:space="preserve">zmiana art. 11 </w:t>
      </w:r>
      <w:r w:rsidR="00903341">
        <w:rPr>
          <w:rFonts w:eastAsia="Calibri" w:cs="Times New Roman"/>
          <w:b/>
          <w:bCs/>
          <w:szCs w:val="24"/>
          <w:lang w:eastAsia="ar-SA"/>
        </w:rPr>
        <w:t xml:space="preserve">pkt 5 </w:t>
      </w:r>
      <w:r w:rsidRPr="00AE20D9">
        <w:rPr>
          <w:rFonts w:eastAsia="Calibri" w:cs="Times New Roman"/>
          <w:b/>
          <w:bCs/>
          <w:szCs w:val="24"/>
          <w:lang w:eastAsia="ar-SA"/>
        </w:rPr>
        <w:t xml:space="preserve">lit. n – poszerzenie obowiązku </w:t>
      </w:r>
      <w:r w:rsidR="00AE20D9" w:rsidRPr="00AE20D9">
        <w:rPr>
          <w:rFonts w:eastAsia="Calibri" w:cs="Times New Roman"/>
          <w:b/>
          <w:bCs/>
          <w:szCs w:val="24"/>
          <w:lang w:eastAsia="ar-SA"/>
        </w:rPr>
        <w:t>uzgodnienia studium z</w:t>
      </w:r>
      <w:r w:rsidR="00E86664">
        <w:rPr>
          <w:rFonts w:eastAsia="Calibri" w:cs="Times New Roman"/>
          <w:b/>
          <w:bCs/>
          <w:szCs w:val="24"/>
          <w:lang w:eastAsia="ar-SA"/>
        </w:rPr>
        <w:t> </w:t>
      </w:r>
      <w:r w:rsidR="00AE20D9" w:rsidRPr="00AE20D9">
        <w:rPr>
          <w:rFonts w:eastAsia="Calibri" w:cs="Times New Roman"/>
          <w:b/>
          <w:bCs/>
          <w:szCs w:val="24"/>
          <w:lang w:eastAsia="ar-SA"/>
        </w:rPr>
        <w:t>operatorami systemów elektroenergetycznych</w:t>
      </w:r>
    </w:p>
    <w:p w14:paraId="7EBB1A89" w14:textId="27D0A882" w:rsidR="00BB0722" w:rsidRDefault="00BB0722" w:rsidP="00BB0722">
      <w:pPr>
        <w:widowControl/>
        <w:suppressAutoHyphens/>
        <w:autoSpaceDE/>
        <w:autoSpaceDN/>
        <w:adjustRightInd/>
        <w:spacing w:before="240" w:after="60"/>
        <w:jc w:val="both"/>
        <w:rPr>
          <w:rFonts w:eastAsia="Calibri" w:cs="Times New Roman"/>
          <w:szCs w:val="24"/>
          <w:lang w:eastAsia="ar-SA"/>
        </w:rPr>
      </w:pPr>
      <w:r>
        <w:rPr>
          <w:rFonts w:eastAsia="Calibri" w:cs="Times New Roman"/>
          <w:szCs w:val="24"/>
          <w:lang w:eastAsia="ar-SA"/>
        </w:rPr>
        <w:t xml:space="preserve">Proponuje się również poszerzenie istniejącego obowiązku spoczywającego na organie uzgadniających studium </w:t>
      </w:r>
      <w:r w:rsidRPr="00BB0722">
        <w:rPr>
          <w:rFonts w:eastAsia="Calibri" w:cs="Times New Roman"/>
          <w:szCs w:val="24"/>
          <w:lang w:eastAsia="ar-SA"/>
        </w:rPr>
        <w:t>uwarunkowań i kierunków zagospodarowania przestrzennego gminy</w:t>
      </w:r>
      <w:r w:rsidR="00903341">
        <w:rPr>
          <w:rFonts w:eastAsia="Calibri" w:cs="Times New Roman"/>
          <w:szCs w:val="24"/>
          <w:lang w:eastAsia="ar-SA"/>
        </w:rPr>
        <w:t xml:space="preserve"> z operatora systemu przesyłowego elektroenergetycznego w zakresie sposobu zagospodarowania gruntów leżących w odległości również nie większej niż 25 metrów od osi napowietrznej linii elektroenergetycznej o napięciu znamionowym 220 kV. Zasadność wprowadzenia przedmiotowej zmiany w przepisie wynika z nowych okoliczności związanych z rozwojem sieci, w tym połączenia elektroenergetycznego Polska – Szwecja.</w:t>
      </w:r>
    </w:p>
    <w:p w14:paraId="22F93553" w14:textId="63FC8DF3" w:rsidR="00164D7E" w:rsidRDefault="00903341" w:rsidP="00903341">
      <w:pPr>
        <w:pStyle w:val="Akapitzlist"/>
        <w:widowControl/>
        <w:numPr>
          <w:ilvl w:val="0"/>
          <w:numId w:val="7"/>
        </w:numPr>
        <w:suppressAutoHyphens/>
        <w:autoSpaceDE/>
        <w:autoSpaceDN/>
        <w:adjustRightInd/>
        <w:spacing w:before="240" w:after="60"/>
        <w:jc w:val="both"/>
        <w:rPr>
          <w:rFonts w:eastAsia="Calibri" w:cs="Times New Roman"/>
          <w:b/>
          <w:bCs/>
          <w:szCs w:val="24"/>
          <w:lang w:eastAsia="ar-SA"/>
        </w:rPr>
      </w:pPr>
      <w:r w:rsidRPr="00903341">
        <w:rPr>
          <w:rFonts w:eastAsia="Calibri" w:cs="Times New Roman"/>
          <w:b/>
          <w:bCs/>
          <w:szCs w:val="24"/>
          <w:lang w:eastAsia="ar-SA"/>
        </w:rPr>
        <w:t>zmiana art. 61 ust. 1 pkt 6 poprze dodanie lit</w:t>
      </w:r>
      <w:r w:rsidR="00164D7E">
        <w:rPr>
          <w:rFonts w:eastAsia="Calibri" w:cs="Times New Roman"/>
          <w:b/>
          <w:bCs/>
          <w:szCs w:val="24"/>
          <w:lang w:eastAsia="ar-SA"/>
        </w:rPr>
        <w:t>.</w:t>
      </w:r>
      <w:r w:rsidRPr="00903341">
        <w:rPr>
          <w:rFonts w:eastAsia="Calibri" w:cs="Times New Roman"/>
          <w:b/>
          <w:bCs/>
          <w:szCs w:val="24"/>
          <w:lang w:eastAsia="ar-SA"/>
        </w:rPr>
        <w:t xml:space="preserve"> d </w:t>
      </w:r>
      <w:r w:rsidR="00164D7E">
        <w:rPr>
          <w:rFonts w:eastAsia="Calibri" w:cs="Times New Roman"/>
          <w:b/>
          <w:bCs/>
          <w:szCs w:val="24"/>
          <w:lang w:eastAsia="ar-SA"/>
        </w:rPr>
        <w:t>–</w:t>
      </w:r>
      <w:r w:rsidRPr="00903341">
        <w:rPr>
          <w:rFonts w:eastAsia="Calibri" w:cs="Times New Roman"/>
          <w:b/>
          <w:bCs/>
          <w:szCs w:val="24"/>
          <w:lang w:eastAsia="ar-SA"/>
        </w:rPr>
        <w:t xml:space="preserve"> </w:t>
      </w:r>
      <w:r w:rsidR="00164D7E">
        <w:rPr>
          <w:rFonts w:eastAsia="Calibri" w:cs="Times New Roman"/>
          <w:b/>
          <w:bCs/>
          <w:szCs w:val="24"/>
          <w:lang w:eastAsia="ar-SA"/>
        </w:rPr>
        <w:t>wyłączenie możliwości wydania decyzji o warunkach zabudowy w przypadku, gdy zamierzenie budowlane sąsiadować będzie z linią najwyższych napięć</w:t>
      </w:r>
    </w:p>
    <w:p w14:paraId="0ADD59D9" w14:textId="5C02B481" w:rsidR="00903341" w:rsidRDefault="00164D7E" w:rsidP="00164D7E">
      <w:pPr>
        <w:widowControl/>
        <w:suppressAutoHyphens/>
        <w:autoSpaceDE/>
        <w:autoSpaceDN/>
        <w:adjustRightInd/>
        <w:spacing w:before="240" w:after="60"/>
        <w:jc w:val="both"/>
        <w:rPr>
          <w:rFonts w:eastAsia="Calibri" w:cs="Times New Roman"/>
          <w:szCs w:val="24"/>
          <w:lang w:eastAsia="ar-SA"/>
        </w:rPr>
      </w:pPr>
      <w:r>
        <w:rPr>
          <w:rFonts w:eastAsia="Calibri" w:cs="Times New Roman"/>
          <w:szCs w:val="24"/>
          <w:lang w:eastAsia="ar-SA"/>
        </w:rPr>
        <w:lastRenderedPageBreak/>
        <w:t xml:space="preserve">Obecnie uregulowania ograniczające możliwość wydania warunków zabudowy ze względu na infrastrukturę energetyczną obejmują jedynie tereny, na których zlokalizowana zostanie strategiczna inwestycja w zakresie sieci przesyłowej, gazociąg (w zakresie tzw. strefy kontrolowanej) oraz rurociąg (w zakresie strefy bezpieczeństwa). Mając na uwadze bezpieczeństwo funkcjonowania infrastruktury energetycznej oraz bezpieczeństwo osób znajdujących się w jej pobliżu, zasadnym jest poszerzenie tego katalogu również o linie elektroenergetyczne najwyższych napięć. </w:t>
      </w:r>
    </w:p>
    <w:p w14:paraId="6ED39A6B" w14:textId="147197E2" w:rsidR="00CD2C99" w:rsidRDefault="00CD2C99" w:rsidP="00CD2C99">
      <w:pPr>
        <w:pStyle w:val="Akapitzlist"/>
        <w:widowControl/>
        <w:numPr>
          <w:ilvl w:val="0"/>
          <w:numId w:val="7"/>
        </w:numPr>
        <w:suppressAutoHyphens/>
        <w:autoSpaceDE/>
        <w:autoSpaceDN/>
        <w:adjustRightInd/>
        <w:spacing w:before="240" w:after="60"/>
        <w:jc w:val="both"/>
        <w:rPr>
          <w:rFonts w:eastAsia="Calibri" w:cs="Times New Roman"/>
          <w:b/>
          <w:bCs/>
          <w:szCs w:val="24"/>
          <w:lang w:eastAsia="ar-SA"/>
        </w:rPr>
      </w:pPr>
      <w:r w:rsidRPr="00CD2C99">
        <w:rPr>
          <w:rFonts w:eastAsia="Calibri" w:cs="Times New Roman"/>
          <w:b/>
          <w:bCs/>
          <w:szCs w:val="24"/>
          <w:lang w:eastAsia="ar-SA"/>
        </w:rPr>
        <w:t xml:space="preserve">zmiana art. 61 poprzez dodanie ust. 2b – odstępstwo od zakazu wydawania decyzji o warunkach zabudowy </w:t>
      </w:r>
    </w:p>
    <w:p w14:paraId="64DC68AE" w14:textId="5098323B" w:rsidR="00CD2C99" w:rsidRPr="00CD2C99" w:rsidRDefault="006E6C5B" w:rsidP="00CD2C99">
      <w:pPr>
        <w:widowControl/>
        <w:suppressAutoHyphens/>
        <w:autoSpaceDE/>
        <w:autoSpaceDN/>
        <w:adjustRightInd/>
        <w:spacing w:before="240" w:after="60"/>
        <w:jc w:val="both"/>
        <w:rPr>
          <w:rFonts w:eastAsia="Calibri" w:cs="Times New Roman"/>
          <w:szCs w:val="24"/>
          <w:lang w:eastAsia="ar-SA"/>
        </w:rPr>
      </w:pPr>
      <w:r>
        <w:rPr>
          <w:rFonts w:eastAsia="Calibri" w:cs="Times New Roman"/>
          <w:szCs w:val="24"/>
          <w:lang w:eastAsia="ar-SA"/>
        </w:rPr>
        <w:t>W ocenie projektodawcy, celowym jest wprowadzenie możliwości odstąpienia od ogólnego zakazu wydawania warunków zabudowy w sytuacji, w której zamierzenie budowlane znajduje się w pobliżu infrastruktury energetycznej, o której mowa w art. 61 ust. 6, jeżeli przedstawione zostanie organowi wydającemu warunki zabudowy potwierdzenie porozumienia pomiędzy podmiotem realizującym zamierzenie budowlane a gestorem infrastruktury. W związku z</w:t>
      </w:r>
      <w:r w:rsidR="00E86664">
        <w:rPr>
          <w:rFonts w:eastAsia="Calibri" w:cs="Times New Roman"/>
          <w:szCs w:val="24"/>
          <w:lang w:eastAsia="ar-SA"/>
        </w:rPr>
        <w:t> </w:t>
      </w:r>
      <w:r>
        <w:rPr>
          <w:rFonts w:eastAsia="Calibri" w:cs="Times New Roman"/>
          <w:szCs w:val="24"/>
          <w:lang w:eastAsia="ar-SA"/>
        </w:rPr>
        <w:t>powyższym, proponuje się wprowadzenie odstępstwa od ogólnej zasady, umożliwiającego podmiotowi, który zawarł porozumienie z gestorem sieci (operatorami) ubieganie się o</w:t>
      </w:r>
      <w:r w:rsidR="00E86664">
        <w:rPr>
          <w:rFonts w:eastAsia="Calibri" w:cs="Times New Roman"/>
          <w:szCs w:val="24"/>
          <w:lang w:eastAsia="ar-SA"/>
        </w:rPr>
        <w:t> </w:t>
      </w:r>
      <w:r>
        <w:rPr>
          <w:rFonts w:eastAsia="Calibri" w:cs="Times New Roman"/>
          <w:szCs w:val="24"/>
          <w:lang w:eastAsia="ar-SA"/>
        </w:rPr>
        <w:t>uzyskanie warunków zabudowy.</w:t>
      </w:r>
    </w:p>
    <w:p w14:paraId="13ED349E" w14:textId="571DA9DB" w:rsidR="00830E47" w:rsidRDefault="00830E47" w:rsidP="003B431B">
      <w:pPr>
        <w:widowControl/>
        <w:suppressAutoHyphens/>
        <w:autoSpaceDE/>
        <w:autoSpaceDN/>
        <w:adjustRightInd/>
        <w:spacing w:before="240"/>
        <w:jc w:val="both"/>
        <w:rPr>
          <w:rFonts w:eastAsia="Times New Roman" w:cs="Times New Roman"/>
          <w:b/>
          <w:szCs w:val="24"/>
        </w:rPr>
      </w:pPr>
      <w:r w:rsidRPr="00661895">
        <w:rPr>
          <w:rFonts w:eastAsia="Times New Roman" w:cs="Times New Roman"/>
          <w:b/>
          <w:szCs w:val="24"/>
        </w:rPr>
        <w:t>3. Wejście w życie projektowane</w:t>
      </w:r>
      <w:r>
        <w:rPr>
          <w:rFonts w:eastAsia="Times New Roman" w:cs="Times New Roman"/>
          <w:b/>
          <w:szCs w:val="24"/>
        </w:rPr>
        <w:t>go</w:t>
      </w:r>
      <w:r w:rsidRPr="00661895">
        <w:rPr>
          <w:rFonts w:eastAsia="Times New Roman" w:cs="Times New Roman"/>
          <w:b/>
          <w:szCs w:val="24"/>
        </w:rPr>
        <w:t xml:space="preserve"> </w:t>
      </w:r>
      <w:r w:rsidR="00080095">
        <w:rPr>
          <w:rFonts w:eastAsia="Times New Roman" w:cs="Times New Roman"/>
          <w:b/>
          <w:szCs w:val="24"/>
        </w:rPr>
        <w:t>projektu ustawy</w:t>
      </w:r>
    </w:p>
    <w:p w14:paraId="21A753CC" w14:textId="4EB830D6" w:rsidR="00BE4488" w:rsidRPr="006E55E2" w:rsidRDefault="006E55E2" w:rsidP="003B431B">
      <w:pPr>
        <w:widowControl/>
        <w:suppressAutoHyphens/>
        <w:autoSpaceDE/>
        <w:autoSpaceDN/>
        <w:adjustRightInd/>
        <w:jc w:val="both"/>
        <w:rPr>
          <w:rFonts w:eastAsia="Times New Roman" w:cs="Times New Roman"/>
          <w:bCs/>
          <w:szCs w:val="24"/>
        </w:rPr>
      </w:pPr>
      <w:r w:rsidRPr="006E55E2">
        <w:rPr>
          <w:rFonts w:eastAsia="Times New Roman" w:cs="Times New Roman"/>
          <w:bCs/>
          <w:szCs w:val="24"/>
        </w:rPr>
        <w:t xml:space="preserve">Ustawa wchodzi w życie po upływie </w:t>
      </w:r>
      <w:r w:rsidR="005765E9" w:rsidRPr="003E2F06">
        <w:rPr>
          <w:rFonts w:eastAsia="Times New Roman" w:cs="Times New Roman"/>
          <w:bCs/>
          <w:szCs w:val="24"/>
        </w:rPr>
        <w:t>30</w:t>
      </w:r>
      <w:r w:rsidRPr="006E55E2">
        <w:rPr>
          <w:rFonts w:eastAsia="Times New Roman" w:cs="Times New Roman"/>
          <w:bCs/>
          <w:szCs w:val="24"/>
        </w:rPr>
        <w:t xml:space="preserve"> dni od dnia ogłoszenia</w:t>
      </w:r>
      <w:r>
        <w:rPr>
          <w:rFonts w:eastAsia="Times New Roman" w:cs="Times New Roman"/>
          <w:bCs/>
          <w:szCs w:val="24"/>
        </w:rPr>
        <w:t>.</w:t>
      </w:r>
    </w:p>
    <w:p w14:paraId="6F554AE3" w14:textId="77777777" w:rsidR="00830E47" w:rsidRPr="00661895" w:rsidRDefault="00830E47" w:rsidP="003B431B">
      <w:pPr>
        <w:suppressAutoHyphens/>
        <w:spacing w:before="240" w:after="60"/>
        <w:jc w:val="both"/>
        <w:rPr>
          <w:rFonts w:eastAsia="Times New Roman" w:cs="Times New Roman"/>
          <w:szCs w:val="24"/>
        </w:rPr>
      </w:pPr>
      <w:r w:rsidRPr="00661895">
        <w:rPr>
          <w:rFonts w:eastAsia="Times New Roman" w:cs="Times New Roman"/>
          <w:b/>
          <w:szCs w:val="24"/>
        </w:rPr>
        <w:t xml:space="preserve">4. Wpływ projektowanej ustawy na działalność </w:t>
      </w:r>
      <w:proofErr w:type="spellStart"/>
      <w:r w:rsidRPr="00661895">
        <w:rPr>
          <w:rFonts w:eastAsia="Times New Roman" w:cs="Times New Roman"/>
          <w:b/>
          <w:szCs w:val="24"/>
        </w:rPr>
        <w:t>mikroprzedsiębiorców</w:t>
      </w:r>
      <w:proofErr w:type="spellEnd"/>
      <w:r w:rsidRPr="00661895">
        <w:rPr>
          <w:rFonts w:eastAsia="Times New Roman" w:cs="Times New Roman"/>
          <w:b/>
          <w:szCs w:val="24"/>
        </w:rPr>
        <w:t>, małych i średnich przedsiębiorców</w:t>
      </w:r>
    </w:p>
    <w:p w14:paraId="23C73652" w14:textId="28057F90" w:rsidR="002E2D63" w:rsidRDefault="00830E47" w:rsidP="003B431B">
      <w:pPr>
        <w:widowControl/>
        <w:suppressAutoHyphens/>
        <w:autoSpaceDE/>
        <w:autoSpaceDN/>
        <w:adjustRightInd/>
        <w:spacing w:after="60"/>
        <w:jc w:val="both"/>
        <w:rPr>
          <w:rFonts w:eastAsia="Calibri" w:cs="Times New Roman"/>
          <w:bCs/>
          <w:szCs w:val="24"/>
          <w:lang w:eastAsia="ar-SA"/>
        </w:rPr>
      </w:pPr>
      <w:r>
        <w:rPr>
          <w:rFonts w:eastAsia="Calibri" w:cs="Times New Roman"/>
          <w:bCs/>
          <w:szCs w:val="24"/>
          <w:lang w:eastAsia="ar-SA"/>
        </w:rPr>
        <w:t>Projektowane zmiany</w:t>
      </w:r>
      <w:r w:rsidRPr="005B640A">
        <w:rPr>
          <w:rFonts w:eastAsia="Calibri" w:cs="Times New Roman"/>
          <w:bCs/>
          <w:szCs w:val="24"/>
          <w:lang w:eastAsia="ar-SA"/>
        </w:rPr>
        <w:t xml:space="preserve"> będ</w:t>
      </w:r>
      <w:r>
        <w:rPr>
          <w:rFonts w:eastAsia="Calibri" w:cs="Times New Roman"/>
          <w:bCs/>
          <w:szCs w:val="24"/>
          <w:lang w:eastAsia="ar-SA"/>
        </w:rPr>
        <w:t>ą</w:t>
      </w:r>
      <w:r w:rsidRPr="005B640A">
        <w:rPr>
          <w:rFonts w:eastAsia="Calibri" w:cs="Times New Roman"/>
          <w:bCs/>
          <w:szCs w:val="24"/>
          <w:lang w:eastAsia="ar-SA"/>
        </w:rPr>
        <w:t xml:space="preserve"> </w:t>
      </w:r>
      <w:r>
        <w:rPr>
          <w:rFonts w:eastAsia="Calibri" w:cs="Times New Roman"/>
          <w:bCs/>
          <w:szCs w:val="24"/>
          <w:lang w:eastAsia="ar-SA"/>
        </w:rPr>
        <w:t xml:space="preserve">miały korzystny wpływ na działalność </w:t>
      </w:r>
      <w:proofErr w:type="spellStart"/>
      <w:r w:rsidRPr="005B640A">
        <w:rPr>
          <w:rFonts w:eastAsia="Calibri" w:cs="Times New Roman"/>
          <w:bCs/>
          <w:szCs w:val="24"/>
          <w:lang w:eastAsia="ar-SA"/>
        </w:rPr>
        <w:t>mikroprzedsiębiorców</w:t>
      </w:r>
      <w:proofErr w:type="spellEnd"/>
      <w:r>
        <w:rPr>
          <w:rFonts w:eastAsia="Calibri" w:cs="Times New Roman"/>
          <w:bCs/>
          <w:szCs w:val="24"/>
          <w:lang w:eastAsia="ar-SA"/>
        </w:rPr>
        <w:t xml:space="preserve"> oraz </w:t>
      </w:r>
      <w:r w:rsidRPr="005B640A">
        <w:rPr>
          <w:rFonts w:eastAsia="Calibri" w:cs="Times New Roman"/>
          <w:bCs/>
          <w:szCs w:val="24"/>
          <w:lang w:eastAsia="ar-SA"/>
        </w:rPr>
        <w:t>małych i średnich przedsiębiorców.</w:t>
      </w:r>
      <w:r w:rsidR="00832BF4">
        <w:rPr>
          <w:rFonts w:eastAsia="Calibri" w:cs="Times New Roman"/>
          <w:bCs/>
          <w:szCs w:val="24"/>
          <w:lang w:eastAsia="ar-SA"/>
        </w:rPr>
        <w:t xml:space="preserve"> </w:t>
      </w:r>
      <w:r w:rsidR="002E2D63">
        <w:rPr>
          <w:rFonts w:eastAsia="Calibri" w:cs="Times New Roman"/>
          <w:bCs/>
          <w:szCs w:val="24"/>
          <w:lang w:eastAsia="ar-SA"/>
        </w:rPr>
        <w:t>Umożliwienie realizacji najważniejszych w skali kraju inwestycji w sieci niskiego i średniego napięcia pozwoli nie tylko na większą integrację jednostek wytwarzających energię elektryczną w oparciu o odnawialne źródła energii, przyczyniając się tym samym do ustabilizowania cen energii elektrycznej na krajowym rynku, ale wzmocni również pewność co do stabilności dostaw energii elektrycznej do odbiorców.</w:t>
      </w:r>
    </w:p>
    <w:p w14:paraId="21AB337A" w14:textId="502230AD" w:rsidR="00830E47" w:rsidRPr="00661895" w:rsidRDefault="00830E47" w:rsidP="003B431B">
      <w:pPr>
        <w:widowControl/>
        <w:suppressAutoHyphens/>
        <w:autoSpaceDE/>
        <w:autoSpaceDN/>
        <w:adjustRightInd/>
        <w:spacing w:before="240" w:after="60"/>
        <w:jc w:val="both"/>
        <w:rPr>
          <w:rFonts w:eastAsia="Times New Roman" w:cs="Times New Roman"/>
          <w:b/>
          <w:szCs w:val="24"/>
        </w:rPr>
      </w:pPr>
      <w:r w:rsidRPr="00661895">
        <w:rPr>
          <w:rFonts w:eastAsia="Times New Roman" w:cs="Times New Roman"/>
          <w:b/>
          <w:szCs w:val="24"/>
        </w:rPr>
        <w:t>5. Obowiązek notyfikacji</w:t>
      </w:r>
    </w:p>
    <w:p w14:paraId="671D75CF" w14:textId="1B0430FC" w:rsidR="001976B7" w:rsidRPr="001976B7" w:rsidRDefault="001976B7" w:rsidP="003B431B">
      <w:pPr>
        <w:widowControl/>
        <w:suppressAutoHyphens/>
        <w:autoSpaceDE/>
        <w:autoSpaceDN/>
        <w:adjustRightInd/>
        <w:spacing w:after="60"/>
        <w:jc w:val="both"/>
        <w:rPr>
          <w:rFonts w:cs="Times New Roman"/>
          <w:szCs w:val="24"/>
        </w:rPr>
      </w:pPr>
      <w:r w:rsidRPr="001976B7">
        <w:rPr>
          <w:rFonts w:cs="Times New Roman"/>
          <w:szCs w:val="24"/>
        </w:rPr>
        <w:t xml:space="preserve">Projekt ustawy nie zawiera przepisów technicznych w rozumieniu przepisów rozporządzenia Rady Ministrów z dnia 23 grudnia 2002 r. w sprawie funkcjonowania krajowego systemu </w:t>
      </w:r>
      <w:r w:rsidRPr="001976B7">
        <w:rPr>
          <w:rFonts w:cs="Times New Roman"/>
          <w:szCs w:val="24"/>
        </w:rPr>
        <w:lastRenderedPageBreak/>
        <w:t>notyfikacji norm i aktów prawnych (Dz. U. poz. 2039 oraz z 2004 r. poz. 597) i w związku z</w:t>
      </w:r>
      <w:r w:rsidR="00E86664">
        <w:rPr>
          <w:rFonts w:cs="Times New Roman"/>
          <w:szCs w:val="24"/>
        </w:rPr>
        <w:t> </w:t>
      </w:r>
      <w:r w:rsidRPr="001976B7">
        <w:rPr>
          <w:rFonts w:cs="Times New Roman"/>
          <w:szCs w:val="24"/>
        </w:rPr>
        <w:t xml:space="preserve">tym nie podlega w tym zakresie notyfikacji Komisji Europejskiej. </w:t>
      </w:r>
    </w:p>
    <w:p w14:paraId="703D6222" w14:textId="53FD848F" w:rsidR="001976B7" w:rsidRPr="001976B7" w:rsidRDefault="001976B7" w:rsidP="003B431B">
      <w:pPr>
        <w:widowControl/>
        <w:suppressAutoHyphens/>
        <w:autoSpaceDE/>
        <w:autoSpaceDN/>
        <w:adjustRightInd/>
        <w:spacing w:after="60"/>
        <w:jc w:val="both"/>
        <w:rPr>
          <w:rFonts w:cs="Times New Roman"/>
          <w:szCs w:val="24"/>
        </w:rPr>
      </w:pPr>
      <w:r w:rsidRPr="001976B7">
        <w:rPr>
          <w:rFonts w:cs="Times New Roman"/>
          <w:szCs w:val="24"/>
        </w:rPr>
        <w:t>Projekt ustawy nie będzie wymagać notyfikacji Komisji Europejskiej w trybie ustawy z dnia 30 kwietnia 2004 r. o postępowaniu w sprawach dotyczących pomocy publicznej (Dz. U. z</w:t>
      </w:r>
      <w:r w:rsidR="00AA2B1E">
        <w:rPr>
          <w:rFonts w:cs="Times New Roman"/>
          <w:szCs w:val="24"/>
        </w:rPr>
        <w:t> </w:t>
      </w:r>
      <w:r w:rsidRPr="001976B7">
        <w:rPr>
          <w:rFonts w:cs="Times New Roman"/>
          <w:szCs w:val="24"/>
        </w:rPr>
        <w:t>20</w:t>
      </w:r>
      <w:r w:rsidR="00AA2B1E">
        <w:rPr>
          <w:rFonts w:cs="Times New Roman"/>
          <w:szCs w:val="24"/>
        </w:rPr>
        <w:t>21</w:t>
      </w:r>
      <w:r w:rsidRPr="001976B7">
        <w:rPr>
          <w:rFonts w:cs="Times New Roman"/>
          <w:szCs w:val="24"/>
        </w:rPr>
        <w:t xml:space="preserve"> r. poz. </w:t>
      </w:r>
      <w:r w:rsidR="00AA2B1E">
        <w:rPr>
          <w:rFonts w:cs="Times New Roman"/>
          <w:szCs w:val="24"/>
        </w:rPr>
        <w:t>743 i z 2022 r. poz. 807</w:t>
      </w:r>
      <w:r w:rsidRPr="001976B7">
        <w:rPr>
          <w:rFonts w:cs="Times New Roman"/>
          <w:szCs w:val="24"/>
        </w:rPr>
        <w:t>).</w:t>
      </w:r>
    </w:p>
    <w:p w14:paraId="007AFEDA" w14:textId="77777777" w:rsidR="001976B7" w:rsidRDefault="001976B7" w:rsidP="003B431B">
      <w:pPr>
        <w:widowControl/>
        <w:suppressAutoHyphens/>
        <w:autoSpaceDE/>
        <w:autoSpaceDN/>
        <w:adjustRightInd/>
        <w:spacing w:after="60"/>
        <w:jc w:val="both"/>
        <w:rPr>
          <w:rFonts w:cs="Times New Roman"/>
          <w:szCs w:val="24"/>
        </w:rPr>
      </w:pPr>
      <w:r w:rsidRPr="001976B7">
        <w:rPr>
          <w:rFonts w:cs="Times New Roman"/>
          <w:szCs w:val="24"/>
        </w:rPr>
        <w:t>Projekt ustawy nie wymaga przedłożenia instytucjom i organom Unii Europejskiej oraz Europejskiemu Bankowi Centralnemu w celu uzyskania opinii, dokonania konsultacji lub uzgodnienia.</w:t>
      </w:r>
    </w:p>
    <w:p w14:paraId="1476CB0C" w14:textId="038F3605" w:rsidR="00830E47" w:rsidRDefault="00830E47" w:rsidP="003B431B">
      <w:pPr>
        <w:widowControl/>
        <w:suppressAutoHyphens/>
        <w:autoSpaceDE/>
        <w:autoSpaceDN/>
        <w:adjustRightInd/>
        <w:spacing w:after="60"/>
        <w:jc w:val="both"/>
        <w:rPr>
          <w:rFonts w:eastAsia="Calibri" w:cs="Times New Roman"/>
          <w:bCs/>
          <w:szCs w:val="24"/>
          <w:lang w:eastAsia="ar-SA"/>
        </w:rPr>
      </w:pPr>
      <w:r w:rsidRPr="00864D5B">
        <w:rPr>
          <w:rFonts w:eastAsia="Calibri" w:cs="Times New Roman"/>
          <w:bCs/>
          <w:szCs w:val="24"/>
          <w:lang w:eastAsia="ar-SA"/>
        </w:rPr>
        <w:t xml:space="preserve">Projekt </w:t>
      </w:r>
      <w:r w:rsidR="00977AB3">
        <w:rPr>
          <w:rFonts w:eastAsia="Calibri" w:cs="Times New Roman"/>
          <w:bCs/>
          <w:szCs w:val="24"/>
          <w:lang w:eastAsia="ar-SA"/>
        </w:rPr>
        <w:t>ustawy</w:t>
      </w:r>
      <w:r w:rsidRPr="00864D5B">
        <w:rPr>
          <w:rFonts w:eastAsia="Calibri" w:cs="Times New Roman"/>
          <w:bCs/>
          <w:szCs w:val="24"/>
          <w:lang w:eastAsia="ar-SA"/>
        </w:rPr>
        <w:t xml:space="preserve"> nie jest objęty prawem Unii Europejskiej.</w:t>
      </w:r>
    </w:p>
    <w:p w14:paraId="2C5845F4" w14:textId="08A63F16" w:rsidR="00830E47" w:rsidRPr="00661895" w:rsidRDefault="00830E47" w:rsidP="003B431B">
      <w:pPr>
        <w:spacing w:before="240" w:after="60"/>
        <w:jc w:val="both"/>
        <w:rPr>
          <w:rFonts w:eastAsia="Times New Roman" w:cs="Times New Roman"/>
          <w:b/>
          <w:szCs w:val="24"/>
        </w:rPr>
      </w:pPr>
      <w:r w:rsidRPr="00661895">
        <w:rPr>
          <w:rFonts w:eastAsia="Times New Roman" w:cs="Times New Roman"/>
          <w:b/>
          <w:szCs w:val="24"/>
        </w:rPr>
        <w:t xml:space="preserve">6. </w:t>
      </w:r>
      <w:r w:rsidR="00703DC7" w:rsidRPr="00E86664">
        <w:rPr>
          <w:rFonts w:cs="Times New Roman"/>
          <w:b/>
          <w:bCs/>
          <w:szCs w:val="24"/>
        </w:rPr>
        <w:t>Udostępnienie</w:t>
      </w:r>
      <w:r w:rsidRPr="00661895">
        <w:rPr>
          <w:rFonts w:eastAsia="Times New Roman" w:cs="Times New Roman"/>
          <w:b/>
          <w:szCs w:val="24"/>
        </w:rPr>
        <w:t xml:space="preserve"> projektu</w:t>
      </w:r>
    </w:p>
    <w:p w14:paraId="51807D21" w14:textId="6C57151E" w:rsidR="00830E47" w:rsidRPr="00DA5C0A" w:rsidRDefault="00830E47" w:rsidP="003B431B">
      <w:pPr>
        <w:pStyle w:val="NIEARTTEKSTtekstnieartykuowanynppodstprawnarozplubpreambua"/>
        <w:spacing w:before="0" w:after="60"/>
        <w:ind w:firstLine="0"/>
        <w:rPr>
          <w:rFonts w:ascii="Times New Roman" w:hAnsi="Times New Roman" w:cs="Times New Roman"/>
          <w:szCs w:val="24"/>
        </w:rPr>
      </w:pPr>
      <w:r w:rsidRPr="00DA5C0A">
        <w:rPr>
          <w:rFonts w:ascii="Times New Roman" w:hAnsi="Times New Roman" w:cs="Times New Roman"/>
          <w:szCs w:val="24"/>
        </w:rPr>
        <w:t>Projekt przedmiotowej regulacji, zgodnie z wymogami określonymi w art. 5  ustawy z dnia 7 lipca 2005 o działalności lobbingowej w procesie stosowania prawa (Dz. U. z 2017 r. poz. 248), zosta</w:t>
      </w:r>
      <w:r w:rsidR="002634FE">
        <w:rPr>
          <w:rFonts w:ascii="Times New Roman" w:hAnsi="Times New Roman" w:cs="Times New Roman"/>
          <w:szCs w:val="24"/>
        </w:rPr>
        <w:t>nie</w:t>
      </w:r>
      <w:r w:rsidRPr="00DA5C0A">
        <w:rPr>
          <w:rFonts w:ascii="Times New Roman" w:hAnsi="Times New Roman" w:cs="Times New Roman"/>
          <w:szCs w:val="24"/>
        </w:rPr>
        <w:t xml:space="preserve"> udostępniony w Biuletynie Informacji Publicznej na stronie podmiotowej Rządowego Centrum Legislacji, w serwisie Rządowy Proces Legislacyjny.</w:t>
      </w:r>
    </w:p>
    <w:p w14:paraId="20458755" w14:textId="77777777" w:rsidR="001051BD" w:rsidRDefault="001051BD" w:rsidP="003B431B"/>
    <w:sectPr w:rsidR="001051B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D5FAB" w14:textId="77777777" w:rsidR="00FD6D01" w:rsidRDefault="00FD6D01" w:rsidP="005C1148">
      <w:pPr>
        <w:spacing w:line="240" w:lineRule="auto"/>
      </w:pPr>
      <w:r>
        <w:separator/>
      </w:r>
    </w:p>
  </w:endnote>
  <w:endnote w:type="continuationSeparator" w:id="0">
    <w:p w14:paraId="4797F8B6" w14:textId="77777777" w:rsidR="00FD6D01" w:rsidRDefault="00FD6D01" w:rsidP="005C11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445366"/>
      <w:docPartObj>
        <w:docPartGallery w:val="Page Numbers (Bottom of Page)"/>
        <w:docPartUnique/>
      </w:docPartObj>
    </w:sdtPr>
    <w:sdtContent>
      <w:p w14:paraId="4F58BAE2" w14:textId="00495D77" w:rsidR="00865E39" w:rsidRDefault="00865E39">
        <w:pPr>
          <w:pStyle w:val="Stopka"/>
          <w:jc w:val="right"/>
        </w:pPr>
        <w:r>
          <w:fldChar w:fldCharType="begin"/>
        </w:r>
        <w:r>
          <w:instrText>PAGE   \* MERGEFORMAT</w:instrText>
        </w:r>
        <w:r>
          <w:fldChar w:fldCharType="separate"/>
        </w:r>
        <w:r w:rsidR="00007E6D">
          <w:rPr>
            <w:noProof/>
          </w:rPr>
          <w:t>6</w:t>
        </w:r>
        <w:r>
          <w:fldChar w:fldCharType="end"/>
        </w:r>
      </w:p>
    </w:sdtContent>
  </w:sdt>
  <w:p w14:paraId="1B139F6A" w14:textId="77777777" w:rsidR="00865E39" w:rsidRDefault="00865E3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66F09" w14:textId="77777777" w:rsidR="00FD6D01" w:rsidRDefault="00FD6D01" w:rsidP="005C1148">
      <w:pPr>
        <w:spacing w:line="240" w:lineRule="auto"/>
      </w:pPr>
      <w:r>
        <w:separator/>
      </w:r>
    </w:p>
  </w:footnote>
  <w:footnote w:type="continuationSeparator" w:id="0">
    <w:p w14:paraId="34B35EDA" w14:textId="77777777" w:rsidR="00FD6D01" w:rsidRDefault="00FD6D01" w:rsidP="005C114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22ED9"/>
    <w:multiLevelType w:val="hybridMultilevel"/>
    <w:tmpl w:val="F90852D6"/>
    <w:lvl w:ilvl="0" w:tplc="1A2EBEEC">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EB13266"/>
    <w:multiLevelType w:val="hybridMultilevel"/>
    <w:tmpl w:val="EC32CE26"/>
    <w:lvl w:ilvl="0" w:tplc="4F8C317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C58653C"/>
    <w:multiLevelType w:val="hybridMultilevel"/>
    <w:tmpl w:val="92D69230"/>
    <w:lvl w:ilvl="0" w:tplc="291469BC">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4BE6A49"/>
    <w:multiLevelType w:val="hybridMultilevel"/>
    <w:tmpl w:val="B322CD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BD42424"/>
    <w:multiLevelType w:val="hybridMultilevel"/>
    <w:tmpl w:val="65B08A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F963EF5"/>
    <w:multiLevelType w:val="hybridMultilevel"/>
    <w:tmpl w:val="A2E25E50"/>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8E301F6"/>
    <w:multiLevelType w:val="hybridMultilevel"/>
    <w:tmpl w:val="9EB89C7E"/>
    <w:lvl w:ilvl="0" w:tplc="02F25B30">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74848981">
    <w:abstractNumId w:val="3"/>
  </w:num>
  <w:num w:numId="2" w16cid:durableId="1707678110">
    <w:abstractNumId w:val="0"/>
  </w:num>
  <w:num w:numId="3" w16cid:durableId="5445154">
    <w:abstractNumId w:val="5"/>
  </w:num>
  <w:num w:numId="4" w16cid:durableId="522744157">
    <w:abstractNumId w:val="4"/>
  </w:num>
  <w:num w:numId="5" w16cid:durableId="1964118155">
    <w:abstractNumId w:val="2"/>
  </w:num>
  <w:num w:numId="6" w16cid:durableId="1450970277">
    <w:abstractNumId w:val="6"/>
  </w:num>
  <w:num w:numId="7" w16cid:durableId="10279515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17E"/>
    <w:rsid w:val="00007E6D"/>
    <w:rsid w:val="00045569"/>
    <w:rsid w:val="0005611E"/>
    <w:rsid w:val="0006428C"/>
    <w:rsid w:val="00080095"/>
    <w:rsid w:val="000B372F"/>
    <w:rsid w:val="000C26F5"/>
    <w:rsid w:val="000F06F5"/>
    <w:rsid w:val="00101173"/>
    <w:rsid w:val="001051BD"/>
    <w:rsid w:val="00133A18"/>
    <w:rsid w:val="00161276"/>
    <w:rsid w:val="00164D7E"/>
    <w:rsid w:val="0017221C"/>
    <w:rsid w:val="00180EBB"/>
    <w:rsid w:val="001976B7"/>
    <w:rsid w:val="001D4E2F"/>
    <w:rsid w:val="00211AF6"/>
    <w:rsid w:val="00212BA0"/>
    <w:rsid w:val="00236FAB"/>
    <w:rsid w:val="00250E33"/>
    <w:rsid w:val="00260759"/>
    <w:rsid w:val="002634FE"/>
    <w:rsid w:val="00293B8F"/>
    <w:rsid w:val="002B0573"/>
    <w:rsid w:val="002B6B35"/>
    <w:rsid w:val="002C6435"/>
    <w:rsid w:val="002D5C6E"/>
    <w:rsid w:val="002E2D63"/>
    <w:rsid w:val="003014AD"/>
    <w:rsid w:val="00326690"/>
    <w:rsid w:val="003604C4"/>
    <w:rsid w:val="0036738A"/>
    <w:rsid w:val="00385CB0"/>
    <w:rsid w:val="003A3940"/>
    <w:rsid w:val="003B431B"/>
    <w:rsid w:val="003E2F06"/>
    <w:rsid w:val="003F2FDF"/>
    <w:rsid w:val="003F5A17"/>
    <w:rsid w:val="0041308C"/>
    <w:rsid w:val="00442E98"/>
    <w:rsid w:val="00480503"/>
    <w:rsid w:val="004A3DD8"/>
    <w:rsid w:val="005030B1"/>
    <w:rsid w:val="0050464C"/>
    <w:rsid w:val="00512CB8"/>
    <w:rsid w:val="0054175C"/>
    <w:rsid w:val="005765E9"/>
    <w:rsid w:val="00587A3E"/>
    <w:rsid w:val="005A374E"/>
    <w:rsid w:val="005C1148"/>
    <w:rsid w:val="00650C44"/>
    <w:rsid w:val="00650E20"/>
    <w:rsid w:val="0065217E"/>
    <w:rsid w:val="00667480"/>
    <w:rsid w:val="006B0731"/>
    <w:rsid w:val="006E2CBD"/>
    <w:rsid w:val="006E55E2"/>
    <w:rsid w:val="006E5914"/>
    <w:rsid w:val="006E6C5B"/>
    <w:rsid w:val="00703DC7"/>
    <w:rsid w:val="00737E3B"/>
    <w:rsid w:val="00752C18"/>
    <w:rsid w:val="00767B63"/>
    <w:rsid w:val="00774364"/>
    <w:rsid w:val="007A6CBC"/>
    <w:rsid w:val="008215B1"/>
    <w:rsid w:val="00830E47"/>
    <w:rsid w:val="00832BF4"/>
    <w:rsid w:val="008450CA"/>
    <w:rsid w:val="00865E39"/>
    <w:rsid w:val="00882E01"/>
    <w:rsid w:val="008C15D0"/>
    <w:rsid w:val="008F506A"/>
    <w:rsid w:val="00903341"/>
    <w:rsid w:val="00913471"/>
    <w:rsid w:val="00921967"/>
    <w:rsid w:val="0092533E"/>
    <w:rsid w:val="00977AB3"/>
    <w:rsid w:val="00A85FCA"/>
    <w:rsid w:val="00AA13CD"/>
    <w:rsid w:val="00AA2B1E"/>
    <w:rsid w:val="00AA466D"/>
    <w:rsid w:val="00AE20D9"/>
    <w:rsid w:val="00AE20DD"/>
    <w:rsid w:val="00AE4B42"/>
    <w:rsid w:val="00B13FA6"/>
    <w:rsid w:val="00BB0722"/>
    <w:rsid w:val="00BB4127"/>
    <w:rsid w:val="00BC4EFA"/>
    <w:rsid w:val="00BE4488"/>
    <w:rsid w:val="00BF203D"/>
    <w:rsid w:val="00C36939"/>
    <w:rsid w:val="00C379CD"/>
    <w:rsid w:val="00C62E68"/>
    <w:rsid w:val="00C64F6C"/>
    <w:rsid w:val="00C95A65"/>
    <w:rsid w:val="00CA4207"/>
    <w:rsid w:val="00CC6B2B"/>
    <w:rsid w:val="00CD2C99"/>
    <w:rsid w:val="00CE3356"/>
    <w:rsid w:val="00CF6E41"/>
    <w:rsid w:val="00D130E3"/>
    <w:rsid w:val="00D50AAF"/>
    <w:rsid w:val="00E10F13"/>
    <w:rsid w:val="00E1709D"/>
    <w:rsid w:val="00E272A9"/>
    <w:rsid w:val="00E61A21"/>
    <w:rsid w:val="00E80B68"/>
    <w:rsid w:val="00E86664"/>
    <w:rsid w:val="00EB3B3F"/>
    <w:rsid w:val="00F06E3F"/>
    <w:rsid w:val="00F425A4"/>
    <w:rsid w:val="00F60346"/>
    <w:rsid w:val="00F6722E"/>
    <w:rsid w:val="00F71D53"/>
    <w:rsid w:val="00F7584F"/>
    <w:rsid w:val="00FC28EC"/>
    <w:rsid w:val="00FD6D01"/>
    <w:rsid w:val="00FF59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5EBD1"/>
  <w15:chartTrackingRefBased/>
  <w15:docId w15:val="{2C90CFC5-3763-4379-909A-0F6427B2A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0E47"/>
    <w:pPr>
      <w:widowControl w:val="0"/>
      <w:autoSpaceDE w:val="0"/>
      <w:autoSpaceDN w:val="0"/>
      <w:adjustRightInd w:val="0"/>
      <w:spacing w:after="0" w:line="360" w:lineRule="auto"/>
    </w:pPr>
    <w:rPr>
      <w:rFonts w:ascii="Times New Roman" w:eastAsiaTheme="minorEastAsia" w:hAnsi="Times New Roman" w:cs="Arial"/>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IEARTTEKSTtekstnieartykuowanynppodstprawnarozplubpreambua">
    <w:name w:val="NIEART_TEKST – tekst nieartykułowany (np. podst. prawna rozp. lub preambuła)"/>
    <w:basedOn w:val="Normalny"/>
    <w:next w:val="Normalny"/>
    <w:uiPriority w:val="7"/>
    <w:qFormat/>
    <w:rsid w:val="00830E47"/>
    <w:pPr>
      <w:widowControl/>
      <w:suppressAutoHyphens/>
      <w:spacing w:before="120"/>
      <w:ind w:firstLine="510"/>
      <w:jc w:val="both"/>
    </w:pPr>
    <w:rPr>
      <w:rFonts w:ascii="Times" w:hAnsi="Times"/>
      <w:bCs/>
    </w:rPr>
  </w:style>
  <w:style w:type="paragraph" w:customStyle="1" w:styleId="OZNRODZAKTUtznustawalubrozporzdzenieiorganwydajcy">
    <w:name w:val="OZN_RODZ_AKTU – tzn. ustawa lub rozporządzenie i organ wydający"/>
    <w:next w:val="Normalny"/>
    <w:uiPriority w:val="5"/>
    <w:qFormat/>
    <w:rsid w:val="00830E47"/>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styleId="Tekstprzypisukocowego">
    <w:name w:val="endnote text"/>
    <w:basedOn w:val="Normalny"/>
    <w:link w:val="TekstprzypisukocowegoZnak"/>
    <w:uiPriority w:val="99"/>
    <w:semiHidden/>
    <w:unhideWhenUsed/>
    <w:rsid w:val="005C1148"/>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5C1148"/>
    <w:rPr>
      <w:rFonts w:ascii="Times New Roman" w:eastAsiaTheme="minorEastAsia" w:hAnsi="Times New Roman" w:cs="Arial"/>
      <w:sz w:val="20"/>
      <w:szCs w:val="20"/>
      <w:lang w:eastAsia="pl-PL"/>
    </w:rPr>
  </w:style>
  <w:style w:type="character" w:styleId="Odwoanieprzypisukocowego">
    <w:name w:val="endnote reference"/>
    <w:basedOn w:val="Domylnaczcionkaakapitu"/>
    <w:uiPriority w:val="99"/>
    <w:semiHidden/>
    <w:unhideWhenUsed/>
    <w:rsid w:val="005C1148"/>
    <w:rPr>
      <w:vertAlign w:val="superscript"/>
    </w:rPr>
  </w:style>
  <w:style w:type="character" w:styleId="Odwoaniedokomentarza">
    <w:name w:val="annotation reference"/>
    <w:basedOn w:val="Domylnaczcionkaakapitu"/>
    <w:uiPriority w:val="99"/>
    <w:semiHidden/>
    <w:unhideWhenUsed/>
    <w:rsid w:val="002D5C6E"/>
    <w:rPr>
      <w:sz w:val="16"/>
      <w:szCs w:val="16"/>
    </w:rPr>
  </w:style>
  <w:style w:type="paragraph" w:styleId="Tekstkomentarza">
    <w:name w:val="annotation text"/>
    <w:basedOn w:val="Normalny"/>
    <w:link w:val="TekstkomentarzaZnak"/>
    <w:uiPriority w:val="99"/>
    <w:unhideWhenUsed/>
    <w:rsid w:val="002D5C6E"/>
    <w:pPr>
      <w:spacing w:line="240" w:lineRule="auto"/>
    </w:pPr>
    <w:rPr>
      <w:sz w:val="20"/>
    </w:rPr>
  </w:style>
  <w:style w:type="character" w:customStyle="1" w:styleId="TekstkomentarzaZnak">
    <w:name w:val="Tekst komentarza Znak"/>
    <w:basedOn w:val="Domylnaczcionkaakapitu"/>
    <w:link w:val="Tekstkomentarza"/>
    <w:uiPriority w:val="99"/>
    <w:rsid w:val="002D5C6E"/>
    <w:rPr>
      <w:rFonts w:ascii="Times New Roman" w:eastAsiaTheme="minorEastAsia" w:hAnsi="Times New Roman"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2D5C6E"/>
    <w:rPr>
      <w:b/>
      <w:bCs/>
    </w:rPr>
  </w:style>
  <w:style w:type="character" w:customStyle="1" w:styleId="TematkomentarzaZnak">
    <w:name w:val="Temat komentarza Znak"/>
    <w:basedOn w:val="TekstkomentarzaZnak"/>
    <w:link w:val="Tematkomentarza"/>
    <w:uiPriority w:val="99"/>
    <w:semiHidden/>
    <w:rsid w:val="002D5C6E"/>
    <w:rPr>
      <w:rFonts w:ascii="Times New Roman" w:eastAsiaTheme="minorEastAsia" w:hAnsi="Times New Roman" w:cs="Arial"/>
      <w:b/>
      <w:bCs/>
      <w:sz w:val="20"/>
      <w:szCs w:val="20"/>
      <w:lang w:eastAsia="pl-PL"/>
    </w:rPr>
  </w:style>
  <w:style w:type="paragraph" w:styleId="Tekstdymka">
    <w:name w:val="Balloon Text"/>
    <w:basedOn w:val="Normalny"/>
    <w:link w:val="TekstdymkaZnak"/>
    <w:uiPriority w:val="99"/>
    <w:semiHidden/>
    <w:unhideWhenUsed/>
    <w:rsid w:val="0006428C"/>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428C"/>
    <w:rPr>
      <w:rFonts w:ascii="Segoe UI" w:eastAsiaTheme="minorEastAsia" w:hAnsi="Segoe UI" w:cs="Segoe UI"/>
      <w:sz w:val="18"/>
      <w:szCs w:val="18"/>
      <w:lang w:eastAsia="pl-PL"/>
    </w:rPr>
  </w:style>
  <w:style w:type="paragraph" w:styleId="Nagwek">
    <w:name w:val="header"/>
    <w:basedOn w:val="Normalny"/>
    <w:link w:val="NagwekZnak"/>
    <w:uiPriority w:val="99"/>
    <w:unhideWhenUsed/>
    <w:rsid w:val="00865E39"/>
    <w:pPr>
      <w:tabs>
        <w:tab w:val="center" w:pos="4536"/>
        <w:tab w:val="right" w:pos="9072"/>
      </w:tabs>
      <w:spacing w:line="240" w:lineRule="auto"/>
    </w:pPr>
  </w:style>
  <w:style w:type="character" w:customStyle="1" w:styleId="NagwekZnak">
    <w:name w:val="Nagłówek Znak"/>
    <w:basedOn w:val="Domylnaczcionkaakapitu"/>
    <w:link w:val="Nagwek"/>
    <w:uiPriority w:val="99"/>
    <w:rsid w:val="00865E39"/>
    <w:rPr>
      <w:rFonts w:ascii="Times New Roman" w:eastAsiaTheme="minorEastAsia" w:hAnsi="Times New Roman" w:cs="Arial"/>
      <w:sz w:val="24"/>
      <w:szCs w:val="20"/>
      <w:lang w:eastAsia="pl-PL"/>
    </w:rPr>
  </w:style>
  <w:style w:type="paragraph" w:styleId="Stopka">
    <w:name w:val="footer"/>
    <w:basedOn w:val="Normalny"/>
    <w:link w:val="StopkaZnak"/>
    <w:uiPriority w:val="99"/>
    <w:unhideWhenUsed/>
    <w:rsid w:val="00865E39"/>
    <w:pPr>
      <w:tabs>
        <w:tab w:val="center" w:pos="4536"/>
        <w:tab w:val="right" w:pos="9072"/>
      </w:tabs>
      <w:spacing w:line="240" w:lineRule="auto"/>
    </w:pPr>
  </w:style>
  <w:style w:type="character" w:customStyle="1" w:styleId="StopkaZnak">
    <w:name w:val="Stopka Znak"/>
    <w:basedOn w:val="Domylnaczcionkaakapitu"/>
    <w:link w:val="Stopka"/>
    <w:uiPriority w:val="99"/>
    <w:rsid w:val="00865E39"/>
    <w:rPr>
      <w:rFonts w:ascii="Times New Roman" w:eastAsiaTheme="minorEastAsia" w:hAnsi="Times New Roman" w:cs="Arial"/>
      <w:sz w:val="24"/>
      <w:szCs w:val="20"/>
      <w:lang w:eastAsia="pl-PL"/>
    </w:rPr>
  </w:style>
  <w:style w:type="paragraph" w:styleId="Akapitzlist">
    <w:name w:val="List Paragraph"/>
    <w:basedOn w:val="Normalny"/>
    <w:uiPriority w:val="34"/>
    <w:qFormat/>
    <w:rsid w:val="008215B1"/>
    <w:pPr>
      <w:ind w:left="720"/>
      <w:contextualSpacing/>
    </w:pPr>
  </w:style>
  <w:style w:type="paragraph" w:styleId="Poprawka">
    <w:name w:val="Revision"/>
    <w:hidden/>
    <w:uiPriority w:val="99"/>
    <w:semiHidden/>
    <w:rsid w:val="00C379CD"/>
    <w:pPr>
      <w:spacing w:after="0" w:line="240" w:lineRule="auto"/>
    </w:pPr>
    <w:rPr>
      <w:rFonts w:ascii="Times New Roman" w:eastAsiaTheme="minorEastAsia" w:hAnsi="Times New Roman" w:cs="Arial"/>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4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87B05-5F56-465E-9AC6-321C66990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3144</Words>
  <Characters>18869</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JUCHNIEWICZ Paweł</dc:creator>
  <cp:keywords/>
  <dc:description/>
  <cp:lastModifiedBy>ZAWADZKI Kamil</cp:lastModifiedBy>
  <cp:revision>3</cp:revision>
  <cp:lastPrinted>2022-05-18T12:18:00Z</cp:lastPrinted>
  <dcterms:created xsi:type="dcterms:W3CDTF">2022-10-05T09:47:00Z</dcterms:created>
  <dcterms:modified xsi:type="dcterms:W3CDTF">2022-10-05T10:57:00Z</dcterms:modified>
</cp:coreProperties>
</file>