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B2EF" w14:textId="77777777" w:rsidR="002F32B9" w:rsidRPr="007C0B2B" w:rsidRDefault="002F32B9" w:rsidP="0018066D">
      <w:pPr>
        <w:pStyle w:val="Style13"/>
        <w:shd w:val="clear" w:color="auto" w:fill="auto"/>
        <w:spacing w:before="120" w:after="0" w:line="276" w:lineRule="auto"/>
        <w:ind w:firstLine="0"/>
        <w:rPr>
          <w:rStyle w:val="CharStyle12"/>
          <w:rFonts w:ascii="Times New Roman" w:hAnsi="Times New Roman" w:cs="Times New Roman"/>
          <w:b/>
          <w:sz w:val="24"/>
          <w:szCs w:val="24"/>
        </w:rPr>
      </w:pPr>
      <w:bookmarkStart w:id="0" w:name="_GoBack"/>
      <w:bookmarkEnd w:id="0"/>
      <w:r w:rsidRPr="007C0B2B">
        <w:rPr>
          <w:rStyle w:val="CharStyle12"/>
          <w:rFonts w:ascii="Times New Roman" w:hAnsi="Times New Roman" w:cs="Times New Roman"/>
          <w:b/>
          <w:sz w:val="24"/>
          <w:szCs w:val="24"/>
        </w:rPr>
        <w:t>Uzasadnienie</w:t>
      </w:r>
    </w:p>
    <w:p w14:paraId="1D7C76C2" w14:textId="77777777" w:rsidR="00B4347E" w:rsidRPr="00B4347E" w:rsidRDefault="00B4347E" w:rsidP="0018066D">
      <w:pPr>
        <w:spacing w:before="120" w:line="276" w:lineRule="auto"/>
        <w:jc w:val="both"/>
        <w:rPr>
          <w:b/>
          <w:sz w:val="16"/>
          <w:szCs w:val="16"/>
        </w:rPr>
      </w:pPr>
    </w:p>
    <w:p w14:paraId="4AE4B4BC" w14:textId="77777777" w:rsidR="00E25E54" w:rsidRPr="007C0B2B" w:rsidRDefault="00E25E54" w:rsidP="0018066D">
      <w:pPr>
        <w:spacing w:before="120" w:line="276" w:lineRule="auto"/>
        <w:jc w:val="both"/>
        <w:rPr>
          <w:b/>
        </w:rPr>
      </w:pPr>
      <w:r w:rsidRPr="007C0B2B">
        <w:rPr>
          <w:b/>
        </w:rPr>
        <w:t>Wyjaśnienie potrzeby i celu wydania rozporządzenia.</w:t>
      </w:r>
    </w:p>
    <w:p w14:paraId="42F67C58" w14:textId="77777777" w:rsidR="00FD3771" w:rsidRDefault="00FD3771" w:rsidP="0018066D">
      <w:pPr>
        <w:spacing w:before="120" w:after="120" w:line="276" w:lineRule="auto"/>
        <w:jc w:val="both"/>
      </w:pPr>
      <w:r>
        <w:t>Rozporządzenie Ministra Sportu i Turystyki z dnia 12 sierpnia 2019 r. w sprawie przekazywania środków z Funduszu Rozwoju Kultury Fizycznej (Dz.U. 2019 poz. 1638) określa szczegółowe warunki uzyskiwania dofinansowania realizacji zadań z zakresu przebudowy, remontów i inwestycji obiektów sportowych, a także rozwijania sportu wśród dzieci, młodzieży i osób niepełnosprawnych oraz zadań określonych w przepisach o zdrowiu publicznym w zakresie aktywności fizycznej oraz zadań z zakresu rozwoju turystyki społecznej ze środków Funduszu Rozwoju Kultury Fizycznej</w:t>
      </w:r>
      <w:r w:rsidR="00FC5A17">
        <w:t>,</w:t>
      </w:r>
      <w:r>
        <w:t xml:space="preserve"> tryb składania wniosków o dofinansowanie ze środków Funduszu oraz tryb przekazywania środków z Funduszu.</w:t>
      </w:r>
    </w:p>
    <w:p w14:paraId="050D12F7" w14:textId="44F8506E" w:rsidR="00FD3771" w:rsidRDefault="00FD3771" w:rsidP="0018066D">
      <w:pPr>
        <w:spacing w:before="120" w:after="120" w:line="276" w:lineRule="auto"/>
        <w:jc w:val="both"/>
      </w:pPr>
      <w:r>
        <w:t>Rozporządzenie wyda</w:t>
      </w:r>
      <w:r w:rsidR="00C0349B">
        <w:t>wa</w:t>
      </w:r>
      <w:r>
        <w:t xml:space="preserve">ne jest na </w:t>
      </w:r>
      <w:r w:rsidRPr="00FD3771">
        <w:t>podstawie art. 86 ust. 6 ustawy z dnia 19 listopada 2009 r. o grach hazardowych (Dz. U</w:t>
      </w:r>
      <w:r>
        <w:t xml:space="preserve">. </w:t>
      </w:r>
      <w:r w:rsidR="001D7FAC" w:rsidRPr="001D7FAC">
        <w:t xml:space="preserve">z </w:t>
      </w:r>
      <w:r w:rsidR="00C0349B" w:rsidRPr="00C0349B">
        <w:t>2022 r. poz. 888, 1301 i 1751</w:t>
      </w:r>
      <w:r w:rsidR="001D7FAC" w:rsidRPr="001D7FAC">
        <w:t>)</w:t>
      </w:r>
      <w:r w:rsidR="00FC5A17">
        <w:t>.</w:t>
      </w:r>
    </w:p>
    <w:p w14:paraId="619D3CC9" w14:textId="77777777" w:rsidR="00FD3771" w:rsidRDefault="00FC5A17" w:rsidP="0018066D">
      <w:pPr>
        <w:spacing w:before="120" w:after="120" w:line="276" w:lineRule="auto"/>
        <w:jc w:val="both"/>
      </w:pPr>
      <w:r>
        <w:t xml:space="preserve">Wśród kwestii regulowanych przez </w:t>
      </w:r>
      <w:r w:rsidR="00C5363A">
        <w:t xml:space="preserve">Rozporządzenie </w:t>
      </w:r>
      <w:r>
        <w:t xml:space="preserve">jest </w:t>
      </w:r>
      <w:r w:rsidR="00C5363A">
        <w:t>między innymi maksymalny możliwy do uzyskania poziom dofinansowania dla zadań inwestycyjnych.</w:t>
      </w:r>
    </w:p>
    <w:p w14:paraId="6831C78E" w14:textId="77777777" w:rsidR="00C5363A" w:rsidRDefault="00C5363A" w:rsidP="0018066D">
      <w:pPr>
        <w:spacing w:before="120" w:after="120" w:line="276" w:lineRule="auto"/>
        <w:jc w:val="both"/>
      </w:pPr>
      <w:r>
        <w:t>Konieczność</w:t>
      </w:r>
      <w:r w:rsidR="00B6294B">
        <w:t xml:space="preserve"> korekty przedmiotowej kwestii, </w:t>
      </w:r>
      <w:r>
        <w:t xml:space="preserve">wynika z potrzeby uelastycznienia </w:t>
      </w:r>
      <w:r w:rsidR="00B6294B">
        <w:t xml:space="preserve">i urealnienia limitów </w:t>
      </w:r>
      <w:r>
        <w:t>dotyczących udzielania dofinansowania</w:t>
      </w:r>
      <w:r w:rsidR="00FD3771">
        <w:t>. Obecnie obowiązujące regulacje przewidują bowiem, co do zasady, dofinansowanie zadań inwestycyjnych na poziomie do 50% z nielicznymi wyjątkami, dotyczącymi Centralnego Ośrodka Sportu, Instytutu Sportu itp.</w:t>
      </w:r>
      <w:r w:rsidR="00B6294B">
        <w:t xml:space="preserve"> To z kolei powoduje, że aktualnie dla szeregu przedsięwzięć realizacja polityki Ministra w zakresie systemowego wsparcia inwestycji sportowych napotyka na nieuzasadnione bariery. Minister przygotowując programy inwestycyjnie każdorazowo przeprowadza szereg analiz dotyczących popytu na środki czy atrakcyjności finansowej oferowanych rozwiązań. Należy mieć na uwadze, że w ramach ogłaszanych program</w:t>
      </w:r>
      <w:r w:rsidR="00694BD5">
        <w:t>ów</w:t>
      </w:r>
      <w:r w:rsidR="00B6294B">
        <w:t xml:space="preserve"> inwestycyjnych</w:t>
      </w:r>
      <w:r w:rsidR="00694BD5">
        <w:t>, w szczególności mających na celu wsparcie sportu wyczynowego, nie wszystkie oferty dofinansowań są atrakcyjne z punktu widzenia inwestorów samorządowych. Stąd też powstaje konieczność takiego uelastycznienia zasad dotyczących kreowania warunków wsparcia, by te w pełni oddawały specyfikę oczekiwanych do dofinansowania projektów.</w:t>
      </w:r>
    </w:p>
    <w:p w14:paraId="58C178F0" w14:textId="77777777" w:rsidR="00694BD5" w:rsidRDefault="00694BD5" w:rsidP="0018066D">
      <w:pPr>
        <w:spacing w:before="120" w:after="120" w:line="276" w:lineRule="auto"/>
        <w:jc w:val="both"/>
      </w:pPr>
      <w:r>
        <w:t xml:space="preserve">Aby osiągnąć ten cel konieczne jest przeniesienie szczegółowych reguł w zakresie limitów wydatków na poziom poszczególnych programów, przy jednoczesnym pozostawieniu w rozporządzeniu ogólnych górnych limitów. </w:t>
      </w:r>
    </w:p>
    <w:p w14:paraId="11496DAD" w14:textId="77777777" w:rsidR="00CC12E7" w:rsidRDefault="00694BD5" w:rsidP="0018066D">
      <w:pPr>
        <w:spacing w:before="120" w:line="276" w:lineRule="auto"/>
        <w:jc w:val="both"/>
        <w:rPr>
          <w:color w:val="auto"/>
          <w:sz w:val="22"/>
          <w:szCs w:val="22"/>
        </w:rPr>
      </w:pPr>
      <w:r>
        <w:t>Stąd też p</w:t>
      </w:r>
      <w:r w:rsidR="00C5363A">
        <w:t xml:space="preserve">roponowana zmiana rozporządzenia przewiduje </w:t>
      </w:r>
      <w:r w:rsidR="00696E0B">
        <w:t xml:space="preserve">podniesienie </w:t>
      </w:r>
      <w:r w:rsidR="00C5363A">
        <w:t>ogóln</w:t>
      </w:r>
      <w:r w:rsidR="00696E0B">
        <w:t>ego</w:t>
      </w:r>
      <w:r>
        <w:t>, standardowego</w:t>
      </w:r>
      <w:r w:rsidR="00C5363A">
        <w:t xml:space="preserve"> poziom</w:t>
      </w:r>
      <w:r w:rsidR="00696E0B">
        <w:t>u</w:t>
      </w:r>
      <w:r w:rsidR="00C5363A">
        <w:t xml:space="preserve"> dofinansowania do 70% wydatków.</w:t>
      </w:r>
      <w:r w:rsidR="00696E0B">
        <w:t xml:space="preserve"> </w:t>
      </w:r>
      <w:r>
        <w:t xml:space="preserve">Jednocześnie planowane jest </w:t>
      </w:r>
      <w:r w:rsidR="00696E0B">
        <w:t>utrzymanie dofinansowania do 80% wydatków kwalifikowanych w przypadku realizacji zadania dotyczącego obiektu sportowego zniszczonego lub uszkodzonego w wyniku działania żywiołu, zlokalizowanego w miejscowości ujętej w przepisach wydanych na podstawie art. 2 ustawy z dnia 11 sierpnia 2001 r. o szczególnych zasadach odbudowy, remontów i rozbiórek obiektów budowlanych zniszczonych lub uszkodzonych w wyniku działania żywiołu (Dz. U. 2020 poz. 764).</w:t>
      </w:r>
      <w:r w:rsidR="001D7FAC">
        <w:t xml:space="preserve"> </w:t>
      </w:r>
      <w:r>
        <w:t>Z kolei d</w:t>
      </w:r>
      <w:r w:rsidR="00696E0B">
        <w:t xml:space="preserve">ofinansowanie realizacji zadania inwestycyjnego ze środków Funduszu </w:t>
      </w:r>
      <w:r w:rsidR="001D7FAC">
        <w:t>na poziomie</w:t>
      </w:r>
      <w:r w:rsidR="00696E0B">
        <w:t xml:space="preserve"> do 99% wydatków kwalifikowanych tego zadania, </w:t>
      </w:r>
      <w:r w:rsidR="001D7FAC">
        <w:t xml:space="preserve">pozostaje utrzymane </w:t>
      </w:r>
      <w:r w:rsidR="00696E0B">
        <w:t>w przypadku</w:t>
      </w:r>
      <w:r w:rsidR="001D7FAC">
        <w:t>,</w:t>
      </w:r>
      <w:r w:rsidR="00696E0B">
        <w:t xml:space="preserve"> gdy wniosek inwestycyjny składa:</w:t>
      </w:r>
      <w:r w:rsidR="001D7FAC">
        <w:t xml:space="preserve"> </w:t>
      </w:r>
      <w:r w:rsidR="00696E0B">
        <w:t>Centralny Ośrodek Sportu</w:t>
      </w:r>
      <w:r w:rsidR="001D7FAC">
        <w:t xml:space="preserve"> lub </w:t>
      </w:r>
      <w:r w:rsidR="00696E0B">
        <w:t>Instytut Sportu – Państwowy Instytut Badawczy</w:t>
      </w:r>
      <w:r w:rsidR="001D7FAC">
        <w:t>.</w:t>
      </w:r>
      <w:r w:rsidR="00CC12E7">
        <w:t xml:space="preserve"> </w:t>
      </w:r>
      <w:r w:rsidR="00CC12E7">
        <w:rPr>
          <w:spacing w:val="-2"/>
        </w:rPr>
        <w:t>Natomiast z katalogu podmiotów najbardziej uprzywilejowanych zostaje usunięte Polskie Laboratorium Antydopingowe</w:t>
      </w:r>
      <w:r w:rsidR="00CC12E7">
        <w:t xml:space="preserve">, z uwagi na </w:t>
      </w:r>
      <w:r w:rsidR="00CC12E7">
        <w:lastRenderedPageBreak/>
        <w:t>dotychczasowy brak zainteresowania środkami Funduszu.</w:t>
      </w:r>
    </w:p>
    <w:p w14:paraId="49013B32" w14:textId="77777777" w:rsidR="001D7FAC" w:rsidRDefault="001D7FAC" w:rsidP="0018066D">
      <w:pPr>
        <w:spacing w:before="120" w:after="120" w:line="276" w:lineRule="auto"/>
        <w:jc w:val="both"/>
      </w:pPr>
    </w:p>
    <w:p w14:paraId="4F48D397" w14:textId="77777777" w:rsidR="00C5363A" w:rsidRDefault="00C5363A" w:rsidP="0018066D">
      <w:pPr>
        <w:spacing w:before="120" w:after="120" w:line="276" w:lineRule="auto"/>
        <w:jc w:val="both"/>
      </w:pPr>
      <w:r>
        <w:t>Szczegółowe regulacje w zakresie możliwego do uzyskania wsparcia dla poszczególnych wnioskodawców, bądź rodzajów zadań inwestycyjnych określane będą przez Ministra w ogłaszanych przez niego programach inwestycyjnych.</w:t>
      </w:r>
    </w:p>
    <w:p w14:paraId="37EA2D4F" w14:textId="77777777" w:rsidR="00C5363A" w:rsidRDefault="00C5363A" w:rsidP="0018066D">
      <w:pPr>
        <w:spacing w:before="120" w:after="120" w:line="276" w:lineRule="auto"/>
        <w:jc w:val="both"/>
      </w:pPr>
    </w:p>
    <w:p w14:paraId="2DD9074B" w14:textId="77777777" w:rsidR="00F059BA" w:rsidRDefault="001D7FAC" w:rsidP="0018066D">
      <w:pPr>
        <w:spacing w:before="120" w:after="120" w:line="276" w:lineRule="auto"/>
        <w:jc w:val="both"/>
      </w:pPr>
      <w:r>
        <w:t xml:space="preserve">Rozporządzenie określa katalog dokumentów, które dołącza się do wniosku inwestycyjnego. </w:t>
      </w:r>
    </w:p>
    <w:p w14:paraId="79F988AE" w14:textId="77777777" w:rsidR="00F059BA" w:rsidRDefault="00FF2676" w:rsidP="0018066D">
      <w:pPr>
        <w:spacing w:before="120" w:after="120" w:line="276" w:lineRule="auto"/>
        <w:jc w:val="both"/>
      </w:pPr>
      <w:r>
        <w:t>Aktualnie p</w:t>
      </w:r>
      <w:r w:rsidR="00F059BA">
        <w:t>odstawowym elementem dokumentacji załączanej do wniosku inwestycyjnego są dokumenty potwierdzające przygotowanie zadania inwestycyjnego do realizacji, w szczególności decyzja o pozwoleniu na budowę, jeżeli jej uzyskanie jest wymagane odrębnymi przepisami dla zakresu zadania inwestycyjnego objętego wnioskiem o dofinansowanie.</w:t>
      </w:r>
    </w:p>
    <w:p w14:paraId="74FD8381" w14:textId="77777777" w:rsidR="001D7FAC" w:rsidRDefault="00F059BA" w:rsidP="0018066D">
      <w:pPr>
        <w:spacing w:before="120" w:after="120" w:line="276" w:lineRule="auto"/>
        <w:jc w:val="both"/>
      </w:pPr>
      <w:r>
        <w:t>W</w:t>
      </w:r>
      <w:r w:rsidR="001D7FAC">
        <w:t xml:space="preserve"> odniesieniu do zadań inwestycyjnych realizowanych przez </w:t>
      </w:r>
      <w:r w:rsidR="001D7FAC" w:rsidRPr="001D7FAC">
        <w:t xml:space="preserve">Centralny Ośrodek Sportu </w:t>
      </w:r>
      <w:r w:rsidR="001D7FAC">
        <w:t>i</w:t>
      </w:r>
      <w:r w:rsidR="001D7FAC" w:rsidRPr="001D7FAC">
        <w:t xml:space="preserve"> Instytut Sportu – Państwowy Instytut Badawczy</w:t>
      </w:r>
      <w:r w:rsidR="001D7FAC">
        <w:t xml:space="preserve"> </w:t>
      </w:r>
      <w:r>
        <w:t>do wniosku, w przypadku braku dokumentów, o których mowa w pkt 1 ust. 1 w</w:t>
      </w:r>
      <w:r w:rsidRPr="00F059BA">
        <w:t xml:space="preserve"> § 7</w:t>
      </w:r>
      <w:r>
        <w:t>, dołącza się</w:t>
      </w:r>
      <w:r w:rsidR="001D7FAC">
        <w:t xml:space="preserve"> program funkcjonalno-użytkowy, o którym mowa w art. 31 ust. 2 ustawy z dnia 29 stycznia 2004 r. – Prawo zamówień publicznych (Dz. U. z 2018 r. poz. 1986 i 2215 oraz z 2019 r. poz. 53 i 730)</w:t>
      </w:r>
      <w:r>
        <w:t>.</w:t>
      </w:r>
    </w:p>
    <w:p w14:paraId="3CAAD54A" w14:textId="05326EA5" w:rsidR="001D7FAC" w:rsidRDefault="00F059BA" w:rsidP="0018066D">
      <w:pPr>
        <w:spacing w:before="120" w:after="120" w:line="276" w:lineRule="auto"/>
        <w:jc w:val="both"/>
      </w:pPr>
      <w:r>
        <w:t xml:space="preserve">Projektowana zmiana rozporządzenia przewiduje, że </w:t>
      </w:r>
      <w:r w:rsidR="001D7FAC">
        <w:t xml:space="preserve">program funkcjonalno-użytkowy, o którym mowa w art. 103 ust. 2 ustawy z dnia 11 września 2019 r. Prawo zamówień publicznych (Dz. U. </w:t>
      </w:r>
      <w:r w:rsidR="00C0349B" w:rsidRPr="00C0349B">
        <w:t>z 2022 r. poz. 1710 i 1812</w:t>
      </w:r>
      <w:r w:rsidR="001D7FAC">
        <w:t xml:space="preserve">) </w:t>
      </w:r>
      <w:r>
        <w:t xml:space="preserve">dołączyć będą mogły również inne podmioty </w:t>
      </w:r>
      <w:r w:rsidR="001D7FAC">
        <w:t>w szczególnych przypadkach określonych w programach inwestycyjnych;”.</w:t>
      </w:r>
    </w:p>
    <w:p w14:paraId="00C5413E" w14:textId="77777777" w:rsidR="00F059BA" w:rsidRDefault="00F059BA" w:rsidP="0018066D">
      <w:pPr>
        <w:spacing w:before="120" w:after="120" w:line="276" w:lineRule="auto"/>
        <w:jc w:val="both"/>
      </w:pPr>
    </w:p>
    <w:p w14:paraId="2A649455" w14:textId="77777777" w:rsidR="00F059BA" w:rsidRDefault="00FF2676" w:rsidP="0018066D">
      <w:pPr>
        <w:spacing w:before="120" w:after="120" w:line="276" w:lineRule="auto"/>
        <w:jc w:val="both"/>
      </w:pPr>
      <w:r>
        <w:t xml:space="preserve">Obecnie obowiązujące </w:t>
      </w:r>
      <w:r w:rsidR="00F059BA">
        <w:t xml:space="preserve">Rozporządzenie przewiduje, że wniosek o dofinansowanie </w:t>
      </w:r>
      <w:r w:rsidR="00F059BA" w:rsidRPr="00F059BA">
        <w:t>realizacji zada</w:t>
      </w:r>
      <w:r w:rsidR="00F059BA">
        <w:t>nia</w:t>
      </w:r>
      <w:r w:rsidR="00F059BA" w:rsidRPr="00F059BA">
        <w:t xml:space="preserve"> z zakresu rozwijania sportu i aktywności fizycznej</w:t>
      </w:r>
      <w:r w:rsidR="00F059BA">
        <w:t xml:space="preserve"> składa się w terminie określonym w ogłoszeniu programu z zakresu rozwijania sportu i aktywności fizycznej, nie wcześniej jednak niż od dnia 1 października roku poprzedzającego rok realizacji zadania z zakresu rozwijania sportu i aktywności fizycznej i nie później niż do dnia 20 grudnia roku, w którym dofinansowanie ma być udzielone.</w:t>
      </w:r>
    </w:p>
    <w:p w14:paraId="5D654708" w14:textId="2F50D539" w:rsidR="006F241F" w:rsidRDefault="00F059BA" w:rsidP="0018066D">
      <w:pPr>
        <w:spacing w:before="120" w:after="120" w:line="276" w:lineRule="auto"/>
        <w:jc w:val="both"/>
      </w:pPr>
      <w:r>
        <w:t>Zapis w obecnym kształcie sformułowany w rozdziale 3, § 8 ust. 2 potencjalnie ogranicza możliwości wcześniejszego uruchamiania działań programowych, co ostatecznie może wpłynąć na możliwości efektywnego procedowania. W związku z powyższym</w:t>
      </w:r>
      <w:r w:rsidR="00FF2676">
        <w:t xml:space="preserve"> niniejsza zmiana przepisów przewiduje</w:t>
      </w:r>
      <w:r>
        <w:t>, aby regulacje w tym zakresie (tj. od kiedy i do kiedy można składać wnioski) określano każdorazowo na poziomie programów.</w:t>
      </w:r>
      <w:r>
        <w:cr/>
      </w:r>
    </w:p>
    <w:p w14:paraId="4B10B489" w14:textId="7ACB6BE1" w:rsidR="006F241F" w:rsidRDefault="006F241F" w:rsidP="0018066D">
      <w:pPr>
        <w:spacing w:before="120" w:after="120" w:line="276" w:lineRule="auto"/>
        <w:jc w:val="both"/>
      </w:pPr>
      <w:r>
        <w:t xml:space="preserve">Wprowadzenie dodatkowych zapisów w projektowanej treści rozporządzenia (w § 3) ma na celu optymalizację działań realizacyjnych odnoszących się do kluczowych programów aktywizacyjnych będących częścią oferty ministerstwa </w:t>
      </w:r>
      <w:r w:rsidR="00A0143F">
        <w:t>w obszarze sportu powszechnego,</w:t>
      </w:r>
      <w:r w:rsidR="00844039">
        <w:t xml:space="preserve"> </w:t>
      </w:r>
      <w:r w:rsidR="00A0143F">
        <w:t xml:space="preserve"> opartej</w:t>
      </w:r>
      <w:r w:rsidR="00844039">
        <w:t xml:space="preserve"> </w:t>
      </w:r>
      <w:r w:rsidR="00A0143F">
        <w:t>o programy</w:t>
      </w:r>
      <w:r w:rsidR="00844039">
        <w:t>, które w zależności od specyfiki agregują łącznie ponad 11 tys. aplikacji</w:t>
      </w:r>
      <w:r w:rsidR="00666A78">
        <w:t xml:space="preserve"> (ponad 6</w:t>
      </w:r>
      <w:r w:rsidR="00DA384B">
        <w:t>,4</w:t>
      </w:r>
      <w:r w:rsidR="00666A78">
        <w:t xml:space="preserve"> tys. umów)</w:t>
      </w:r>
      <w:r w:rsidR="00844039">
        <w:t>. To z kolei istotnie obciąża proces zarządzania dotacyjnego, oddziaływ</w:t>
      </w:r>
      <w:r w:rsidR="000723DA">
        <w:t>a</w:t>
      </w:r>
      <w:r w:rsidR="00844039">
        <w:t>jąc wieloaspektowo (czas, zakres oraz jakość) na ostateczny produkt interwencji publicznej. Z tego względu konieczne jest wprowadzenie p</w:t>
      </w:r>
      <w:r w:rsidR="00A677C3">
        <w:t>rojektowanych rozwiązań decentralizacyjnych</w:t>
      </w:r>
      <w:r w:rsidR="00844039">
        <w:t xml:space="preserve">, które zakładają możliwość powołania operatorów dla największych działań aktywizacyjnych. Brak umocowania „instytucji” operatora w obowiązującym </w:t>
      </w:r>
      <w:r w:rsidR="00844039">
        <w:lastRenderedPageBreak/>
        <w:t xml:space="preserve">rozporządzeniu może </w:t>
      </w:r>
      <w:r w:rsidR="008E35B8">
        <w:t xml:space="preserve">także </w:t>
      </w:r>
      <w:r w:rsidR="00844039">
        <w:t>powodować rozbieżności interpretacyjne odnoszące się do prawnego umocowania stosownych zapisów w tym zakresie w ogłaszanych programach.</w:t>
      </w:r>
    </w:p>
    <w:p w14:paraId="16E020A3" w14:textId="77777777" w:rsidR="006F241F" w:rsidRPr="003A3508" w:rsidRDefault="006F241F" w:rsidP="0018066D">
      <w:pPr>
        <w:spacing w:before="120" w:after="120" w:line="276" w:lineRule="auto"/>
        <w:jc w:val="both"/>
      </w:pPr>
    </w:p>
    <w:p w14:paraId="33C67B1B" w14:textId="75D252E3" w:rsidR="009E0250" w:rsidRPr="00F31F9D" w:rsidRDefault="009E0250" w:rsidP="0018066D">
      <w:pPr>
        <w:pStyle w:val="Style13"/>
        <w:spacing w:before="120" w:after="0" w:line="276" w:lineRule="auto"/>
        <w:ind w:firstLine="0"/>
        <w:jc w:val="both"/>
        <w:rPr>
          <w:rFonts w:ascii="Times New Roman" w:hAnsi="Times New Roman" w:cs="Times New Roman"/>
          <w:spacing w:val="-2"/>
          <w:sz w:val="24"/>
          <w:szCs w:val="24"/>
        </w:rPr>
      </w:pPr>
      <w:r w:rsidRPr="00F31F9D">
        <w:rPr>
          <w:rFonts w:ascii="Times New Roman" w:hAnsi="Times New Roman"/>
          <w:color w:val="000000"/>
          <w:spacing w:val="-2"/>
          <w:sz w:val="24"/>
          <w:szCs w:val="24"/>
        </w:rPr>
        <w:t xml:space="preserve">Ze względu na </w:t>
      </w:r>
      <w:r w:rsidR="00D82A0F" w:rsidRPr="00F31F9D">
        <w:rPr>
          <w:rFonts w:ascii="Times New Roman" w:hAnsi="Times New Roman"/>
          <w:color w:val="000000"/>
          <w:spacing w:val="-2"/>
          <w:sz w:val="24"/>
          <w:szCs w:val="24"/>
        </w:rPr>
        <w:t xml:space="preserve">wyłącznie techniczno-organizacyjną </w:t>
      </w:r>
      <w:r w:rsidRPr="00F31F9D">
        <w:rPr>
          <w:rFonts w:ascii="Times New Roman" w:hAnsi="Times New Roman"/>
          <w:color w:val="000000"/>
          <w:spacing w:val="-2"/>
          <w:sz w:val="24"/>
          <w:szCs w:val="24"/>
        </w:rPr>
        <w:t>specyfikę regulacji objętych projektowanym rozporządzeniem, nie zostały przeprowadzone konsultacje publiczne</w:t>
      </w:r>
      <w:r w:rsidR="00144ED8" w:rsidRPr="00F31F9D">
        <w:rPr>
          <w:rFonts w:ascii="Times New Roman" w:hAnsi="Times New Roman"/>
          <w:color w:val="000000"/>
          <w:spacing w:val="-2"/>
          <w:sz w:val="24"/>
          <w:szCs w:val="24"/>
        </w:rPr>
        <w:t xml:space="preserve">. </w:t>
      </w:r>
      <w:r w:rsidRPr="00F31F9D">
        <w:rPr>
          <w:rFonts w:ascii="Times New Roman" w:hAnsi="Times New Roman"/>
          <w:color w:val="000000"/>
          <w:spacing w:val="-2"/>
          <w:sz w:val="24"/>
          <w:szCs w:val="24"/>
        </w:rPr>
        <w:t>Projekt nie wymagał również konsultacji z Komisją Wspólną Rządu i Samorządu Terytorialnego.</w:t>
      </w:r>
    </w:p>
    <w:p w14:paraId="7ED83C33" w14:textId="20C2C7B3" w:rsidR="00EF3498" w:rsidRDefault="006C4755" w:rsidP="0018066D">
      <w:pPr>
        <w:spacing w:before="120" w:line="276" w:lineRule="auto"/>
        <w:jc w:val="both"/>
        <w:rPr>
          <w:color w:val="auto"/>
        </w:rPr>
      </w:pPr>
      <w:r w:rsidRPr="00BE3E50">
        <w:rPr>
          <w:color w:val="auto"/>
        </w:rPr>
        <w:t>Projektowane rozporządzenie</w:t>
      </w:r>
      <w:r w:rsidR="00BE3E50" w:rsidRPr="003A3508">
        <w:rPr>
          <w:color w:val="auto"/>
        </w:rPr>
        <w:t xml:space="preserve"> wchodzi w życie </w:t>
      </w:r>
      <w:r w:rsidR="00BE3E50" w:rsidRPr="00BE3E50">
        <w:rPr>
          <w:color w:val="auto"/>
        </w:rPr>
        <w:t>z dniem następującym po dniu ogłoszenia</w:t>
      </w:r>
      <w:r w:rsidR="00BE3E50" w:rsidRPr="003A3508" w:rsidDel="00BE3E50">
        <w:rPr>
          <w:color w:val="auto"/>
        </w:rPr>
        <w:t xml:space="preserve"> </w:t>
      </w:r>
      <w:r w:rsidR="00BE3E50" w:rsidRPr="003A3508">
        <w:rPr>
          <w:color w:val="auto"/>
        </w:rPr>
        <w:t xml:space="preserve">ze względu na potrzebę </w:t>
      </w:r>
      <w:r w:rsidR="00BE3E50">
        <w:rPr>
          <w:color w:val="auto"/>
        </w:rPr>
        <w:t>niezwłocznego wdrożenia określonych w nim zasad udzielania dofinansowania do ogłaszanych przez Ministra programów.</w:t>
      </w:r>
    </w:p>
    <w:p w14:paraId="5A221F7D" w14:textId="6B73F3F8" w:rsidR="00EF3498" w:rsidRDefault="00EF3498" w:rsidP="00EF3498">
      <w:pPr>
        <w:spacing w:before="120" w:line="276" w:lineRule="auto"/>
        <w:jc w:val="both"/>
        <w:rPr>
          <w:color w:val="auto"/>
        </w:rPr>
      </w:pPr>
      <w:r>
        <w:rPr>
          <w:color w:val="auto"/>
        </w:rPr>
        <w:t xml:space="preserve">Projektowane rozporządzenie zawiera w </w:t>
      </w:r>
      <w:r w:rsidRPr="00EF3498">
        <w:rPr>
          <w:color w:val="auto"/>
        </w:rPr>
        <w:t>§</w:t>
      </w:r>
      <w:r>
        <w:rPr>
          <w:color w:val="auto"/>
        </w:rPr>
        <w:t xml:space="preserve"> 2, 3 i 4 przepisy przejściowe</w:t>
      </w:r>
      <w:r w:rsidR="00FD6551">
        <w:rPr>
          <w:color w:val="auto"/>
        </w:rPr>
        <w:t xml:space="preserve"> precyzyjnie wskazując sytuacje stosowania regulacji nowych (m.in. </w:t>
      </w:r>
      <w:r w:rsidR="00FD6551" w:rsidRPr="00FD6551">
        <w:rPr>
          <w:color w:val="auto"/>
        </w:rPr>
        <w:t>dofinasowania realizacji zadań inwestycyjnych w programach inwestycyjnych, ogłoszonych przed dniem wejścia w życie niniejszego rozporządzenia, w których nie upłynął termin na składanie wniosków o dofinansowanie realizacji zadań</w:t>
      </w:r>
      <w:r w:rsidR="00FD6551">
        <w:rPr>
          <w:color w:val="auto"/>
        </w:rPr>
        <w:t>).</w:t>
      </w:r>
    </w:p>
    <w:p w14:paraId="6822E802" w14:textId="77777777" w:rsidR="00227A78" w:rsidRPr="00F31F9D" w:rsidRDefault="00227A78" w:rsidP="0018066D">
      <w:pPr>
        <w:pStyle w:val="Style13"/>
        <w:spacing w:before="120" w:after="0" w:line="276" w:lineRule="auto"/>
        <w:ind w:firstLine="0"/>
        <w:jc w:val="both"/>
        <w:rPr>
          <w:rFonts w:ascii="Times New Roman" w:hAnsi="Times New Roman" w:cs="Times New Roman"/>
          <w:sz w:val="24"/>
          <w:szCs w:val="24"/>
        </w:rPr>
      </w:pPr>
      <w:r w:rsidRPr="00F31F9D">
        <w:rPr>
          <w:rFonts w:ascii="Times New Roman" w:hAnsi="Times New Roman" w:cs="Times New Roman"/>
          <w:sz w:val="24"/>
          <w:szCs w:val="24"/>
        </w:rPr>
        <w:t>Zawarte w projekcie rozporządzenia regulacje nie stanowią przepisów technicznych w</w:t>
      </w:r>
      <w:r w:rsidR="00074881" w:rsidRPr="00F31F9D">
        <w:rPr>
          <w:rFonts w:ascii="Times New Roman" w:hAnsi="Times New Roman" w:cs="Times New Roman"/>
          <w:sz w:val="24"/>
          <w:szCs w:val="24"/>
        </w:rPr>
        <w:t> </w:t>
      </w:r>
      <w:r w:rsidRPr="00F31F9D">
        <w:rPr>
          <w:rFonts w:ascii="Times New Roman" w:hAnsi="Times New Roman" w:cs="Times New Roman"/>
          <w:sz w:val="24"/>
          <w:szCs w:val="24"/>
        </w:rPr>
        <w:t>rozumieniu rozporządzenia Rady Ministrów z dnia 23 grudnia 2002 r. w sprawie sposobu funkcjonowania krajowego systemu notyfikacji norm i aktów prawnych (Dz. U. poz. 2039 oraz z 2004 r. poz. 597), dlatego też projekt rozporządzenia nie podlega procedurze notyfikacji.</w:t>
      </w:r>
    </w:p>
    <w:p w14:paraId="1E2B7D67" w14:textId="77777777" w:rsidR="00227A78" w:rsidRPr="00F31F9D" w:rsidRDefault="00227A78" w:rsidP="0018066D">
      <w:pPr>
        <w:pStyle w:val="Style13"/>
        <w:spacing w:before="120" w:after="0" w:line="276" w:lineRule="auto"/>
        <w:ind w:firstLine="0"/>
        <w:jc w:val="both"/>
        <w:rPr>
          <w:rFonts w:ascii="Times New Roman" w:hAnsi="Times New Roman" w:cs="Times New Roman"/>
          <w:sz w:val="24"/>
          <w:szCs w:val="24"/>
        </w:rPr>
      </w:pPr>
      <w:r w:rsidRPr="00F31F9D">
        <w:rPr>
          <w:rFonts w:ascii="Times New Roman" w:hAnsi="Times New Roman" w:cs="Times New Roman"/>
          <w:sz w:val="24"/>
          <w:szCs w:val="24"/>
        </w:rPr>
        <w:t xml:space="preserve">Projekt rozporządzenia nie wymaga przedstawienia właściwym organom i instytucjom Unii Europejskiej, w tym Europejskiemu Bankowi Centralnemu, w celu uzyskania opinii, dokonania powiadomienia, konsultacji albo uzgodnienia. </w:t>
      </w:r>
    </w:p>
    <w:p w14:paraId="0576A8BF" w14:textId="77777777" w:rsidR="00290AAC" w:rsidRPr="00F31F9D" w:rsidRDefault="00DE40B6" w:rsidP="0018066D">
      <w:pPr>
        <w:spacing w:before="120" w:after="120" w:line="276" w:lineRule="auto"/>
        <w:jc w:val="both"/>
        <w:rPr>
          <w:spacing w:val="-2"/>
        </w:rPr>
      </w:pPr>
      <w:r w:rsidRPr="00F31F9D">
        <w:t>Z</w:t>
      </w:r>
      <w:r w:rsidR="00227A78" w:rsidRPr="00F31F9D">
        <w:t>godnie z art. 5 ustawy z dnia 7 lipca 2005 r. o działalności lobbingowej w</w:t>
      </w:r>
      <w:r w:rsidR="000C520E" w:rsidRPr="00F31F9D">
        <w:t> </w:t>
      </w:r>
      <w:r w:rsidR="00227A78" w:rsidRPr="00F31F9D">
        <w:t>procesie stanowienia prawa (Dz. U. z 2017 r. poz. 248)</w:t>
      </w:r>
      <w:r w:rsidR="00074881" w:rsidRPr="00F31F9D">
        <w:t>,</w:t>
      </w:r>
      <w:r w:rsidR="00227A78" w:rsidRPr="00F31F9D">
        <w:t xml:space="preserve"> </w:t>
      </w:r>
      <w:r w:rsidR="00B4347E" w:rsidRPr="00F31F9D">
        <w:rPr>
          <w:spacing w:val="-2"/>
        </w:rPr>
        <w:t>a także § 52 ust. 1 uchwały nr 190 Rady Ministrów z dnia 29 października 2013 r. – Regulamin pracy Rady Ministrów (M.P. z 20</w:t>
      </w:r>
      <w:r w:rsidR="005E67A2" w:rsidRPr="00F31F9D">
        <w:rPr>
          <w:spacing w:val="-2"/>
        </w:rPr>
        <w:t>22 r. poz. 348</w:t>
      </w:r>
      <w:r w:rsidR="00B4347E" w:rsidRPr="00F31F9D">
        <w:rPr>
          <w:spacing w:val="-2"/>
        </w:rPr>
        <w:t xml:space="preserve">), projekt rozporządzenia </w:t>
      </w:r>
      <w:r w:rsidR="00290AAC" w:rsidRPr="00F31F9D">
        <w:rPr>
          <w:spacing w:val="-2"/>
        </w:rPr>
        <w:t>zosta</w:t>
      </w:r>
      <w:r w:rsidR="00144ED8" w:rsidRPr="00F31F9D">
        <w:rPr>
          <w:spacing w:val="-2"/>
        </w:rPr>
        <w:t>nie</w:t>
      </w:r>
      <w:r w:rsidR="00290AAC" w:rsidRPr="00F31F9D">
        <w:rPr>
          <w:spacing w:val="-2"/>
        </w:rPr>
        <w:t xml:space="preserve"> udostępniony w Biuletynie Informacji Publicznej na stronie podmiotowej Ministra </w:t>
      </w:r>
      <w:r w:rsidR="00144ED8" w:rsidRPr="00F31F9D">
        <w:rPr>
          <w:spacing w:val="-2"/>
        </w:rPr>
        <w:t>Sportu i Turystyki</w:t>
      </w:r>
      <w:r w:rsidR="00290AAC" w:rsidRPr="00F31F9D">
        <w:rPr>
          <w:spacing w:val="-2"/>
        </w:rPr>
        <w:t xml:space="preserve"> oraz na stronie podmiotowej Rządowego Centrum Legislacji, w serwisie Rządowy Proces Legislacyjny. </w:t>
      </w:r>
    </w:p>
    <w:p w14:paraId="34345013" w14:textId="77777777" w:rsidR="00227A78" w:rsidRPr="00F31F9D" w:rsidRDefault="00227A78" w:rsidP="0018066D">
      <w:pPr>
        <w:pStyle w:val="Style13"/>
        <w:spacing w:before="120" w:after="0" w:line="276" w:lineRule="auto"/>
        <w:ind w:firstLine="0"/>
        <w:jc w:val="both"/>
        <w:rPr>
          <w:rFonts w:ascii="Times New Roman" w:hAnsi="Times New Roman" w:cs="Times New Roman"/>
          <w:sz w:val="24"/>
          <w:szCs w:val="24"/>
        </w:rPr>
      </w:pPr>
      <w:r w:rsidRPr="00F31F9D">
        <w:rPr>
          <w:rFonts w:ascii="Times New Roman" w:hAnsi="Times New Roman" w:cs="Times New Roman"/>
          <w:sz w:val="24"/>
          <w:szCs w:val="24"/>
        </w:rPr>
        <w:t>Projekt rozporządzenia nie dotyczy majątkowych praw i obowiązków przedsiębiorców lub</w:t>
      </w:r>
      <w:r w:rsidR="00456EDF" w:rsidRPr="00F31F9D">
        <w:rPr>
          <w:rFonts w:ascii="Times New Roman" w:hAnsi="Times New Roman" w:cs="Times New Roman"/>
          <w:sz w:val="24"/>
          <w:szCs w:val="24"/>
        </w:rPr>
        <w:t> </w:t>
      </w:r>
      <w:r w:rsidRPr="00F31F9D">
        <w:rPr>
          <w:rFonts w:ascii="Times New Roman" w:hAnsi="Times New Roman" w:cs="Times New Roman"/>
          <w:sz w:val="24"/>
          <w:szCs w:val="24"/>
        </w:rPr>
        <w:t>praw i obowiązków przedsiębiorców wobec organów administracji publicznej.</w:t>
      </w:r>
    </w:p>
    <w:p w14:paraId="55F0B494" w14:textId="77777777" w:rsidR="00227A78" w:rsidRPr="00F31F9D" w:rsidRDefault="00227A78" w:rsidP="0018066D">
      <w:pPr>
        <w:pStyle w:val="Style13"/>
        <w:spacing w:before="120" w:after="0" w:line="276" w:lineRule="auto"/>
        <w:ind w:firstLine="0"/>
        <w:jc w:val="both"/>
        <w:rPr>
          <w:rFonts w:ascii="Times New Roman" w:hAnsi="Times New Roman" w:cs="Times New Roman"/>
          <w:sz w:val="24"/>
          <w:szCs w:val="24"/>
        </w:rPr>
      </w:pPr>
      <w:r w:rsidRPr="00F31F9D">
        <w:rPr>
          <w:rFonts w:ascii="Times New Roman" w:hAnsi="Times New Roman" w:cs="Times New Roman"/>
          <w:sz w:val="24"/>
          <w:szCs w:val="24"/>
        </w:rPr>
        <w:t xml:space="preserve">Projekt rozporządzenia nie wpływa na działalność </w:t>
      </w:r>
      <w:proofErr w:type="spellStart"/>
      <w:r w:rsidRPr="00F31F9D">
        <w:rPr>
          <w:rFonts w:ascii="Times New Roman" w:hAnsi="Times New Roman" w:cs="Times New Roman"/>
          <w:sz w:val="24"/>
          <w:szCs w:val="24"/>
        </w:rPr>
        <w:t>mikroprzedsiębiorców</w:t>
      </w:r>
      <w:proofErr w:type="spellEnd"/>
      <w:r w:rsidRPr="00F31F9D">
        <w:rPr>
          <w:rFonts w:ascii="Times New Roman" w:hAnsi="Times New Roman" w:cs="Times New Roman"/>
          <w:sz w:val="24"/>
          <w:szCs w:val="24"/>
        </w:rPr>
        <w:t>, małych i średnich przedsiębiorców.</w:t>
      </w:r>
    </w:p>
    <w:p w14:paraId="0E4C7D24" w14:textId="77777777" w:rsidR="00227A78" w:rsidRPr="00B150B9" w:rsidRDefault="00227A78" w:rsidP="0018066D">
      <w:pPr>
        <w:pStyle w:val="Style13"/>
        <w:spacing w:before="120" w:after="0" w:line="276" w:lineRule="auto"/>
        <w:ind w:firstLine="0"/>
        <w:jc w:val="both"/>
        <w:rPr>
          <w:rFonts w:ascii="Times New Roman" w:hAnsi="Times New Roman" w:cs="Times New Roman"/>
          <w:sz w:val="24"/>
          <w:szCs w:val="24"/>
        </w:rPr>
      </w:pPr>
      <w:r w:rsidRPr="00F31F9D">
        <w:rPr>
          <w:rFonts w:ascii="Times New Roman" w:hAnsi="Times New Roman" w:cs="Times New Roman"/>
          <w:sz w:val="24"/>
          <w:szCs w:val="24"/>
        </w:rPr>
        <w:t>Projekt rozporządzenia jest zgodny z prawem Unii Europejskiej.</w:t>
      </w:r>
    </w:p>
    <w:p w14:paraId="27698CB8" w14:textId="77777777" w:rsidR="00CF2CAA" w:rsidRPr="00B150B9" w:rsidRDefault="00CF2CAA" w:rsidP="0018066D">
      <w:pPr>
        <w:pStyle w:val="Style13"/>
        <w:spacing w:before="120" w:after="0" w:line="276" w:lineRule="auto"/>
        <w:ind w:firstLine="0"/>
        <w:jc w:val="both"/>
        <w:rPr>
          <w:rFonts w:ascii="Times New Roman" w:hAnsi="Times New Roman" w:cs="Times New Roman"/>
          <w:sz w:val="24"/>
          <w:szCs w:val="24"/>
        </w:rPr>
      </w:pPr>
    </w:p>
    <w:sectPr w:rsidR="00CF2CAA" w:rsidRPr="00B150B9" w:rsidSect="005E4D19">
      <w:headerReference w:type="first" r:id="rId8"/>
      <w:pgSz w:w="11909" w:h="16838"/>
      <w:pgMar w:top="993" w:right="1418" w:bottom="1135" w:left="1418" w:header="0" w:footer="26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3054A" w14:textId="77777777" w:rsidR="00986EF7" w:rsidRDefault="00986EF7" w:rsidP="002F32B9">
      <w:r>
        <w:separator/>
      </w:r>
    </w:p>
  </w:endnote>
  <w:endnote w:type="continuationSeparator" w:id="0">
    <w:p w14:paraId="24D77B65" w14:textId="77777777" w:rsidR="00986EF7" w:rsidRDefault="00986EF7" w:rsidP="002F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7A74A" w14:textId="77777777" w:rsidR="00986EF7" w:rsidRDefault="00986EF7" w:rsidP="002F32B9">
      <w:r>
        <w:separator/>
      </w:r>
    </w:p>
  </w:footnote>
  <w:footnote w:type="continuationSeparator" w:id="0">
    <w:p w14:paraId="1F395F92" w14:textId="77777777" w:rsidR="00986EF7" w:rsidRDefault="00986EF7" w:rsidP="002F3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E9D9" w14:textId="77777777" w:rsidR="00360198" w:rsidRDefault="00360198">
    <w:pPr>
      <w:pStyle w:val="Nagwek"/>
    </w:pPr>
  </w:p>
  <w:p w14:paraId="6C1605FE" w14:textId="77777777" w:rsidR="00360198" w:rsidRDefault="00360198" w:rsidP="00360198">
    <w:pPr>
      <w:pStyle w:val="Nagwek"/>
      <w:jc w:val="right"/>
    </w:pPr>
  </w:p>
  <w:p w14:paraId="23F0CB26" w14:textId="77777777" w:rsidR="00360198" w:rsidRDefault="00360198" w:rsidP="00360198">
    <w:pPr>
      <w:pStyle w:val="Nagwek"/>
      <w:jc w:val="right"/>
      <w:rPr>
        <w:sz w:val="20"/>
        <w:szCs w:val="20"/>
      </w:rPr>
    </w:pPr>
  </w:p>
  <w:p w14:paraId="67AE3D9B" w14:textId="77777777" w:rsidR="00360198" w:rsidRDefault="00360198" w:rsidP="00360198">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C37F7"/>
    <w:multiLevelType w:val="hybridMultilevel"/>
    <w:tmpl w:val="BCB61720"/>
    <w:lvl w:ilvl="0" w:tplc="04150017">
      <w:start w:val="1"/>
      <w:numFmt w:val="lowerLetter"/>
      <w:lvlText w:val="%1)"/>
      <w:lvlJc w:val="left"/>
      <w:pPr>
        <w:ind w:left="1400" w:hanging="360"/>
      </w:pPr>
      <w:rPr>
        <w:rFonts w:hint="default"/>
      </w:rPr>
    </w:lvl>
    <w:lvl w:ilvl="1" w:tplc="04150003" w:tentative="1">
      <w:start w:val="1"/>
      <w:numFmt w:val="bullet"/>
      <w:lvlText w:val="o"/>
      <w:lvlJc w:val="left"/>
      <w:pPr>
        <w:ind w:left="2120" w:hanging="360"/>
      </w:pPr>
      <w:rPr>
        <w:rFonts w:ascii="Courier New" w:hAnsi="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 w15:restartNumberingAfterBreak="0">
    <w:nsid w:val="22363942"/>
    <w:multiLevelType w:val="hybridMultilevel"/>
    <w:tmpl w:val="BEB476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ACF0A0E"/>
    <w:multiLevelType w:val="hybridMultilevel"/>
    <w:tmpl w:val="F87EAD40"/>
    <w:lvl w:ilvl="0" w:tplc="C1A0B11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32797A6F"/>
    <w:multiLevelType w:val="hybridMultilevel"/>
    <w:tmpl w:val="F56E3E70"/>
    <w:lvl w:ilvl="0" w:tplc="C1A458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34A64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4C7E4F"/>
    <w:multiLevelType w:val="hybridMultilevel"/>
    <w:tmpl w:val="23142326"/>
    <w:lvl w:ilvl="0" w:tplc="CBBEEE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645931"/>
    <w:multiLevelType w:val="hybridMultilevel"/>
    <w:tmpl w:val="DF101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317969"/>
    <w:multiLevelType w:val="hybridMultilevel"/>
    <w:tmpl w:val="0F56A17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 w15:restartNumberingAfterBreak="0">
    <w:nsid w:val="76753538"/>
    <w:multiLevelType w:val="hybridMultilevel"/>
    <w:tmpl w:val="E4588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B59638A"/>
    <w:multiLevelType w:val="hybridMultilevel"/>
    <w:tmpl w:val="17D4A168"/>
    <w:lvl w:ilvl="0" w:tplc="4A424854">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C214042"/>
    <w:multiLevelType w:val="hybridMultilevel"/>
    <w:tmpl w:val="FCCE0612"/>
    <w:lvl w:ilvl="0" w:tplc="1554890C">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A232F4"/>
    <w:multiLevelType w:val="hybridMultilevel"/>
    <w:tmpl w:val="E47C04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033"/>
    <w:rsid w:val="00001E7B"/>
    <w:rsid w:val="0000430D"/>
    <w:rsid w:val="0002533B"/>
    <w:rsid w:val="000333B1"/>
    <w:rsid w:val="0003484D"/>
    <w:rsid w:val="0004252F"/>
    <w:rsid w:val="00055E5B"/>
    <w:rsid w:val="00056707"/>
    <w:rsid w:val="00063D45"/>
    <w:rsid w:val="000723DA"/>
    <w:rsid w:val="00073D82"/>
    <w:rsid w:val="00074881"/>
    <w:rsid w:val="00087483"/>
    <w:rsid w:val="0009298A"/>
    <w:rsid w:val="000A6091"/>
    <w:rsid w:val="000B2343"/>
    <w:rsid w:val="000C520E"/>
    <w:rsid w:val="000C68E7"/>
    <w:rsid w:val="000D34D1"/>
    <w:rsid w:val="000D5E0F"/>
    <w:rsid w:val="00105807"/>
    <w:rsid w:val="00107D02"/>
    <w:rsid w:val="00132C02"/>
    <w:rsid w:val="001449B5"/>
    <w:rsid w:val="00144ED8"/>
    <w:rsid w:val="00152C4B"/>
    <w:rsid w:val="00156231"/>
    <w:rsid w:val="00156C1F"/>
    <w:rsid w:val="0017106E"/>
    <w:rsid w:val="001740E4"/>
    <w:rsid w:val="0018066D"/>
    <w:rsid w:val="00181200"/>
    <w:rsid w:val="001A28B4"/>
    <w:rsid w:val="001A7674"/>
    <w:rsid w:val="001B06CD"/>
    <w:rsid w:val="001C6C2D"/>
    <w:rsid w:val="001C7AAD"/>
    <w:rsid w:val="001D0BF0"/>
    <w:rsid w:val="001D7FAC"/>
    <w:rsid w:val="001F4C78"/>
    <w:rsid w:val="00203842"/>
    <w:rsid w:val="00206F6B"/>
    <w:rsid w:val="00212657"/>
    <w:rsid w:val="0022776C"/>
    <w:rsid w:val="00227A78"/>
    <w:rsid w:val="00277136"/>
    <w:rsid w:val="002866F0"/>
    <w:rsid w:val="00290AAC"/>
    <w:rsid w:val="002B29A4"/>
    <w:rsid w:val="002D3636"/>
    <w:rsid w:val="002E61D9"/>
    <w:rsid w:val="002F322B"/>
    <w:rsid w:val="002F32B9"/>
    <w:rsid w:val="002F51CA"/>
    <w:rsid w:val="00300577"/>
    <w:rsid w:val="00300F99"/>
    <w:rsid w:val="003230F5"/>
    <w:rsid w:val="00346F6A"/>
    <w:rsid w:val="0034721B"/>
    <w:rsid w:val="003556A8"/>
    <w:rsid w:val="00360198"/>
    <w:rsid w:val="003632B8"/>
    <w:rsid w:val="00375A32"/>
    <w:rsid w:val="00385577"/>
    <w:rsid w:val="00392A26"/>
    <w:rsid w:val="003A3508"/>
    <w:rsid w:val="003A5CB0"/>
    <w:rsid w:val="003C113E"/>
    <w:rsid w:val="003C3A83"/>
    <w:rsid w:val="003C5E5E"/>
    <w:rsid w:val="003D37AE"/>
    <w:rsid w:val="003E15BE"/>
    <w:rsid w:val="003E6FF2"/>
    <w:rsid w:val="00402B5C"/>
    <w:rsid w:val="0040480B"/>
    <w:rsid w:val="00412DA8"/>
    <w:rsid w:val="00413945"/>
    <w:rsid w:val="00413AFA"/>
    <w:rsid w:val="00434BA5"/>
    <w:rsid w:val="00441052"/>
    <w:rsid w:val="00442015"/>
    <w:rsid w:val="00442B5F"/>
    <w:rsid w:val="00456EDF"/>
    <w:rsid w:val="00465DDC"/>
    <w:rsid w:val="0047413F"/>
    <w:rsid w:val="004824E3"/>
    <w:rsid w:val="004847DA"/>
    <w:rsid w:val="004A0973"/>
    <w:rsid w:val="004A4C6C"/>
    <w:rsid w:val="004A64A2"/>
    <w:rsid w:val="004C10C8"/>
    <w:rsid w:val="004C2D25"/>
    <w:rsid w:val="004C485A"/>
    <w:rsid w:val="004E3422"/>
    <w:rsid w:val="00501639"/>
    <w:rsid w:val="00505866"/>
    <w:rsid w:val="00506DBF"/>
    <w:rsid w:val="00517FA7"/>
    <w:rsid w:val="00527997"/>
    <w:rsid w:val="00534B7A"/>
    <w:rsid w:val="00541323"/>
    <w:rsid w:val="005627B5"/>
    <w:rsid w:val="00565795"/>
    <w:rsid w:val="00573462"/>
    <w:rsid w:val="005744D7"/>
    <w:rsid w:val="00586575"/>
    <w:rsid w:val="005A4D98"/>
    <w:rsid w:val="005C1803"/>
    <w:rsid w:val="005C2ABC"/>
    <w:rsid w:val="005C36FB"/>
    <w:rsid w:val="005C5D12"/>
    <w:rsid w:val="005C5E69"/>
    <w:rsid w:val="005D1A62"/>
    <w:rsid w:val="005D680E"/>
    <w:rsid w:val="005E0CC1"/>
    <w:rsid w:val="005E44C7"/>
    <w:rsid w:val="005E4D19"/>
    <w:rsid w:val="005E67A2"/>
    <w:rsid w:val="005F1A6C"/>
    <w:rsid w:val="00635C61"/>
    <w:rsid w:val="0064343D"/>
    <w:rsid w:val="00645808"/>
    <w:rsid w:val="006506AF"/>
    <w:rsid w:val="00656105"/>
    <w:rsid w:val="0066199A"/>
    <w:rsid w:val="00666A78"/>
    <w:rsid w:val="006703F7"/>
    <w:rsid w:val="00691166"/>
    <w:rsid w:val="0069186A"/>
    <w:rsid w:val="00694BD5"/>
    <w:rsid w:val="00696E0B"/>
    <w:rsid w:val="006A57F9"/>
    <w:rsid w:val="006B5736"/>
    <w:rsid w:val="006B7372"/>
    <w:rsid w:val="006C1FDF"/>
    <w:rsid w:val="006C4177"/>
    <w:rsid w:val="006C4755"/>
    <w:rsid w:val="006F241F"/>
    <w:rsid w:val="0070354C"/>
    <w:rsid w:val="00704138"/>
    <w:rsid w:val="00713DA6"/>
    <w:rsid w:val="00715969"/>
    <w:rsid w:val="00717570"/>
    <w:rsid w:val="00722AA3"/>
    <w:rsid w:val="0072751A"/>
    <w:rsid w:val="00727900"/>
    <w:rsid w:val="007303B5"/>
    <w:rsid w:val="007325F4"/>
    <w:rsid w:val="00744402"/>
    <w:rsid w:val="00753769"/>
    <w:rsid w:val="0075593D"/>
    <w:rsid w:val="007A397C"/>
    <w:rsid w:val="007B0EC1"/>
    <w:rsid w:val="007C0B2B"/>
    <w:rsid w:val="007D6917"/>
    <w:rsid w:val="007D7045"/>
    <w:rsid w:val="007E2586"/>
    <w:rsid w:val="007F48F2"/>
    <w:rsid w:val="00802E05"/>
    <w:rsid w:val="008103C1"/>
    <w:rsid w:val="00822B94"/>
    <w:rsid w:val="00834B51"/>
    <w:rsid w:val="0083770A"/>
    <w:rsid w:val="00841DD2"/>
    <w:rsid w:val="00844039"/>
    <w:rsid w:val="008524C8"/>
    <w:rsid w:val="008537ED"/>
    <w:rsid w:val="008630B3"/>
    <w:rsid w:val="00870049"/>
    <w:rsid w:val="008742EF"/>
    <w:rsid w:val="008744DC"/>
    <w:rsid w:val="00875691"/>
    <w:rsid w:val="008829BE"/>
    <w:rsid w:val="008A2423"/>
    <w:rsid w:val="008A4A06"/>
    <w:rsid w:val="008B74C5"/>
    <w:rsid w:val="008C587A"/>
    <w:rsid w:val="008D4B8B"/>
    <w:rsid w:val="008D59F1"/>
    <w:rsid w:val="008E35B8"/>
    <w:rsid w:val="008F4204"/>
    <w:rsid w:val="00905E3D"/>
    <w:rsid w:val="00906D31"/>
    <w:rsid w:val="00914E96"/>
    <w:rsid w:val="0092241E"/>
    <w:rsid w:val="009319EA"/>
    <w:rsid w:val="00936C32"/>
    <w:rsid w:val="00947904"/>
    <w:rsid w:val="00950033"/>
    <w:rsid w:val="00953047"/>
    <w:rsid w:val="00953163"/>
    <w:rsid w:val="00953434"/>
    <w:rsid w:val="009536C7"/>
    <w:rsid w:val="009609B5"/>
    <w:rsid w:val="00962C43"/>
    <w:rsid w:val="009714B8"/>
    <w:rsid w:val="00986EF7"/>
    <w:rsid w:val="009C48C2"/>
    <w:rsid w:val="009C4B98"/>
    <w:rsid w:val="009C4E26"/>
    <w:rsid w:val="009C7B12"/>
    <w:rsid w:val="009D6A99"/>
    <w:rsid w:val="009E0250"/>
    <w:rsid w:val="009E4614"/>
    <w:rsid w:val="009F722D"/>
    <w:rsid w:val="00A0143F"/>
    <w:rsid w:val="00A05FCF"/>
    <w:rsid w:val="00A100DA"/>
    <w:rsid w:val="00A131F9"/>
    <w:rsid w:val="00A15A35"/>
    <w:rsid w:val="00A22121"/>
    <w:rsid w:val="00A23112"/>
    <w:rsid w:val="00A27D51"/>
    <w:rsid w:val="00A35167"/>
    <w:rsid w:val="00A46B95"/>
    <w:rsid w:val="00A470B1"/>
    <w:rsid w:val="00A56931"/>
    <w:rsid w:val="00A6096F"/>
    <w:rsid w:val="00A63AD2"/>
    <w:rsid w:val="00A677C3"/>
    <w:rsid w:val="00A952C6"/>
    <w:rsid w:val="00AA0FBF"/>
    <w:rsid w:val="00AA5EF6"/>
    <w:rsid w:val="00AB15D6"/>
    <w:rsid w:val="00AC690E"/>
    <w:rsid w:val="00B034A8"/>
    <w:rsid w:val="00B150B9"/>
    <w:rsid w:val="00B157A8"/>
    <w:rsid w:val="00B35E2F"/>
    <w:rsid w:val="00B4347E"/>
    <w:rsid w:val="00B523AD"/>
    <w:rsid w:val="00B5271B"/>
    <w:rsid w:val="00B6294B"/>
    <w:rsid w:val="00B70A11"/>
    <w:rsid w:val="00BA6B42"/>
    <w:rsid w:val="00BB18BF"/>
    <w:rsid w:val="00BB39EC"/>
    <w:rsid w:val="00BC093D"/>
    <w:rsid w:val="00BC12F8"/>
    <w:rsid w:val="00BC503A"/>
    <w:rsid w:val="00BE3E50"/>
    <w:rsid w:val="00C0035D"/>
    <w:rsid w:val="00C0349B"/>
    <w:rsid w:val="00C136AC"/>
    <w:rsid w:val="00C16F6D"/>
    <w:rsid w:val="00C1715B"/>
    <w:rsid w:val="00C41CD8"/>
    <w:rsid w:val="00C46827"/>
    <w:rsid w:val="00C50F7B"/>
    <w:rsid w:val="00C52721"/>
    <w:rsid w:val="00C5363A"/>
    <w:rsid w:val="00C630C7"/>
    <w:rsid w:val="00C94003"/>
    <w:rsid w:val="00CA28DB"/>
    <w:rsid w:val="00CA5B7F"/>
    <w:rsid w:val="00CC12E7"/>
    <w:rsid w:val="00CD039B"/>
    <w:rsid w:val="00CD25F5"/>
    <w:rsid w:val="00CD71AD"/>
    <w:rsid w:val="00CE1D0E"/>
    <w:rsid w:val="00CF2CAA"/>
    <w:rsid w:val="00CF435A"/>
    <w:rsid w:val="00CF60FE"/>
    <w:rsid w:val="00CF776F"/>
    <w:rsid w:val="00D034F7"/>
    <w:rsid w:val="00D03A09"/>
    <w:rsid w:val="00D03F74"/>
    <w:rsid w:val="00D15B5A"/>
    <w:rsid w:val="00D20217"/>
    <w:rsid w:val="00D25B7C"/>
    <w:rsid w:val="00D31C76"/>
    <w:rsid w:val="00D347E5"/>
    <w:rsid w:val="00D47926"/>
    <w:rsid w:val="00D82A0F"/>
    <w:rsid w:val="00D84E6E"/>
    <w:rsid w:val="00D903E7"/>
    <w:rsid w:val="00D97FB8"/>
    <w:rsid w:val="00DA384B"/>
    <w:rsid w:val="00DC0E8A"/>
    <w:rsid w:val="00DD605F"/>
    <w:rsid w:val="00DE40B6"/>
    <w:rsid w:val="00DF5E75"/>
    <w:rsid w:val="00E0761C"/>
    <w:rsid w:val="00E076F2"/>
    <w:rsid w:val="00E15CC7"/>
    <w:rsid w:val="00E17E1C"/>
    <w:rsid w:val="00E25E54"/>
    <w:rsid w:val="00E313E3"/>
    <w:rsid w:val="00E32B74"/>
    <w:rsid w:val="00E33836"/>
    <w:rsid w:val="00E36EFC"/>
    <w:rsid w:val="00E4253F"/>
    <w:rsid w:val="00E615DB"/>
    <w:rsid w:val="00E62F66"/>
    <w:rsid w:val="00E63B07"/>
    <w:rsid w:val="00E70E05"/>
    <w:rsid w:val="00E72EDC"/>
    <w:rsid w:val="00E8602D"/>
    <w:rsid w:val="00E96942"/>
    <w:rsid w:val="00EB1C1E"/>
    <w:rsid w:val="00EB251A"/>
    <w:rsid w:val="00EB3FCA"/>
    <w:rsid w:val="00EB4A35"/>
    <w:rsid w:val="00EC2BAB"/>
    <w:rsid w:val="00ED4CF5"/>
    <w:rsid w:val="00ED6C9F"/>
    <w:rsid w:val="00EF3498"/>
    <w:rsid w:val="00EF35F3"/>
    <w:rsid w:val="00F04547"/>
    <w:rsid w:val="00F059BA"/>
    <w:rsid w:val="00F1408E"/>
    <w:rsid w:val="00F21FC1"/>
    <w:rsid w:val="00F279C5"/>
    <w:rsid w:val="00F31F9D"/>
    <w:rsid w:val="00F3461D"/>
    <w:rsid w:val="00F3771D"/>
    <w:rsid w:val="00F47062"/>
    <w:rsid w:val="00F57332"/>
    <w:rsid w:val="00F6665C"/>
    <w:rsid w:val="00F67D78"/>
    <w:rsid w:val="00F70852"/>
    <w:rsid w:val="00F85AFE"/>
    <w:rsid w:val="00FA4177"/>
    <w:rsid w:val="00FA458B"/>
    <w:rsid w:val="00FA4BEC"/>
    <w:rsid w:val="00FC5A17"/>
    <w:rsid w:val="00FC7665"/>
    <w:rsid w:val="00FD3771"/>
    <w:rsid w:val="00FD640D"/>
    <w:rsid w:val="00FD6551"/>
    <w:rsid w:val="00FE3E30"/>
    <w:rsid w:val="00FE6091"/>
    <w:rsid w:val="00FF2676"/>
    <w:rsid w:val="00FF2750"/>
    <w:rsid w:val="00FF2DC2"/>
    <w:rsid w:val="00FF4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54034"/>
  <w15:docId w15:val="{60BF1906-70BE-4BF2-BAE1-CA2145CA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32B9"/>
    <w:pPr>
      <w:widowControl w:val="0"/>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12">
    <w:name w:val="Char Style 12"/>
    <w:link w:val="Style13"/>
    <w:uiPriority w:val="99"/>
    <w:locked/>
    <w:rsid w:val="002F32B9"/>
    <w:rPr>
      <w:shd w:val="clear" w:color="auto" w:fill="FFFFFF"/>
    </w:rPr>
  </w:style>
  <w:style w:type="character" w:customStyle="1" w:styleId="CharStyle14">
    <w:name w:val="Char Style 14"/>
    <w:uiPriority w:val="99"/>
    <w:rsid w:val="002F32B9"/>
    <w:rPr>
      <w:rFonts w:cs="Times New Roman"/>
      <w:b/>
      <w:bCs/>
      <w:sz w:val="22"/>
      <w:szCs w:val="22"/>
      <w:u w:val="none"/>
    </w:rPr>
  </w:style>
  <w:style w:type="paragraph" w:customStyle="1" w:styleId="Style13">
    <w:name w:val="Style 13"/>
    <w:basedOn w:val="Normalny"/>
    <w:link w:val="CharStyle12"/>
    <w:uiPriority w:val="99"/>
    <w:rsid w:val="002F32B9"/>
    <w:pPr>
      <w:shd w:val="clear" w:color="auto" w:fill="FFFFFF"/>
      <w:spacing w:before="260" w:after="260" w:line="244" w:lineRule="exact"/>
      <w:ind w:hanging="220"/>
      <w:jc w:val="center"/>
    </w:pPr>
    <w:rPr>
      <w:rFonts w:asciiTheme="minorHAnsi" w:eastAsiaTheme="minorHAnsi" w:hAnsiTheme="minorHAnsi" w:cstheme="minorBidi"/>
      <w:color w:val="auto"/>
      <w:sz w:val="22"/>
      <w:szCs w:val="22"/>
      <w:lang w:eastAsia="en-US"/>
    </w:rPr>
  </w:style>
  <w:style w:type="paragraph" w:styleId="Nagwek">
    <w:name w:val="header"/>
    <w:basedOn w:val="Normalny"/>
    <w:link w:val="NagwekZnak"/>
    <w:uiPriority w:val="99"/>
    <w:unhideWhenUsed/>
    <w:rsid w:val="002F32B9"/>
    <w:pPr>
      <w:tabs>
        <w:tab w:val="center" w:pos="4536"/>
        <w:tab w:val="right" w:pos="9072"/>
      </w:tabs>
    </w:pPr>
  </w:style>
  <w:style w:type="character" w:customStyle="1" w:styleId="NagwekZnak">
    <w:name w:val="Nagłówek Znak"/>
    <w:basedOn w:val="Domylnaczcionkaakapitu"/>
    <w:link w:val="Nagwek"/>
    <w:uiPriority w:val="99"/>
    <w:rsid w:val="002F32B9"/>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2F32B9"/>
    <w:pPr>
      <w:tabs>
        <w:tab w:val="center" w:pos="4536"/>
        <w:tab w:val="right" w:pos="9072"/>
      </w:tabs>
    </w:pPr>
  </w:style>
  <w:style w:type="character" w:customStyle="1" w:styleId="StopkaZnak">
    <w:name w:val="Stopka Znak"/>
    <w:basedOn w:val="Domylnaczcionkaakapitu"/>
    <w:link w:val="Stopka"/>
    <w:uiPriority w:val="99"/>
    <w:rsid w:val="002F32B9"/>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E25E54"/>
    <w:pPr>
      <w:widowControl/>
      <w:spacing w:after="160" w:line="256"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7D70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3">
    <w:name w:val="Tekst treści (3)_"/>
    <w:link w:val="Teksttreci30"/>
    <w:rsid w:val="003D37AE"/>
    <w:rPr>
      <w:rFonts w:ascii="Times New Roman" w:eastAsia="Times New Roman" w:hAnsi="Times New Roman"/>
      <w:b/>
      <w:bCs/>
      <w:shd w:val="clear" w:color="auto" w:fill="FFFFFF"/>
    </w:rPr>
  </w:style>
  <w:style w:type="paragraph" w:customStyle="1" w:styleId="Teksttreci30">
    <w:name w:val="Tekst treści (3)"/>
    <w:basedOn w:val="Normalny"/>
    <w:link w:val="Teksttreci3"/>
    <w:rsid w:val="003D37AE"/>
    <w:pPr>
      <w:shd w:val="clear" w:color="auto" w:fill="FFFFFF"/>
      <w:spacing w:before="120" w:after="240" w:line="0" w:lineRule="atLeast"/>
      <w:jc w:val="both"/>
    </w:pPr>
    <w:rPr>
      <w:rFonts w:cstheme="minorBidi"/>
      <w:b/>
      <w:bCs/>
      <w:color w:val="auto"/>
      <w:sz w:val="22"/>
      <w:szCs w:val="22"/>
      <w:lang w:eastAsia="en-US"/>
    </w:rPr>
  </w:style>
  <w:style w:type="character" w:customStyle="1" w:styleId="Teksttreci4">
    <w:name w:val="Tekst treści (4)_"/>
    <w:link w:val="Teksttreci40"/>
    <w:rsid w:val="003D37AE"/>
    <w:rPr>
      <w:rFonts w:ascii="Times New Roman" w:eastAsia="Times New Roman" w:hAnsi="Times New Roman"/>
      <w:sz w:val="21"/>
      <w:szCs w:val="21"/>
      <w:shd w:val="clear" w:color="auto" w:fill="FFFFFF"/>
    </w:rPr>
  </w:style>
  <w:style w:type="paragraph" w:customStyle="1" w:styleId="Teksttreci40">
    <w:name w:val="Tekst treści (4)"/>
    <w:basedOn w:val="Normalny"/>
    <w:link w:val="Teksttreci4"/>
    <w:rsid w:val="003D37AE"/>
    <w:pPr>
      <w:shd w:val="clear" w:color="auto" w:fill="FFFFFF"/>
      <w:spacing w:before="240" w:line="250" w:lineRule="exact"/>
      <w:jc w:val="both"/>
    </w:pPr>
    <w:rPr>
      <w:rFonts w:cstheme="minorBidi"/>
      <w:color w:val="auto"/>
      <w:sz w:val="21"/>
      <w:szCs w:val="21"/>
      <w:lang w:eastAsia="en-US"/>
    </w:rPr>
  </w:style>
  <w:style w:type="character" w:customStyle="1" w:styleId="Teksttreci2105pt">
    <w:name w:val="Tekst treści (2) + 10;5 pt"/>
    <w:rsid w:val="003D37A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paragraph" w:customStyle="1" w:styleId="PKTpunkt">
    <w:name w:val="PKT – punkt"/>
    <w:uiPriority w:val="13"/>
    <w:qFormat/>
    <w:rsid w:val="00E17E1C"/>
    <w:pPr>
      <w:spacing w:after="0" w:line="360" w:lineRule="auto"/>
      <w:ind w:left="510" w:hanging="510"/>
      <w:jc w:val="both"/>
    </w:pPr>
    <w:rPr>
      <w:rFonts w:ascii="Times" w:eastAsiaTheme="minorEastAsia" w:hAnsi="Times" w:cs="Arial"/>
      <w:bCs/>
      <w:sz w:val="24"/>
      <w:szCs w:val="20"/>
      <w:lang w:eastAsia="pl-PL"/>
    </w:rPr>
  </w:style>
  <w:style w:type="character" w:styleId="Odwoaniedokomentarza">
    <w:name w:val="annotation reference"/>
    <w:basedOn w:val="Domylnaczcionkaakapitu"/>
    <w:uiPriority w:val="99"/>
    <w:semiHidden/>
    <w:unhideWhenUsed/>
    <w:rsid w:val="00E076F2"/>
    <w:rPr>
      <w:sz w:val="16"/>
      <w:szCs w:val="16"/>
    </w:rPr>
  </w:style>
  <w:style w:type="paragraph" w:styleId="Tekstkomentarza">
    <w:name w:val="annotation text"/>
    <w:basedOn w:val="Normalny"/>
    <w:link w:val="TekstkomentarzaZnak"/>
    <w:uiPriority w:val="99"/>
    <w:unhideWhenUsed/>
    <w:rsid w:val="00E076F2"/>
    <w:rPr>
      <w:sz w:val="20"/>
      <w:szCs w:val="20"/>
    </w:rPr>
  </w:style>
  <w:style w:type="character" w:customStyle="1" w:styleId="TekstkomentarzaZnak">
    <w:name w:val="Tekst komentarza Znak"/>
    <w:basedOn w:val="Domylnaczcionkaakapitu"/>
    <w:link w:val="Tekstkomentarza"/>
    <w:uiPriority w:val="99"/>
    <w:rsid w:val="00E076F2"/>
    <w:rPr>
      <w:rFonts w:ascii="Times New Roman" w:eastAsia="Times New Roman" w:hAnsi="Times New Roman" w:cs="Times New Roman"/>
      <w:color w:val="000000"/>
      <w:sz w:val="20"/>
      <w:szCs w:val="20"/>
      <w:lang w:eastAsia="pl-PL"/>
    </w:rPr>
  </w:style>
  <w:style w:type="paragraph" w:styleId="Tekstdymka">
    <w:name w:val="Balloon Text"/>
    <w:basedOn w:val="Normalny"/>
    <w:link w:val="TekstdymkaZnak"/>
    <w:uiPriority w:val="99"/>
    <w:semiHidden/>
    <w:unhideWhenUsed/>
    <w:rsid w:val="00E076F2"/>
    <w:rPr>
      <w:rFonts w:ascii="Tahoma" w:hAnsi="Tahoma" w:cs="Tahoma"/>
      <w:sz w:val="16"/>
      <w:szCs w:val="16"/>
    </w:rPr>
  </w:style>
  <w:style w:type="character" w:customStyle="1" w:styleId="TekstdymkaZnak">
    <w:name w:val="Tekst dymka Znak"/>
    <w:basedOn w:val="Domylnaczcionkaakapitu"/>
    <w:link w:val="Tekstdymka"/>
    <w:uiPriority w:val="99"/>
    <w:semiHidden/>
    <w:rsid w:val="00E076F2"/>
    <w:rPr>
      <w:rFonts w:ascii="Tahoma" w:eastAsia="Times New Roman" w:hAnsi="Tahoma" w:cs="Tahoma"/>
      <w:color w:val="000000"/>
      <w:sz w:val="16"/>
      <w:szCs w:val="16"/>
      <w:lang w:eastAsia="pl-PL"/>
    </w:rPr>
  </w:style>
  <w:style w:type="paragraph" w:styleId="Tematkomentarza">
    <w:name w:val="annotation subject"/>
    <w:basedOn w:val="Tekstkomentarza"/>
    <w:next w:val="Tekstkomentarza"/>
    <w:link w:val="TematkomentarzaZnak"/>
    <w:uiPriority w:val="99"/>
    <w:semiHidden/>
    <w:unhideWhenUsed/>
    <w:rsid w:val="005C36FB"/>
    <w:rPr>
      <w:b/>
      <w:bCs/>
    </w:rPr>
  </w:style>
  <w:style w:type="character" w:customStyle="1" w:styleId="TematkomentarzaZnak">
    <w:name w:val="Temat komentarza Znak"/>
    <w:basedOn w:val="TekstkomentarzaZnak"/>
    <w:link w:val="Tematkomentarza"/>
    <w:uiPriority w:val="99"/>
    <w:semiHidden/>
    <w:rsid w:val="005C36FB"/>
    <w:rPr>
      <w:rFonts w:ascii="Times New Roman" w:eastAsia="Times New Roman" w:hAnsi="Times New Roman" w:cs="Times New Roman"/>
      <w:b/>
      <w:bCs/>
      <w:color w:val="000000"/>
      <w:sz w:val="20"/>
      <w:szCs w:val="20"/>
      <w:lang w:eastAsia="pl-PL"/>
    </w:rPr>
  </w:style>
  <w:style w:type="paragraph" w:styleId="Poprawka">
    <w:name w:val="Revision"/>
    <w:hidden/>
    <w:uiPriority w:val="99"/>
    <w:semiHidden/>
    <w:rsid w:val="002E61D9"/>
    <w:pPr>
      <w:spacing w:after="0" w:line="240" w:lineRule="auto"/>
    </w:pPr>
    <w:rPr>
      <w:rFonts w:ascii="Times New Roman" w:eastAsia="Times New Roman" w:hAnsi="Times New Roman" w:cs="Times New Roman"/>
      <w:color w:val="000000"/>
      <w:sz w:val="24"/>
      <w:szCs w:val="24"/>
      <w:lang w:eastAsia="pl-PL"/>
    </w:rPr>
  </w:style>
  <w:style w:type="paragraph" w:customStyle="1" w:styleId="cyfra">
    <w:name w:val="cyfra"/>
    <w:basedOn w:val="Normalny"/>
    <w:uiPriority w:val="99"/>
    <w:rsid w:val="00A35167"/>
    <w:pPr>
      <w:widowControl/>
      <w:tabs>
        <w:tab w:val="left" w:pos="426"/>
      </w:tabs>
      <w:ind w:left="426" w:hanging="426"/>
    </w:pPr>
    <w:rPr>
      <w:rFonts w:ascii="Times New Roman PL" w:hAnsi="Times New Roman PL"/>
      <w:color w:val="auto"/>
      <w:sz w:val="26"/>
      <w:szCs w:val="20"/>
    </w:rPr>
  </w:style>
  <w:style w:type="paragraph" w:styleId="NormalnyWeb">
    <w:name w:val="Normal (Web)"/>
    <w:basedOn w:val="Normalny"/>
    <w:uiPriority w:val="99"/>
    <w:unhideWhenUsed/>
    <w:rsid w:val="00A35167"/>
    <w:pPr>
      <w:widowControl/>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378598">
      <w:bodyDiv w:val="1"/>
      <w:marLeft w:val="0"/>
      <w:marRight w:val="0"/>
      <w:marTop w:val="0"/>
      <w:marBottom w:val="0"/>
      <w:divBdr>
        <w:top w:val="none" w:sz="0" w:space="0" w:color="auto"/>
        <w:left w:val="none" w:sz="0" w:space="0" w:color="auto"/>
        <w:bottom w:val="none" w:sz="0" w:space="0" w:color="auto"/>
        <w:right w:val="none" w:sz="0" w:space="0" w:color="auto"/>
      </w:divBdr>
    </w:div>
    <w:div w:id="1920602083">
      <w:bodyDiv w:val="1"/>
      <w:marLeft w:val="0"/>
      <w:marRight w:val="0"/>
      <w:marTop w:val="0"/>
      <w:marBottom w:val="0"/>
      <w:divBdr>
        <w:top w:val="none" w:sz="0" w:space="0" w:color="auto"/>
        <w:left w:val="none" w:sz="0" w:space="0" w:color="auto"/>
        <w:bottom w:val="none" w:sz="0" w:space="0" w:color="auto"/>
        <w:right w:val="none" w:sz="0" w:space="0" w:color="auto"/>
      </w:divBdr>
    </w:div>
    <w:div w:id="19922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858E7-8707-4EE8-A858-EEFFD14B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1261</Words>
  <Characters>7571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Węglarczyk Joanna</dc:creator>
  <cp:lastModifiedBy>Kacalińska Ewa</cp:lastModifiedBy>
  <cp:revision>6</cp:revision>
  <cp:lastPrinted>2021-05-28T14:03:00Z</cp:lastPrinted>
  <dcterms:created xsi:type="dcterms:W3CDTF">2022-09-14T14:08:00Z</dcterms:created>
  <dcterms:modified xsi:type="dcterms:W3CDTF">2022-09-22T11:12:00Z</dcterms:modified>
</cp:coreProperties>
</file>