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656"/>
        <w:gridCol w:w="356"/>
        <w:gridCol w:w="454"/>
        <w:gridCol w:w="378"/>
        <w:gridCol w:w="130"/>
        <w:gridCol w:w="193"/>
        <w:gridCol w:w="343"/>
        <w:gridCol w:w="542"/>
        <w:gridCol w:w="14"/>
        <w:gridCol w:w="112"/>
        <w:gridCol w:w="144"/>
        <w:gridCol w:w="282"/>
        <w:gridCol w:w="334"/>
        <w:gridCol w:w="205"/>
        <w:gridCol w:w="539"/>
        <w:gridCol w:w="78"/>
        <w:gridCol w:w="64"/>
        <w:gridCol w:w="397"/>
        <w:gridCol w:w="109"/>
        <w:gridCol w:w="287"/>
        <w:gridCol w:w="92"/>
        <w:gridCol w:w="50"/>
        <w:gridCol w:w="539"/>
        <w:gridCol w:w="297"/>
        <w:gridCol w:w="242"/>
        <w:gridCol w:w="539"/>
        <w:gridCol w:w="105"/>
        <w:gridCol w:w="1135"/>
      </w:tblGrid>
      <w:tr w:rsidR="006004E5" w14:paraId="491031B8" w14:textId="77777777" w:rsidTr="006004E5">
        <w:trPr>
          <w:trHeight w:val="1613"/>
        </w:trPr>
        <w:tc>
          <w:tcPr>
            <w:tcW w:w="6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5CE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Nazwa projektu</w:t>
            </w:r>
          </w:p>
          <w:p w14:paraId="7D1DA164" w14:textId="0C1A23C1" w:rsidR="006004E5" w:rsidRPr="003E3962" w:rsidRDefault="001C3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Projekt r</w:t>
            </w:r>
            <w:r w:rsidR="006004E5" w:rsidRPr="003E3962">
              <w:rPr>
                <w:rFonts w:ascii="Times New Roman" w:hAnsi="Times New Roman" w:cs="Times New Roman"/>
                <w:color w:val="000000"/>
              </w:rPr>
              <w:t>ozporządzeni</w:t>
            </w:r>
            <w:r w:rsidRPr="003E3962">
              <w:rPr>
                <w:rFonts w:ascii="Times New Roman" w:hAnsi="Times New Roman" w:cs="Times New Roman"/>
                <w:color w:val="000000"/>
              </w:rPr>
              <w:t>a</w:t>
            </w:r>
            <w:r w:rsidR="006004E5" w:rsidRPr="003E3962">
              <w:rPr>
                <w:rFonts w:ascii="Times New Roman" w:hAnsi="Times New Roman" w:cs="Times New Roman"/>
                <w:color w:val="000000"/>
              </w:rPr>
              <w:t xml:space="preserve"> Ministra Klimatu i Środowiska w sprawie wysokości stawek opłaty za nadanie indywidualnego kodu identyfikacyjnego, uznanie kodu oraz ich utrzymanie w systemie teleinformatycznym oraz terminu wnoszenia tej opłaty w roku 202</w:t>
            </w:r>
            <w:r w:rsidR="00EC4FDE" w:rsidRPr="003E3962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74C56632" w14:textId="77777777" w:rsidR="006004E5" w:rsidRPr="003E3962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3EE8985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011E88D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Ministerstwo Klimatu i Środowiska</w:t>
            </w:r>
          </w:p>
          <w:p w14:paraId="0B7350B5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1EBEB9F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3962">
              <w:rPr>
                <w:rFonts w:ascii="Times New Roman" w:hAnsi="Times New Roman" w:cs="Times New Roman"/>
                <w:b/>
              </w:rPr>
              <w:t>Osoba odpowiedzialna za projekt w randze Ministra, Sekretarza Stanu lub Podsekretarza Stanu:</w:t>
            </w:r>
          </w:p>
          <w:p w14:paraId="32BB1D2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3962">
              <w:rPr>
                <w:rFonts w:ascii="Times New Roman" w:hAnsi="Times New Roman" w:cs="Times New Roman"/>
                <w:bCs/>
              </w:rPr>
              <w:t>Sekretarz Stanu - Pan Ireneusz Zyska</w:t>
            </w:r>
          </w:p>
          <w:p w14:paraId="4F59151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789E8BF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Kontakt do opiekuna merytorycznego projektu:</w:t>
            </w:r>
          </w:p>
          <w:p w14:paraId="70B2AA5F" w14:textId="77777777" w:rsidR="006004E5" w:rsidRPr="003E3962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r w:rsidRPr="003E3962">
              <w:rPr>
                <w:rFonts w:ascii="Times New Roman" w:hAnsi="Times New Roman" w:cs="Times New Roman"/>
                <w:bCs/>
                <w:color w:val="000000"/>
              </w:rPr>
              <w:t xml:space="preserve">Pan Szymon </w:t>
            </w:r>
            <w:proofErr w:type="spellStart"/>
            <w:r w:rsidRPr="003E3962">
              <w:rPr>
                <w:rFonts w:ascii="Times New Roman" w:hAnsi="Times New Roman" w:cs="Times New Roman"/>
                <w:bCs/>
                <w:color w:val="000000"/>
              </w:rPr>
              <w:t>Byliński</w:t>
            </w:r>
            <w:proofErr w:type="spellEnd"/>
            <w:r w:rsidRPr="003E3962">
              <w:rPr>
                <w:rFonts w:ascii="Times New Roman" w:hAnsi="Times New Roman" w:cs="Times New Roman"/>
                <w:bCs/>
                <w:color w:val="000000"/>
              </w:rPr>
              <w:t xml:space="preserve"> – Dyrektor Departamentu Elektromobilności i Gospodarki Wodorowej, tel. 22 369 10 44</w:t>
            </w:r>
          </w:p>
          <w:p w14:paraId="113EE731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3962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e-mail: </w:t>
            </w:r>
            <w:hyperlink r:id="rId7" w:history="1">
              <w:r w:rsidRPr="003E3962">
                <w:rPr>
                  <w:rStyle w:val="Hipercze"/>
                  <w:rFonts w:ascii="Times New Roman" w:hAnsi="Times New Roman" w:cs="Times New Roman"/>
                  <w:bCs/>
                  <w:lang w:val="en-GB"/>
                </w:rPr>
                <w:t>szymon.bylinski@klimat.gov.pl</w:t>
              </w:r>
            </w:hyperlink>
          </w:p>
        </w:tc>
        <w:tc>
          <w:tcPr>
            <w:tcW w:w="3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ECD6" w14:textId="6C5B015A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Data sporządzenia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B457F2">
              <w:rPr>
                <w:rFonts w:ascii="Times New Roman" w:hAnsi="Times New Roman" w:cs="Times New Roman"/>
                <w:color w:val="000000"/>
              </w:rPr>
              <w:t>2</w:t>
            </w:r>
            <w:r w:rsidR="00F3614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EC4FDE">
              <w:rPr>
                <w:rFonts w:ascii="Times New Roman" w:hAnsi="Times New Roman" w:cs="Times New Roman"/>
                <w:color w:val="000000"/>
              </w:rPr>
              <w:t>1</w:t>
            </w:r>
            <w:r w:rsidR="00DE26E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.2022 r.</w:t>
            </w:r>
          </w:p>
          <w:p w14:paraId="3D85A3C3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AE83765" w14:textId="1E950466" w:rsidR="006004E5" w:rsidRDefault="006004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Źródło:</w:t>
            </w:r>
            <w:bookmarkStart w:id="0" w:name="Lista1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art. 41b ust. 5 ustawy z dnia 11 stycznia 2018</w:t>
            </w:r>
            <w:r w:rsidR="001C367F">
              <w:rPr>
                <w:rFonts w:ascii="Times New Roman" w:eastAsiaTheme="minorEastAsia" w:hAnsi="Times New Roman" w:cs="Times New Roman"/>
                <w:lang w:eastAsia="pl-PL"/>
              </w:rPr>
              <w:t xml:space="preserve"> r.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 elektromobilności i paliwach alternatywnych (Dz. U. z 202</w:t>
            </w:r>
            <w:r w:rsidR="001C367F">
              <w:rPr>
                <w:rFonts w:ascii="Times New Roman" w:eastAsiaTheme="minorEastAsia" w:hAnsi="Times New Roman" w:cs="Times New Roman"/>
                <w:lang w:eastAsia="pl-PL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r. poz. 1</w:t>
            </w:r>
            <w:r w:rsidR="001C367F">
              <w:rPr>
                <w:rFonts w:ascii="Times New Roman" w:eastAsiaTheme="minorEastAsia" w:hAnsi="Times New Roman" w:cs="Times New Roman"/>
                <w:lang w:eastAsia="pl-PL"/>
              </w:rPr>
              <w:t>083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, z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późn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zm.) </w:t>
            </w:r>
          </w:p>
          <w:bookmarkEnd w:id="0"/>
          <w:p w14:paraId="49A20970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50EF2B" w14:textId="47A408CF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Nr w wykazie prac: </w:t>
            </w:r>
            <w:r w:rsidR="00B232FC">
              <w:rPr>
                <w:rFonts w:ascii="Times New Roman" w:hAnsi="Times New Roman" w:cs="Times New Roman"/>
                <w:b/>
                <w:color w:val="000000"/>
              </w:rPr>
              <w:t>974</w:t>
            </w:r>
          </w:p>
          <w:p w14:paraId="03F42A8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57FE748D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D502DEC" w14:textId="77777777" w:rsidR="006004E5" w:rsidRDefault="006004E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6004E5" w14:paraId="7F3EE42E" w14:textId="77777777" w:rsidTr="006004E5">
        <w:trPr>
          <w:trHeight w:val="333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7CA1971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6004E5" w14:paraId="17BDC1D4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4BAA3" w14:textId="6A488D43" w:rsidR="006004E5" w:rsidRPr="003E3962" w:rsidRDefault="006004E5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Ustawa o elektromobilności i paliwach alternatywnych (Dz. U. z 202</w:t>
            </w:r>
            <w:r w:rsidR="001C367F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r. poz. 10</w:t>
            </w:r>
            <w:r w:rsidR="001C367F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z </w:t>
            </w:r>
            <w:proofErr w:type="spellStart"/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późn</w:t>
            </w:r>
            <w:proofErr w:type="spellEnd"/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zm.), zwana dalej „ustaw</w:t>
            </w:r>
            <w:r w:rsidR="001C367F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ą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o elektromobilności”, nałożyła obowiązek stworzenia Ewidencji Infrastruktury Paliw Alternatywnych, zwaną dalej „rejestrem”. Rejestr jest prowadzony przez Urząd Dozoru Technicznego, zwany dalej „UDT”, który zbiera i publicznie udostępnia informacje o stacjach ładowania samochodów elektrycznych, stacjach gazu ziemnego oraz </w:t>
            </w:r>
            <w:r w:rsidR="00A2442B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stacjach 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wodoru</w:t>
            </w:r>
            <w:r w:rsidR="00A2442B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na </w:t>
            </w:r>
            <w:r w:rsidR="00A2442B" w:rsidRPr="003E3962">
              <w:rPr>
                <w:rFonts w:ascii="Times New Roman" w:hAnsi="Times New Roman" w:cs="Times New Roman"/>
                <w:sz w:val="22"/>
                <w:szCs w:val="22"/>
              </w:rPr>
              <w:t>których świadczona jest usługa tankowania wodoru</w:t>
            </w:r>
            <w:r w:rsidR="00A2442B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na terenie kraju. Informacje są aktualizowane w czasie rzeczywistym i informują użytkowników takich pojazdów o dostępności stacji oraz aktualnych cenach ładowania </w:t>
            </w:r>
            <w:r w:rsidR="00A2442B"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i paliw. Obowiązek stworzenia i </w:t>
            </w:r>
            <w:r w:rsidRPr="003E39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prowadzenia takiego systemu wynika z przystąpienia Polski do programu PSA IDACS realizowanego przez Komisję Europejską.</w:t>
            </w:r>
          </w:p>
          <w:p w14:paraId="5838D7DB" w14:textId="5037BDE6" w:rsidR="00AA4525" w:rsidRPr="003E3962" w:rsidRDefault="00EC4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962">
              <w:rPr>
                <w:rFonts w:ascii="Times New Roman" w:hAnsi="Times New Roman" w:cs="Times New Roman"/>
                <w:lang w:eastAsia="pl-PL"/>
              </w:rPr>
              <w:t xml:space="preserve">W okresie do marca 2022 r. </w:t>
            </w:r>
            <w:r w:rsidR="006004E5" w:rsidRPr="003E3962">
              <w:rPr>
                <w:rFonts w:ascii="Times New Roman" w:hAnsi="Times New Roman" w:cs="Times New Roman"/>
                <w:lang w:eastAsia="pl-PL"/>
              </w:rPr>
              <w:t xml:space="preserve">UDT prowadził rejestr w ramach własnych środków. Mając na uwadze przewidywany wzrost liczby stacji ładowania, w celu dalszego, profesjonalnego prowadzenia rejestru, konieczne </w:t>
            </w:r>
            <w:r w:rsidR="00F60B4D" w:rsidRPr="003E3962">
              <w:rPr>
                <w:rFonts w:ascii="Times New Roman" w:hAnsi="Times New Roman" w:cs="Times New Roman"/>
                <w:lang w:eastAsia="pl-PL"/>
              </w:rPr>
              <w:t>jest utrzymanie</w:t>
            </w:r>
            <w:r w:rsidR="006004E5" w:rsidRPr="003E3962">
              <w:rPr>
                <w:rFonts w:ascii="Times New Roman" w:hAnsi="Times New Roman" w:cs="Times New Roman"/>
                <w:lang w:eastAsia="pl-PL"/>
              </w:rPr>
              <w:t xml:space="preserve"> opłaty,</w:t>
            </w:r>
            <w:r w:rsidR="00F60B4D" w:rsidRPr="003E3962">
              <w:rPr>
                <w:rFonts w:ascii="Times New Roman" w:hAnsi="Times New Roman" w:cs="Times New Roman"/>
                <w:lang w:eastAsia="pl-PL"/>
              </w:rPr>
              <w:t xml:space="preserve"> przewidywanej w art. 41 ust. 3 ustawy o elektromobilności,</w:t>
            </w:r>
            <w:r w:rsidR="006004E5" w:rsidRPr="003E3962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65715A" w:rsidRPr="003E3962">
              <w:rPr>
                <w:rFonts w:ascii="Times New Roman" w:hAnsi="Times New Roman" w:cs="Times New Roman"/>
                <w:lang w:eastAsia="pl-PL"/>
              </w:rPr>
              <w:t xml:space="preserve">w wysokości jak w 2022 r., </w:t>
            </w:r>
            <w:r w:rsidR="006004E5" w:rsidRPr="003E3962">
              <w:rPr>
                <w:rFonts w:ascii="Times New Roman" w:hAnsi="Times New Roman" w:cs="Times New Roman"/>
                <w:lang w:eastAsia="pl-PL"/>
              </w:rPr>
              <w:t>która pokrywać będzie koszty prowadzenia rejestru, jego dostępności przez stronę internetową oraz dalszy rozwój.</w:t>
            </w:r>
          </w:p>
        </w:tc>
      </w:tr>
      <w:tr w:rsidR="006004E5" w14:paraId="52A165A1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5C1B09D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004E5" w14:paraId="02FEB978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F3A" w14:textId="407551CE" w:rsidR="006004E5" w:rsidRDefault="00AA4525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Rosnąca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liczba stacji ładowania oraz tankowania paliw alternatywnych w Polsce powoduje, ż</w:t>
            </w:r>
            <w:r w:rsidR="006571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koszty prowadzenia takiego systemu także rosną. Aby był on sprawny i na bieżąco aktualizowany UDT musi mieć możliwość pobierania relatywnie niskich opłat, które w roku 202</w:t>
            </w:r>
            <w:r w:rsidR="00EC4F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będą wynosić miesięcznie: 10 zł od </w:t>
            </w:r>
            <w:r w:rsidR="006004E5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operatora ogólnodostępnej stacji ładowania, stacji gazu ziemnego lub stacji wodoru, na której świadczona jest usługa tankowania wodoru </w:t>
            </w:r>
            <w:r w:rsidR="006004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oraz 50 zł od dostawcy usługi ładowania. Opłaty pozwolą UDT prowadzić profesjonalny i łatwo dostępny publiczny rejestr.</w:t>
            </w:r>
          </w:p>
          <w:p w14:paraId="58830076" w14:textId="1D6504FD" w:rsidR="006004E5" w:rsidRDefault="006004E5" w:rsidP="00711C78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Jako kryterium ustalania wysokości opłaty dla operatora ogólnodostępnej stacji ładowania, operatora stacji gazu ziemnego oraz operatora stacji wodoru </w:t>
            </w:r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świadczącego usługę tankowania wodoru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 nadanie</w:t>
            </w:r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numeru EIPA, uznanie kodu oraz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utrzymanie </w:t>
            </w:r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go w systemie teleinformatycznym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ustawie</w:t>
            </w:r>
            <w:r w:rsidR="0065715A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o elektromobilności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wskazano liczbę stacji przedstawionych na interaktywnej mapie. Natomiast, informacje dotyczące liczby stacji, na których działa dostawca usługi ładowania nie będą gromadzone w systemie. W związku z tym dostawcy usługi ładowania będą ponosili stałą opłatę za nadanie i utrzymanie numeru EIPA</w:t>
            </w:r>
            <w:r w:rsidR="00705A3F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(50 zł)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niezależnie od liczby stacji, na których będą prowadzili działalność. </w:t>
            </w:r>
            <w:r w:rsidR="0070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Mając na uwadze powyższe, </w:t>
            </w:r>
            <w:r w:rsidR="00705A3F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dokonano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zróżnicowani</w:t>
            </w:r>
            <w:r w:rsidR="00705A3F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a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zakresie </w:t>
            </w:r>
            <w:r w:rsidR="00705A3F"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miesięcznej </w:t>
            </w:r>
            <w:r w:rsidRPr="00711C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wysokości opłaty. </w:t>
            </w:r>
          </w:p>
          <w:p w14:paraId="53D9C870" w14:textId="520267F6" w:rsidR="006004E5" w:rsidRPr="00A2442B" w:rsidRDefault="0060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2" w:name="_Hlk95468906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Szacunkowy roczny koszt prowadzenia rejestru wynosi, zgodnie z informacjami przekazanymi przez UDT</w:t>
            </w:r>
            <w:r w:rsidR="00EC4FD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ok.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300 tys. zł. W celu właściwego </w:t>
            </w:r>
            <w:r w:rsidRPr="00A2442B">
              <w:rPr>
                <w:rFonts w:ascii="Times New Roman" w:hAnsi="Times New Roman" w:cs="Times New Roman"/>
                <w:color w:val="000000"/>
              </w:rPr>
              <w:t xml:space="preserve">określenia wysokości stawki </w:t>
            </w:r>
            <w:r>
              <w:rPr>
                <w:rFonts w:ascii="Times New Roman" w:hAnsi="Times New Roman" w:cs="Times New Roman"/>
                <w:color w:val="000000"/>
              </w:rPr>
              <w:t>za nadanie indywidualnego kodu identyfikacyjnego, uznanie kodu oraz ich utrzymanie w systemie teleinformatycznym oszacowano liczbę stacji ładowania pojazdów elektrycznych</w:t>
            </w:r>
            <w:r w:rsidR="008F43D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stacji gazu </w:t>
            </w:r>
            <w:r w:rsidR="00A2442B">
              <w:rPr>
                <w:rFonts w:ascii="Times New Roman" w:hAnsi="Times New Roman" w:cs="Times New Roman"/>
                <w:color w:val="000000"/>
              </w:rPr>
              <w:t xml:space="preserve">ziemnego </w:t>
            </w:r>
            <w:r>
              <w:rPr>
                <w:rFonts w:ascii="Times New Roman" w:hAnsi="Times New Roman" w:cs="Times New Roman"/>
                <w:color w:val="000000"/>
              </w:rPr>
              <w:t xml:space="preserve">oraz </w:t>
            </w:r>
            <w:r w:rsidR="00A2442B" w:rsidRPr="00A2442B">
              <w:rPr>
                <w:rFonts w:ascii="Times New Roman" w:hAnsi="Times New Roman" w:cs="Times New Roman"/>
                <w:color w:val="000000"/>
              </w:rPr>
              <w:t>stacji wodoru, na której świadczona jest usługa tankowania wodoru</w:t>
            </w:r>
            <w:r>
              <w:rPr>
                <w:rFonts w:ascii="Times New Roman" w:hAnsi="Times New Roman" w:cs="Times New Roman"/>
                <w:color w:val="000000"/>
              </w:rPr>
              <w:t>. Na tej podstawie obliczono, że zaproponowana wysokość stawki pokrywa koszty prowadzenia rejestru.</w:t>
            </w:r>
            <w:bookmarkEnd w:id="2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Kompleksowe obliczenia zostały przedstawione w załączniku do Oceny Skutków Regulacji </w:t>
            </w:r>
            <w:r>
              <w:rPr>
                <w:rFonts w:ascii="Times New Roman" w:hAnsi="Times New Roman" w:cs="Times New Roman"/>
                <w:color w:val="000000"/>
              </w:rPr>
              <w:t>ustawy z dnia 2 grudnia 2021 r. o zmianie ustawy o</w:t>
            </w:r>
            <w:r w:rsidR="00635CF0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elektromobilności i</w:t>
            </w:r>
            <w:r w:rsidR="008F43D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paliwach alternatywnych oraz niektórych innych ustaw (Dz. U. poz. 2269) wraz ze szczegółową metodologią obliczeń </w:t>
            </w:r>
            <w:r>
              <w:rPr>
                <w:rFonts w:ascii="Times New Roman" w:hAnsi="Times New Roman" w:cs="Times New Roman"/>
              </w:rPr>
              <w:t>w zakresie zmian przepisów dotyczących jednostek dozoru technicznego.</w:t>
            </w:r>
          </w:p>
          <w:p w14:paraId="359A7EC9" w14:textId="6EBD000D" w:rsidR="00705A3F" w:rsidRDefault="00711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C78">
              <w:rPr>
                <w:rFonts w:ascii="Times New Roman" w:hAnsi="Times New Roman" w:cs="Times New Roman"/>
              </w:rPr>
              <w:lastRenderedPageBreak/>
              <w:t>Należy jednocześnie wskazać, że nie istnieją obecnie inne niż legislacyjne środki, które umożliwiałyby osiągnięcie zakładanych w projekcie celów.</w:t>
            </w:r>
            <w:r>
              <w:rPr>
                <w:rFonts w:ascii="Times New Roman" w:hAnsi="Times New Roman" w:cs="Times New Roman"/>
              </w:rPr>
              <w:t xml:space="preserve"> Obowiązek wydania niniejszego rozporządzenia wynika bowiem wprost z art. 41b ust. 5 ustawy o elektromobilności.</w:t>
            </w:r>
          </w:p>
        </w:tc>
      </w:tr>
      <w:tr w:rsidR="006004E5" w14:paraId="71170B7B" w14:textId="77777777" w:rsidTr="006004E5">
        <w:trPr>
          <w:trHeight w:val="307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11DD8E9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 w:cs="Times New Roman"/>
                <w:b/>
                <w:color w:val="000000"/>
              </w:rPr>
              <w:t>?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6004E5" w14:paraId="25F5A50B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5E4C" w14:textId="64EB419C" w:rsidR="006004E5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Należy wskazać, ze państwa członkowskie Unii Europejskiej zobowiązały się do tworzenia rejestrów w ramach programu PSA IDACS, dlatego też ustawa o elektromobilności przewiduje możliwość uznania przez UDT kodu nadanego w innym państwie członkowskim. System ten w Unii Europejskiej jest w trakcie powstawania. Póki co działają rejestry komercyjne, które obejmują tereny Unii, jak amerykański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bCs/>
                <w:lang w:eastAsia="pl-PL"/>
              </w:rPr>
              <w:t>Chargemap</w:t>
            </w:r>
            <w:proofErr w:type="spellEnd"/>
            <w:r w:rsidRPr="003E396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hyperlink r:id="rId8" w:history="1">
              <w:r w:rsidRPr="003E3962">
                <w:rPr>
                  <w:rStyle w:val="Hipercze"/>
                  <w:rFonts w:ascii="Times New Roman" w:hAnsi="Times New Roman" w:cs="Times New Roman"/>
                  <w:bCs/>
                </w:rPr>
                <w:t>https://chargemap.com/map</w:t>
              </w:r>
            </w:hyperlink>
            <w:r w:rsidRPr="003E3962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20CE5092" w14:textId="7BCF5EC3" w:rsidR="00D83B73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Doskonałym przykładem publicznego i dostępnego rejestru jest program Departamentu Energii Stanów Zjednoczonych –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Alternative</w:t>
            </w:r>
            <w:proofErr w:type="spellEnd"/>
            <w:r w:rsidRPr="003E396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Fuels</w:t>
            </w:r>
            <w:proofErr w:type="spellEnd"/>
            <w:r w:rsidRPr="003E396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Data Center</w:t>
            </w:r>
            <w:r w:rsidRPr="003E396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który na stronie: </w:t>
            </w:r>
            <w:hyperlink r:id="rId9" w:anchor="/find/nearest?fuel=ELEC" w:history="1">
              <w:r w:rsidR="00D83B73" w:rsidRPr="003E3962">
                <w:rPr>
                  <w:rStyle w:val="Hipercze"/>
                  <w:rFonts w:ascii="Times New Roman" w:hAnsi="Times New Roman" w:cs="Times New Roman"/>
                  <w:bCs/>
                </w:rPr>
                <w:t>https://afdc.energy.gov/fuels/electricity_locations.html#/find/nearest?fuel=ELEC</w:t>
              </w:r>
            </w:hyperlink>
            <w:r w:rsidRPr="003E396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umieszcza publicznie i bez opłat dla kierowców dostępne stacje na terenie USA oraz Kanady.</w:t>
            </w:r>
          </w:p>
        </w:tc>
      </w:tr>
      <w:tr w:rsidR="006004E5" w14:paraId="549111C0" w14:textId="77777777" w:rsidTr="006004E5">
        <w:trPr>
          <w:trHeight w:val="359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BC94CB8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6004E5" w14:paraId="384922B2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399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9E0C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078E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9A37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6004E5" w14:paraId="062BE0BB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E41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Operatorzy stacji ładowania i tankowania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8053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Ok. 35</w:t>
            </w: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E9E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Dane własne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6FDA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Obowiązek uiszczenia miesięcznej opłaty od każdej stacji ładowania lub tankowania gazu ziemnego/wodoru.</w:t>
            </w:r>
          </w:p>
        </w:tc>
      </w:tr>
      <w:tr w:rsidR="006004E5" w14:paraId="13B6830B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13F0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Dostawcy usług ładowania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C41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14:paraId="2FCED34C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E3D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Dane własne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E27C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Obowiązek uiszczenia miesięcznej opłaty.</w:t>
            </w:r>
          </w:p>
        </w:tc>
      </w:tr>
      <w:tr w:rsidR="006004E5" w14:paraId="48010074" w14:textId="77777777" w:rsidTr="006004E5">
        <w:trPr>
          <w:trHeight w:val="142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083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Urząd Dozoru Technicznego (UDT)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AA3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D03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C63D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Otrzymanie środków na prowadzenie i ulepszanie rejestru.</w:t>
            </w:r>
          </w:p>
        </w:tc>
      </w:tr>
      <w:tr w:rsidR="006004E5" w14:paraId="39E0C507" w14:textId="77777777" w:rsidTr="006004E5">
        <w:trPr>
          <w:trHeight w:val="30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97B4A5D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004E5" w14:paraId="714CAF5C" w14:textId="77777777" w:rsidTr="006004E5">
        <w:trPr>
          <w:trHeight w:val="590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35EF4" w14:textId="77777777" w:rsidR="006004E5" w:rsidRPr="003E3962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E3962">
              <w:rPr>
                <w:rFonts w:ascii="Times New Roman" w:hAnsi="Times New Roman" w:cs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3E3962">
              <w:rPr>
                <w:rFonts w:ascii="Times New Roman" w:hAnsi="Times New Roman" w:cs="Times New Roman"/>
                <w:color w:val="000000"/>
                <w:spacing w:val="-2"/>
              </w:rPr>
              <w:t>pre</w:t>
            </w:r>
            <w:proofErr w:type="spellEnd"/>
            <w:r w:rsidRPr="003E3962">
              <w:rPr>
                <w:rFonts w:ascii="Times New Roman" w:hAnsi="Times New Roman" w:cs="Times New Roman"/>
                <w:color w:val="000000"/>
                <w:spacing w:val="-2"/>
              </w:rPr>
              <w:t xml:space="preserve">-konsultacji. </w:t>
            </w:r>
          </w:p>
          <w:p w14:paraId="598EA66F" w14:textId="3021565A" w:rsidR="006004E5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</w:t>
            </w:r>
            <w:r w:rsidRPr="003E3962">
              <w:rPr>
                <w:rFonts w:ascii="Times New Roman" w:hAnsi="Times New Roman" w:cs="Times New Roman"/>
                <w:color w:val="000000"/>
                <w:spacing w:val="-2"/>
              </w:rPr>
              <w:t xml:space="preserve">, zgodnie z art. 5 ustawy z dnia 7 lipca 2005 r. o działalności lobbingowej w procesie stanowienia prawa i § 52 uchwały nr 190 Rady Ministrów z dnia 29 października 2013 r. – Regulamin pracy Rady Ministrów, </w:t>
            </w:r>
            <w:r w:rsidR="00753DD2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zostanie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udostępniony w Biuletynie Informacji Publicznej, na stronie podmiotowej Rządowego Centrum Legislacji, w serwisie Rządowy Proces Legislacyjny.</w:t>
            </w:r>
          </w:p>
          <w:p w14:paraId="5093CA76" w14:textId="60AFA908" w:rsidR="006004E5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 zosta</w:t>
            </w:r>
            <w:r w:rsidR="00753DD2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nie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przekazany do konsultacji (na </w:t>
            </w:r>
            <w:r w:rsidR="00B457F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5</w:t>
            </w:r>
            <w:r w:rsidR="00B457F2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dni) do następujących podmiotów:</w:t>
            </w:r>
          </w:p>
          <w:p w14:paraId="50CAFE69" w14:textId="154830C1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Polskie Sieci Elektroenergetyczne S.A.</w:t>
            </w:r>
            <w:r w:rsidR="00665C26" w:rsidRPr="003E3962">
              <w:rPr>
                <w:rFonts w:ascii="Times New Roman" w:hAnsi="Times New Roman" w:cs="Times New Roman"/>
              </w:rPr>
              <w:t>;</w:t>
            </w:r>
          </w:p>
          <w:p w14:paraId="168EF16A" w14:textId="7B89AA28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Towarzystwo Obrotu Energią</w:t>
            </w:r>
            <w:r w:rsidR="00665C26"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04D03F3C" w14:textId="7343833D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Polskie Towarzystwo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Przesyłu</w:t>
            </w:r>
            <w:proofErr w:type="spellEnd"/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 i Rozdziału Energii Elektrycznej</w:t>
            </w:r>
            <w:r w:rsidR="00665C26"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44169E77" w14:textId="0EE8A98F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Federacja Konsumentów</w:t>
            </w:r>
            <w:r w:rsidR="00665C26" w:rsidRPr="003E3962">
              <w:rPr>
                <w:rFonts w:ascii="Times New Roman" w:hAnsi="Times New Roman" w:cs="Times New Roman"/>
              </w:rPr>
              <w:t>;</w:t>
            </w:r>
          </w:p>
          <w:p w14:paraId="32CA0184" w14:textId="587E5D6D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 Komitet Energii Elektrycznej</w:t>
            </w:r>
            <w:r w:rsidR="00665C26" w:rsidRPr="003E39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AA8E6F8" w14:textId="13925BFF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Krajowa Izba Gospodarcza Elektroniki i Telekomunikacji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CB16C8C" w14:textId="72F59ABC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Polskie Stowarzyszenie Paliw Alternatywnych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0D9DF008" w14:textId="1CCD2031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Fundacja Promocji Pojazdów Elektrycznych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7F0E2D15" w14:textId="355E69B6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Polskie Stowarzyszenie Elektromobilności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6A11B744" w14:textId="2D985200" w:rsidR="00EC4FDE" w:rsidRPr="003E3962" w:rsidRDefault="00EC4FDE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hAnsi="Times New Roman" w:cs="Times New Roman"/>
                <w:lang w:eastAsia="pl-PL"/>
              </w:rPr>
              <w:t>Polska Izba Rozwoju Elektromobilności</w:t>
            </w:r>
            <w:r w:rsidRPr="003E3962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;</w:t>
            </w:r>
          </w:p>
          <w:p w14:paraId="5DE47816" w14:textId="71A309E9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Krajowa Izba Gospodarcza</w:t>
            </w:r>
            <w:bookmarkStart w:id="3" w:name="OLE_LINK2"/>
            <w:bookmarkStart w:id="4" w:name="OLE_LINK1"/>
            <w:bookmarkEnd w:id="3"/>
            <w:bookmarkEnd w:id="4"/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20DFCEC4" w14:textId="62C3F95D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Polska Izba Motoryzacji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450C08D3" w14:textId="0FF4D662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Polski Związek Przemysłu Motoryzacyjnego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79BB5566" w14:textId="50B60956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Polska Platforma LNG</w:t>
            </w:r>
            <w:r w:rsidR="00665C26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22C82696" w14:textId="4819914C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Greenway sp. z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lang w:val="en-US" w:eastAsia="pl-PL"/>
              </w:rPr>
              <w:t>o.o</w:t>
            </w:r>
            <w:proofErr w:type="spellEnd"/>
            <w:r w:rsidRPr="003E3962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  <w:r w:rsidR="00665C26" w:rsidRPr="003E3962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37D1E22" w14:textId="56239836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PKN </w:t>
            </w:r>
            <w:proofErr w:type="spellStart"/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>Orlen</w:t>
            </w:r>
            <w:proofErr w:type="spellEnd"/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S.A</w:t>
            </w:r>
            <w:r w:rsidR="00101043" w:rsidRPr="003E3962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>.;</w:t>
            </w:r>
          </w:p>
          <w:p w14:paraId="21F9EFCC" w14:textId="7CF8BBF9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>TAURON S.A.</w:t>
            </w:r>
            <w:r w:rsidR="00101043" w:rsidRPr="003E3962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0C7118E3" w14:textId="7EF7993C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ENERGA S.A.</w:t>
            </w:r>
            <w:r w:rsidR="00101043" w:rsidRPr="003E3962">
              <w:rPr>
                <w:rStyle w:val="object"/>
                <w:rFonts w:ascii="Times New Roman" w:hAnsi="Times New Roman" w:cs="Times New Roman"/>
                <w:color w:val="000000"/>
              </w:rPr>
              <w:t>;</w:t>
            </w:r>
          </w:p>
          <w:p w14:paraId="69D483A5" w14:textId="59E4AEAF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>LOTOS S.A</w:t>
            </w:r>
            <w:r w:rsidR="00101043" w:rsidRPr="003E3962">
              <w:rPr>
                <w:rStyle w:val="object"/>
                <w:rFonts w:ascii="Times New Roman" w:hAnsi="Times New Roman" w:cs="Times New Roman"/>
                <w:color w:val="000000"/>
                <w:lang w:val="en-US"/>
              </w:rPr>
              <w:t>.;</w:t>
            </w:r>
          </w:p>
          <w:p w14:paraId="18CB4036" w14:textId="4E6F56BB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GB" w:eastAsia="pl-PL"/>
              </w:rPr>
              <w:t>ENEA S.A.</w:t>
            </w:r>
            <w:r w:rsidR="00101043" w:rsidRPr="003E3962">
              <w:rPr>
                <w:rStyle w:val="object"/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486B2757" w14:textId="73066CF9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val="en-US" w:eastAsia="pl-PL"/>
              </w:rPr>
              <w:t>PGE S.A.</w:t>
            </w:r>
            <w:r w:rsidR="00101043" w:rsidRPr="003E3962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14:paraId="51D118A2" w14:textId="2237849D" w:rsidR="006004E5" w:rsidRPr="003E3962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</w:rPr>
            </w:pPr>
            <w:r w:rsidRPr="003E3962">
              <w:rPr>
                <w:rFonts w:ascii="Times New Roman" w:hAnsi="Times New Roman" w:cs="Times New Roman"/>
              </w:rPr>
              <w:t>PGNiG Obrót Detaliczny sp. z o.</w:t>
            </w: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.;</w:t>
            </w:r>
          </w:p>
          <w:p w14:paraId="5DAAEB7F" w14:textId="4DF486BA" w:rsidR="006004E5" w:rsidRPr="00CE0E09" w:rsidRDefault="006004E5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hAnsi="Times New Roman" w:cs="Times New Roman"/>
              </w:rPr>
              <w:t>Shell Polska sp. z o.o.</w:t>
            </w:r>
            <w:r w:rsidR="00B457F2">
              <w:rPr>
                <w:rFonts w:ascii="Times New Roman" w:hAnsi="Times New Roman" w:cs="Times New Roman"/>
              </w:rPr>
              <w:t>;</w:t>
            </w:r>
          </w:p>
          <w:p w14:paraId="1456B79B" w14:textId="51FD475D" w:rsidR="00B457F2" w:rsidRPr="003E3962" w:rsidRDefault="00B457F2" w:rsidP="001C36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7F2">
              <w:rPr>
                <w:rFonts w:ascii="Times New Roman" w:eastAsia="Times New Roman" w:hAnsi="Times New Roman" w:cs="Times New Roman"/>
                <w:lang w:eastAsia="pl-PL"/>
              </w:rPr>
              <w:t>PAK-PCE Biopaliwa i Wodór sp. z o.o.</w:t>
            </w:r>
          </w:p>
          <w:p w14:paraId="01194F84" w14:textId="3840B03A" w:rsidR="006004E5" w:rsidRPr="003E3962" w:rsidRDefault="00600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Projekt zosta</w:t>
            </w:r>
            <w:r w:rsidR="00753DD2" w:rsidRPr="003E3962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 przekazany do zaopiniowania (na </w:t>
            </w:r>
            <w:r w:rsidR="00B457F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B457F2"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dni) następującym podmiotom:</w:t>
            </w:r>
          </w:p>
          <w:p w14:paraId="430C2F67" w14:textId="74392883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Prezes Urzędu Regulacji Energetyki</w:t>
            </w:r>
            <w:r w:rsidR="00101043" w:rsidRPr="003E3962">
              <w:rPr>
                <w:rFonts w:ascii="Times New Roman" w:hAnsi="Times New Roman" w:cs="Times New Roman"/>
              </w:rPr>
              <w:t>;</w:t>
            </w:r>
          </w:p>
          <w:p w14:paraId="458361F4" w14:textId="05516F9A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Prezes Urzędu Dozoru Technicznego</w:t>
            </w:r>
            <w:r w:rsidR="00101043" w:rsidRPr="003E3962">
              <w:rPr>
                <w:rFonts w:ascii="Times New Roman" w:hAnsi="Times New Roman" w:cs="Times New Roman"/>
                <w:lang w:eastAsia="pl-PL"/>
              </w:rPr>
              <w:t>;</w:t>
            </w:r>
          </w:p>
          <w:p w14:paraId="5C51A348" w14:textId="6A78DA6E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Prezes Urzędu Ochrony Konkurencji i Konsument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ów;</w:t>
            </w:r>
          </w:p>
          <w:p w14:paraId="42F1F299" w14:textId="4881F38C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Prezes Prokuratorii Generalnej Rzeczypospolitej Polskiej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6F4B192" w14:textId="47ECF4E2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Rzecznik Małych i Średnich Przedsiębior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ców;</w:t>
            </w:r>
          </w:p>
          <w:p w14:paraId="044D0DA7" w14:textId="631CD694" w:rsidR="006004E5" w:rsidRPr="003E3962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Generalny Dyrektor Dróg Krajowych i Autostrad</w:t>
            </w:r>
            <w:r w:rsidR="00101043" w:rsidRPr="003E396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B116A74" w14:textId="617E87B1" w:rsidR="006004E5" w:rsidRDefault="006004E5" w:rsidP="001C36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Dyrektor Transportowego Dozoru Technicznego.</w:t>
            </w:r>
          </w:p>
          <w:p w14:paraId="4CB4E38D" w14:textId="7BCF6EF6" w:rsidR="00FD66FB" w:rsidRDefault="00FD66FB" w:rsidP="0003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Wyznaczony termin do zajęcia stanowiska w ramach uzgodnień, konsultacji publicznych lub opiniowania projektu określony w § 142 ust. 1 uchwały nr 190 Rady Ministrów z dnia 29 października 2013 r. - Regulamin pracy Rady Ministrów (M.P. z 2022 r. poz. 348) został skrócony do 5 dni. Skrócenie jest uzasadnione tym, że obecnie obowiązuje już </w:t>
            </w:r>
            <w:r w:rsidRPr="0074383D">
              <w:rPr>
                <w:rFonts w:ascii="Times New Roman" w:hAnsi="Times New Roman" w:cs="Times New Roman"/>
                <w:color w:val="000000"/>
              </w:rPr>
              <w:t>rozporządzenie</w:t>
            </w:r>
            <w:r w:rsidRPr="00B457F2">
              <w:rPr>
                <w:rFonts w:ascii="Times New Roman" w:eastAsia="Times New Roman" w:hAnsi="Times New Roman" w:cs="Times New Roman"/>
                <w:lang w:eastAsia="pl-PL"/>
              </w:rPr>
              <w:t xml:space="preserve"> Ministra Klimatu i Środowiska z dnia 31 marca 2022 r. w sprawie wysokości stawek opłaty za nadanie indywidualnego kodu identyfikacyjnego, uznanie kodu oraz ich utrzymanie w systemie teleinformatycznym oraz terminu wnoszenia tej opłaty w roku 2022 (Dz.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457F2">
              <w:rPr>
                <w:rFonts w:ascii="Times New Roman" w:eastAsia="Times New Roman" w:hAnsi="Times New Roman" w:cs="Times New Roman"/>
                <w:lang w:eastAsia="pl-PL"/>
              </w:rPr>
              <w:t>U. poz. 758)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dalej jako </w:t>
            </w:r>
            <w:r w:rsidRPr="0074383D">
              <w:rPr>
                <w:rFonts w:ascii="Times New Roman" w:hAnsi="Times New Roman" w:cs="Times New Roman"/>
                <w:color w:val="000000"/>
              </w:rPr>
              <w:t>„rozporządzenie w sprawie opłat EIPA w 2022 r.”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które było konsultowane w lutym 2022 r., a większość uwag, które zostały zgłoszone wtedy uwzględniono także w obecnym projekcie. Co więcej, treść projektowanego rozporządzenia jest zbieżna z </w:t>
            </w:r>
            <w:r w:rsidRPr="0074383D">
              <w:rPr>
                <w:rFonts w:ascii="Times New Roman" w:hAnsi="Times New Roman" w:cs="Times New Roman"/>
                <w:color w:val="000000"/>
              </w:rPr>
              <w:t>rozporządzenie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74383D">
              <w:rPr>
                <w:rFonts w:ascii="Times New Roman" w:hAnsi="Times New Roman" w:cs="Times New Roman"/>
                <w:color w:val="000000"/>
              </w:rPr>
              <w:t xml:space="preserve"> w sprawie opłat EIPA w 2022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gdyż wysokość stawek nie ulega zmianie. </w:t>
            </w:r>
          </w:p>
          <w:p w14:paraId="062DB31E" w14:textId="019F11B2" w:rsidR="006004E5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>Z uwagi na zakres przedmiotowy projektu, który nie dotyc</w:t>
            </w:r>
            <w:r w:rsidR="00EB4F4C" w:rsidRPr="003E396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3E3962">
              <w:rPr>
                <w:rFonts w:ascii="Times New Roman" w:eastAsia="Times New Roman" w:hAnsi="Times New Roman" w:cs="Times New Roman"/>
                <w:lang w:eastAsia="pl-PL"/>
              </w:rPr>
              <w:t xml:space="preserve">y zadań związków zawodowych, projekt nie podlega opiniowaniu przez reprezentatywne związki zawodowe.  </w:t>
            </w:r>
          </w:p>
          <w:p w14:paraId="223D4A9C" w14:textId="33904115" w:rsidR="006004E5" w:rsidRPr="003E3962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E3962">
              <w:rPr>
                <w:rFonts w:ascii="Times New Roman" w:hAnsi="Times New Roman" w:cs="Times New Roman"/>
                <w:color w:val="000000"/>
                <w:spacing w:val="-2"/>
              </w:rPr>
              <w:t xml:space="preserve">Z uwagi na zakres projektu, który nie dotyczy praw i interesów związków pracodawców, projekt nie podlega opiniowaniu przez reprezentatywne organizacje pracodawców. </w:t>
            </w:r>
          </w:p>
          <w:p w14:paraId="24640BCE" w14:textId="4933EE58" w:rsidR="006004E5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Projekt nie podlega opiniowaniu przez Komisję Wspólną Rządu i Samorządu Terytorialnego, gdyż nie dotyczy </w:t>
            </w:r>
            <w:r w:rsidRPr="003E3962">
              <w:rPr>
                <w:rFonts w:ascii="Times New Roman" w:hAnsi="Times New Roman" w:cs="Times New Roman"/>
                <w:color w:val="000000"/>
                <w:lang w:eastAsia="pl-PL"/>
              </w:rPr>
              <w:t xml:space="preserve">spraw związanych z samorządem terytorialnym, o których mowa w ustawie z dnia 6 maja 2005 r. o Komisji Wspólnej Rządu i Samorządu Terytorialnego oraz o przedstawicielach Rzeczypospolitej Polskiej w Komitecie Regionów Unii Europejskiej. 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 </w:t>
            </w:r>
          </w:p>
          <w:p w14:paraId="2D259C1A" w14:textId="44240C17" w:rsidR="006004E5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 nie dotyczy spraw, o których mowa w art. 1 ustawy z dnia 24 lipca 2015 r. o Radzie Dialogu Społecznego i innych instytucjach dialogu społecznego, wobec czego nie wymaga zaopiniowania przez R</w:t>
            </w:r>
            <w:r w:rsidR="00CD4407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adę 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D</w:t>
            </w:r>
            <w:r w:rsidR="00CD4407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ialogu 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S</w:t>
            </w:r>
            <w:r w:rsidR="00CD4407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połecznego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.</w:t>
            </w:r>
          </w:p>
          <w:p w14:paraId="16E2691D" w14:textId="364FF8E5" w:rsidR="006004E5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06E744F2" w14:textId="42E5ECF4" w:rsidR="00D83B73" w:rsidRPr="003E3962" w:rsidRDefault="0060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Wyniki opiniowania i konsultacji publicznych zosta</w:t>
            </w:r>
            <w:r w:rsidR="00753DD2"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ną</w:t>
            </w:r>
            <w:r w:rsidRPr="003E396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omówione w raporcie z opiniowania i konsultacji publicznych udostępnionym na stronie Rządowego Centrum Legislacji, w zakładce Rządowy Proces Legislacyjny.</w:t>
            </w:r>
          </w:p>
        </w:tc>
      </w:tr>
      <w:tr w:rsidR="006004E5" w14:paraId="0DBFDEAC" w14:textId="77777777" w:rsidTr="006004E5">
        <w:trPr>
          <w:trHeight w:val="363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5F04626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004E5" w14:paraId="71A43AD3" w14:textId="77777777" w:rsidTr="006004E5">
        <w:trPr>
          <w:trHeight w:val="142"/>
        </w:trPr>
        <w:tc>
          <w:tcPr>
            <w:tcW w:w="3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E2F2C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(ceny stałe z …… r.)</w:t>
            </w:r>
          </w:p>
        </w:tc>
        <w:tc>
          <w:tcPr>
            <w:tcW w:w="7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477C9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6004E5" w14:paraId="3F5E3EFB" w14:textId="77777777" w:rsidTr="006004E5">
        <w:trPr>
          <w:trHeight w:val="14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A491" w14:textId="77777777" w:rsidR="006004E5" w:rsidRPr="003E3962" w:rsidRDefault="006004E5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32884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621A1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4D083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0262E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57E77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16736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13D22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33C3D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A9F71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37D20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434FB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13A82" w14:textId="77777777" w:rsidR="006004E5" w:rsidRPr="003E3962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3E3962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004E5" w14:paraId="06322D94" w14:textId="77777777" w:rsidTr="006004E5">
        <w:trPr>
          <w:trHeight w:val="321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2EE0A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2BAB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EA7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C342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A08C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0564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A8D5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C978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DB88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C425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A123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D50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1C86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</w:tr>
      <w:tr w:rsidR="006004E5" w14:paraId="2074F2D6" w14:textId="77777777" w:rsidTr="006004E5">
        <w:trPr>
          <w:trHeight w:val="321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3A8A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1ADA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0B51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0FA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12AC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37407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718E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3CA2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4C9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7D27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1F84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5AA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E4B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004E5" w14:paraId="58281CB8" w14:textId="77777777" w:rsidTr="006004E5">
        <w:trPr>
          <w:trHeight w:val="344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4B19E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EC4E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3B45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A6E2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1DAB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0E50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F97D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FBE9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03B6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43C0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0CA2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8885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798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54A769F5" w14:textId="77777777" w:rsidTr="006004E5">
        <w:trPr>
          <w:trHeight w:val="344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29A69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604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C24C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B23A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4B80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5D5D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A64E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D3DF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017D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F291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706C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AFFF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949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656A8A0B" w14:textId="77777777" w:rsidTr="006004E5">
        <w:trPr>
          <w:trHeight w:val="330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8BFCF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33FF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8CEE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733C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A901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7B08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1EE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96E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C46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09A5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F264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B22E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757A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004E5" w14:paraId="3D13695F" w14:textId="77777777" w:rsidTr="006004E5">
        <w:trPr>
          <w:trHeight w:val="330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EA2CF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8BEB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9FC7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7A76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E783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655E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A782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045F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8C77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8AC3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3BC9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66A9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B6B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407027EA" w14:textId="77777777" w:rsidTr="006004E5">
        <w:trPr>
          <w:trHeight w:val="351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E2CF7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FD63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92D8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48D6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2725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8D15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B64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8A7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BFF0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43BB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3927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7389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1D1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5A267DC0" w14:textId="77777777" w:rsidTr="006004E5">
        <w:trPr>
          <w:trHeight w:val="351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8221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826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B556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941E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1950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E24A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0D3A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5E98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D54D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C595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BBF3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3505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C54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3AAD6CC9" w14:textId="77777777" w:rsidTr="006004E5">
        <w:trPr>
          <w:trHeight w:val="360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0EBC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0FE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4B17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90F2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80F3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D3B2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21BA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DE7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32ED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7AD6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3A847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623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C6B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0C7B526D" w14:textId="77777777" w:rsidTr="006004E5">
        <w:trPr>
          <w:trHeight w:val="360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37DB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A86D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4053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9AC0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8A11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7E8F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FF7E8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66C6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88AB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DB71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CC6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C180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96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CBF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04E5" w14:paraId="52432B4B" w14:textId="77777777" w:rsidTr="006004E5">
        <w:trPr>
          <w:trHeight w:val="357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5C4D6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D2A2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6B69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6AC7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26E1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6A96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C77C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B039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FDF0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EAA5E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AAB3F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543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3DB5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54FCD3EC" w14:textId="77777777" w:rsidTr="006004E5">
        <w:trPr>
          <w:trHeight w:val="357"/>
        </w:trPr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0B230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0C264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E3FF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96F3B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CE541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3B8A5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F571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D4D06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0AB3C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5DE49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D66EA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21B63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92E2" w14:textId="77777777" w:rsidR="006004E5" w:rsidRPr="003E3962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4E5" w14:paraId="2215E7DE" w14:textId="77777777" w:rsidTr="006004E5">
        <w:trPr>
          <w:trHeight w:val="34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AED43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0516F" w14:textId="77777777" w:rsidR="006004E5" w:rsidRPr="003E3962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>Źródłem finansowania będą środki operatorów stacji oraz dostawców usług ładowania.</w:t>
            </w:r>
          </w:p>
          <w:p w14:paraId="754CE5B9" w14:textId="57AFABFC" w:rsidR="00425A47" w:rsidRPr="003E3962" w:rsidRDefault="00425A47" w:rsidP="00635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</w:rPr>
              <w:lastRenderedPageBreak/>
              <w:t>Rozporządzenie nie powoduje skutków finansowych dla jednostek sektora finansów publicznych, w tym budżetu państwa i budżetów jednostek samorządu terytorialnego, polegających na zwiększeniu wydatków lub zmniejszeniu dochodów tych jednostek w</w:t>
            </w:r>
            <w:r w:rsidR="00635CF0" w:rsidRPr="003E3962">
              <w:rPr>
                <w:rFonts w:ascii="Times New Roman" w:hAnsi="Times New Roman" w:cs="Times New Roman"/>
              </w:rPr>
              <w:t> </w:t>
            </w:r>
            <w:r w:rsidRPr="003E3962">
              <w:rPr>
                <w:rFonts w:ascii="Times New Roman" w:hAnsi="Times New Roman" w:cs="Times New Roman"/>
              </w:rPr>
              <w:t>stosunku do wielkości wynikających z obowiązujących przepisów.</w:t>
            </w:r>
          </w:p>
        </w:tc>
      </w:tr>
      <w:tr w:rsidR="006004E5" w14:paraId="0E962D32" w14:textId="77777777" w:rsidTr="006004E5">
        <w:trPr>
          <w:trHeight w:val="80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CEB38" w14:textId="77777777" w:rsidR="006004E5" w:rsidRPr="003E3962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lastRenderedPageBreak/>
              <w:t xml:space="preserve">Dodatkowe informacje, w tym wskazanie źródeł danych i przyjętych do obliczeń 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88655" w14:textId="17D93893" w:rsidR="00635CF0" w:rsidRPr="003E3962" w:rsidRDefault="006004E5" w:rsidP="00635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3962">
              <w:rPr>
                <w:rFonts w:ascii="Times New Roman" w:hAnsi="Times New Roman" w:cs="Times New Roman"/>
                <w:color w:val="000000"/>
              </w:rPr>
              <w:t xml:space="preserve">Skutki zostały opisane w OSR do ustawy z dnia 2 grudnia 2021 r. o zmianie ustawy o elektromobilności i paliwach alternatywnych oraz niektórych innych ustaw </w:t>
            </w:r>
            <w:r w:rsidR="00F60C6B" w:rsidRPr="003E3962">
              <w:rPr>
                <w:rFonts w:ascii="Times New Roman" w:hAnsi="Times New Roman" w:cs="Times New Roman"/>
                <w:color w:val="000000"/>
              </w:rPr>
              <w:t xml:space="preserve">(Dz. U. poz. 2269) </w:t>
            </w:r>
            <w:r w:rsidRPr="003E3962">
              <w:rPr>
                <w:rFonts w:ascii="Times New Roman" w:hAnsi="Times New Roman" w:cs="Times New Roman"/>
                <w:color w:val="000000"/>
              </w:rPr>
              <w:t>wraz ze szczegółową metodologią obliczeń.</w:t>
            </w:r>
          </w:p>
        </w:tc>
      </w:tr>
      <w:tr w:rsidR="006004E5" w14:paraId="557677AC" w14:textId="77777777" w:rsidTr="006004E5">
        <w:trPr>
          <w:trHeight w:val="345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2508120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004E5" w14:paraId="1060470E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9F387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Skutki</w:t>
            </w:r>
          </w:p>
        </w:tc>
      </w:tr>
      <w:tr w:rsidR="006004E5" w14:paraId="22F72214" w14:textId="77777777" w:rsidTr="006004E5">
        <w:trPr>
          <w:trHeight w:val="142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2A2B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98DB8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E7EA6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D5FA0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A553F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4F661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AC54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BBD39" w14:textId="77777777" w:rsidR="006004E5" w:rsidRDefault="006004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004E5" w14:paraId="711478B5" w14:textId="77777777" w:rsidTr="006004E5">
        <w:trPr>
          <w:trHeight w:val="14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3221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ujęciu pieniężnym</w:t>
            </w:r>
          </w:p>
          <w:p w14:paraId="0D9FE1D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(w mln zł, </w:t>
            </w:r>
          </w:p>
          <w:p w14:paraId="49A7B6F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2"/>
              </w:rPr>
              <w:t>ceny stałe z …… r.)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314F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855DE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7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A6A32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8A0FB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4AC74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8ADDE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2DB5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4E5" w14:paraId="5898FD29" w14:textId="77777777" w:rsidTr="006004E5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A021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6ECE0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33E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504CB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5D994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8EA19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960C7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285C3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28805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4E5" w14:paraId="00394E10" w14:textId="77777777" w:rsidTr="006004E5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E378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7105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AB7B8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6D517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9BA59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EA22E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07AE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6DE1C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9FE0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6004E5" w14:paraId="5C9DE93D" w14:textId="77777777" w:rsidTr="006004E5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6EB1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73C9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niepełnosprawne oraz osoby starsze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C4F3D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89D97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2A02B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7643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B8C16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9EB21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E213C" w14:textId="77777777" w:rsidR="006004E5" w:rsidRDefault="006004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</w:tr>
      <w:tr w:rsidR="006004E5" w14:paraId="10FC77A8" w14:textId="77777777" w:rsidTr="006004E5">
        <w:trPr>
          <w:trHeight w:val="14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9BF7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3578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1B653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Obowiązek ponoszenia drobnych opłat za nadanie numeru EIPA/uznanie kodu i ich utrzymanie w systemie teleinformatycznym (dotyczy tylko przedsiębiorców, którzy prowadzą działalność operatora stacji ładowania/tankowania gazu ziemnego lub wodoru lub dostawcy usług ładowania).</w:t>
            </w:r>
          </w:p>
        </w:tc>
      </w:tr>
      <w:tr w:rsidR="006004E5" w14:paraId="444C3B2F" w14:textId="77777777" w:rsidTr="006004E5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11EB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72C7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12DF1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Obowiązek ponoszenia drobnych opłat za nadanie numeru EIPA/uznanie kodu i ich utrzymanie w systemie teleinformatycznym (dotyczy tylko przedsiębiorców, którzy prowadzą działalność operatora stacji ładowania/tankowania gazu ziemnego lub wodoru lub dostawcy usług ładowania).</w:t>
            </w:r>
          </w:p>
        </w:tc>
      </w:tr>
      <w:tr w:rsidR="006004E5" w14:paraId="61AC16E9" w14:textId="77777777" w:rsidTr="006004E5">
        <w:trPr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629A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E7055" w14:textId="77777777" w:rsidR="006004E5" w:rsidRDefault="006004E5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rodzina, obywatele oraz gospodarstwa domowe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8442C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Promowanie korzystania z paliw alternatywnych, do czego przyczyni się sprawnie działający rejestr stacji, w przyszłości wpłynie na poprawę jakości powietrza, z czego skorzystają wszyscy mieszkańcy Polski.</w:t>
            </w:r>
          </w:p>
        </w:tc>
      </w:tr>
      <w:tr w:rsidR="006004E5" w14:paraId="65EFAA87" w14:textId="77777777" w:rsidTr="006004E5">
        <w:trPr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DB10" w14:textId="77777777" w:rsidR="006004E5" w:rsidRDefault="006004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BB64D" w14:textId="77777777" w:rsidR="006004E5" w:rsidRDefault="006004E5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niepełnosprawne oraz osoby starsze</w:t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D785F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Promowanie korzystania z paliw alternatywnych, do czego przyczyni się sprawnie działający rejestr stacji, w przyszłości wpłynie na poprawę jakości powietrza, z czego skorzystają wszyscy mieszkańcy Polski.</w:t>
            </w:r>
          </w:p>
        </w:tc>
      </w:tr>
      <w:tr w:rsidR="006004E5" w14:paraId="5E5CF45B" w14:textId="77777777" w:rsidTr="006004E5">
        <w:trPr>
          <w:trHeight w:val="14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DEAF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Niemierzalne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BCB1E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(dodaj/usuń)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64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F90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004E5" w14:paraId="5047CDB6" w14:textId="77777777" w:rsidTr="006004E5">
        <w:trPr>
          <w:trHeight w:val="10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7221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3E729" w14:textId="3F9A1DD2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Wpływ w ujęciu pieniężnym został zaprezentowany w OSR</w:t>
            </w:r>
            <w:r w:rsidR="00F60C6B">
              <w:rPr>
                <w:rFonts w:ascii="Times New Roman" w:hAnsi="Times New Roman" w:cs="Times New Roman"/>
                <w:color w:val="000000"/>
              </w:rPr>
              <w:t xml:space="preserve"> do</w:t>
            </w:r>
            <w:r>
              <w:rPr>
                <w:rFonts w:ascii="Times New Roman" w:hAnsi="Times New Roman" w:cs="Times New Roman"/>
                <w:color w:val="000000"/>
              </w:rPr>
              <w:t xml:space="preserve"> ustawy z dnia 2 grudnia 2021 r. o zmianie ustawy o elektromobilności i paliwach alternatywnych oraz niektórych innych ustaw wraz ze szczegółową metodologią obliczeń. </w:t>
            </w:r>
          </w:p>
        </w:tc>
      </w:tr>
      <w:tr w:rsidR="006004E5" w14:paraId="6A402A5F" w14:textId="77777777" w:rsidTr="006004E5">
        <w:trPr>
          <w:trHeight w:val="3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DAB9356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004E5" w14:paraId="209D010D" w14:textId="77777777" w:rsidTr="006004E5">
        <w:trPr>
          <w:trHeight w:val="151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8083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6004E5" w14:paraId="600F1BF9" w14:textId="77777777" w:rsidTr="006004E5">
        <w:trPr>
          <w:trHeight w:val="794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E12EF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9320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78B193F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4F85EE2D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6004E5" w14:paraId="3BEFB997" w14:textId="77777777" w:rsidTr="006004E5">
        <w:trPr>
          <w:trHeight w:val="975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10150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278C3C72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14:paraId="49F7A7D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CEEFFC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76E3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14:paraId="5EAC875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14:paraId="1BD17132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CF05B6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6004E5" w14:paraId="3C82A193" w14:textId="77777777" w:rsidTr="006004E5">
        <w:trPr>
          <w:trHeight w:val="755"/>
        </w:trPr>
        <w:tc>
          <w:tcPr>
            <w:tcW w:w="5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FA5A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2E2AA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116E7C4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56A2BEE8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6004E5" w14:paraId="34593BEF" w14:textId="77777777" w:rsidTr="006004E5">
        <w:trPr>
          <w:trHeight w:val="630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D4F54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Komentarz: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Projektowane rozporządzenie wprowadza wskazane powyżej obciążenia regulacyjne. Są one jednak niezbędne, aby rejestr mógł dalej poprawnie funkcjonować. </w:t>
            </w:r>
          </w:p>
        </w:tc>
      </w:tr>
      <w:tr w:rsidR="006004E5" w14:paraId="310B0A55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E5D0163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6004E5" w14:paraId="5C940A39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30C7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6004E5" w14:paraId="1284E1B4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65914EF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6004E5" w14:paraId="7E9C8E75" w14:textId="77777777" w:rsidTr="006004E5">
        <w:trPr>
          <w:trHeight w:val="1032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377CE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 środowisko naturalne</w:t>
            </w:r>
          </w:p>
          <w:p w14:paraId="61A7E34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 sytuacja i rozwój regionalny</w:t>
            </w:r>
          </w:p>
          <w:p w14:paraId="00C681D9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4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002A6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demografia</w:t>
            </w:r>
          </w:p>
          <w:p w14:paraId="16228994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mienie państwowe</w:t>
            </w:r>
          </w:p>
          <w:p w14:paraId="4604A797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E27DE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informatyzacja</w:t>
            </w:r>
          </w:p>
          <w:p w14:paraId="3D6C4B96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FD66FB">
              <w:rPr>
                <w:rFonts w:ascii="Times New Roman" w:hAnsi="Times New Roman" w:cs="Times New Roman"/>
                <w:color w:val="000000"/>
              </w:rPr>
            </w:r>
            <w:r w:rsidR="00FD66F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6004E5" w14:paraId="370806F4" w14:textId="77777777" w:rsidTr="006004E5">
        <w:trPr>
          <w:trHeight w:val="7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21DF5" w14:textId="77777777" w:rsidR="006004E5" w:rsidRDefault="006004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Omówienie wpływu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418CB" w14:textId="500D0F2E" w:rsidR="006004E5" w:rsidRDefault="006004E5" w:rsidP="00035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Ułatwienie dostępu do rzetelnych informacji na temat dostępności stacji ładowania/tankowania oraz cen paliw alternatywnych w przyszłości doprowadzi do zwiększenia popularności pojazdów o napędach na paliwa alternatywne, co przełoży się na zmniejszenie zanieczyszczenia na polskich drogach.</w:t>
            </w:r>
          </w:p>
        </w:tc>
      </w:tr>
      <w:tr w:rsidR="006004E5" w14:paraId="6A9E19FA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9FF84FF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6004E5" w14:paraId="0F2AD949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788E0" w14:textId="2B88FF80" w:rsidR="006004E5" w:rsidRDefault="006004E5" w:rsidP="003B49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Planuje się, że rozporządzenie wejdzie w życie po upływie </w:t>
            </w:r>
            <w:r w:rsidR="003B4994">
              <w:rPr>
                <w:rFonts w:ascii="Times New Roman" w:hAnsi="Times New Roman" w:cs="Times New Roman"/>
                <w:spacing w:val="-2"/>
              </w:rPr>
              <w:t>7</w:t>
            </w:r>
            <w:r>
              <w:rPr>
                <w:rFonts w:ascii="Times New Roman" w:hAnsi="Times New Roman" w:cs="Times New Roman"/>
                <w:spacing w:val="-2"/>
              </w:rPr>
              <w:t xml:space="preserve"> dni od dnia ogłoszenia rozporządzenia.</w:t>
            </w:r>
            <w:r w:rsidR="003B4994">
              <w:rPr>
                <w:rFonts w:ascii="Times New Roman" w:hAnsi="Times New Roman" w:cs="Times New Roman"/>
                <w:spacing w:val="-2"/>
              </w:rPr>
              <w:t xml:space="preserve"> Skrócenie okresu </w:t>
            </w:r>
            <w:r w:rsidR="003B4994" w:rsidRPr="00711C78">
              <w:rPr>
                <w:rFonts w:ascii="Times New Roman" w:hAnsi="Times New Roman" w:cs="Times New Roman"/>
                <w:i/>
                <w:spacing w:val="-2"/>
              </w:rPr>
              <w:t>vacatio legis</w:t>
            </w:r>
            <w:r w:rsidR="003B499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F5132">
              <w:rPr>
                <w:rFonts w:ascii="Times New Roman" w:hAnsi="Times New Roman" w:cs="Times New Roman"/>
                <w:spacing w:val="-2"/>
              </w:rPr>
              <w:t xml:space="preserve">wynika z obowiązku wydania rozporządzenia do 15 grudnia 2022 r. (zgodnie z art. 41b ust. 5 ustawy o elektromobilności) oraz tym, że w projektowanym </w:t>
            </w:r>
            <w:r w:rsidR="003B4994">
              <w:rPr>
                <w:rFonts w:ascii="Times New Roman" w:hAnsi="Times New Roman" w:cs="Times New Roman"/>
                <w:spacing w:val="-2"/>
              </w:rPr>
              <w:t>rozporządzeni</w:t>
            </w:r>
            <w:r w:rsidR="008F5132">
              <w:rPr>
                <w:rFonts w:ascii="Times New Roman" w:hAnsi="Times New Roman" w:cs="Times New Roman"/>
                <w:spacing w:val="-2"/>
              </w:rPr>
              <w:t xml:space="preserve">u zostaną </w:t>
            </w:r>
            <w:r w:rsidR="003B4994">
              <w:rPr>
                <w:rFonts w:ascii="Times New Roman" w:hAnsi="Times New Roman" w:cs="Times New Roman"/>
                <w:spacing w:val="-2"/>
              </w:rPr>
              <w:t>utrzym</w:t>
            </w:r>
            <w:r w:rsidR="008F5132">
              <w:rPr>
                <w:rFonts w:ascii="Times New Roman" w:hAnsi="Times New Roman" w:cs="Times New Roman"/>
                <w:spacing w:val="-2"/>
              </w:rPr>
              <w:t xml:space="preserve">ane </w:t>
            </w:r>
            <w:r w:rsidR="003B4994">
              <w:rPr>
                <w:rFonts w:ascii="Times New Roman" w:hAnsi="Times New Roman" w:cs="Times New Roman"/>
                <w:spacing w:val="-2"/>
              </w:rPr>
              <w:t>w mocy te same stawki opłat, które przewid</w:t>
            </w:r>
            <w:r w:rsidR="008F5132">
              <w:rPr>
                <w:rFonts w:ascii="Times New Roman" w:hAnsi="Times New Roman" w:cs="Times New Roman"/>
                <w:spacing w:val="-2"/>
              </w:rPr>
              <w:t xml:space="preserve">ziano w </w:t>
            </w:r>
            <w:r w:rsidR="00035903">
              <w:rPr>
                <w:rFonts w:ascii="Times New Roman" w:hAnsi="Times New Roman" w:cs="Times New Roman"/>
                <w:color w:val="000000"/>
              </w:rPr>
              <w:t>rozporządzeniu</w:t>
            </w:r>
            <w:r w:rsidR="00035903" w:rsidRPr="0074383D">
              <w:rPr>
                <w:rFonts w:ascii="Times New Roman" w:hAnsi="Times New Roman" w:cs="Times New Roman"/>
                <w:color w:val="000000"/>
              </w:rPr>
              <w:t xml:space="preserve"> w sprawie opłat EIPA w 2022 r.</w:t>
            </w:r>
            <w:bookmarkStart w:id="5" w:name="_GoBack"/>
            <w:bookmarkEnd w:id="5"/>
          </w:p>
        </w:tc>
      </w:tr>
      <w:tr w:rsidR="006004E5" w14:paraId="69B47F33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9DE8C2C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004E5" w14:paraId="008FC43C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0B43F" w14:textId="66BB7209" w:rsidR="006004E5" w:rsidRDefault="006004E5" w:rsidP="008F51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Ewaluacja efektów proponowanych opłat</w:t>
            </w:r>
            <w:r w:rsidR="008F5132">
              <w:rPr>
                <w:rFonts w:ascii="Times New Roman" w:hAnsi="Times New Roman" w:cs="Times New Roman"/>
                <w:color w:val="000000"/>
                <w:spacing w:val="-2"/>
              </w:rPr>
              <w:t xml:space="preserve"> zostanie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dokonana przed wydaniem rozporządzenia określającego wysokość opłaty na 202</w:t>
            </w:r>
            <w:r w:rsidR="00EC4FDE"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r. </w:t>
            </w:r>
          </w:p>
        </w:tc>
      </w:tr>
      <w:tr w:rsidR="006004E5" w14:paraId="7A5AC588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667E221" w14:textId="77777777" w:rsidR="006004E5" w:rsidRDefault="006004E5" w:rsidP="001C367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 w:cs="Times New Roman"/>
                <w:b/>
                <w:spacing w:val="-2"/>
              </w:rPr>
              <w:t>(istotne dokumenty źródłowe, badania, analizy itp.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004E5" w14:paraId="793979B5" w14:textId="77777777" w:rsidTr="006004E5">
        <w:trPr>
          <w:trHeight w:val="142"/>
        </w:trPr>
        <w:tc>
          <w:tcPr>
            <w:tcW w:w="10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8EAEF" w14:textId="77777777" w:rsidR="006004E5" w:rsidRDefault="00600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Nie dotyczy.</w:t>
            </w:r>
          </w:p>
        </w:tc>
      </w:tr>
    </w:tbl>
    <w:p w14:paraId="2CFF1F5F" w14:textId="77777777" w:rsidR="006004E5" w:rsidRDefault="006004E5" w:rsidP="006004E5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635AD9" w14:textId="77777777" w:rsidR="006004E5" w:rsidRDefault="006004E5" w:rsidP="006004E5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48A120C8" w14:textId="70C56C16" w:rsidR="00B72A81" w:rsidRDefault="00B72A81"/>
    <w:sectPr w:rsidR="00B72A8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389F9" w14:textId="77777777" w:rsidR="006A6F56" w:rsidRDefault="006A6F56" w:rsidP="00711C78">
      <w:pPr>
        <w:spacing w:after="0" w:line="240" w:lineRule="auto"/>
      </w:pPr>
      <w:r>
        <w:separator/>
      </w:r>
    </w:p>
  </w:endnote>
  <w:endnote w:type="continuationSeparator" w:id="0">
    <w:p w14:paraId="129D52E4" w14:textId="77777777" w:rsidR="006A6F56" w:rsidRDefault="006A6F56" w:rsidP="00711C78">
      <w:pPr>
        <w:spacing w:after="0" w:line="240" w:lineRule="auto"/>
      </w:pPr>
      <w:r>
        <w:continuationSeparator/>
      </w:r>
    </w:p>
  </w:endnote>
  <w:endnote w:type="continuationNotice" w:id="1">
    <w:p w14:paraId="5FF79775" w14:textId="77777777" w:rsidR="006A6F56" w:rsidRDefault="006A6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22B6C" w14:textId="77777777" w:rsidR="00FD66FB" w:rsidRDefault="00FD6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D5C8" w14:textId="77777777" w:rsidR="006A6F56" w:rsidRDefault="006A6F56" w:rsidP="00711C78">
      <w:pPr>
        <w:spacing w:after="0" w:line="240" w:lineRule="auto"/>
      </w:pPr>
      <w:r>
        <w:separator/>
      </w:r>
    </w:p>
  </w:footnote>
  <w:footnote w:type="continuationSeparator" w:id="0">
    <w:p w14:paraId="4B61A93B" w14:textId="77777777" w:rsidR="006A6F56" w:rsidRDefault="006A6F56" w:rsidP="00711C78">
      <w:pPr>
        <w:spacing w:after="0" w:line="240" w:lineRule="auto"/>
      </w:pPr>
      <w:r>
        <w:continuationSeparator/>
      </w:r>
    </w:p>
  </w:footnote>
  <w:footnote w:type="continuationNotice" w:id="1">
    <w:p w14:paraId="0B860389" w14:textId="77777777" w:rsidR="006A6F56" w:rsidRDefault="006A6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0573" w14:textId="77777777" w:rsidR="00FD66FB" w:rsidRDefault="00FD6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3246"/>
    <w:multiLevelType w:val="hybridMultilevel"/>
    <w:tmpl w:val="78E66C26"/>
    <w:lvl w:ilvl="0" w:tplc="7B6C40FC">
      <w:start w:val="1"/>
      <w:numFmt w:val="decimal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A6780"/>
    <w:multiLevelType w:val="hybridMultilevel"/>
    <w:tmpl w:val="7F3E0796"/>
    <w:lvl w:ilvl="0" w:tplc="7B6C40FC">
      <w:start w:val="1"/>
      <w:numFmt w:val="decimal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E5"/>
    <w:rsid w:val="00015495"/>
    <w:rsid w:val="00015B52"/>
    <w:rsid w:val="00035903"/>
    <w:rsid w:val="00101043"/>
    <w:rsid w:val="00161C5D"/>
    <w:rsid w:val="0019433D"/>
    <w:rsid w:val="001C367F"/>
    <w:rsid w:val="00283426"/>
    <w:rsid w:val="00300591"/>
    <w:rsid w:val="00397199"/>
    <w:rsid w:val="003B4994"/>
    <w:rsid w:val="003C4737"/>
    <w:rsid w:val="003C7959"/>
    <w:rsid w:val="003E3962"/>
    <w:rsid w:val="003F7086"/>
    <w:rsid w:val="00410DDD"/>
    <w:rsid w:val="00425A47"/>
    <w:rsid w:val="0049016E"/>
    <w:rsid w:val="00490DD4"/>
    <w:rsid w:val="004F3E73"/>
    <w:rsid w:val="005B5645"/>
    <w:rsid w:val="006004E5"/>
    <w:rsid w:val="00635CF0"/>
    <w:rsid w:val="0065715A"/>
    <w:rsid w:val="00665C26"/>
    <w:rsid w:val="006A4BA3"/>
    <w:rsid w:val="006A6F56"/>
    <w:rsid w:val="006B4677"/>
    <w:rsid w:val="00705A3F"/>
    <w:rsid w:val="00711C78"/>
    <w:rsid w:val="00713C89"/>
    <w:rsid w:val="00753DD2"/>
    <w:rsid w:val="007D32CA"/>
    <w:rsid w:val="008C16AA"/>
    <w:rsid w:val="008F43D7"/>
    <w:rsid w:val="008F5132"/>
    <w:rsid w:val="00A21CAF"/>
    <w:rsid w:val="00A2442B"/>
    <w:rsid w:val="00A75C49"/>
    <w:rsid w:val="00AA4525"/>
    <w:rsid w:val="00AD75D5"/>
    <w:rsid w:val="00B23243"/>
    <w:rsid w:val="00B232FC"/>
    <w:rsid w:val="00B250DB"/>
    <w:rsid w:val="00B457F2"/>
    <w:rsid w:val="00B72A81"/>
    <w:rsid w:val="00B961B9"/>
    <w:rsid w:val="00BF065E"/>
    <w:rsid w:val="00BF23A6"/>
    <w:rsid w:val="00C37B8D"/>
    <w:rsid w:val="00CB5C8F"/>
    <w:rsid w:val="00CD4407"/>
    <w:rsid w:val="00CE0E09"/>
    <w:rsid w:val="00D83B73"/>
    <w:rsid w:val="00D94EC1"/>
    <w:rsid w:val="00DE26E7"/>
    <w:rsid w:val="00EB4F4C"/>
    <w:rsid w:val="00EC4FDE"/>
    <w:rsid w:val="00F073BC"/>
    <w:rsid w:val="00F3614D"/>
    <w:rsid w:val="00F60B4D"/>
    <w:rsid w:val="00F60C6B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E6A"/>
  <w15:chartTrackingRefBased/>
  <w15:docId w15:val="{AFF6B36D-8B87-41D8-927D-66CEE3F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E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004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4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6004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04E5"/>
    <w:pPr>
      <w:spacing w:line="254" w:lineRule="auto"/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004E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6004E5"/>
  </w:style>
  <w:style w:type="character" w:customStyle="1" w:styleId="object-hover">
    <w:name w:val="object-hover"/>
    <w:basedOn w:val="Domylnaczcionkaakapitu"/>
    <w:rsid w:val="006004E5"/>
  </w:style>
  <w:style w:type="character" w:styleId="Pogrubienie">
    <w:name w:val="Strong"/>
    <w:basedOn w:val="Domylnaczcionkaakapitu"/>
    <w:uiPriority w:val="22"/>
    <w:qFormat/>
    <w:rsid w:val="006004E5"/>
    <w:rPr>
      <w:b/>
      <w:bCs/>
    </w:rPr>
  </w:style>
  <w:style w:type="character" w:styleId="Odwoaniedokomentarza">
    <w:name w:val="annotation reference"/>
    <w:basedOn w:val="Domylnaczcionkaakapitu"/>
    <w:unhideWhenUsed/>
    <w:rsid w:val="00EC4FD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4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4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FD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B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3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15B5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D440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C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6FB"/>
  </w:style>
  <w:style w:type="paragraph" w:styleId="Stopka">
    <w:name w:val="footer"/>
    <w:basedOn w:val="Normalny"/>
    <w:link w:val="StopkaZnak"/>
    <w:uiPriority w:val="99"/>
    <w:unhideWhenUsed/>
    <w:rsid w:val="00FD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gemap.com/m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ymon.bylinski@klimat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fdc.energy.gov/fuels/electricity_location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Mroczek Kacper</dc:creator>
  <cp:keywords/>
  <dc:description/>
  <cp:lastModifiedBy>Mroczek Kacper</cp:lastModifiedBy>
  <cp:revision>1</cp:revision>
  <dcterms:created xsi:type="dcterms:W3CDTF">2022-11-15T16:01:00Z</dcterms:created>
  <dcterms:modified xsi:type="dcterms:W3CDTF">2022-11-25T11:28:00Z</dcterms:modified>
</cp:coreProperties>
</file>