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445"/>
        <w:gridCol w:w="266"/>
        <w:gridCol w:w="142"/>
        <w:gridCol w:w="451"/>
        <w:gridCol w:w="132"/>
        <w:gridCol w:w="406"/>
        <w:gridCol w:w="144"/>
        <w:gridCol w:w="33"/>
        <w:gridCol w:w="531"/>
        <w:gridCol w:w="52"/>
        <w:gridCol w:w="324"/>
        <w:gridCol w:w="260"/>
        <w:gridCol w:w="73"/>
        <w:gridCol w:w="510"/>
        <w:gridCol w:w="199"/>
        <w:gridCol w:w="384"/>
        <w:gridCol w:w="466"/>
        <w:gridCol w:w="117"/>
        <w:gridCol w:w="167"/>
        <w:gridCol w:w="145"/>
        <w:gridCol w:w="138"/>
        <w:gridCol w:w="131"/>
        <w:gridCol w:w="153"/>
        <w:gridCol w:w="433"/>
        <w:gridCol w:w="298"/>
        <w:gridCol w:w="285"/>
        <w:gridCol w:w="584"/>
        <w:gridCol w:w="21"/>
        <w:gridCol w:w="1911"/>
        <w:gridCol w:w="15"/>
      </w:tblGrid>
      <w:tr w:rsidR="00917572" w14:paraId="45190B7A" w14:textId="77777777" w:rsidTr="00092C8C">
        <w:trPr>
          <w:trHeight w:val="1609"/>
        </w:trPr>
        <w:tc>
          <w:tcPr>
            <w:tcW w:w="7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4F4" w14:textId="77777777" w:rsidR="00917572" w:rsidRDefault="00917572" w:rsidP="00EA0B21">
            <w:pPr>
              <w:jc w:val="both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</w:rPr>
              <w:t>Nazwa projektu</w:t>
            </w:r>
          </w:p>
          <w:p w14:paraId="23AA5D05" w14:textId="1A8E795E" w:rsidR="00917572" w:rsidRDefault="00917572" w:rsidP="00EA0B21">
            <w:pPr>
              <w:jc w:val="both"/>
              <w:rPr>
                <w:color w:val="000000"/>
                <w:sz w:val="22"/>
                <w:szCs w:val="22"/>
              </w:rPr>
            </w:pPr>
            <w:r w:rsidRPr="003D75FD">
              <w:rPr>
                <w:color w:val="000000"/>
                <w:sz w:val="22"/>
                <w:szCs w:val="22"/>
              </w:rPr>
              <w:t xml:space="preserve">Rozporządzenie Ministra Edukacji </w:t>
            </w:r>
            <w:r>
              <w:rPr>
                <w:color w:val="000000"/>
                <w:sz w:val="22"/>
                <w:szCs w:val="22"/>
              </w:rPr>
              <w:t>i Nauki</w:t>
            </w:r>
            <w:r w:rsidRPr="003D75FD">
              <w:rPr>
                <w:color w:val="000000"/>
                <w:sz w:val="22"/>
                <w:szCs w:val="22"/>
              </w:rPr>
              <w:t xml:space="preserve"> w sprawie sposobu opracowywania sprawozdania z wysokości średnich wynagrodzeń nauczycieli</w:t>
            </w:r>
          </w:p>
          <w:p w14:paraId="59BF3D44" w14:textId="77777777" w:rsidR="00917572" w:rsidRDefault="00917572" w:rsidP="00EA0B21">
            <w:pPr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Ministerstwo wiodące i ministerstwa współpracujące</w:t>
            </w:r>
          </w:p>
          <w:p w14:paraId="189E393D" w14:textId="77777777" w:rsidR="00917572" w:rsidRDefault="00917572" w:rsidP="00917572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Ministerstwo Edukacji i Nauki </w:t>
            </w:r>
          </w:p>
          <w:p w14:paraId="0906A358" w14:textId="77777777" w:rsidR="00917572" w:rsidRDefault="00917572" w:rsidP="00EA0B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5EB513B3" w14:textId="77777777" w:rsidR="00917572" w:rsidRDefault="00917572" w:rsidP="00EA0B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Dariusz Piontkowski – Sekretarz Stanu w Ministerstwie Edukacji i Nauki</w:t>
            </w:r>
          </w:p>
          <w:p w14:paraId="63C1A4B9" w14:textId="77777777" w:rsidR="00917572" w:rsidRDefault="00917572" w:rsidP="00EA0B21">
            <w:pPr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16D9403A" w14:textId="77777777" w:rsidR="00917572" w:rsidRDefault="00917572" w:rsidP="00EA0B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Barbara Antosiewicz </w:t>
            </w:r>
            <w:r>
              <w:rPr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główny specjalista w Departamencie Współpracy z Samorządem Terytorialnym</w:t>
            </w:r>
          </w:p>
          <w:p w14:paraId="27819D94" w14:textId="77777777" w:rsidR="00917572" w:rsidRDefault="00917572" w:rsidP="00EA0B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tel. (22) 34 74 530, e-mail: barbara.antosiewicz@mein.gov.pl </w:t>
            </w: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111B4" w14:textId="77777777" w:rsidR="00D9608D" w:rsidRDefault="00917572" w:rsidP="00EA0B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sporządzenia </w:t>
            </w:r>
          </w:p>
          <w:p w14:paraId="32870C8F" w14:textId="3EEB919E" w:rsidR="00917572" w:rsidRPr="004134F1" w:rsidRDefault="00467A89" w:rsidP="00EA0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17572">
              <w:rPr>
                <w:sz w:val="22"/>
                <w:szCs w:val="22"/>
              </w:rPr>
              <w:t>.11.2022 r.</w:t>
            </w:r>
          </w:p>
          <w:p w14:paraId="01F9A2F8" w14:textId="77777777" w:rsidR="00917572" w:rsidRDefault="00917572" w:rsidP="00EA0B21">
            <w:pPr>
              <w:rPr>
                <w:sz w:val="22"/>
                <w:szCs w:val="22"/>
              </w:rPr>
            </w:pPr>
          </w:p>
          <w:p w14:paraId="60EDAF7A" w14:textId="77777777" w:rsidR="00917572" w:rsidRDefault="00917572" w:rsidP="00EA0B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Źródło: </w:t>
            </w:r>
          </w:p>
          <w:p w14:paraId="1971BBAF" w14:textId="77777777" w:rsidR="00917572" w:rsidRPr="003D75FD" w:rsidRDefault="00917572" w:rsidP="00EA0B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3D75FD">
              <w:rPr>
                <w:sz w:val="22"/>
                <w:szCs w:val="22"/>
              </w:rPr>
              <w:t xml:space="preserve">poważnienie </w:t>
            </w:r>
            <w:r>
              <w:rPr>
                <w:sz w:val="22"/>
                <w:szCs w:val="22"/>
              </w:rPr>
              <w:t xml:space="preserve">ustawowe – </w:t>
            </w:r>
            <w:r w:rsidRPr="003D75FD">
              <w:rPr>
                <w:sz w:val="22"/>
                <w:szCs w:val="22"/>
              </w:rPr>
              <w:t>art. 30a ust. 7 usta</w:t>
            </w:r>
            <w:r>
              <w:rPr>
                <w:sz w:val="22"/>
                <w:szCs w:val="22"/>
              </w:rPr>
              <w:t>wy z </w:t>
            </w:r>
            <w:r w:rsidRPr="003D75FD">
              <w:rPr>
                <w:sz w:val="22"/>
                <w:szCs w:val="22"/>
              </w:rPr>
              <w:t>dnia 26 stycznia 1</w:t>
            </w:r>
            <w:r>
              <w:rPr>
                <w:sz w:val="22"/>
                <w:szCs w:val="22"/>
              </w:rPr>
              <w:t>982 r. – Karta Nauczyciela (Dz. </w:t>
            </w:r>
            <w:r w:rsidRPr="003D75FD">
              <w:rPr>
                <w:sz w:val="22"/>
                <w:szCs w:val="22"/>
              </w:rPr>
              <w:t>U. z 20</w:t>
            </w:r>
            <w:r>
              <w:rPr>
                <w:sz w:val="22"/>
                <w:szCs w:val="22"/>
              </w:rPr>
              <w:t>21</w:t>
            </w:r>
            <w:r w:rsidRPr="003D75FD">
              <w:rPr>
                <w:sz w:val="22"/>
                <w:szCs w:val="22"/>
              </w:rPr>
              <w:t xml:space="preserve"> r. poz. </w:t>
            </w:r>
            <w:r>
              <w:rPr>
                <w:sz w:val="22"/>
                <w:szCs w:val="22"/>
              </w:rPr>
              <w:t>1762, z późn. zm.)</w:t>
            </w:r>
          </w:p>
          <w:p w14:paraId="3B39E352" w14:textId="77777777" w:rsidR="00917572" w:rsidRDefault="00917572" w:rsidP="00EA0B21">
            <w:pPr>
              <w:jc w:val="both"/>
              <w:rPr>
                <w:b/>
                <w:sz w:val="22"/>
                <w:szCs w:val="22"/>
              </w:rPr>
            </w:pPr>
          </w:p>
          <w:p w14:paraId="36D283DA" w14:textId="77777777" w:rsidR="00917572" w:rsidRDefault="00917572" w:rsidP="00EA0B2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Nr w Wykazie prac legislacyjnych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Ministra Edukacji i Nauki </w:t>
            </w:r>
            <w:r w:rsidRPr="004134F1">
              <w:rPr>
                <w:color w:val="000000"/>
                <w:sz w:val="22"/>
                <w:szCs w:val="22"/>
              </w:rPr>
              <w:t>– 162</w:t>
            </w:r>
          </w:p>
        </w:tc>
      </w:tr>
      <w:tr w:rsidR="00917572" w14:paraId="052BCB1C" w14:textId="77777777" w:rsidTr="00917572">
        <w:trPr>
          <w:trHeight w:val="14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CDA1385" w14:textId="77777777" w:rsidR="00917572" w:rsidRDefault="00917572" w:rsidP="00EA0B21">
            <w:pPr>
              <w:ind w:left="57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OCENA SKUTKÓW REGULACJI</w:t>
            </w:r>
          </w:p>
        </w:tc>
      </w:tr>
      <w:tr w:rsidR="00917572" w14:paraId="48E1E47F" w14:textId="77777777" w:rsidTr="00917572">
        <w:trPr>
          <w:trHeight w:val="332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C1B92F6" w14:textId="77777777" w:rsidR="00917572" w:rsidRDefault="00917572" w:rsidP="00EA0B21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Jaki problem jest rozwiązywany?</w:t>
            </w:r>
            <w:bookmarkStart w:id="1" w:name="Wybór1"/>
            <w:bookmarkEnd w:id="1"/>
          </w:p>
        </w:tc>
      </w:tr>
      <w:tr w:rsidR="00917572" w14:paraId="7B372311" w14:textId="77777777" w:rsidTr="00917572">
        <w:trPr>
          <w:trHeight w:val="14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C32A" w14:textId="5B7E5419" w:rsidR="00917572" w:rsidRPr="00DE253D" w:rsidRDefault="00260EF5" w:rsidP="00917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Projektowane rozporządzenie stanowi wykonanie</w:t>
            </w:r>
            <w:r w:rsidR="00917572" w:rsidRPr="003C39BC">
              <w:rPr>
                <w:sz w:val="22"/>
                <w:szCs w:val="22"/>
              </w:rPr>
              <w:t xml:space="preserve"> upoważnienia zawartego w art. 30a ust. 7 ustawy z dnia 26 stycznia 1982 r. – Karta Nauczyciela</w:t>
            </w:r>
            <w:r w:rsidR="00917572">
              <w:rPr>
                <w:sz w:val="22"/>
                <w:szCs w:val="22"/>
              </w:rPr>
              <w:t>,</w:t>
            </w:r>
            <w:r w:rsidR="00917572" w:rsidRPr="003C39BC">
              <w:rPr>
                <w:sz w:val="22"/>
                <w:szCs w:val="22"/>
              </w:rPr>
              <w:t xml:space="preserve"> zwanej dalej „ustawą”, </w:t>
            </w:r>
            <w:r>
              <w:rPr>
                <w:sz w:val="22"/>
                <w:szCs w:val="22"/>
              </w:rPr>
              <w:t xml:space="preserve">zgodnie z którym </w:t>
            </w:r>
            <w:r w:rsidR="00917572" w:rsidRPr="003C39BC">
              <w:rPr>
                <w:sz w:val="22"/>
                <w:szCs w:val="22"/>
              </w:rPr>
              <w:t xml:space="preserve">minister właściwy do spraw oświaty i wychowania </w:t>
            </w:r>
            <w:r w:rsidRPr="003C39BC">
              <w:rPr>
                <w:sz w:val="22"/>
                <w:szCs w:val="22"/>
              </w:rPr>
              <w:t>określ</w:t>
            </w:r>
            <w:r>
              <w:rPr>
                <w:sz w:val="22"/>
                <w:szCs w:val="22"/>
              </w:rPr>
              <w:t>i</w:t>
            </w:r>
            <w:r w:rsidR="00917572">
              <w:rPr>
                <w:sz w:val="22"/>
                <w:szCs w:val="22"/>
              </w:rPr>
              <w:t>,</w:t>
            </w:r>
            <w:r w:rsidR="00917572" w:rsidRPr="003C39BC">
              <w:rPr>
                <w:sz w:val="22"/>
                <w:szCs w:val="22"/>
              </w:rPr>
              <w:t xml:space="preserve"> w drodze rozporządzenia, sposób opracowywania sprawozdania</w:t>
            </w:r>
            <w:r w:rsidR="001B4578">
              <w:rPr>
                <w:sz w:val="22"/>
                <w:szCs w:val="22"/>
              </w:rPr>
              <w:t>,</w:t>
            </w:r>
            <w:r w:rsidR="00917572" w:rsidRPr="003C39BC">
              <w:rPr>
                <w:sz w:val="22"/>
                <w:szCs w:val="22"/>
              </w:rPr>
              <w:t xml:space="preserve"> </w:t>
            </w:r>
            <w:r w:rsidRPr="00260EF5">
              <w:rPr>
                <w:sz w:val="22"/>
                <w:szCs w:val="22"/>
              </w:rPr>
              <w:t>o którym mowa w art. 30a ust. 4 ustawy</w:t>
            </w:r>
            <w:r w:rsidR="00917572">
              <w:rPr>
                <w:sz w:val="22"/>
                <w:szCs w:val="22"/>
              </w:rPr>
              <w:t xml:space="preserve">, </w:t>
            </w:r>
            <w:r w:rsidR="00917572" w:rsidRPr="00DE253D">
              <w:rPr>
                <w:sz w:val="22"/>
                <w:szCs w:val="22"/>
              </w:rPr>
              <w:t>w</w:t>
            </w:r>
            <w:r w:rsidR="00D9608D">
              <w:rPr>
                <w:sz w:val="22"/>
                <w:szCs w:val="22"/>
              </w:rPr>
              <w:t> </w:t>
            </w:r>
            <w:r w:rsidR="00917572" w:rsidRPr="00DE253D">
              <w:rPr>
                <w:sz w:val="22"/>
                <w:szCs w:val="22"/>
              </w:rPr>
              <w:t xml:space="preserve">szczególności:  </w:t>
            </w:r>
          </w:p>
          <w:p w14:paraId="4DD6F2BB" w14:textId="1012D596" w:rsidR="00917572" w:rsidRPr="00DE253D" w:rsidRDefault="00917572" w:rsidP="00917572">
            <w:pPr>
              <w:numPr>
                <w:ilvl w:val="0"/>
                <w:numId w:val="4"/>
              </w:numPr>
              <w:ind w:left="314" w:hanging="314"/>
              <w:jc w:val="both"/>
              <w:rPr>
                <w:sz w:val="22"/>
                <w:szCs w:val="22"/>
              </w:rPr>
            </w:pPr>
            <w:r w:rsidRPr="00DE253D">
              <w:rPr>
                <w:sz w:val="22"/>
                <w:szCs w:val="22"/>
              </w:rPr>
              <w:t>sposób wyliczania średnich wynagrodzeń nauczycieli, o których mowa w art. 30 ust. 3</w:t>
            </w:r>
            <w:r w:rsidR="00260EF5">
              <w:rPr>
                <w:sz w:val="22"/>
                <w:szCs w:val="22"/>
              </w:rPr>
              <w:t xml:space="preserve"> ustawy</w:t>
            </w:r>
            <w:r w:rsidRPr="00DE253D">
              <w:rPr>
                <w:sz w:val="22"/>
                <w:szCs w:val="22"/>
              </w:rPr>
              <w:t>,</w:t>
            </w:r>
          </w:p>
          <w:p w14:paraId="4A2ACCEB" w14:textId="77777777" w:rsidR="00917572" w:rsidRPr="00DE253D" w:rsidRDefault="00917572" w:rsidP="00917572">
            <w:pPr>
              <w:numPr>
                <w:ilvl w:val="0"/>
                <w:numId w:val="4"/>
              </w:numPr>
              <w:ind w:left="314" w:hanging="314"/>
              <w:jc w:val="both"/>
              <w:rPr>
                <w:sz w:val="22"/>
                <w:szCs w:val="22"/>
              </w:rPr>
            </w:pPr>
            <w:r w:rsidRPr="00DE253D">
              <w:rPr>
                <w:sz w:val="22"/>
                <w:szCs w:val="22"/>
              </w:rPr>
              <w:t>sposób ustalania średniorocznej struktury zatrudnienia nauczycieli,</w:t>
            </w:r>
          </w:p>
          <w:p w14:paraId="67043D2B" w14:textId="0463269B" w:rsidR="00917572" w:rsidRPr="00DE253D" w:rsidRDefault="00917572" w:rsidP="00FC6285">
            <w:pPr>
              <w:numPr>
                <w:ilvl w:val="0"/>
                <w:numId w:val="4"/>
              </w:numPr>
              <w:ind w:left="314" w:hanging="314"/>
              <w:jc w:val="both"/>
              <w:rPr>
                <w:sz w:val="22"/>
                <w:szCs w:val="22"/>
              </w:rPr>
            </w:pPr>
            <w:r w:rsidRPr="00DE253D">
              <w:rPr>
                <w:sz w:val="22"/>
                <w:szCs w:val="22"/>
              </w:rPr>
              <w:t>sposób ustalania kwoty różnicy, o której mowa w art. 30a ust</w:t>
            </w:r>
            <w:r>
              <w:rPr>
                <w:sz w:val="22"/>
                <w:szCs w:val="22"/>
              </w:rPr>
              <w:t>.</w:t>
            </w:r>
            <w:r w:rsidRPr="00DE253D">
              <w:rPr>
                <w:sz w:val="22"/>
                <w:szCs w:val="22"/>
              </w:rPr>
              <w:t xml:space="preserve"> 2</w:t>
            </w:r>
            <w:r w:rsidR="00260EF5">
              <w:rPr>
                <w:sz w:val="22"/>
                <w:szCs w:val="22"/>
              </w:rPr>
              <w:t xml:space="preserve"> ustawy, </w:t>
            </w:r>
            <w:r w:rsidR="00260EF5" w:rsidRPr="00260EF5">
              <w:rPr>
                <w:sz w:val="22"/>
                <w:szCs w:val="22"/>
              </w:rPr>
              <w:t>zwanej dalej „kwotą różnicy”</w:t>
            </w:r>
            <w:r w:rsidRPr="00DE253D">
              <w:rPr>
                <w:sz w:val="22"/>
                <w:szCs w:val="22"/>
              </w:rPr>
              <w:t>,</w:t>
            </w:r>
          </w:p>
          <w:p w14:paraId="28AB86BF" w14:textId="77777777" w:rsidR="00917572" w:rsidRPr="00DE253D" w:rsidRDefault="00917572" w:rsidP="00917572">
            <w:pPr>
              <w:numPr>
                <w:ilvl w:val="0"/>
                <w:numId w:val="4"/>
              </w:numPr>
              <w:ind w:left="314" w:hanging="314"/>
              <w:jc w:val="both"/>
              <w:rPr>
                <w:sz w:val="22"/>
                <w:szCs w:val="22"/>
              </w:rPr>
            </w:pPr>
            <w:r w:rsidRPr="00DE253D">
              <w:rPr>
                <w:sz w:val="22"/>
                <w:szCs w:val="22"/>
              </w:rPr>
              <w:t>sposób ustalania wysokości jednorazowego dodatku uzupełniającego</w:t>
            </w:r>
          </w:p>
          <w:p w14:paraId="575D04FB" w14:textId="40D44D77" w:rsidR="00917572" w:rsidRDefault="00917572" w:rsidP="00917572">
            <w:pPr>
              <w:jc w:val="both"/>
              <w:rPr>
                <w:sz w:val="22"/>
                <w:szCs w:val="22"/>
              </w:rPr>
            </w:pPr>
            <w:r w:rsidRPr="00DE253D">
              <w:rPr>
                <w:sz w:val="22"/>
                <w:szCs w:val="22"/>
              </w:rPr>
              <w:t>– a także wzór formularza sprawozdania, uwzględniając okres obowiązywania kwoty bazowej, o której mowa w art. 30 ust. 3</w:t>
            </w:r>
            <w:r w:rsidR="00260EF5">
              <w:rPr>
                <w:sz w:val="22"/>
                <w:szCs w:val="22"/>
              </w:rPr>
              <w:t xml:space="preserve"> ustawy</w:t>
            </w:r>
            <w:r w:rsidRPr="00DE253D">
              <w:rPr>
                <w:sz w:val="22"/>
                <w:szCs w:val="22"/>
              </w:rPr>
              <w:t>, okresy zatrudnienia, w których nauczyciele nie są wliczani do średniorocznej struktury zatrudnienia, oraz zmiany wysokości wynagrodzeń i struktury zatrudnienia nauczycieli wynikające z uzyskiwania przez nich stopni awansu zawodowego.</w:t>
            </w:r>
          </w:p>
          <w:p w14:paraId="0DC5738B" w14:textId="5ADCA4CF" w:rsidR="001B4578" w:rsidRPr="00793069" w:rsidRDefault="00467A89" w:rsidP="0065746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W</w:t>
            </w:r>
            <w:r w:rsidR="00B929C2" w:rsidRPr="00793069">
              <w:rPr>
                <w:color w:val="000000"/>
                <w:spacing w:val="-2"/>
                <w:sz w:val="22"/>
                <w:szCs w:val="22"/>
              </w:rPr>
              <w:t>ydani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 w:rsidR="00B929C2" w:rsidRPr="00793069">
              <w:rPr>
                <w:color w:val="000000"/>
                <w:spacing w:val="-2"/>
                <w:sz w:val="22"/>
                <w:szCs w:val="22"/>
              </w:rPr>
              <w:t xml:space="preserve"> nowego rozporządzenia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jest </w:t>
            </w:r>
            <w:r w:rsidR="00B929C2" w:rsidRPr="00793069">
              <w:rPr>
                <w:color w:val="000000"/>
                <w:spacing w:val="-2"/>
                <w:sz w:val="22"/>
                <w:szCs w:val="22"/>
              </w:rPr>
              <w:t>konieczn</w:t>
            </w:r>
            <w:r>
              <w:rPr>
                <w:color w:val="000000"/>
                <w:spacing w:val="-2"/>
                <w:sz w:val="22"/>
                <w:szCs w:val="22"/>
              </w:rPr>
              <w:t>e ze względu na</w:t>
            </w:r>
            <w:r w:rsidR="001B4578" w:rsidRPr="00793069">
              <w:rPr>
                <w:color w:val="000000"/>
                <w:spacing w:val="-2"/>
                <w:sz w:val="22"/>
                <w:szCs w:val="22"/>
              </w:rPr>
              <w:t xml:space="preserve"> z</w:t>
            </w:r>
            <w:r w:rsidR="00657460" w:rsidRPr="00793069">
              <w:rPr>
                <w:color w:val="000000"/>
                <w:spacing w:val="-2"/>
                <w:sz w:val="22"/>
                <w:szCs w:val="22"/>
              </w:rPr>
              <w:t>mian</w:t>
            </w:r>
            <w:r>
              <w:rPr>
                <w:color w:val="000000"/>
                <w:spacing w:val="-2"/>
                <w:sz w:val="22"/>
                <w:szCs w:val="22"/>
              </w:rPr>
              <w:t>y</w:t>
            </w:r>
            <w:r w:rsidR="001B4578" w:rsidRPr="00793069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B4578" w:rsidRPr="00793069">
              <w:rPr>
                <w:sz w:val="22"/>
                <w:szCs w:val="22"/>
              </w:rPr>
              <w:t xml:space="preserve">wprowadzonych </w:t>
            </w:r>
            <w:r w:rsidR="004B6981" w:rsidRPr="00793069">
              <w:rPr>
                <w:sz w:val="22"/>
                <w:szCs w:val="22"/>
              </w:rPr>
              <w:t xml:space="preserve">do ustawy </w:t>
            </w:r>
            <w:r w:rsidR="001B4578" w:rsidRPr="00793069">
              <w:rPr>
                <w:sz w:val="22"/>
                <w:szCs w:val="22"/>
              </w:rPr>
              <w:t>na mocy:</w:t>
            </w:r>
          </w:p>
          <w:p w14:paraId="2EB8C4F3" w14:textId="2E624748" w:rsidR="00B929C2" w:rsidRPr="00793069" w:rsidRDefault="00793069" w:rsidP="00F65D8F">
            <w:pPr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F65D8F">
              <w:rPr>
                <w:sz w:val="22"/>
                <w:szCs w:val="22"/>
              </w:rPr>
              <w:t xml:space="preserve"> </w:t>
            </w:r>
            <w:r w:rsidR="001B4578" w:rsidRPr="00793069">
              <w:rPr>
                <w:sz w:val="22"/>
                <w:szCs w:val="22"/>
              </w:rPr>
              <w:t>ustawy z dnia 24 marca 2022 r. o zmianie ustawy – Karta Nauczyciela (Dz. U. poz. 935)</w:t>
            </w:r>
            <w:r w:rsidR="004B6981" w:rsidRPr="00793069">
              <w:rPr>
                <w:sz w:val="22"/>
                <w:szCs w:val="22"/>
              </w:rPr>
              <w:t>,</w:t>
            </w:r>
            <w:r w:rsidR="001B4578" w:rsidRPr="00793069">
              <w:rPr>
                <w:sz w:val="22"/>
                <w:szCs w:val="22"/>
              </w:rPr>
              <w:t xml:space="preserve"> </w:t>
            </w:r>
            <w:r w:rsidR="004B6981" w:rsidRPr="00793069">
              <w:rPr>
                <w:sz w:val="22"/>
                <w:szCs w:val="22"/>
              </w:rPr>
              <w:t>w zakresie wysokości średniego wynagrodzenia nauczycieli polegających na zwiększeniu w okresie od dnia 1 maja 2022 r. do dnia 31 grudnia 2022 r. średniego wynagrodzenia nauczycieli o 4,4%;</w:t>
            </w:r>
          </w:p>
          <w:p w14:paraId="0A1FE828" w14:textId="05869FF1" w:rsidR="00657460" w:rsidRPr="00793069" w:rsidRDefault="00F65D8F" w:rsidP="00F65D8F">
            <w:pPr>
              <w:ind w:left="318" w:hanging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 </w:t>
            </w:r>
            <w:r w:rsidR="001B4578" w:rsidRPr="00793069">
              <w:rPr>
                <w:sz w:val="22"/>
                <w:szCs w:val="22"/>
              </w:rPr>
              <w:t>ustawy z dnia 5 sierpnia 2022 r. o zmianie ustawy – Karta Nauczyciela oraz niektórych innych ustaw</w:t>
            </w:r>
            <w:r w:rsidR="00D9608D">
              <w:rPr>
                <w:sz w:val="22"/>
                <w:szCs w:val="22"/>
              </w:rPr>
              <w:t xml:space="preserve"> </w:t>
            </w:r>
            <w:r w:rsidR="00D9608D" w:rsidRPr="00D9608D">
              <w:rPr>
                <w:sz w:val="22"/>
                <w:szCs w:val="22"/>
              </w:rPr>
              <w:t>(Dz. U. poz. 1730)</w:t>
            </w:r>
            <w:r w:rsidR="004B6981" w:rsidRPr="00793069">
              <w:rPr>
                <w:sz w:val="22"/>
                <w:szCs w:val="22"/>
              </w:rPr>
              <w:t>,</w:t>
            </w:r>
            <w:r w:rsidR="001B4578" w:rsidRPr="00793069">
              <w:rPr>
                <w:sz w:val="22"/>
                <w:szCs w:val="22"/>
              </w:rPr>
              <w:t xml:space="preserve"> w zakresie awansu zawodowego nauczycieli polegających na </w:t>
            </w:r>
            <w:r w:rsidR="00657460" w:rsidRPr="00793069">
              <w:rPr>
                <w:sz w:val="22"/>
                <w:szCs w:val="22"/>
              </w:rPr>
              <w:t>zmniejszeniu od dnia 1 września 2022 r. liczby stopni awansu zawodowego nauczycieli</w:t>
            </w:r>
            <w:r w:rsidR="004B6981" w:rsidRPr="00793069">
              <w:rPr>
                <w:sz w:val="22"/>
                <w:szCs w:val="22"/>
              </w:rPr>
              <w:t xml:space="preserve"> przez likwidację stopnia nauczyciela stażysty i stopnia nauczyciela kontraktowego</w:t>
            </w:r>
            <w:r w:rsidR="00657460" w:rsidRPr="00793069">
              <w:rPr>
                <w:sz w:val="22"/>
                <w:szCs w:val="22"/>
              </w:rPr>
              <w:t xml:space="preserve">. </w:t>
            </w:r>
          </w:p>
          <w:p w14:paraId="3E812361" w14:textId="7EF1E547" w:rsidR="00917572" w:rsidRDefault="00657460" w:rsidP="00265C23">
            <w:pPr>
              <w:jc w:val="both"/>
              <w:rPr>
                <w:sz w:val="22"/>
                <w:szCs w:val="22"/>
              </w:rPr>
            </w:pPr>
            <w:r w:rsidRPr="00B929C2">
              <w:rPr>
                <w:sz w:val="22"/>
                <w:szCs w:val="22"/>
              </w:rPr>
              <w:t>Ze względu na wyżej</w:t>
            </w:r>
            <w:r w:rsidRPr="004B6981">
              <w:rPr>
                <w:sz w:val="22"/>
                <w:szCs w:val="22"/>
              </w:rPr>
              <w:t xml:space="preserve"> </w:t>
            </w:r>
            <w:r w:rsidR="004B6981">
              <w:rPr>
                <w:sz w:val="22"/>
                <w:szCs w:val="22"/>
              </w:rPr>
              <w:t>wskazane</w:t>
            </w:r>
            <w:r w:rsidRPr="004B6981">
              <w:rPr>
                <w:sz w:val="22"/>
                <w:szCs w:val="22"/>
              </w:rPr>
              <w:t xml:space="preserve"> zmiany </w:t>
            </w:r>
            <w:r w:rsidR="00B929C2">
              <w:rPr>
                <w:sz w:val="22"/>
                <w:szCs w:val="22"/>
              </w:rPr>
              <w:t>w ustawie</w:t>
            </w:r>
            <w:r w:rsidRPr="00657460">
              <w:rPr>
                <w:sz w:val="22"/>
                <w:szCs w:val="22"/>
              </w:rPr>
              <w:t xml:space="preserve"> konieczne jest odrębne określenie sposobu opracowania sprawozdania</w:t>
            </w:r>
            <w:r w:rsidR="004B6981">
              <w:rPr>
                <w:sz w:val="22"/>
                <w:szCs w:val="22"/>
              </w:rPr>
              <w:t xml:space="preserve"> z wysokości średnich wynagrodzeń nauczycieli</w:t>
            </w:r>
            <w:r w:rsidRPr="00657460">
              <w:rPr>
                <w:sz w:val="22"/>
                <w:szCs w:val="22"/>
              </w:rPr>
              <w:t xml:space="preserve"> za 2022 r.</w:t>
            </w:r>
          </w:p>
        </w:tc>
      </w:tr>
      <w:tr w:rsidR="00917572" w14:paraId="4C466D9B" w14:textId="77777777" w:rsidTr="00917572">
        <w:trPr>
          <w:trHeight w:val="14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D49336C" w14:textId="77777777" w:rsidR="00917572" w:rsidRDefault="00917572" w:rsidP="00EA0B21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917572" w14:paraId="6BD43084" w14:textId="77777777" w:rsidTr="00917572">
        <w:trPr>
          <w:trHeight w:val="14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B850" w14:textId="66C25661" w:rsidR="00AC551A" w:rsidRPr="009F42F8" w:rsidRDefault="00917572" w:rsidP="00D9608D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F42F8">
              <w:rPr>
                <w:color w:val="000000"/>
                <w:spacing w:val="-2"/>
                <w:sz w:val="22"/>
                <w:szCs w:val="22"/>
              </w:rPr>
              <w:t>Projektowane rozporządzenie określa</w:t>
            </w:r>
            <w:r w:rsidR="00AC551A" w:rsidRPr="009F42F8">
              <w:rPr>
                <w:color w:val="000000"/>
                <w:spacing w:val="-2"/>
                <w:sz w:val="22"/>
                <w:szCs w:val="22"/>
              </w:rPr>
              <w:t>:</w:t>
            </w:r>
          </w:p>
          <w:p w14:paraId="145A5809" w14:textId="03D765D0" w:rsidR="00AC551A" w:rsidRPr="00793069" w:rsidRDefault="00793069" w:rsidP="00D9608D">
            <w:pPr>
              <w:ind w:left="318" w:hanging="284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1)  </w:t>
            </w:r>
            <w:r w:rsidR="00917572" w:rsidRPr="00793069">
              <w:rPr>
                <w:color w:val="000000"/>
                <w:spacing w:val="-2"/>
                <w:sz w:val="22"/>
                <w:szCs w:val="22"/>
              </w:rPr>
              <w:t>sposób wyliczania średnich wynagrodzeń nauczycieli początkujących, mianowanych i dyplomowanych, o któryc</w:t>
            </w:r>
            <w:r w:rsidR="00AC551A" w:rsidRPr="00793069">
              <w:rPr>
                <w:color w:val="000000"/>
                <w:spacing w:val="-2"/>
                <w:sz w:val="22"/>
                <w:szCs w:val="22"/>
              </w:rPr>
              <w:t>h mowa w art. 30 ust. 3 ustawy</w:t>
            </w:r>
          </w:p>
          <w:p w14:paraId="1C7ACB73" w14:textId="63290304" w:rsidR="00AC551A" w:rsidRPr="00793069" w:rsidRDefault="009F42F8" w:rsidP="00D9608D">
            <w:pPr>
              <w:ind w:left="318" w:firstLine="1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93069">
              <w:rPr>
                <w:color w:val="000000"/>
                <w:spacing w:val="-2"/>
                <w:sz w:val="22"/>
                <w:szCs w:val="22"/>
              </w:rPr>
              <w:t>Średnie wynagrodzenia wymienionych wyżej nauczycieli w okresie obowiązywania kwoty bazowej określonej dla nauczycieli w ustawie budżetowej na dany rok, zwanej dalej „kwotą bazową”, będzie wyliczane, tak jak dotychczas, jako iloczyn kwoty bazowej i wskaźników, o który</w:t>
            </w:r>
            <w:r w:rsidR="00D9608D">
              <w:rPr>
                <w:color w:val="000000"/>
                <w:spacing w:val="-2"/>
                <w:sz w:val="22"/>
                <w:szCs w:val="22"/>
              </w:rPr>
              <w:t>ch mowa w art. 30 ust. 3 ustawy;</w:t>
            </w:r>
          </w:p>
          <w:p w14:paraId="60D2789C" w14:textId="3765AC76" w:rsidR="00AC551A" w:rsidRPr="00793069" w:rsidRDefault="00D9608D" w:rsidP="00D9608D">
            <w:pPr>
              <w:tabs>
                <w:tab w:val="left" w:pos="319"/>
              </w:tabs>
              <w:ind w:left="319" w:hanging="319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2)   </w:t>
            </w:r>
            <w:r w:rsidR="00917572" w:rsidRPr="00793069">
              <w:rPr>
                <w:color w:val="000000"/>
                <w:spacing w:val="-2"/>
                <w:sz w:val="22"/>
                <w:szCs w:val="22"/>
              </w:rPr>
              <w:t>sposób ustalania średniorocznej str</w:t>
            </w:r>
            <w:r w:rsidR="009F42F8" w:rsidRPr="00793069">
              <w:rPr>
                <w:color w:val="000000"/>
                <w:spacing w:val="-2"/>
                <w:sz w:val="22"/>
                <w:szCs w:val="22"/>
              </w:rPr>
              <w:t>uktury zatrudnienia nauczycieli</w:t>
            </w:r>
          </w:p>
          <w:p w14:paraId="2EEB365D" w14:textId="4A4BCCF4" w:rsidR="00FD1BF5" w:rsidRPr="00793069" w:rsidRDefault="009F42F8" w:rsidP="00D9608D">
            <w:pPr>
              <w:ind w:left="318" w:firstLine="1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93069">
              <w:rPr>
                <w:color w:val="000000"/>
                <w:spacing w:val="-2"/>
                <w:sz w:val="22"/>
                <w:szCs w:val="22"/>
              </w:rPr>
              <w:t>Zgodnie z projektem rozporządzenia, ś</w:t>
            </w:r>
            <w:r w:rsidR="006F1A3F" w:rsidRPr="00793069">
              <w:rPr>
                <w:color w:val="000000"/>
                <w:spacing w:val="-2"/>
                <w:sz w:val="22"/>
                <w:szCs w:val="22"/>
              </w:rPr>
              <w:t>rednioroczna</w:t>
            </w:r>
            <w:r w:rsidRPr="00793069">
              <w:rPr>
                <w:color w:val="000000"/>
                <w:spacing w:val="-2"/>
                <w:sz w:val="22"/>
                <w:szCs w:val="22"/>
              </w:rPr>
              <w:t xml:space="preserve"> struktur</w:t>
            </w:r>
            <w:r w:rsidR="006F1A3F" w:rsidRPr="00793069">
              <w:rPr>
                <w:color w:val="000000"/>
                <w:spacing w:val="-2"/>
                <w:sz w:val="22"/>
                <w:szCs w:val="22"/>
              </w:rPr>
              <w:t>a</w:t>
            </w:r>
            <w:r w:rsidRPr="00793069">
              <w:rPr>
                <w:color w:val="000000"/>
                <w:spacing w:val="-2"/>
                <w:sz w:val="22"/>
                <w:szCs w:val="22"/>
              </w:rPr>
              <w:t xml:space="preserve"> zatrudnienia nauczycieli </w:t>
            </w:r>
            <w:r w:rsidR="006F1A3F" w:rsidRPr="00793069">
              <w:rPr>
                <w:color w:val="000000"/>
                <w:spacing w:val="-2"/>
                <w:sz w:val="22"/>
                <w:szCs w:val="22"/>
              </w:rPr>
              <w:t xml:space="preserve">będzie ustalana </w:t>
            </w:r>
            <w:r w:rsidRPr="00793069">
              <w:rPr>
                <w:color w:val="000000"/>
                <w:spacing w:val="-2"/>
                <w:sz w:val="22"/>
                <w:szCs w:val="22"/>
              </w:rPr>
              <w:t xml:space="preserve">odrębnie dla nauczycieli </w:t>
            </w:r>
            <w:r w:rsidR="006F1A3F" w:rsidRPr="00793069">
              <w:rPr>
                <w:color w:val="000000"/>
                <w:spacing w:val="-2"/>
                <w:sz w:val="22"/>
                <w:szCs w:val="22"/>
              </w:rPr>
              <w:t xml:space="preserve">początkujących (tj. </w:t>
            </w:r>
            <w:r w:rsidRPr="00793069">
              <w:rPr>
                <w:color w:val="000000"/>
                <w:spacing w:val="-2"/>
                <w:sz w:val="22"/>
                <w:szCs w:val="22"/>
              </w:rPr>
              <w:t>nieposiadających stopnia awansu zawodowego</w:t>
            </w:r>
            <w:r w:rsidR="006F1A3F" w:rsidRPr="00793069">
              <w:rPr>
                <w:color w:val="000000"/>
                <w:spacing w:val="-2"/>
                <w:sz w:val="22"/>
                <w:szCs w:val="22"/>
              </w:rPr>
              <w:t>)</w:t>
            </w:r>
            <w:r w:rsidRPr="00793069">
              <w:rPr>
                <w:color w:val="000000"/>
                <w:spacing w:val="-2"/>
                <w:sz w:val="22"/>
                <w:szCs w:val="22"/>
              </w:rPr>
              <w:t xml:space="preserve">, nauczycieli mianowanych i nauczycieli dyplomowanych, </w:t>
            </w:r>
            <w:r w:rsidR="00D577EC" w:rsidRPr="00793069">
              <w:rPr>
                <w:color w:val="000000"/>
                <w:spacing w:val="-2"/>
                <w:sz w:val="22"/>
                <w:szCs w:val="22"/>
              </w:rPr>
              <w:t xml:space="preserve">z </w:t>
            </w:r>
            <w:r w:rsidRPr="00793069">
              <w:rPr>
                <w:color w:val="000000"/>
                <w:spacing w:val="-2"/>
                <w:sz w:val="22"/>
                <w:szCs w:val="22"/>
              </w:rPr>
              <w:t>uwzględni</w:t>
            </w:r>
            <w:r w:rsidR="00D577EC" w:rsidRPr="00793069">
              <w:rPr>
                <w:color w:val="000000"/>
                <w:spacing w:val="-2"/>
                <w:sz w:val="22"/>
                <w:szCs w:val="22"/>
              </w:rPr>
              <w:t>eniem</w:t>
            </w:r>
            <w:r w:rsidRPr="00793069">
              <w:rPr>
                <w:color w:val="000000"/>
                <w:spacing w:val="-2"/>
                <w:sz w:val="22"/>
                <w:szCs w:val="22"/>
              </w:rPr>
              <w:t xml:space="preserve"> średni</w:t>
            </w:r>
            <w:r w:rsidR="00D577EC" w:rsidRPr="00793069">
              <w:rPr>
                <w:color w:val="000000"/>
                <w:spacing w:val="-2"/>
                <w:sz w:val="22"/>
                <w:szCs w:val="22"/>
              </w:rPr>
              <w:t xml:space="preserve">ej </w:t>
            </w:r>
            <w:r w:rsidRPr="00793069">
              <w:rPr>
                <w:color w:val="000000"/>
                <w:spacing w:val="-2"/>
                <w:sz w:val="22"/>
                <w:szCs w:val="22"/>
              </w:rPr>
              <w:t>liczb</w:t>
            </w:r>
            <w:r w:rsidR="00D577EC" w:rsidRPr="00793069">
              <w:rPr>
                <w:color w:val="000000"/>
                <w:spacing w:val="-2"/>
                <w:sz w:val="22"/>
                <w:szCs w:val="22"/>
              </w:rPr>
              <w:t>y</w:t>
            </w:r>
            <w:r w:rsidRPr="00793069">
              <w:rPr>
                <w:color w:val="000000"/>
                <w:spacing w:val="-2"/>
                <w:sz w:val="22"/>
                <w:szCs w:val="22"/>
              </w:rPr>
              <w:t xml:space="preserve"> etatów odpowiednio nauczycieli początkujących, nauczycieli mianowanych i nauczycieli dyplomowanych w okresie obowiązywania kwoty bazowej</w:t>
            </w:r>
            <w:r w:rsidR="00FD1BF5" w:rsidRPr="00793069">
              <w:rPr>
                <w:color w:val="000000"/>
                <w:spacing w:val="-2"/>
                <w:sz w:val="22"/>
                <w:szCs w:val="22"/>
              </w:rPr>
              <w:t xml:space="preserve"> (średnią liczbę etatów oblicza się, dzieląc sumę liczby etatów odpowiednio nauczycieli początkujących, mianowanych i dyplomowanych zatrudnionych w</w:t>
            </w:r>
            <w:r w:rsidR="00D9608D">
              <w:rPr>
                <w:color w:val="000000"/>
                <w:spacing w:val="-2"/>
                <w:sz w:val="22"/>
                <w:szCs w:val="22"/>
              </w:rPr>
              <w:t> </w:t>
            </w:r>
            <w:r w:rsidR="00FD1BF5" w:rsidRPr="00793069">
              <w:rPr>
                <w:color w:val="000000"/>
                <w:spacing w:val="-2"/>
                <w:sz w:val="22"/>
                <w:szCs w:val="22"/>
              </w:rPr>
              <w:t>poszczególnych miesiącach obowiązywania kwoty bazowej przez liczbę miesięcy obowiązywania kwoty bazowej).</w:t>
            </w:r>
          </w:p>
          <w:p w14:paraId="41CE5BBD" w14:textId="652CA7B9" w:rsidR="00D577EC" w:rsidRPr="00793069" w:rsidRDefault="00D577EC" w:rsidP="00D9608D">
            <w:pPr>
              <w:ind w:left="31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93069">
              <w:rPr>
                <w:color w:val="000000"/>
                <w:spacing w:val="-2"/>
                <w:sz w:val="22"/>
                <w:szCs w:val="22"/>
              </w:rPr>
              <w:t>Przy ustalaniu średniorocznej struktury zatrudnienia nauczycieli:</w:t>
            </w:r>
          </w:p>
          <w:p w14:paraId="24A22AB8" w14:textId="1620AF75" w:rsidR="00D577EC" w:rsidRPr="00793069" w:rsidRDefault="00D577EC" w:rsidP="00793069">
            <w:pPr>
              <w:ind w:left="602" w:hanging="284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93069">
              <w:rPr>
                <w:color w:val="000000"/>
                <w:spacing w:val="-2"/>
                <w:sz w:val="22"/>
                <w:szCs w:val="22"/>
              </w:rPr>
              <w:t>a)</w:t>
            </w:r>
            <w:r w:rsidRPr="00793069">
              <w:rPr>
                <w:color w:val="000000"/>
                <w:spacing w:val="-2"/>
                <w:sz w:val="22"/>
                <w:szCs w:val="22"/>
              </w:rPr>
              <w:tab/>
              <w:t>etaty nauczycieli zatrudnionych w niepełnym wymiarze zajęć będą pr</w:t>
            </w:r>
            <w:r w:rsidR="00D9608D">
              <w:rPr>
                <w:color w:val="000000"/>
                <w:spacing w:val="-2"/>
                <w:sz w:val="22"/>
                <w:szCs w:val="22"/>
              </w:rPr>
              <w:t>zeliczane na pełny wymiar zajęć,</w:t>
            </w:r>
          </w:p>
          <w:p w14:paraId="7C4D8C23" w14:textId="5271FCE5" w:rsidR="00D577EC" w:rsidRPr="00793069" w:rsidRDefault="00D577EC" w:rsidP="00793069">
            <w:pPr>
              <w:ind w:left="602" w:hanging="284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93069">
              <w:rPr>
                <w:color w:val="000000"/>
                <w:spacing w:val="-2"/>
                <w:sz w:val="22"/>
                <w:szCs w:val="22"/>
              </w:rPr>
              <w:t>b)</w:t>
            </w:r>
            <w:r w:rsidRPr="00793069">
              <w:rPr>
                <w:color w:val="000000"/>
                <w:spacing w:val="-2"/>
                <w:sz w:val="22"/>
                <w:szCs w:val="22"/>
              </w:rPr>
              <w:tab/>
              <w:t>będzie uwzględniana liczba etatów nauczycieli w okresach, za które wypłacono im wynagrodzenie, zgodnie z</w:t>
            </w:r>
            <w:r w:rsidR="00D9608D">
              <w:rPr>
                <w:color w:val="000000"/>
                <w:spacing w:val="-2"/>
                <w:sz w:val="22"/>
                <w:szCs w:val="22"/>
              </w:rPr>
              <w:t> </w:t>
            </w:r>
            <w:r w:rsidRPr="00793069">
              <w:rPr>
                <w:color w:val="000000"/>
                <w:spacing w:val="-2"/>
                <w:sz w:val="22"/>
                <w:szCs w:val="22"/>
              </w:rPr>
              <w:t>wymiarem zatrudnienia określonym w umowie</w:t>
            </w:r>
            <w:r w:rsidR="00D9608D">
              <w:rPr>
                <w:color w:val="000000"/>
                <w:spacing w:val="-2"/>
                <w:sz w:val="22"/>
                <w:szCs w:val="22"/>
              </w:rPr>
              <w:t xml:space="preserve"> o pracę lub w akcie mianowania,</w:t>
            </w:r>
          </w:p>
          <w:p w14:paraId="402B341E" w14:textId="77777777" w:rsidR="00D577EC" w:rsidRPr="00793069" w:rsidRDefault="00D577EC" w:rsidP="00793069">
            <w:pPr>
              <w:ind w:left="602" w:hanging="284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93069">
              <w:rPr>
                <w:color w:val="000000"/>
                <w:spacing w:val="-2"/>
                <w:sz w:val="22"/>
                <w:szCs w:val="22"/>
              </w:rPr>
              <w:t>c)</w:t>
            </w:r>
            <w:r w:rsidRPr="00793069">
              <w:rPr>
                <w:color w:val="000000"/>
                <w:spacing w:val="-2"/>
                <w:sz w:val="22"/>
                <w:szCs w:val="22"/>
              </w:rPr>
              <w:tab/>
              <w:t xml:space="preserve">nie będzie uwzględniana liczba etatów nauczycieli, proporcjonalnie do okresów, w których pobierali świadczenia pieniężne z ubezpieczenia społecznego w razie choroby i macierzyństwa. </w:t>
            </w:r>
          </w:p>
          <w:p w14:paraId="46061CDE" w14:textId="1850D88C" w:rsidR="00D577EC" w:rsidRPr="00FD1BF5" w:rsidRDefault="00D577EC" w:rsidP="00793069">
            <w:pPr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577EC">
              <w:rPr>
                <w:color w:val="000000"/>
                <w:spacing w:val="-2"/>
                <w:sz w:val="22"/>
                <w:szCs w:val="22"/>
              </w:rPr>
              <w:t xml:space="preserve">W przypadku gdy nauczyciel w danym roku uzyskał stopień nauczyciela mianowanego lub stopień nauczyciela dyplomowanego, przy ustalaniu średniorocznej struktury zatrudnienia </w:t>
            </w:r>
            <w:r w:rsidR="00FD1BF5">
              <w:rPr>
                <w:color w:val="000000"/>
                <w:spacing w:val="-2"/>
                <w:sz w:val="22"/>
                <w:szCs w:val="22"/>
              </w:rPr>
              <w:t xml:space="preserve">nauczyciel ten będzie uwzględniany </w:t>
            </w:r>
            <w:r w:rsidR="00FD1BF5" w:rsidRPr="00FD1BF5">
              <w:rPr>
                <w:color w:val="000000"/>
                <w:spacing w:val="-2"/>
                <w:sz w:val="22"/>
                <w:szCs w:val="22"/>
              </w:rPr>
              <w:t xml:space="preserve">odpowiednio </w:t>
            </w:r>
            <w:r w:rsidRPr="00FD1BF5">
              <w:rPr>
                <w:color w:val="000000"/>
                <w:spacing w:val="-2"/>
                <w:sz w:val="22"/>
                <w:szCs w:val="22"/>
              </w:rPr>
              <w:lastRenderedPageBreak/>
              <w:t>jako nauczyciel początkując</w:t>
            </w:r>
            <w:r w:rsidR="00FD1BF5" w:rsidRPr="00FD1BF5">
              <w:rPr>
                <w:color w:val="000000"/>
                <w:spacing w:val="-2"/>
                <w:sz w:val="22"/>
                <w:szCs w:val="22"/>
              </w:rPr>
              <w:t>y</w:t>
            </w:r>
            <w:r w:rsidRPr="00FD1BF5">
              <w:rPr>
                <w:color w:val="000000"/>
                <w:spacing w:val="-2"/>
                <w:sz w:val="22"/>
                <w:szCs w:val="22"/>
              </w:rPr>
              <w:t>, mianowan</w:t>
            </w:r>
            <w:r w:rsidR="00FD1BF5" w:rsidRPr="00FD1BF5">
              <w:rPr>
                <w:color w:val="000000"/>
                <w:spacing w:val="-2"/>
                <w:sz w:val="22"/>
                <w:szCs w:val="22"/>
              </w:rPr>
              <w:t>y</w:t>
            </w:r>
            <w:r w:rsidRPr="00FD1BF5">
              <w:rPr>
                <w:color w:val="000000"/>
                <w:spacing w:val="-2"/>
                <w:sz w:val="22"/>
                <w:szCs w:val="22"/>
              </w:rPr>
              <w:t xml:space="preserve"> lub dyplomowan</w:t>
            </w:r>
            <w:r w:rsidR="00FD1BF5" w:rsidRPr="00FD1BF5">
              <w:rPr>
                <w:color w:val="000000"/>
                <w:spacing w:val="-2"/>
                <w:sz w:val="22"/>
                <w:szCs w:val="22"/>
              </w:rPr>
              <w:t>y</w:t>
            </w:r>
            <w:r w:rsidRPr="00FD1BF5">
              <w:rPr>
                <w:color w:val="000000"/>
                <w:spacing w:val="-2"/>
                <w:sz w:val="22"/>
                <w:szCs w:val="22"/>
              </w:rPr>
              <w:t>, proporcjonalnie do okresu pobierania wynagrodzenia odpowiednio jako nauczyciel początkujący, mianowany lub dyplomowany.</w:t>
            </w:r>
          </w:p>
          <w:p w14:paraId="5DC6FE88" w14:textId="3FDF30E1" w:rsidR="009F42F8" w:rsidRPr="00793069" w:rsidRDefault="00FD1BF5" w:rsidP="00793069">
            <w:pPr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Z kolei n</w:t>
            </w:r>
            <w:r w:rsidRPr="00FD1BF5">
              <w:rPr>
                <w:color w:val="000000"/>
                <w:spacing w:val="-2"/>
                <w:sz w:val="22"/>
                <w:szCs w:val="22"/>
              </w:rPr>
              <w:t>auczyciel zatrudnion</w:t>
            </w:r>
            <w:r>
              <w:rPr>
                <w:color w:val="000000"/>
                <w:spacing w:val="-2"/>
                <w:sz w:val="22"/>
                <w:szCs w:val="22"/>
              </w:rPr>
              <w:t>y</w:t>
            </w:r>
            <w:r w:rsidRPr="00FD1BF5">
              <w:rPr>
                <w:color w:val="000000"/>
                <w:spacing w:val="-2"/>
                <w:sz w:val="22"/>
                <w:szCs w:val="22"/>
              </w:rPr>
              <w:t xml:space="preserve"> w pełnym wymiarze zajęć na podstawie jednej umowy o pracę lub aktu mianowania przy ustalaniu średniorocznej struktury zatrudnienia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będzie </w:t>
            </w:r>
            <w:r w:rsidRPr="00FD1BF5">
              <w:rPr>
                <w:color w:val="000000"/>
                <w:spacing w:val="-2"/>
                <w:sz w:val="22"/>
                <w:szCs w:val="22"/>
              </w:rPr>
              <w:t>uwzględnia</w:t>
            </w:r>
            <w:r>
              <w:rPr>
                <w:color w:val="000000"/>
                <w:spacing w:val="-2"/>
                <w:sz w:val="22"/>
                <w:szCs w:val="22"/>
              </w:rPr>
              <w:t>ny</w:t>
            </w:r>
            <w:r w:rsidRPr="00FD1BF5">
              <w:rPr>
                <w:color w:val="000000"/>
                <w:spacing w:val="-2"/>
                <w:sz w:val="22"/>
                <w:szCs w:val="22"/>
              </w:rPr>
              <w:t xml:space="preserve"> jako jeden etat. Przydzielone temu nauczycielowi godziny ponad tygodniowy obowiązkowy wymiar godzin zajęć określony w art. 42 ust. 3 ustawy lub ustalony na podstawie art. 42 ust. 4a albo 7 ustawy nie </w:t>
            </w:r>
            <w:r>
              <w:rPr>
                <w:color w:val="000000"/>
                <w:spacing w:val="-2"/>
                <w:sz w:val="22"/>
                <w:szCs w:val="22"/>
              </w:rPr>
              <w:t>będą, tak jak dotychczas,</w:t>
            </w:r>
            <w:r w:rsidR="00D9608D">
              <w:rPr>
                <w:color w:val="000000"/>
                <w:spacing w:val="-2"/>
                <w:sz w:val="22"/>
                <w:szCs w:val="22"/>
              </w:rPr>
              <w:t xml:space="preserve"> przeliczane na etaty;</w:t>
            </w:r>
          </w:p>
          <w:p w14:paraId="0F32525C" w14:textId="586EE688" w:rsidR="00AC551A" w:rsidRPr="00793069" w:rsidRDefault="00793069" w:rsidP="00793069">
            <w:pPr>
              <w:ind w:left="176" w:hanging="176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3)</w:t>
            </w:r>
            <w:r w:rsidR="00D9608D"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="00917572" w:rsidRPr="00793069">
              <w:rPr>
                <w:color w:val="000000"/>
                <w:spacing w:val="-2"/>
                <w:sz w:val="22"/>
                <w:szCs w:val="22"/>
              </w:rPr>
              <w:t>sposób ustalania kwoty różnicy</w:t>
            </w:r>
          </w:p>
          <w:p w14:paraId="253A179E" w14:textId="2B8C953A" w:rsidR="00AC551A" w:rsidRPr="00FD1BF5" w:rsidRDefault="00FD1BF5" w:rsidP="00793069">
            <w:pPr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>Projekt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rozporządzenia stanowi, że kwota różnicy będzie 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ustalana odrębnie dla nauczycieli początkujących, mianowanych i dyplomowanych. </w:t>
            </w:r>
            <w:r>
              <w:rPr>
                <w:color w:val="000000"/>
                <w:spacing w:val="-2"/>
                <w:sz w:val="22"/>
                <w:szCs w:val="22"/>
              </w:rPr>
              <w:t>K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wota różnicy </w:t>
            </w:r>
            <w:r>
              <w:rPr>
                <w:color w:val="000000"/>
                <w:spacing w:val="-2"/>
                <w:sz w:val="22"/>
                <w:szCs w:val="22"/>
              </w:rPr>
              <w:t>będzie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 obliczana jako różnica między wydatkami poniesionymi w danym roku na wynagrodzenia odpowiednio nauczycieli początkujących, mianowanych i dyplomowanych, w składnikach, o których mowa w art. 30 ust. 1 ustawy, a iloczynem </w:t>
            </w:r>
            <w:r>
              <w:rPr>
                <w:color w:val="000000"/>
                <w:spacing w:val="-2"/>
                <w:sz w:val="22"/>
                <w:szCs w:val="22"/>
              </w:rPr>
              <w:t>średniej liczby etatów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 odpowiednio nauczycieli początkujących, mianowanych i dyplomowanych oraz średnich wynagrodzeń nauczycieli, o których mowa w art. 30 ust. 3 ustawy, ustalonych w danym roku. Przepisy projektowanego rozporządzenia dostosowują także sposób ustalania kwoty różnicy do sytuacji, gdy w danym roku sprawozdawczym obowiązuje więcej niż jedna kwota bazowa</w:t>
            </w:r>
            <w:r w:rsidR="00D9608D">
              <w:rPr>
                <w:color w:val="000000"/>
                <w:spacing w:val="-2"/>
                <w:sz w:val="22"/>
                <w:szCs w:val="22"/>
              </w:rPr>
              <w:t>;</w:t>
            </w:r>
          </w:p>
          <w:p w14:paraId="2D4DF181" w14:textId="6C206DA5" w:rsidR="00AC551A" w:rsidRPr="00793069" w:rsidRDefault="00793069" w:rsidP="00793069">
            <w:pPr>
              <w:ind w:left="176" w:hanging="142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4) </w:t>
            </w:r>
            <w:r w:rsidR="00917572" w:rsidRPr="00793069">
              <w:rPr>
                <w:color w:val="000000"/>
                <w:spacing w:val="-2"/>
                <w:sz w:val="22"/>
                <w:szCs w:val="22"/>
              </w:rPr>
              <w:t>sposób ustalania wysokości jednor</w:t>
            </w:r>
            <w:r w:rsidR="00FD1BF5" w:rsidRPr="00793069">
              <w:rPr>
                <w:color w:val="000000"/>
                <w:spacing w:val="-2"/>
                <w:sz w:val="22"/>
                <w:szCs w:val="22"/>
              </w:rPr>
              <w:t>azowego dodatku uzupełniającego</w:t>
            </w:r>
            <w:r w:rsidR="00917572" w:rsidRPr="00793069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287E1D8E" w14:textId="19DFA9EC" w:rsidR="00AC551A" w:rsidRPr="00793069" w:rsidRDefault="00793069" w:rsidP="00793069">
            <w:pPr>
              <w:ind w:left="318" w:hanging="142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="00FD1BF5" w:rsidRPr="00793069">
              <w:rPr>
                <w:color w:val="000000"/>
                <w:spacing w:val="-2"/>
                <w:sz w:val="22"/>
                <w:szCs w:val="22"/>
              </w:rPr>
              <w:t>Wysokość jednorazowego dodatku uzupełniającego, o którym mowa w art. 30a ust. 3 ustawy</w:t>
            </w:r>
            <w:r w:rsidR="00D9608D">
              <w:rPr>
                <w:color w:val="000000"/>
                <w:spacing w:val="-2"/>
                <w:sz w:val="22"/>
                <w:szCs w:val="22"/>
              </w:rPr>
              <w:t>,</w:t>
            </w:r>
            <w:r w:rsidR="00FD1BF5" w:rsidRPr="00793069">
              <w:rPr>
                <w:color w:val="000000"/>
                <w:spacing w:val="-2"/>
                <w:sz w:val="22"/>
                <w:szCs w:val="22"/>
              </w:rPr>
              <w:t xml:space="preserve"> będzie ustalana w przypadku gdy kwota różnicy </w:t>
            </w:r>
            <w:r w:rsidR="00467A89">
              <w:rPr>
                <w:color w:val="000000"/>
                <w:spacing w:val="-2"/>
                <w:sz w:val="22"/>
                <w:szCs w:val="22"/>
              </w:rPr>
              <w:t xml:space="preserve">będzie </w:t>
            </w:r>
            <w:r w:rsidR="00FD1BF5" w:rsidRPr="00793069">
              <w:rPr>
                <w:color w:val="000000"/>
                <w:spacing w:val="-2"/>
                <w:sz w:val="22"/>
                <w:szCs w:val="22"/>
              </w:rPr>
              <w:t>liczbą ujemną.</w:t>
            </w:r>
            <w:r w:rsidR="003C04B3" w:rsidRPr="00793069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D1BF5" w:rsidRPr="00793069">
              <w:rPr>
                <w:color w:val="000000"/>
                <w:spacing w:val="-2"/>
                <w:sz w:val="22"/>
                <w:szCs w:val="22"/>
              </w:rPr>
              <w:t>Wysokość jednorazowego dodatku uzupełniająceg</w:t>
            </w:r>
            <w:r w:rsidR="003C04B3" w:rsidRPr="00793069">
              <w:rPr>
                <w:color w:val="000000"/>
                <w:spacing w:val="-2"/>
                <w:sz w:val="22"/>
                <w:szCs w:val="22"/>
              </w:rPr>
              <w:t xml:space="preserve">o będzie ustalana proporcjonalnie do </w:t>
            </w:r>
            <w:r w:rsidR="00FD1BF5" w:rsidRPr="00793069">
              <w:rPr>
                <w:color w:val="000000"/>
                <w:spacing w:val="-2"/>
                <w:sz w:val="22"/>
                <w:szCs w:val="22"/>
              </w:rPr>
              <w:t>okresu zatrudnienia, w którym nauczyci</w:t>
            </w:r>
            <w:r w:rsidR="003C04B3" w:rsidRPr="00793069">
              <w:rPr>
                <w:color w:val="000000"/>
                <w:spacing w:val="-2"/>
                <w:sz w:val="22"/>
                <w:szCs w:val="22"/>
              </w:rPr>
              <w:t>el pobierał wynagrodzenie</w:t>
            </w:r>
            <w:r w:rsidR="00D9608D">
              <w:rPr>
                <w:color w:val="000000"/>
                <w:spacing w:val="-2"/>
                <w:sz w:val="22"/>
                <w:szCs w:val="22"/>
              </w:rPr>
              <w:t>,</w:t>
            </w:r>
            <w:r w:rsidR="003C04B3" w:rsidRPr="00793069">
              <w:rPr>
                <w:color w:val="000000"/>
                <w:spacing w:val="-2"/>
                <w:sz w:val="22"/>
                <w:szCs w:val="22"/>
              </w:rPr>
              <w:t xml:space="preserve"> oraz do </w:t>
            </w:r>
            <w:r w:rsidR="00FD1BF5" w:rsidRPr="00793069">
              <w:rPr>
                <w:color w:val="000000"/>
                <w:spacing w:val="-2"/>
                <w:sz w:val="22"/>
                <w:szCs w:val="22"/>
              </w:rPr>
              <w:t>osobistej stawki wynagrodzenia zasadnic</w:t>
            </w:r>
            <w:r w:rsidR="00D9608D">
              <w:rPr>
                <w:color w:val="000000"/>
                <w:spacing w:val="-2"/>
                <w:sz w:val="22"/>
                <w:szCs w:val="22"/>
              </w:rPr>
              <w:t>zego nauczyciela;</w:t>
            </w:r>
          </w:p>
          <w:p w14:paraId="485C430D" w14:textId="7B921CC9" w:rsidR="00917572" w:rsidRPr="00793069" w:rsidRDefault="00793069" w:rsidP="00D9608D">
            <w:pPr>
              <w:ind w:left="176" w:hanging="142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5) </w:t>
            </w:r>
            <w:r w:rsidR="00D9608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3C04B3" w:rsidRPr="00793069">
              <w:rPr>
                <w:color w:val="000000"/>
                <w:spacing w:val="-2"/>
                <w:sz w:val="22"/>
                <w:szCs w:val="22"/>
              </w:rPr>
              <w:t>wzór formularza sprawozdania</w:t>
            </w:r>
            <w:r w:rsidR="00D9608D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917572" w:rsidRPr="00793069">
              <w:rPr>
                <w:color w:val="000000"/>
                <w:spacing w:val="-2"/>
                <w:sz w:val="22"/>
                <w:szCs w:val="22"/>
              </w:rPr>
              <w:t>uwzględnia</w:t>
            </w:r>
            <w:r w:rsidR="00D9608D">
              <w:rPr>
                <w:color w:val="000000"/>
                <w:spacing w:val="-2"/>
                <w:sz w:val="22"/>
                <w:szCs w:val="22"/>
              </w:rPr>
              <w:t>jącego</w:t>
            </w:r>
            <w:r w:rsidR="00917572" w:rsidRPr="00793069">
              <w:rPr>
                <w:color w:val="000000"/>
                <w:spacing w:val="-2"/>
                <w:sz w:val="22"/>
                <w:szCs w:val="22"/>
              </w:rPr>
              <w:t xml:space="preserve"> zmiany </w:t>
            </w:r>
            <w:r w:rsidR="003C04B3" w:rsidRPr="00793069">
              <w:rPr>
                <w:color w:val="000000"/>
                <w:spacing w:val="-2"/>
                <w:sz w:val="22"/>
                <w:szCs w:val="22"/>
              </w:rPr>
              <w:t xml:space="preserve">w ustawie </w:t>
            </w:r>
            <w:r w:rsidR="00917572" w:rsidRPr="00793069">
              <w:rPr>
                <w:color w:val="000000"/>
                <w:spacing w:val="-2"/>
                <w:sz w:val="22"/>
                <w:szCs w:val="22"/>
              </w:rPr>
              <w:t>wprowadzone od dnia 1 wrz</w:t>
            </w:r>
            <w:r w:rsidR="003C04B3" w:rsidRPr="00793069">
              <w:rPr>
                <w:color w:val="000000"/>
                <w:spacing w:val="-2"/>
                <w:sz w:val="22"/>
                <w:szCs w:val="22"/>
              </w:rPr>
              <w:t>eśnia 2022 r.</w:t>
            </w:r>
            <w:r w:rsidR="00D9608D">
              <w:rPr>
                <w:color w:val="000000"/>
                <w:spacing w:val="-2"/>
                <w:sz w:val="22"/>
                <w:szCs w:val="22"/>
              </w:rPr>
              <w:t>;</w:t>
            </w:r>
          </w:p>
          <w:p w14:paraId="16817CFD" w14:textId="2F673F9C" w:rsidR="009F42F8" w:rsidRPr="003C04B3" w:rsidRDefault="003C04B3" w:rsidP="00793069">
            <w:pPr>
              <w:ind w:left="176" w:hanging="142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04B3">
              <w:rPr>
                <w:color w:val="000000"/>
                <w:spacing w:val="-2"/>
                <w:sz w:val="22"/>
                <w:szCs w:val="22"/>
              </w:rPr>
              <w:t xml:space="preserve">6) </w:t>
            </w:r>
            <w:r w:rsidR="00D9608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3C04B3">
              <w:rPr>
                <w:color w:val="000000"/>
                <w:spacing w:val="-2"/>
                <w:sz w:val="22"/>
                <w:szCs w:val="22"/>
              </w:rPr>
              <w:t>sposób opracowani</w:t>
            </w:r>
            <w:r w:rsidR="003A666C">
              <w:rPr>
                <w:color w:val="000000"/>
                <w:spacing w:val="-2"/>
                <w:sz w:val="22"/>
                <w:szCs w:val="22"/>
              </w:rPr>
              <w:t>a</w:t>
            </w:r>
            <w:r w:rsidRPr="003C04B3">
              <w:rPr>
                <w:color w:val="000000"/>
                <w:spacing w:val="-2"/>
                <w:sz w:val="22"/>
                <w:szCs w:val="22"/>
              </w:rPr>
              <w:t xml:space="preserve"> sprawozdania za 2022 r.</w:t>
            </w:r>
          </w:p>
          <w:p w14:paraId="4B81F528" w14:textId="299B77C2" w:rsidR="00917572" w:rsidRPr="003C39BC" w:rsidRDefault="00917572" w:rsidP="00793069">
            <w:pPr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04B3">
              <w:rPr>
                <w:color w:val="000000"/>
                <w:spacing w:val="-2"/>
                <w:sz w:val="22"/>
                <w:szCs w:val="22"/>
              </w:rPr>
              <w:t>Ze względu na wprowadzenie zmian w zakresie średniego wynagrodzenia oraz zmian w strukturze awansu zawodowego</w:t>
            </w:r>
            <w:r w:rsidR="00296EC7" w:rsidRPr="003C04B3">
              <w:rPr>
                <w:color w:val="000000"/>
                <w:spacing w:val="-2"/>
                <w:sz w:val="22"/>
                <w:szCs w:val="22"/>
              </w:rPr>
              <w:t xml:space="preserve"> w trakcie 2022 r.</w:t>
            </w:r>
            <w:r w:rsidRPr="003C04B3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296EC7" w:rsidRPr="003C04B3">
              <w:rPr>
                <w:color w:val="000000"/>
                <w:spacing w:val="-2"/>
                <w:sz w:val="22"/>
                <w:szCs w:val="22"/>
              </w:rPr>
              <w:t xml:space="preserve">w </w:t>
            </w:r>
            <w:r w:rsidR="003A666C">
              <w:rPr>
                <w:color w:val="000000"/>
                <w:spacing w:val="-2"/>
                <w:sz w:val="22"/>
                <w:szCs w:val="22"/>
              </w:rPr>
              <w:t>projekcie rozporządzenia</w:t>
            </w:r>
            <w:r w:rsidR="00296EC7" w:rsidRPr="003C04B3">
              <w:rPr>
                <w:color w:val="000000"/>
                <w:spacing w:val="-2"/>
                <w:sz w:val="22"/>
                <w:szCs w:val="22"/>
              </w:rPr>
              <w:t xml:space="preserve"> określono odrębnie sposób opracowania sprawozdania za ten rok. Ponadto w załącznikach nr 3 i 4 do projektu rozporządzenia określono sposób ustalania jednorazowego dodatku uzupełniającego oraz wzór formularza sprawozdania</w:t>
            </w:r>
            <w:r w:rsidR="00296EC7" w:rsidRPr="00296EC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C5159A">
              <w:rPr>
                <w:color w:val="000000"/>
                <w:spacing w:val="-2"/>
                <w:sz w:val="22"/>
                <w:szCs w:val="22"/>
              </w:rPr>
              <w:t>za</w:t>
            </w:r>
            <w:r w:rsidR="00296EC7" w:rsidRPr="00296EC7">
              <w:rPr>
                <w:color w:val="000000"/>
                <w:spacing w:val="-2"/>
                <w:sz w:val="22"/>
                <w:szCs w:val="22"/>
              </w:rPr>
              <w:t xml:space="preserve"> 2022 r. 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Regulacje </w:t>
            </w:r>
            <w:r w:rsidR="003A666C">
              <w:rPr>
                <w:color w:val="000000"/>
                <w:spacing w:val="-2"/>
                <w:sz w:val="22"/>
                <w:szCs w:val="22"/>
              </w:rPr>
              <w:t>te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 pozwolą na dostosowanie rozliczenia środków wydatkowanych przez jednostki samorządu terytorialnego na średnie wynagrodzenia nauczycieli w 2022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r. 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>do zmian w wynagrodzeniu średnim oraz w strukturze awansu zawodowego nauczycieli.</w:t>
            </w:r>
          </w:p>
          <w:p w14:paraId="27CF1B82" w14:textId="70AABE88" w:rsidR="00917572" w:rsidRPr="009158AF" w:rsidRDefault="00917572" w:rsidP="00793069">
            <w:pPr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58AF">
              <w:rPr>
                <w:color w:val="000000"/>
                <w:spacing w:val="-2"/>
                <w:sz w:val="22"/>
                <w:szCs w:val="22"/>
              </w:rPr>
              <w:t xml:space="preserve">W art. 9 ust. 2 ustawy budżetowej na rok 2022 z dnia 17 grudnia 2021 r. (Dz. U. poz. 270) ustalono jedną kwotę bazową dla nauczycieli obowiązującą w okresie od dnia 1 stycznia do dnia 31 grudnia 2022 r., wynoszącą 3537,80 zł. Dodatkowo, ustawą z dnia 24 marca 2022 r. o zmianie ustawy – Karta Nauczyciela został dodany </w:t>
            </w:r>
            <w:r w:rsidR="00467A89" w:rsidRPr="009158AF">
              <w:rPr>
                <w:color w:val="000000"/>
                <w:spacing w:val="-2"/>
                <w:sz w:val="22"/>
                <w:szCs w:val="22"/>
              </w:rPr>
              <w:t xml:space="preserve">w ustawie </w:t>
            </w:r>
            <w:r w:rsidRPr="009158AF">
              <w:rPr>
                <w:color w:val="000000"/>
                <w:spacing w:val="-2"/>
                <w:sz w:val="22"/>
                <w:szCs w:val="22"/>
              </w:rPr>
              <w:t xml:space="preserve">art. 93a, zgodnie z którym w okresie od dnia 1 maja 2022 r. do dnia 31 grudnia 2022 r. średnie wynagrodzenie nauczycieli ustalone w sposób określony w art. 30 ust. </w:t>
            </w:r>
            <w:r w:rsidR="003A666C">
              <w:rPr>
                <w:color w:val="000000"/>
                <w:spacing w:val="-2"/>
                <w:sz w:val="22"/>
                <w:szCs w:val="22"/>
              </w:rPr>
              <w:t xml:space="preserve">3 </w:t>
            </w:r>
            <w:r w:rsidR="00467A89">
              <w:rPr>
                <w:color w:val="000000"/>
                <w:spacing w:val="-2"/>
                <w:sz w:val="22"/>
                <w:szCs w:val="22"/>
              </w:rPr>
              <w:t xml:space="preserve">ustawy </w:t>
            </w:r>
            <w:r w:rsidRPr="009158AF">
              <w:rPr>
                <w:color w:val="000000"/>
                <w:spacing w:val="-2"/>
                <w:sz w:val="22"/>
                <w:szCs w:val="22"/>
              </w:rPr>
              <w:t xml:space="preserve">zwiększa się o 4,4%. Średnie wynagrodzenie nauczycieli na poszczególnych stopniach awansu zawodowego zostało zatem zwiększone w trakcie 2022 r. nie przez zmianę kwoty bazowej, lecz przez procentową zmianę średniego wynagrodzenia. </w:t>
            </w:r>
          </w:p>
          <w:p w14:paraId="4F5F0100" w14:textId="4465E854" w:rsidR="00917572" w:rsidRPr="003C39BC" w:rsidRDefault="00917572" w:rsidP="00793069">
            <w:pPr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>W myśl art. 30 ust. 3 ustawy, w brzmieniu obowiązującym do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dnia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 31 sierpnia 2022 r., średnie wynagrodzenie nauczycieli stanowiło dla:</w:t>
            </w:r>
          </w:p>
          <w:p w14:paraId="0AB62E60" w14:textId="77777777" w:rsidR="00917572" w:rsidRPr="003C39BC" w:rsidRDefault="00917572" w:rsidP="00793069">
            <w:pPr>
              <w:tabs>
                <w:tab w:val="left" w:pos="426"/>
              </w:tabs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>1)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ab/>
              <w:t>nauczyciela stażysty – 100%,</w:t>
            </w:r>
          </w:p>
          <w:p w14:paraId="0A1DD665" w14:textId="77777777" w:rsidR="00917572" w:rsidRPr="003C39BC" w:rsidRDefault="00917572" w:rsidP="00793069">
            <w:pPr>
              <w:tabs>
                <w:tab w:val="left" w:pos="426"/>
              </w:tabs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>2)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ab/>
              <w:t>nauczyciela kontraktowego – 111%,</w:t>
            </w:r>
          </w:p>
          <w:p w14:paraId="35B6990A" w14:textId="77777777" w:rsidR="00917572" w:rsidRPr="003C39BC" w:rsidRDefault="00917572" w:rsidP="00793069">
            <w:pPr>
              <w:tabs>
                <w:tab w:val="left" w:pos="426"/>
              </w:tabs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>3)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ab/>
              <w:t>nauczyciela mianowanego – 144%,</w:t>
            </w:r>
          </w:p>
          <w:p w14:paraId="3919DEE3" w14:textId="77777777" w:rsidR="00917572" w:rsidRPr="003C39BC" w:rsidRDefault="00917572" w:rsidP="00793069">
            <w:pPr>
              <w:tabs>
                <w:tab w:val="left" w:pos="426"/>
              </w:tabs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>4)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ab/>
              <w:t>nauczyciela dyplomowanego – 184%</w:t>
            </w:r>
          </w:p>
          <w:p w14:paraId="30888488" w14:textId="77777777" w:rsidR="00917572" w:rsidRPr="003C39BC" w:rsidRDefault="00917572" w:rsidP="00793069">
            <w:pPr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>– kwoty bazowej określanej dla nauczycieli corocznie w ustawie budżetowej.</w:t>
            </w:r>
          </w:p>
          <w:p w14:paraId="005115A0" w14:textId="21A63C56" w:rsidR="00917572" w:rsidRPr="003C39BC" w:rsidRDefault="00917572" w:rsidP="00793069">
            <w:pPr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W </w:t>
            </w:r>
            <w:r w:rsidR="00296EC7">
              <w:rPr>
                <w:color w:val="000000"/>
                <w:spacing w:val="-2"/>
                <w:sz w:val="22"/>
                <w:szCs w:val="22"/>
              </w:rPr>
              <w:t xml:space="preserve">ramach 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>zmian wprowadzony</w:t>
            </w:r>
            <w:r w:rsidR="00296EC7">
              <w:rPr>
                <w:color w:val="000000"/>
                <w:spacing w:val="-2"/>
                <w:sz w:val="22"/>
                <w:szCs w:val="22"/>
              </w:rPr>
              <w:t>ch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 ustawą z dnia 5 sierpnia 2022 r. o zmianie ustawy – Karta Nauczyciela oraz niektórych innych ustaw</w:t>
            </w:r>
            <w:r>
              <w:rPr>
                <w:color w:val="000000"/>
                <w:spacing w:val="-2"/>
                <w:sz w:val="22"/>
                <w:szCs w:val="22"/>
              </w:rPr>
              <w:t>,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 polegający</w:t>
            </w:r>
            <w:r w:rsidR="00296EC7">
              <w:rPr>
                <w:color w:val="000000"/>
                <w:spacing w:val="-2"/>
                <w:sz w:val="22"/>
                <w:szCs w:val="22"/>
              </w:rPr>
              <w:t>ch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 m.in. na zmniejszeniu od dnia 1 września 2022 r. liczby stopni awansu zawodowego nauczycieli, średnie wynagrodzenie nauczycieli przyporządkowane zostało trzem etapom rozwoju zawodowego nauczycieli. Zgodnie z art. 30 ust. 3 ustawy od dnia 1 września 2022 r. średnie wynagrodzenie nauczycieli</w:t>
            </w:r>
            <w:r w:rsidR="00296EC7">
              <w:rPr>
                <w:color w:val="000000"/>
                <w:spacing w:val="-2"/>
                <w:sz w:val="22"/>
                <w:szCs w:val="22"/>
              </w:rPr>
              <w:t xml:space="preserve"> zostało określone dla trzech </w:t>
            </w:r>
            <w:r w:rsidR="00296EC7" w:rsidRPr="00296EC7">
              <w:rPr>
                <w:color w:val="000000"/>
                <w:spacing w:val="-2"/>
                <w:sz w:val="22"/>
                <w:szCs w:val="22"/>
              </w:rPr>
              <w:t>etapów rozwoju zawodowego nauczycieli w wysokości:</w:t>
            </w:r>
          </w:p>
          <w:p w14:paraId="41B741CA" w14:textId="5A0C474D" w:rsidR="00917572" w:rsidRPr="003C39BC" w:rsidRDefault="00917572" w:rsidP="00D9608D">
            <w:pPr>
              <w:tabs>
                <w:tab w:val="left" w:pos="744"/>
              </w:tabs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>1)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ab/>
            </w:r>
            <w:r w:rsidR="00296EC7">
              <w:rPr>
                <w:color w:val="000000"/>
                <w:spacing w:val="-2"/>
                <w:sz w:val="22"/>
                <w:szCs w:val="22"/>
              </w:rPr>
              <w:t xml:space="preserve">dla 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>nauczyciela początkującego – 120%,</w:t>
            </w:r>
          </w:p>
          <w:p w14:paraId="2E63B1BC" w14:textId="24182992" w:rsidR="00917572" w:rsidRPr="003C39BC" w:rsidRDefault="00917572" w:rsidP="00D9608D">
            <w:pPr>
              <w:tabs>
                <w:tab w:val="left" w:pos="744"/>
              </w:tabs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>2)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ab/>
            </w:r>
            <w:r w:rsidR="00296EC7">
              <w:rPr>
                <w:color w:val="000000"/>
                <w:spacing w:val="-2"/>
                <w:sz w:val="22"/>
                <w:szCs w:val="22"/>
              </w:rPr>
              <w:t xml:space="preserve">dla 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>nauczyciela mianowanego – 144%,</w:t>
            </w:r>
          </w:p>
          <w:p w14:paraId="41A648DF" w14:textId="4DFF7C49" w:rsidR="00917572" w:rsidRPr="003C39BC" w:rsidRDefault="00917572" w:rsidP="00D9608D">
            <w:pPr>
              <w:tabs>
                <w:tab w:val="left" w:pos="744"/>
              </w:tabs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>3)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ab/>
            </w:r>
            <w:r w:rsidR="00296EC7">
              <w:rPr>
                <w:color w:val="000000"/>
                <w:spacing w:val="-2"/>
                <w:sz w:val="22"/>
                <w:szCs w:val="22"/>
              </w:rPr>
              <w:t xml:space="preserve">dla 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>nauczyciela dyplomowanego – 184%</w:t>
            </w:r>
          </w:p>
          <w:p w14:paraId="2346691B" w14:textId="77777777" w:rsidR="00917572" w:rsidRPr="003C39BC" w:rsidRDefault="00917572" w:rsidP="00793069">
            <w:pPr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>– kwoty bazowej określanej dla nauczycieli corocznie w ustawie budżetowej.</w:t>
            </w:r>
          </w:p>
          <w:p w14:paraId="75624780" w14:textId="47AA72C8" w:rsidR="00917572" w:rsidRPr="009158AF" w:rsidRDefault="00917572" w:rsidP="00793069">
            <w:pPr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58AF">
              <w:rPr>
                <w:color w:val="000000"/>
                <w:spacing w:val="-2"/>
                <w:sz w:val="22"/>
                <w:szCs w:val="22"/>
              </w:rPr>
              <w:t xml:space="preserve">Biorąc pod uwagę powyższe, </w:t>
            </w:r>
            <w:r w:rsidR="00296EC7">
              <w:rPr>
                <w:color w:val="000000"/>
                <w:spacing w:val="-2"/>
                <w:sz w:val="22"/>
                <w:szCs w:val="22"/>
              </w:rPr>
              <w:t xml:space="preserve">projektowane </w:t>
            </w:r>
            <w:r w:rsidRPr="009158AF">
              <w:rPr>
                <w:color w:val="000000"/>
                <w:spacing w:val="-2"/>
                <w:sz w:val="22"/>
                <w:szCs w:val="22"/>
              </w:rPr>
              <w:t>rozporządzenie określa odrębny sposób ustalania średniorocznej struktury zatrudni</w:t>
            </w:r>
            <w:r w:rsidR="00467A89">
              <w:rPr>
                <w:color w:val="000000"/>
                <w:spacing w:val="-2"/>
                <w:sz w:val="22"/>
                <w:szCs w:val="22"/>
              </w:rPr>
              <w:t>enia nauczycieli, kwoty różnicy</w:t>
            </w:r>
            <w:r w:rsidRPr="009158AF">
              <w:rPr>
                <w:color w:val="000000"/>
                <w:spacing w:val="-2"/>
                <w:sz w:val="22"/>
                <w:szCs w:val="22"/>
              </w:rPr>
              <w:t xml:space="preserve"> oraz wzór sprawozdania za 2022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r.</w:t>
            </w:r>
            <w:r w:rsidRPr="009158AF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467A89">
              <w:rPr>
                <w:color w:val="000000"/>
                <w:spacing w:val="-2"/>
                <w:sz w:val="22"/>
                <w:szCs w:val="22"/>
              </w:rPr>
              <w:t xml:space="preserve">z </w:t>
            </w:r>
            <w:r w:rsidRPr="009158AF">
              <w:rPr>
                <w:color w:val="000000"/>
                <w:spacing w:val="-2"/>
                <w:sz w:val="22"/>
                <w:szCs w:val="22"/>
              </w:rPr>
              <w:t>uwzględni</w:t>
            </w:r>
            <w:r w:rsidR="00467A89">
              <w:rPr>
                <w:color w:val="000000"/>
                <w:spacing w:val="-2"/>
                <w:sz w:val="22"/>
                <w:szCs w:val="22"/>
              </w:rPr>
              <w:t>eniem</w:t>
            </w:r>
            <w:r w:rsidRPr="009158AF">
              <w:rPr>
                <w:color w:val="000000"/>
                <w:spacing w:val="-2"/>
                <w:sz w:val="22"/>
                <w:szCs w:val="22"/>
              </w:rPr>
              <w:t xml:space="preserve"> okres</w:t>
            </w:r>
            <w:r w:rsidR="00467A89">
              <w:rPr>
                <w:color w:val="000000"/>
                <w:spacing w:val="-2"/>
                <w:sz w:val="22"/>
                <w:szCs w:val="22"/>
              </w:rPr>
              <w:t>ów</w:t>
            </w:r>
            <w:r w:rsidRPr="009158AF">
              <w:rPr>
                <w:color w:val="000000"/>
                <w:spacing w:val="-2"/>
                <w:sz w:val="22"/>
                <w:szCs w:val="22"/>
              </w:rPr>
              <w:t xml:space="preserve"> obowiązywania średniego wynagrodzenia nauczycieli oraz zmian w zakresie struktury awansu zawodowego. </w:t>
            </w:r>
          </w:p>
          <w:p w14:paraId="565E01B8" w14:textId="3FAEBB6A" w:rsidR="00917572" w:rsidRPr="003C39BC" w:rsidRDefault="00917572" w:rsidP="00793069">
            <w:pPr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Proponuje się, aby wysokość średnich wynagrodzeń nauczycieli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w 2022 r. 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>oraz średnioroczn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 struktur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 zatrudnienia nauczycieli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w 2022 r. były 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>ustala</w:t>
            </w:r>
            <w:r>
              <w:rPr>
                <w:color w:val="000000"/>
                <w:spacing w:val="-2"/>
                <w:sz w:val="22"/>
                <w:szCs w:val="22"/>
              </w:rPr>
              <w:t>ne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 z uwzględnieniem okresów:</w:t>
            </w:r>
          </w:p>
          <w:p w14:paraId="6F74D25F" w14:textId="77777777" w:rsidR="00917572" w:rsidRPr="003C39BC" w:rsidRDefault="00917572" w:rsidP="00D9608D">
            <w:pPr>
              <w:tabs>
                <w:tab w:val="left" w:pos="744"/>
              </w:tabs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>1)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ab/>
              <w:t>od dnia 1 stycznia do dnia 30 kwietnia;</w:t>
            </w:r>
          </w:p>
          <w:p w14:paraId="6FB7813E" w14:textId="77777777" w:rsidR="00917572" w:rsidRPr="003C39BC" w:rsidRDefault="00917572" w:rsidP="00D9608D">
            <w:pPr>
              <w:tabs>
                <w:tab w:val="left" w:pos="744"/>
              </w:tabs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>2)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ab/>
              <w:t>od dnia 1 maja do dnia 31 sierpnia;</w:t>
            </w:r>
          </w:p>
          <w:p w14:paraId="6DE615BE" w14:textId="77777777" w:rsidR="00917572" w:rsidRPr="003C39BC" w:rsidRDefault="00917572" w:rsidP="00D9608D">
            <w:pPr>
              <w:tabs>
                <w:tab w:val="left" w:pos="744"/>
              </w:tabs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>3)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ab/>
              <w:t>od dnia 1 września do dnia 31 grudnia.</w:t>
            </w:r>
          </w:p>
          <w:p w14:paraId="2EDCFB5B" w14:textId="08388FB0" w:rsidR="00917572" w:rsidRDefault="00467A89" w:rsidP="00793069">
            <w:pPr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W</w:t>
            </w:r>
            <w:r w:rsidR="00917572" w:rsidRPr="003C39BC">
              <w:rPr>
                <w:color w:val="000000"/>
                <w:spacing w:val="-2"/>
                <w:sz w:val="22"/>
                <w:szCs w:val="22"/>
              </w:rPr>
              <w:t xml:space="preserve"> okresach od dnia 1 stycznia do dnia 30 kwietnia i od dnia 1 maja do 31 sierpnia wysokość średnich wynagrodzeń nauczycieli oraz średnioroczna struktura zatrudnienia b</w:t>
            </w:r>
            <w:r>
              <w:rPr>
                <w:color w:val="000000"/>
                <w:spacing w:val="-2"/>
                <w:sz w:val="22"/>
                <w:szCs w:val="22"/>
              </w:rPr>
              <w:t>ędą</w:t>
            </w:r>
            <w:r w:rsidR="00917572" w:rsidRPr="003C39BC">
              <w:rPr>
                <w:color w:val="000000"/>
                <w:spacing w:val="-2"/>
                <w:sz w:val="22"/>
                <w:szCs w:val="22"/>
              </w:rPr>
              <w:t xml:space="preserve"> ustalan</w:t>
            </w:r>
            <w:r w:rsidR="00917572">
              <w:rPr>
                <w:color w:val="000000"/>
                <w:spacing w:val="-2"/>
                <w:sz w:val="22"/>
                <w:szCs w:val="22"/>
              </w:rPr>
              <w:t>e</w:t>
            </w:r>
            <w:r w:rsidR="00917572" w:rsidRPr="003C39BC">
              <w:rPr>
                <w:color w:val="000000"/>
                <w:spacing w:val="-2"/>
                <w:sz w:val="22"/>
                <w:szCs w:val="22"/>
              </w:rPr>
              <w:t xml:space="preserve"> odrębnie dla nauczycieli na poszczególnych stopniach </w:t>
            </w:r>
            <w:r w:rsidR="00917572" w:rsidRPr="003C39BC">
              <w:rPr>
                <w:color w:val="000000"/>
                <w:spacing w:val="-2"/>
                <w:sz w:val="22"/>
                <w:szCs w:val="22"/>
              </w:rPr>
              <w:lastRenderedPageBreak/>
              <w:t>awansu zawodowego, o których mowa w art. 9a ust. 1 ustawy, w brzmieniu obowiązującym do dnia 31 sierpnia 2022 r., czyli nauczycieli stażystów, kontraktowych, mianowanych i dyplomowanych, a w okresie od dnia 1 września do 31 grudnia – dla nauczycieli początkujących, mianowanych i  dyplomowanych.</w:t>
            </w:r>
          </w:p>
          <w:p w14:paraId="6EA3AA19" w14:textId="1C6F83F3" w:rsidR="00917572" w:rsidRPr="003C39BC" w:rsidRDefault="00917572" w:rsidP="00793069">
            <w:pPr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>Projektowane rozporządzenie przewiduje ustalenie kwoty różnicy, odrębnie dla nauczycieli początkujących, mianowanych i dyplomowanych. W przypadku nauczycieli pocz</w:t>
            </w:r>
            <w:r>
              <w:rPr>
                <w:color w:val="000000"/>
                <w:spacing w:val="-2"/>
                <w:sz w:val="22"/>
                <w:szCs w:val="22"/>
              </w:rPr>
              <w:t>ą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>tkujących, którzy do dnia 31 sierpnia byli nauczyciel</w:t>
            </w:r>
            <w:r w:rsidR="00467A89">
              <w:rPr>
                <w:color w:val="000000"/>
                <w:spacing w:val="-2"/>
                <w:sz w:val="22"/>
                <w:szCs w:val="22"/>
              </w:rPr>
              <w:t>ami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 stażyst</w:t>
            </w:r>
            <w:r w:rsidR="00467A89">
              <w:rPr>
                <w:color w:val="000000"/>
                <w:spacing w:val="-2"/>
                <w:sz w:val="22"/>
                <w:szCs w:val="22"/>
              </w:rPr>
              <w:t>ami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 lub kontraktowym</w:t>
            </w:r>
            <w:r w:rsidR="00467A89">
              <w:rPr>
                <w:color w:val="000000"/>
                <w:spacing w:val="-2"/>
                <w:sz w:val="22"/>
                <w:szCs w:val="22"/>
              </w:rPr>
              <w:t>i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, kwota różnicy </w:t>
            </w:r>
            <w:r w:rsidR="007575D5" w:rsidRPr="003C39BC">
              <w:rPr>
                <w:color w:val="000000"/>
                <w:spacing w:val="-2"/>
                <w:sz w:val="22"/>
                <w:szCs w:val="22"/>
              </w:rPr>
              <w:t xml:space="preserve">będzie 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>obejmowa</w:t>
            </w:r>
            <w:r w:rsidR="007575D5">
              <w:rPr>
                <w:color w:val="000000"/>
                <w:spacing w:val="-2"/>
                <w:sz w:val="22"/>
                <w:szCs w:val="22"/>
              </w:rPr>
              <w:t>ła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 cały okres sprawozdawczy, w tym również okres zatrudnienia i pobierania wynagrodzenia na stanowisku odpowiednio nauczyciela stażysty lub kontraktowego w okresie od dnia 1 stycznia 2022 r. do dnia 31 sierpnia 2022 r. </w:t>
            </w:r>
          </w:p>
          <w:p w14:paraId="767B1B53" w14:textId="06A8871B" w:rsidR="00917572" w:rsidRDefault="00917572" w:rsidP="00092C8C">
            <w:pPr>
              <w:ind w:left="318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C39BC">
              <w:rPr>
                <w:color w:val="000000"/>
                <w:spacing w:val="-2"/>
                <w:sz w:val="22"/>
                <w:szCs w:val="22"/>
              </w:rPr>
              <w:t xml:space="preserve">Przepisy projektowanego rozporządzenia określają również sposób ustalania średniorocznej struktury zatrudnienia w przypadku nauczycieli, którzy w 2022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r. 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>uzyskali stopień nauczyciela mianowanego.</w:t>
            </w:r>
            <w:r w:rsidR="00092C8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>Odpowiednio do powyższego został określony sposób ustalania wysokości jednorazowego dodatku uzupełniającego za 2022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r.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>, stanowiący załącznik nr 3 do rozporządzenia, oraz wzór formularza sprawozdania za 2022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r.</w:t>
            </w:r>
            <w:r w:rsidRPr="003C39BC">
              <w:rPr>
                <w:color w:val="000000"/>
                <w:spacing w:val="-2"/>
                <w:sz w:val="22"/>
                <w:szCs w:val="22"/>
              </w:rPr>
              <w:t>, stanowiący załącznik nr 4 do rozporządzenia.</w:t>
            </w:r>
          </w:p>
        </w:tc>
      </w:tr>
      <w:tr w:rsidR="00917572" w14:paraId="73B273EA" w14:textId="77777777" w:rsidTr="00917572">
        <w:trPr>
          <w:trHeight w:val="306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6563169" w14:textId="77777777" w:rsidR="00917572" w:rsidRDefault="00917572" w:rsidP="00917572">
            <w:pPr>
              <w:numPr>
                <w:ilvl w:val="0"/>
                <w:numId w:val="2"/>
              </w:num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lastRenderedPageBreak/>
              <w:t>Jak problem został rozwiązany w innych krajach, w szczególności krajach członkowskich OECD/UE</w:t>
            </w:r>
            <w:r>
              <w:rPr>
                <w:b/>
                <w:color w:val="000000"/>
                <w:sz w:val="22"/>
                <w:szCs w:val="22"/>
              </w:rPr>
              <w:t>?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917572" w14:paraId="0025CC07" w14:textId="77777777" w:rsidTr="00917572">
        <w:trPr>
          <w:trHeight w:val="67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5D1FE" w14:textId="77777777" w:rsidR="00917572" w:rsidRDefault="00917572" w:rsidP="00092C8C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Nie dotyczy.</w:t>
            </w:r>
          </w:p>
        </w:tc>
      </w:tr>
      <w:tr w:rsidR="00917572" w14:paraId="3248A3D4" w14:textId="77777777" w:rsidTr="00917572">
        <w:trPr>
          <w:trHeight w:val="358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510D859" w14:textId="77777777" w:rsidR="00917572" w:rsidRDefault="00917572" w:rsidP="00917572">
            <w:pPr>
              <w:numPr>
                <w:ilvl w:val="0"/>
                <w:numId w:val="2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917572" w14:paraId="517E5403" w14:textId="77777777" w:rsidTr="00092C8C">
        <w:trPr>
          <w:trHeight w:val="141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C78C" w14:textId="77777777" w:rsidR="00917572" w:rsidRDefault="00917572" w:rsidP="00EA0B21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CEE" w14:textId="77777777" w:rsidR="00917572" w:rsidRDefault="00917572" w:rsidP="00EA0B21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23B5" w14:textId="77777777" w:rsidR="00917572" w:rsidRDefault="00917572" w:rsidP="00EA0B21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Źródło danych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A27" w14:textId="77777777" w:rsidR="00917572" w:rsidRDefault="00917572" w:rsidP="00EA0B21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917572" w14:paraId="21F60DBD" w14:textId="77777777" w:rsidTr="00092C8C">
        <w:trPr>
          <w:trHeight w:val="84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D99E" w14:textId="4C20BBC9" w:rsidR="00917572" w:rsidRDefault="00917572" w:rsidP="00917572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trike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Organy prowadzące </w:t>
            </w:r>
            <w:r w:rsidR="00467A89">
              <w:rPr>
                <w:rFonts w:ascii="Times New Roman" w:hAnsi="Times New Roman"/>
                <w:color w:val="000000"/>
              </w:rPr>
              <w:t xml:space="preserve">przedszkola, </w:t>
            </w:r>
            <w:r>
              <w:rPr>
                <w:rFonts w:ascii="Times New Roman" w:hAnsi="Times New Roman"/>
                <w:color w:val="000000"/>
              </w:rPr>
              <w:t>szkoły</w:t>
            </w:r>
            <w:r w:rsidR="00467A89">
              <w:rPr>
                <w:rFonts w:ascii="Times New Roman" w:hAnsi="Times New Roman"/>
                <w:color w:val="000000"/>
              </w:rPr>
              <w:t xml:space="preserve"> i placówki oraz inne jednostki organizacyjne wymienione w art. 1 ust. 1 ustawy,</w:t>
            </w:r>
            <w:r>
              <w:rPr>
                <w:rFonts w:ascii="Times New Roman" w:hAnsi="Times New Roman"/>
                <w:color w:val="000000"/>
              </w:rPr>
              <w:t xml:space="preserve"> będące jednostkami samorządu terytorialnego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7D21" w14:textId="77777777" w:rsidR="00917572" w:rsidRDefault="00917572" w:rsidP="00EA0B21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2807</w:t>
            </w: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4935" w14:textId="414C10F0" w:rsidR="00917572" w:rsidRDefault="00C17806" w:rsidP="00092C8C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Dane Głównego Urzędu Statystycznego dotyczące podziału </w:t>
            </w:r>
            <w:r w:rsidRPr="00C17806">
              <w:rPr>
                <w:color w:val="000000"/>
                <w:spacing w:val="-2"/>
                <w:sz w:val="22"/>
                <w:szCs w:val="22"/>
              </w:rPr>
              <w:t>administracyjn</w:t>
            </w:r>
            <w:r>
              <w:rPr>
                <w:color w:val="000000"/>
                <w:spacing w:val="-2"/>
                <w:sz w:val="22"/>
                <w:szCs w:val="22"/>
              </w:rPr>
              <w:t>ego</w:t>
            </w:r>
            <w:r w:rsidRPr="00C17806">
              <w:rPr>
                <w:color w:val="000000"/>
                <w:spacing w:val="-2"/>
                <w:sz w:val="22"/>
                <w:szCs w:val="22"/>
              </w:rPr>
              <w:t xml:space="preserve"> Polski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w</w:t>
            </w:r>
            <w:r w:rsidR="003A666C">
              <w:rPr>
                <w:color w:val="000000"/>
                <w:spacing w:val="-2"/>
                <w:sz w:val="22"/>
                <w:szCs w:val="22"/>
              </w:rPr>
              <w:t>edług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stanu na dzień 1 stycznia 2022</w:t>
            </w:r>
            <w:r w:rsidR="00FC6285">
              <w:rPr>
                <w:color w:val="000000"/>
                <w:spacing w:val="-2"/>
                <w:sz w:val="22"/>
                <w:szCs w:val="22"/>
              </w:rPr>
              <w:t> </w:t>
            </w:r>
            <w:r>
              <w:rPr>
                <w:color w:val="000000"/>
                <w:spacing w:val="-2"/>
                <w:sz w:val="22"/>
                <w:szCs w:val="22"/>
              </w:rPr>
              <w:t>r.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5783" w14:textId="685B8111" w:rsidR="00917572" w:rsidRDefault="00917572" w:rsidP="00092C8C">
            <w:pPr>
              <w:pStyle w:val="Akapitzlist"/>
              <w:tabs>
                <w:tab w:val="left" w:pos="602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Złożenie przez </w:t>
            </w:r>
            <w:r w:rsidR="00467A89">
              <w:rPr>
                <w:rFonts w:ascii="Times New Roman" w:hAnsi="Times New Roman"/>
                <w:color w:val="000000"/>
                <w:spacing w:val="-2"/>
              </w:rPr>
              <w:t>organy prowadzące będące jednostkami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samorządu terytorialnego sprawozdania za 2022</w:t>
            </w:r>
            <w:r w:rsidR="00FC6285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r. oraz następne </w:t>
            </w:r>
            <w:r w:rsidR="00092C8C">
              <w:rPr>
                <w:rFonts w:ascii="Times New Roman" w:hAnsi="Times New Roman"/>
                <w:color w:val="000000"/>
                <w:spacing w:val="-2"/>
              </w:rPr>
              <w:t xml:space="preserve">lata, </w:t>
            </w:r>
            <w:r>
              <w:rPr>
                <w:rFonts w:ascii="Times New Roman" w:hAnsi="Times New Roman"/>
                <w:color w:val="000000"/>
                <w:spacing w:val="-2"/>
              </w:rPr>
              <w:t>na formularzach według wzorów określonych w rozporządzeniu.</w:t>
            </w:r>
          </w:p>
        </w:tc>
      </w:tr>
      <w:tr w:rsidR="00917572" w14:paraId="18C563ED" w14:textId="77777777" w:rsidTr="00917572">
        <w:trPr>
          <w:trHeight w:val="30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779DAA2" w14:textId="77777777" w:rsidR="00917572" w:rsidRDefault="00917572" w:rsidP="00917572">
            <w:pPr>
              <w:numPr>
                <w:ilvl w:val="0"/>
                <w:numId w:val="2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917572" w14:paraId="16EEDF80" w14:textId="77777777" w:rsidTr="00917572">
        <w:trPr>
          <w:trHeight w:val="34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7444D" w14:textId="299541C8" w:rsidR="00917572" w:rsidRDefault="00917572" w:rsidP="00EA0B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 rozporządzenia zosta</w:t>
            </w:r>
            <w:r w:rsidR="008A2CB2">
              <w:rPr>
                <w:color w:val="000000"/>
                <w:sz w:val="22"/>
                <w:szCs w:val="22"/>
              </w:rPr>
              <w:t>ł</w:t>
            </w:r>
            <w:r>
              <w:rPr>
                <w:color w:val="000000"/>
                <w:sz w:val="22"/>
                <w:szCs w:val="22"/>
              </w:rPr>
              <w:t xml:space="preserve"> skierowany do zaopiniowania przez reprezentatywne organizacje związkowe w trybie przewidzianym w ustawie z dnia 23 maja 1991 r. o związkach zawodowych (Dz. U. z 2022 r. poz. 854), reprezentatywne organizacje pracodawców w trybie przewidzianym w ustawie z dnia 23 maja 1991 r. o organizacjach pracodawców (Dz. U. z 2022 r. poz. 97) i partnerów społecznych, tj. przez:</w:t>
            </w:r>
          </w:p>
          <w:p w14:paraId="31242992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Ogólnopolskie Porozumienie Związków Zawodowych;</w:t>
            </w:r>
          </w:p>
          <w:p w14:paraId="535B9995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Forum Związków Zawodowych;</w:t>
            </w:r>
          </w:p>
          <w:p w14:paraId="7C1FD745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Niezależny Samorządny Związek Zawodowy „Solidarność”; </w:t>
            </w:r>
          </w:p>
          <w:p w14:paraId="6C9272B7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Zarząd Główny Związku Nauczycielstwa Polskiego;</w:t>
            </w:r>
          </w:p>
          <w:p w14:paraId="4947D209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Krajową Sekcję Oświaty i Wychowania NSZZ „Solidarność”;</w:t>
            </w:r>
          </w:p>
          <w:p w14:paraId="63519156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Wolny Związek Zawodowy „Forum-Oświata”;</w:t>
            </w:r>
          </w:p>
          <w:p w14:paraId="4B4189ED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Związek Zawodowy „Rada Poradnictwa”;</w:t>
            </w:r>
          </w:p>
          <w:p w14:paraId="2C552257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Chrześcijański Związek Zawodowy „Solidarność im. ks. J. Popiełuszki”;</w:t>
            </w:r>
          </w:p>
          <w:p w14:paraId="591323E5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Związek Zawodowy Pracowników Oświaty i Wychowania „Oświata”;</w:t>
            </w:r>
          </w:p>
          <w:p w14:paraId="4E54DC2F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Sekcję Oświaty KNSZZ „Solidarność 80”;</w:t>
            </w:r>
          </w:p>
          <w:p w14:paraId="288FE8AB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NSZZ Pracowników Schronisk dla Nieletnich i Zakładów Poprawczych;</w:t>
            </w:r>
          </w:p>
          <w:p w14:paraId="33DDA9AF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Komisję Krajową Wolnego Związku Zawodowego „Sierpień 80”;</w:t>
            </w:r>
          </w:p>
          <w:p w14:paraId="59C375F0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Komisję Krajową Federacji Regionów i Komisji Zakładowych „Solidarność 80”;</w:t>
            </w:r>
          </w:p>
          <w:p w14:paraId="3A907073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Komisję Krajową NSZZ „Solidarność 80”;</w:t>
            </w:r>
          </w:p>
          <w:p w14:paraId="5236B3B5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Konfederację Związków Zawodowych Górnictwa w Polsce;</w:t>
            </w:r>
          </w:p>
          <w:p w14:paraId="17990EFB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Związek Zakładów Doskonalenia Zawodowego;</w:t>
            </w:r>
          </w:p>
          <w:p w14:paraId="65E0800F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Społeczne Towarzystwo Oświatowe;</w:t>
            </w:r>
          </w:p>
          <w:p w14:paraId="709DA739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Stowarzyszenie Oświatowców Polskich;</w:t>
            </w:r>
          </w:p>
          <w:p w14:paraId="6B25257F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Stowarzyszenie Dyrektorów Szkół Średnich;</w:t>
            </w:r>
          </w:p>
          <w:p w14:paraId="0B1C79A4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Stowarzyszenie Dyrektorów Centrów Kształcenia Ustawicznego;</w:t>
            </w:r>
          </w:p>
          <w:p w14:paraId="5E734FD5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Stowarzyszenie Dyrektorów i Nauczycieli Centrów Edukacji Zawodowej;</w:t>
            </w:r>
          </w:p>
          <w:p w14:paraId="08CA949F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Polską Izbę Firm Szkoleniowych;</w:t>
            </w:r>
          </w:p>
          <w:p w14:paraId="5EB43D00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Polską Izbę Książki;</w:t>
            </w:r>
          </w:p>
          <w:p w14:paraId="43950D67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Polskie Stowarzyszenie Dyrektorów Szkół;</w:t>
            </w:r>
          </w:p>
          <w:p w14:paraId="4830118B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Radę Szkół Katolickich;</w:t>
            </w:r>
          </w:p>
          <w:p w14:paraId="771DD543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Ogólnopolskie Stowarzyszenie Kadry Kierowniczej Oświaty;</w:t>
            </w:r>
          </w:p>
          <w:p w14:paraId="4E8B6E64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Krajowe Forum Oświaty Niepublicznej;</w:t>
            </w:r>
          </w:p>
          <w:p w14:paraId="5616C054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Polskie Stowarzyszenie na Rzecz Osób z Niepełnosprawnością Intelektualną;</w:t>
            </w:r>
          </w:p>
          <w:p w14:paraId="41DD33BA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Polski związek Głuchych – Zarząd Główny;</w:t>
            </w:r>
          </w:p>
          <w:p w14:paraId="5E163EE9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Polski Związek Niewidomych – Zarząd Główny</w:t>
            </w:r>
          </w:p>
          <w:p w14:paraId="16785068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Federację Stowarzyszeń Naukowo-Technicznych NOT;</w:t>
            </w:r>
          </w:p>
          <w:p w14:paraId="20B15E81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Stowarzyszenie „Wspólnota Polska”;</w:t>
            </w:r>
          </w:p>
          <w:p w14:paraId="4F834198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Stowarzyszenie „Dobra Edukacja”;</w:t>
            </w:r>
          </w:p>
          <w:p w14:paraId="7978500A" w14:textId="00573AE4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Ogólnopolskie Stowarzyszenie Wspierające Edukację Zawodową Pracowników Młodocianych;</w:t>
            </w:r>
          </w:p>
          <w:p w14:paraId="17A37816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Stowarzyszenie Doradców Szkolnych i Zawodowych Rzeczpospolitej Polskiej;</w:t>
            </w:r>
          </w:p>
          <w:p w14:paraId="75429F8F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Fundację „Pomoc Polakom na Wschodzie”;</w:t>
            </w:r>
          </w:p>
          <w:p w14:paraId="17F01A4D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Sekretariat Konferencji Episkopatu Polski;</w:t>
            </w:r>
          </w:p>
          <w:p w14:paraId="712DBE6E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Polską Radę Ekumeniczną;</w:t>
            </w:r>
          </w:p>
          <w:p w14:paraId="02EF8697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Alians Ewangeliczny RP; </w:t>
            </w:r>
          </w:p>
          <w:p w14:paraId="3A0AEF73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Polski Związek Logopedów;</w:t>
            </w:r>
          </w:p>
          <w:p w14:paraId="5090E924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Międzynarodowy Zespół Placówek Oświatowych;</w:t>
            </w:r>
          </w:p>
          <w:p w14:paraId="624CFD2B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Federację Inicjatyw Oświatowych;</w:t>
            </w:r>
          </w:p>
          <w:p w14:paraId="3E993476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Fundację Rozwoju Dzieci im. Komeńskiego;</w:t>
            </w:r>
          </w:p>
          <w:p w14:paraId="167E648B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Krajowe Porozumienie Rodziców i Rad Rodziców;</w:t>
            </w:r>
          </w:p>
          <w:p w14:paraId="09E3DB87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Fundację Rodzice Szkole;</w:t>
            </w:r>
          </w:p>
          <w:p w14:paraId="056971E9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Konferencję Dyrektorów Bibliotek Pedagogicznych;</w:t>
            </w:r>
          </w:p>
          <w:p w14:paraId="39439D09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Fundację Rozwoju Systemu Edukacji;</w:t>
            </w:r>
          </w:p>
          <w:p w14:paraId="71EC2E3E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Fundację SYNAPSIS;</w:t>
            </w:r>
          </w:p>
          <w:p w14:paraId="0CB707C6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Konferencję Rektorów Akademickich Szkół Polskich;</w:t>
            </w:r>
          </w:p>
          <w:p w14:paraId="64B1E529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Konferencję Rektorów Publicznych Szkół Zawodowych;</w:t>
            </w:r>
          </w:p>
          <w:p w14:paraId="17B13282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Konferencję Rektorów Zawodowych Szkół Polskich;</w:t>
            </w:r>
          </w:p>
          <w:p w14:paraId="03EB6C30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Ogólnopolskie Forum Niepublicznych Szkół Wiejskich;</w:t>
            </w:r>
          </w:p>
          <w:p w14:paraId="79A2216F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Radę Główną Nauki i Szkolnictwa Wyższego;</w:t>
            </w:r>
          </w:p>
          <w:p w14:paraId="5BE9A1C6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Unię Miasteczek Polskich;</w:t>
            </w:r>
          </w:p>
          <w:p w14:paraId="2CF00BE9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Unię Metropolii Polskich;</w:t>
            </w:r>
          </w:p>
          <w:p w14:paraId="1005C177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Związek Gmin Wiejskich RP;</w:t>
            </w:r>
          </w:p>
          <w:p w14:paraId="47DBA136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Związek Miast Polskich;</w:t>
            </w:r>
          </w:p>
          <w:p w14:paraId="4FC46A2F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Związek Powiatów Polskich;</w:t>
            </w:r>
          </w:p>
          <w:p w14:paraId="3D2A778C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Związek Województw RP;</w:t>
            </w:r>
          </w:p>
          <w:p w14:paraId="213913F9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Związek Pracodawców Business Centre Club;</w:t>
            </w:r>
          </w:p>
          <w:p w14:paraId="25BFF054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Konfederację Lewiatan;</w:t>
            </w:r>
          </w:p>
          <w:p w14:paraId="4F739B2F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Pracodawców Rzeczypospolitej Polskiej;</w:t>
            </w:r>
          </w:p>
          <w:p w14:paraId="21153DA8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Związek Rzemiosła Polskiego;</w:t>
            </w:r>
          </w:p>
          <w:p w14:paraId="46EB18DE" w14:textId="77777777" w:rsidR="00917572" w:rsidRDefault="00917572" w:rsidP="00917572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Związek Przedsiębiorców i Pracodawców;</w:t>
            </w:r>
          </w:p>
          <w:p w14:paraId="4425D763" w14:textId="77777777" w:rsidR="00917572" w:rsidRDefault="00917572" w:rsidP="008A2CB2">
            <w:pPr>
              <w:numPr>
                <w:ilvl w:val="0"/>
                <w:numId w:val="3"/>
              </w:num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Federację Przedsiębiorców Polskich.</w:t>
            </w:r>
          </w:p>
          <w:p w14:paraId="7AC4C987" w14:textId="14F6F6A3" w:rsidR="00917572" w:rsidRDefault="00917572" w:rsidP="008A2CB2">
            <w:pPr>
              <w:spacing w:after="120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Projekt rozporządzenia zosta</w:t>
            </w:r>
            <w:r w:rsidR="008A2CB2">
              <w:rPr>
                <w:color w:val="000000"/>
                <w:spacing w:val="-2"/>
                <w:sz w:val="22"/>
                <w:szCs w:val="22"/>
              </w:rPr>
              <w:t>ł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również skierowany do zaopiniowania przez Rzecznika Praw Obywat</w:t>
            </w:r>
            <w:r w:rsidR="003A666C">
              <w:rPr>
                <w:color w:val="000000"/>
                <w:spacing w:val="-2"/>
                <w:sz w:val="22"/>
                <w:szCs w:val="22"/>
              </w:rPr>
              <w:t>elskich, Rzecznika Praw Dziecka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C6285">
              <w:rPr>
                <w:color w:val="000000"/>
                <w:spacing w:val="-2"/>
                <w:sz w:val="22"/>
                <w:szCs w:val="22"/>
              </w:rPr>
              <w:t xml:space="preserve">oraz </w:t>
            </w:r>
            <w:r>
              <w:rPr>
                <w:color w:val="000000"/>
                <w:spacing w:val="-2"/>
                <w:sz w:val="22"/>
                <w:szCs w:val="22"/>
              </w:rPr>
              <w:t>Głównego Urzędu Statystycznego.</w:t>
            </w:r>
          </w:p>
          <w:p w14:paraId="6A7434B4" w14:textId="27B17338" w:rsidR="00917572" w:rsidRDefault="00917572" w:rsidP="008A2CB2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 rozporządzenia zosta</w:t>
            </w:r>
            <w:r w:rsidR="008A2CB2">
              <w:rPr>
                <w:color w:val="000000"/>
                <w:sz w:val="22"/>
                <w:szCs w:val="22"/>
              </w:rPr>
              <w:t>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A2CB2">
              <w:rPr>
                <w:color w:val="000000"/>
                <w:spacing w:val="-2"/>
                <w:sz w:val="22"/>
                <w:szCs w:val="22"/>
              </w:rPr>
              <w:t xml:space="preserve">również </w:t>
            </w:r>
            <w:r>
              <w:rPr>
                <w:color w:val="000000"/>
                <w:sz w:val="22"/>
                <w:szCs w:val="22"/>
              </w:rPr>
              <w:t>skierowany do zaopiniowania przez Komisję Wspólną Rządu i Samorządu Terytorialnego, Komisję Wspólną Rządu i Mniejszości Narodowych i Etnicznych oraz Radę Dialogu Społecznego.</w:t>
            </w:r>
            <w:r>
              <w:rPr>
                <w:sz w:val="22"/>
                <w:szCs w:val="22"/>
              </w:rPr>
              <w:t xml:space="preserve"> </w:t>
            </w:r>
          </w:p>
          <w:p w14:paraId="0716D68E" w14:textId="119B94DD" w:rsidR="00917572" w:rsidRDefault="00917572" w:rsidP="008A2CB2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 rozporządzenia zosta</w:t>
            </w:r>
            <w:r w:rsidR="008A2CB2">
              <w:rPr>
                <w:color w:val="000000"/>
                <w:sz w:val="22"/>
                <w:szCs w:val="22"/>
              </w:rPr>
              <w:t>ł</w:t>
            </w:r>
            <w:r>
              <w:rPr>
                <w:color w:val="000000"/>
                <w:sz w:val="22"/>
                <w:szCs w:val="22"/>
              </w:rPr>
              <w:t xml:space="preserve"> zamieszczony w Biuletynie Informacji Publicznej na stronie internetowej Ministerstwa Edukacji i Nauki zgodnie z art. 5 ustawy z dnia 7 lipca 2005 r. o działalności lobbingowej w procesie stanowienia prawa (Dz. U. z 2017 r. poz. 248) oraz w Biuletynie Informacji Publicznej Rządowego Centrum Legislacji w zakładce Rządowy Proces Legislacyjny zgodnie z § 52 ust. 1 uchwały nr 190 Rady Ministrów z dnia 29 października 2013 r. – Regulamin pracy Rady Ministrów (M.P. z 2022 r. poz. 348).</w:t>
            </w:r>
          </w:p>
          <w:p w14:paraId="1231AE0D" w14:textId="77777777" w:rsidR="00917572" w:rsidRDefault="00917572" w:rsidP="00EA0B21">
            <w:pPr>
              <w:jc w:val="both"/>
              <w:rPr>
                <w:sz w:val="22"/>
                <w:szCs w:val="22"/>
              </w:rPr>
            </w:pPr>
            <w:r w:rsidRPr="00917572">
              <w:rPr>
                <w:sz w:val="22"/>
                <w:szCs w:val="22"/>
              </w:rPr>
              <w:t>Wyniki konsultacji publicznych i opiniowania zostaną omówione po ich zakończeniu w raporcie z konsultacji publicznych i opiniowania.</w:t>
            </w:r>
          </w:p>
        </w:tc>
      </w:tr>
      <w:tr w:rsidR="00917572" w14:paraId="6D184B1B" w14:textId="77777777" w:rsidTr="00917572">
        <w:trPr>
          <w:trHeight w:val="362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500DC82" w14:textId="77777777" w:rsidR="00917572" w:rsidRDefault="00917572" w:rsidP="00917572">
            <w:pPr>
              <w:numPr>
                <w:ilvl w:val="0"/>
                <w:numId w:val="2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 Wpływ na sektor finansów publicznych</w:t>
            </w:r>
          </w:p>
        </w:tc>
      </w:tr>
      <w:tr w:rsidR="00917572" w14:paraId="1170C41B" w14:textId="77777777" w:rsidTr="00092C8C">
        <w:trPr>
          <w:gridAfter w:val="1"/>
          <w:wAfter w:w="15" w:type="dxa"/>
          <w:trHeight w:val="140"/>
        </w:trPr>
        <w:tc>
          <w:tcPr>
            <w:tcW w:w="25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62984" w14:textId="77777777" w:rsidR="00917572" w:rsidRDefault="00917572" w:rsidP="00EA0B21">
            <w:pPr>
              <w:spacing w:before="40" w:after="4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(ceny stałe z 2022 r.)</w:t>
            </w:r>
          </w:p>
        </w:tc>
        <w:tc>
          <w:tcPr>
            <w:tcW w:w="8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39D91" w14:textId="77777777" w:rsidR="00917572" w:rsidRDefault="00917572" w:rsidP="00EA0B21">
            <w:pPr>
              <w:spacing w:before="40" w:after="40"/>
              <w:jc w:val="center"/>
              <w:rPr>
                <w:i/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Skutki w okresie 10 lat od wejścia w życie zmian [mln zł]</w:t>
            </w:r>
          </w:p>
        </w:tc>
      </w:tr>
      <w:tr w:rsidR="00917572" w14:paraId="03A1321C" w14:textId="77777777" w:rsidTr="00092C8C">
        <w:trPr>
          <w:gridAfter w:val="1"/>
          <w:wAfter w:w="15" w:type="dxa"/>
          <w:trHeight w:val="140"/>
        </w:trPr>
        <w:tc>
          <w:tcPr>
            <w:tcW w:w="25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002C" w14:textId="77777777" w:rsidR="00917572" w:rsidRDefault="00917572" w:rsidP="00EA0B2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372F3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D9B63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EE6E7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CFFC2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CBF7F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B3517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097E9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09659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4797E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5DA93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F005C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DA3C9" w14:textId="77777777" w:rsidR="00917572" w:rsidRDefault="00917572" w:rsidP="00EA0B21">
            <w:pPr>
              <w:spacing w:before="40" w:after="40"/>
              <w:jc w:val="center"/>
              <w:rPr>
                <w:i/>
                <w:color w:val="000000"/>
                <w:spacing w:val="-2"/>
                <w:sz w:val="22"/>
                <w:szCs w:val="22"/>
              </w:rPr>
            </w:pPr>
            <w:r>
              <w:rPr>
                <w:i/>
                <w:color w:val="000000"/>
                <w:spacing w:val="-2"/>
                <w:sz w:val="22"/>
                <w:szCs w:val="22"/>
              </w:rPr>
              <w:t>Łącznie (0-10)</w:t>
            </w:r>
          </w:p>
        </w:tc>
      </w:tr>
      <w:tr w:rsidR="00917572" w14:paraId="22193C65" w14:textId="77777777" w:rsidTr="00092C8C">
        <w:trPr>
          <w:gridAfter w:val="1"/>
          <w:wAfter w:w="15" w:type="dxa"/>
          <w:trHeight w:val="319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C18B6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Dochody ogółem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CF555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C70FA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72261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EAAF1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0D93D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AAC0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6BBEB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420BA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8712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A19D2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D64A7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B52EE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917572" w14:paraId="11960D9A" w14:textId="77777777" w:rsidTr="00092C8C">
        <w:trPr>
          <w:gridAfter w:val="1"/>
          <w:wAfter w:w="15" w:type="dxa"/>
          <w:trHeight w:val="319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EB08E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80476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00AA4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52560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787A7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BD8DA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AEC1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0712C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262A7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F66F3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D60A8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1C17B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86B38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917572" w14:paraId="004647E2" w14:textId="77777777" w:rsidTr="00092C8C">
        <w:trPr>
          <w:gridAfter w:val="1"/>
          <w:wAfter w:w="15" w:type="dxa"/>
          <w:trHeight w:val="342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480A5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JST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82086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45B5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10E52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F20FA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0F1B5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59342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F110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D59BD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88ED7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C8626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35AEA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38732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917572" w14:paraId="6EE5BB87" w14:textId="77777777" w:rsidTr="00092C8C">
        <w:trPr>
          <w:gridAfter w:val="1"/>
          <w:wAfter w:w="15" w:type="dxa"/>
          <w:trHeight w:val="342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05DDA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 w:rsidRPr="008A2CB2">
              <w:rPr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D493D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F979B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7E542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2E78D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9C624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33C94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CA03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DC38A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32EB8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41B6B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C9D4B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B1808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917572" w14:paraId="64C7F4AA" w14:textId="77777777" w:rsidTr="00092C8C">
        <w:trPr>
          <w:gridAfter w:val="1"/>
          <w:wAfter w:w="15" w:type="dxa"/>
          <w:trHeight w:val="328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814F6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9295D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4A257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9702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1F26F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E437A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F46D0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C427A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F138B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D9170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15CA3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BC914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E0BD0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917572" w14:paraId="05ACA3E4" w14:textId="77777777" w:rsidTr="00092C8C">
        <w:trPr>
          <w:gridAfter w:val="1"/>
          <w:wAfter w:w="15" w:type="dxa"/>
          <w:trHeight w:val="328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2103F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budżet państwa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62FB4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0FF08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4AC72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889C0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959A6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11968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89E66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16D05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03AFA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33A5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244A4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03F64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917572" w14:paraId="347430D1" w14:textId="77777777" w:rsidTr="00092C8C">
        <w:trPr>
          <w:gridAfter w:val="1"/>
          <w:wAfter w:w="15" w:type="dxa"/>
          <w:trHeight w:val="349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81D05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JST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E35AF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77DA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8DB03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6BC62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5E193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BCCD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E71D4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1B96C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30AD3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3090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E6394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EFF48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917572" w14:paraId="4DA8ED13" w14:textId="77777777" w:rsidTr="00092C8C">
        <w:trPr>
          <w:gridAfter w:val="1"/>
          <w:wAfter w:w="15" w:type="dxa"/>
          <w:trHeight w:val="349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19C97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129F4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356BF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3C6CF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EE2D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144D2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A09A7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10B95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62AA5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EF2C6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4996D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EE26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09AA0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917572" w14:paraId="4DBEED14" w14:textId="77777777" w:rsidTr="00092C8C">
        <w:trPr>
          <w:gridAfter w:val="1"/>
          <w:wAfter w:w="15" w:type="dxa"/>
          <w:trHeight w:val="358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BE2F8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Saldo ogółem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F219B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90529" w14:textId="77777777" w:rsidR="00917572" w:rsidRDefault="00917572" w:rsidP="0091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7C52B" w14:textId="77777777" w:rsidR="00917572" w:rsidRDefault="00917572" w:rsidP="0091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3E335" w14:textId="77777777" w:rsidR="00917572" w:rsidRDefault="00917572" w:rsidP="0091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020E6" w14:textId="77777777" w:rsidR="00917572" w:rsidRDefault="00917572" w:rsidP="0091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AFDAE" w14:textId="77777777" w:rsidR="00917572" w:rsidRDefault="00917572" w:rsidP="0091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2EC27" w14:textId="77777777" w:rsidR="00917572" w:rsidRDefault="00917572" w:rsidP="0091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A7C3D" w14:textId="77777777" w:rsidR="00917572" w:rsidRDefault="00917572" w:rsidP="0091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D3BD4" w14:textId="77777777" w:rsidR="00917572" w:rsidRDefault="00917572" w:rsidP="0091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CFDAC" w14:textId="77777777" w:rsidR="00917572" w:rsidRDefault="00917572" w:rsidP="0091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C782B" w14:textId="77777777" w:rsidR="00917572" w:rsidRDefault="00917572" w:rsidP="0091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AC470" w14:textId="77777777" w:rsidR="00917572" w:rsidRDefault="00917572" w:rsidP="0091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17572" w14:paraId="0940D75F" w14:textId="77777777" w:rsidTr="00092C8C">
        <w:trPr>
          <w:gridAfter w:val="1"/>
          <w:wAfter w:w="15" w:type="dxa"/>
          <w:trHeight w:val="358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A03CA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028F6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03144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EFDFA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25ED3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C99ED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9C156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AC87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9A7B1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31421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8263C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F8304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22BA2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917572" w14:paraId="4FA2FF04" w14:textId="77777777" w:rsidTr="00092C8C">
        <w:trPr>
          <w:gridAfter w:val="1"/>
          <w:wAfter w:w="15" w:type="dxa"/>
          <w:trHeight w:val="355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3122F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JST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D512C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AC05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72E02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CE410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5EB6B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524CA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126B5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6D8F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EC5E3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A71D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E909D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9766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917572" w14:paraId="3F09490E" w14:textId="77777777" w:rsidTr="00092C8C">
        <w:trPr>
          <w:gridAfter w:val="1"/>
          <w:wAfter w:w="15" w:type="dxa"/>
          <w:trHeight w:val="355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E29ED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B2B0A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ECC1D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95831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919C1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DE5AA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0A1D2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CC0E3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0CF3B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AF38E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E88B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FD7AD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20A13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917572" w14:paraId="19A973AF" w14:textId="77777777" w:rsidTr="00092C8C">
        <w:trPr>
          <w:trHeight w:val="44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462DE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Źródła finansowania </w:t>
            </w:r>
          </w:p>
        </w:tc>
        <w:tc>
          <w:tcPr>
            <w:tcW w:w="83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1D51B" w14:textId="425B41DD" w:rsidR="00917572" w:rsidRDefault="00917572" w:rsidP="00EA0B21">
            <w:pPr>
              <w:jc w:val="both"/>
              <w:rPr>
                <w:sz w:val="22"/>
                <w:szCs w:val="22"/>
              </w:rPr>
            </w:pPr>
            <w:r w:rsidRPr="00917572">
              <w:rPr>
                <w:sz w:val="22"/>
                <w:szCs w:val="22"/>
              </w:rPr>
              <w:t>Wejście w życie rozporządzenia nie będzie miało wpływu na sektor finansów publicznych, w tym budżet państwa i budżety jednostek samorządu terytorialnego.</w:t>
            </w:r>
          </w:p>
        </w:tc>
      </w:tr>
      <w:tr w:rsidR="00917572" w14:paraId="56A796B4" w14:textId="77777777" w:rsidTr="00092C8C">
        <w:trPr>
          <w:trHeight w:val="8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7B241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3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E2B7F" w14:textId="77777777" w:rsidR="00917572" w:rsidRDefault="00917572" w:rsidP="00EA0B21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7572">
              <w:rPr>
                <w:rFonts w:ascii="Times New Roman" w:eastAsia="Times New Roman" w:hAnsi="Times New Roman"/>
                <w:color w:val="000000"/>
                <w:lang w:eastAsia="pl-PL"/>
              </w:rPr>
              <w:t>Wejście w życie rozporządzenia nie spowoduje zwiększenia wydatków lub zmniejszenia dochodów budżetu państwa i budżetów jednostek samorządu terytorialnego.</w:t>
            </w:r>
          </w:p>
        </w:tc>
      </w:tr>
      <w:tr w:rsidR="00917572" w14:paraId="11DB5775" w14:textId="77777777" w:rsidTr="00917572">
        <w:trPr>
          <w:trHeight w:val="344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64D62FC" w14:textId="77777777" w:rsidR="00917572" w:rsidRDefault="00917572" w:rsidP="00EA0B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Wpływ na konkurencyjność gospodarki i przedsiębiorczość, w tym funkcjonowanie przedsiębiorców oraz na rodzinę, obywateli i gospodarstwa domowe </w:t>
            </w:r>
          </w:p>
        </w:tc>
      </w:tr>
      <w:tr w:rsidR="00917572" w14:paraId="527009AE" w14:textId="77777777" w:rsidTr="00917572">
        <w:trPr>
          <w:trHeight w:val="140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6EB5D" w14:textId="77777777" w:rsidR="00917572" w:rsidRDefault="00917572" w:rsidP="00EA0B21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917572" w14:paraId="04484A76" w14:textId="77777777" w:rsidTr="00092C8C">
        <w:trPr>
          <w:trHeight w:val="140"/>
        </w:trPr>
        <w:tc>
          <w:tcPr>
            <w:tcW w:w="4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02936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9BDA7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DA2FC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265EE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D20C4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F0014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2E94B" w14:textId="77777777" w:rsidR="00917572" w:rsidRDefault="00917572" w:rsidP="00EA0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C968C" w14:textId="77777777" w:rsidR="00917572" w:rsidRDefault="00917572" w:rsidP="00EA0B21">
            <w:pPr>
              <w:jc w:val="center"/>
              <w:rPr>
                <w:i/>
                <w:color w:val="000000"/>
                <w:spacing w:val="-2"/>
                <w:sz w:val="22"/>
                <w:szCs w:val="22"/>
              </w:rPr>
            </w:pPr>
            <w:r>
              <w:rPr>
                <w:i/>
                <w:color w:val="000000"/>
                <w:spacing w:val="-2"/>
                <w:sz w:val="22"/>
                <w:szCs w:val="22"/>
              </w:rPr>
              <w:t>Łącznie (0-10)</w:t>
            </w:r>
          </w:p>
        </w:tc>
      </w:tr>
      <w:tr w:rsidR="00917572" w14:paraId="0CA9CCA5" w14:textId="77777777" w:rsidTr="00092C8C">
        <w:trPr>
          <w:trHeight w:val="1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D3CEC" w14:textId="77777777" w:rsidR="00917572" w:rsidRPr="008A2CB2" w:rsidRDefault="00917572" w:rsidP="00EA0B21">
            <w:pPr>
              <w:rPr>
                <w:color w:val="000000"/>
                <w:sz w:val="22"/>
                <w:szCs w:val="21"/>
              </w:rPr>
            </w:pPr>
            <w:r w:rsidRPr="008A2CB2">
              <w:rPr>
                <w:color w:val="000000"/>
                <w:sz w:val="22"/>
                <w:szCs w:val="21"/>
              </w:rPr>
              <w:t>W ujęciu pieniężnym</w:t>
            </w:r>
          </w:p>
          <w:p w14:paraId="67F72271" w14:textId="77777777" w:rsidR="00917572" w:rsidRPr="008A2CB2" w:rsidRDefault="00917572" w:rsidP="00EA0B21">
            <w:pPr>
              <w:rPr>
                <w:spacing w:val="-2"/>
                <w:sz w:val="22"/>
                <w:szCs w:val="21"/>
              </w:rPr>
            </w:pPr>
            <w:r w:rsidRPr="008A2CB2">
              <w:rPr>
                <w:spacing w:val="-2"/>
                <w:sz w:val="22"/>
                <w:szCs w:val="21"/>
              </w:rPr>
              <w:t xml:space="preserve">(w mln zł, </w:t>
            </w:r>
          </w:p>
          <w:p w14:paraId="0EF13ACC" w14:textId="77777777" w:rsidR="00917572" w:rsidRPr="008A2CB2" w:rsidRDefault="00917572" w:rsidP="00EA0B21">
            <w:pPr>
              <w:rPr>
                <w:color w:val="000000"/>
                <w:sz w:val="22"/>
                <w:szCs w:val="21"/>
              </w:rPr>
            </w:pPr>
            <w:r w:rsidRPr="008A2CB2">
              <w:rPr>
                <w:spacing w:val="-2"/>
                <w:sz w:val="22"/>
                <w:szCs w:val="21"/>
              </w:rPr>
              <w:t>ceny stałe z …… r.)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94D3E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53902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8FABD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7E59F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0F11C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E8BAD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130C7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946B0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17572" w14:paraId="5B93BE37" w14:textId="77777777" w:rsidTr="00092C8C">
        <w:trPr>
          <w:trHeight w:val="14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C8F56" w14:textId="77777777" w:rsidR="00917572" w:rsidRPr="008A2CB2" w:rsidRDefault="00917572" w:rsidP="00EA0B21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3B554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01E40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542B5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D0234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A66D3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76FA3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2A8E4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60326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17572" w14:paraId="19EF8B55" w14:textId="77777777" w:rsidTr="00092C8C">
        <w:trPr>
          <w:trHeight w:val="492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53605" w14:textId="77777777" w:rsidR="00917572" w:rsidRPr="008A2CB2" w:rsidRDefault="00917572" w:rsidP="00EA0B21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64930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rodzina, obywatele oraz gospodarstwa domowe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29B70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21231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0E168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41324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F4D6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9560B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68D82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17572" w14:paraId="1FF54832" w14:textId="77777777" w:rsidTr="00092C8C">
        <w:trPr>
          <w:trHeight w:val="492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089C" w14:textId="77777777" w:rsidR="00917572" w:rsidRPr="008A2CB2" w:rsidRDefault="00917572" w:rsidP="00917572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3FC26" w14:textId="77777777" w:rsidR="00917572" w:rsidRDefault="00917572" w:rsidP="00917572">
            <w:pPr>
              <w:rPr>
                <w:sz w:val="22"/>
                <w:szCs w:val="22"/>
              </w:rPr>
            </w:pPr>
            <w:r w:rsidRPr="00917572">
              <w:rPr>
                <w:sz w:val="22"/>
                <w:szCs w:val="22"/>
              </w:rPr>
              <w:t>osoby niepełnosprawne oraz osoby starsze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D0F7A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794B5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0D857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73B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C4C2E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387F5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39699" w14:textId="77777777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17572" w14:paraId="5F3F9085" w14:textId="77777777" w:rsidTr="00092C8C">
        <w:trPr>
          <w:trHeight w:val="1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F6D20" w14:textId="77777777" w:rsidR="00917572" w:rsidRPr="008A2CB2" w:rsidRDefault="00917572" w:rsidP="00EA0B21">
            <w:pPr>
              <w:rPr>
                <w:color w:val="000000"/>
                <w:sz w:val="22"/>
                <w:szCs w:val="21"/>
              </w:rPr>
            </w:pPr>
            <w:r w:rsidRPr="008A2CB2">
              <w:rPr>
                <w:color w:val="000000"/>
                <w:sz w:val="22"/>
                <w:szCs w:val="21"/>
              </w:rPr>
              <w:t>W ujęciu niepieniężnym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A18A0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66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8E36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–</w:t>
            </w:r>
          </w:p>
        </w:tc>
      </w:tr>
      <w:tr w:rsidR="00917572" w14:paraId="35D7C3F1" w14:textId="77777777" w:rsidTr="00092C8C">
        <w:trPr>
          <w:trHeight w:val="14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83588" w14:textId="77777777" w:rsidR="00917572" w:rsidRPr="008A2CB2" w:rsidRDefault="00917572" w:rsidP="00EA0B21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A5581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66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F316D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–</w:t>
            </w:r>
          </w:p>
        </w:tc>
      </w:tr>
      <w:tr w:rsidR="00917572" w14:paraId="3C8021EA" w14:textId="77777777" w:rsidTr="00092C8C">
        <w:trPr>
          <w:trHeight w:val="21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4C7DF" w14:textId="77777777" w:rsidR="00917572" w:rsidRPr="008A2CB2" w:rsidRDefault="00917572" w:rsidP="00EA0B21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48F40" w14:textId="77777777" w:rsidR="00917572" w:rsidRDefault="00917572" w:rsidP="00EA0B21">
            <w:pPr>
              <w:tabs>
                <w:tab w:val="right" w:pos="1936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rodzina, obywatele oraz gospodarstwa domowe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870E7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–</w:t>
            </w:r>
          </w:p>
        </w:tc>
      </w:tr>
      <w:tr w:rsidR="00917572" w14:paraId="1932334D" w14:textId="77777777" w:rsidTr="00092C8C">
        <w:trPr>
          <w:trHeight w:val="21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93D" w14:textId="77777777" w:rsidR="00917572" w:rsidRPr="008A2CB2" w:rsidRDefault="00917572" w:rsidP="00EA0B21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7BAB9" w14:textId="77777777" w:rsidR="00917572" w:rsidRDefault="00917572" w:rsidP="00EA0B21">
            <w:pPr>
              <w:tabs>
                <w:tab w:val="right" w:pos="1936"/>
              </w:tabs>
              <w:rPr>
                <w:sz w:val="22"/>
                <w:szCs w:val="22"/>
              </w:rPr>
            </w:pPr>
            <w:r w:rsidRPr="00917572">
              <w:rPr>
                <w:sz w:val="22"/>
                <w:szCs w:val="22"/>
              </w:rPr>
              <w:t>osoby niepełnosprawne oraz osoby starsze</w:t>
            </w:r>
          </w:p>
        </w:tc>
        <w:tc>
          <w:tcPr>
            <w:tcW w:w="66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32292" w14:textId="77777777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–</w:t>
            </w:r>
          </w:p>
        </w:tc>
      </w:tr>
      <w:tr w:rsidR="00917572" w14:paraId="039FC17C" w14:textId="77777777" w:rsidTr="00092C8C">
        <w:trPr>
          <w:trHeight w:val="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6D8FB" w14:textId="77777777" w:rsidR="00917572" w:rsidRPr="008A2CB2" w:rsidRDefault="00917572" w:rsidP="00EA0B21">
            <w:pPr>
              <w:rPr>
                <w:color w:val="000000"/>
                <w:sz w:val="22"/>
                <w:szCs w:val="21"/>
              </w:rPr>
            </w:pPr>
            <w:r w:rsidRPr="008A2CB2">
              <w:rPr>
                <w:color w:val="000000"/>
                <w:sz w:val="22"/>
                <w:szCs w:val="21"/>
              </w:rPr>
              <w:t>Niemierzalne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EDE03" w14:textId="41FA8B29" w:rsidR="00917572" w:rsidRDefault="00917572" w:rsidP="009175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6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80835" w14:textId="567AC112" w:rsidR="00917572" w:rsidRDefault="00917572" w:rsidP="00917572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17572" w14:paraId="623AA200" w14:textId="77777777" w:rsidTr="00092C8C">
        <w:trPr>
          <w:trHeight w:val="312"/>
        </w:trPr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E5890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79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84DB9" w14:textId="6A522A70" w:rsidR="00917572" w:rsidRDefault="00917572" w:rsidP="00EA0B21">
            <w:pPr>
              <w:jc w:val="both"/>
              <w:rPr>
                <w:b/>
                <w:sz w:val="22"/>
                <w:szCs w:val="22"/>
              </w:rPr>
            </w:pPr>
            <w:r w:rsidRPr="00917572">
              <w:rPr>
                <w:color w:val="000000"/>
                <w:sz w:val="22"/>
                <w:szCs w:val="22"/>
              </w:rPr>
              <w:t>Wejście w życie projektowanego rozporządzenia nie będzie miało wpływu na konkurencyjność gospodarki i przedsiębiorczość, w tym na funkcjonowanie przedsiębiorców oraz na sytuację ekonomiczną i społeczną rodziny, osób niepełnosprawnych oraz osób starszych, a także na obywateli i gospodarstwa domowe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17572" w14:paraId="1EBC9043" w14:textId="77777777" w:rsidTr="00917572">
        <w:trPr>
          <w:trHeight w:val="34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E65B423" w14:textId="77777777" w:rsidR="00917572" w:rsidRDefault="00917572" w:rsidP="00EA0B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Zmiana obciążeń regulacyjnych (w tym obowiązków informacyjnych) wynikających z projektu</w:t>
            </w:r>
          </w:p>
        </w:tc>
      </w:tr>
      <w:tr w:rsidR="00917572" w14:paraId="1E15B75B" w14:textId="77777777" w:rsidTr="00917572">
        <w:trPr>
          <w:trHeight w:val="150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2365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  <w:r>
              <w:rPr>
                <w:sz w:val="22"/>
                <w:szCs w:val="22"/>
              </w:rPr>
              <w:t xml:space="preserve"> nie dotyczy</w:t>
            </w:r>
          </w:p>
        </w:tc>
      </w:tr>
      <w:tr w:rsidR="00917572" w14:paraId="221A5E24" w14:textId="77777777" w:rsidTr="00092C8C">
        <w:trPr>
          <w:trHeight w:val="945"/>
        </w:trPr>
        <w:tc>
          <w:tcPr>
            <w:tcW w:w="4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7D37C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Wprowadzane są obciążenia poza bezwzględnie wymaganymi przez UE (szczegóły w odwróconej tabeli zgodności).</w:t>
            </w:r>
          </w:p>
        </w:tc>
        <w:tc>
          <w:tcPr>
            <w:tcW w:w="62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90315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tak</w:t>
            </w:r>
          </w:p>
          <w:p w14:paraId="6227F799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nie</w:t>
            </w:r>
          </w:p>
          <w:p w14:paraId="3252808D" w14:textId="6D32EA12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nie dotyczy</w:t>
            </w:r>
          </w:p>
        </w:tc>
      </w:tr>
      <w:tr w:rsidR="00917572" w14:paraId="10AA05E0" w14:textId="77777777" w:rsidTr="00092C8C">
        <w:trPr>
          <w:trHeight w:val="1042"/>
        </w:trPr>
        <w:tc>
          <w:tcPr>
            <w:tcW w:w="4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A5867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zmniejszenie liczby dokumentów </w:t>
            </w:r>
          </w:p>
          <w:p w14:paraId="043E52A5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zmniejszenie liczby procedur</w:t>
            </w:r>
          </w:p>
          <w:p w14:paraId="65F534A5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skrócenie czasu na załatwienie sprawy</w:t>
            </w:r>
          </w:p>
          <w:p w14:paraId="0AF17A55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inne: …</w:t>
            </w:r>
          </w:p>
        </w:tc>
        <w:tc>
          <w:tcPr>
            <w:tcW w:w="62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EC0EE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zwiększenie liczby dokumentów</w:t>
            </w:r>
          </w:p>
          <w:p w14:paraId="1E6C5131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zwiększenie liczby procedur</w:t>
            </w:r>
          </w:p>
          <w:p w14:paraId="3C73797A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wydłużenie czasu na załatwienie sprawy</w:t>
            </w:r>
          </w:p>
          <w:p w14:paraId="35080B66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inne: …</w:t>
            </w:r>
          </w:p>
        </w:tc>
      </w:tr>
      <w:tr w:rsidR="00917572" w14:paraId="2501C314" w14:textId="77777777" w:rsidTr="00092C8C">
        <w:trPr>
          <w:trHeight w:val="869"/>
        </w:trPr>
        <w:tc>
          <w:tcPr>
            <w:tcW w:w="4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0103B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62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B8791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tak</w:t>
            </w:r>
          </w:p>
          <w:p w14:paraId="6E3CA13C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nie</w:t>
            </w:r>
          </w:p>
          <w:p w14:paraId="270279A7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nie dotyczy</w:t>
            </w:r>
          </w:p>
        </w:tc>
      </w:tr>
      <w:tr w:rsidR="00917572" w14:paraId="1D3A68D8" w14:textId="77777777" w:rsidTr="00917572">
        <w:trPr>
          <w:trHeight w:val="220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58DB6" w14:textId="77777777" w:rsidR="00917572" w:rsidRDefault="00917572" w:rsidP="00EA0B2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Komentarz: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Brak.</w:t>
            </w:r>
          </w:p>
        </w:tc>
      </w:tr>
      <w:tr w:rsidR="00917572" w14:paraId="566BF70F" w14:textId="77777777" w:rsidTr="00917572">
        <w:trPr>
          <w:trHeight w:val="14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4D4E542" w14:textId="77777777" w:rsidR="00917572" w:rsidRDefault="00917572" w:rsidP="00EA0B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Wpływ na rynek pracy </w:t>
            </w:r>
          </w:p>
        </w:tc>
      </w:tr>
      <w:tr w:rsidR="00917572" w14:paraId="0513DBF3" w14:textId="77777777" w:rsidTr="00917572">
        <w:trPr>
          <w:trHeight w:val="14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CB60" w14:textId="77777777" w:rsidR="00917572" w:rsidRDefault="00917572" w:rsidP="00EA0B2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Wejście w życie rozporządzenia nie będzie miało wpływu na rynek pracy.</w:t>
            </w:r>
          </w:p>
        </w:tc>
      </w:tr>
      <w:tr w:rsidR="00917572" w14:paraId="4F44E8EA" w14:textId="77777777" w:rsidTr="00917572">
        <w:trPr>
          <w:trHeight w:val="14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5E9A3FC" w14:textId="77777777" w:rsidR="00917572" w:rsidRDefault="00917572" w:rsidP="00EA0B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Wpływ na pozostałe obszary</w:t>
            </w:r>
          </w:p>
        </w:tc>
      </w:tr>
      <w:tr w:rsidR="00917572" w14:paraId="1796AB5B" w14:textId="77777777" w:rsidTr="00092C8C">
        <w:trPr>
          <w:trHeight w:val="10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84834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☐</w:t>
            </w:r>
            <w:r>
              <w:rPr>
                <w:sz w:val="22"/>
                <w:szCs w:val="22"/>
              </w:rPr>
              <w:t xml:space="preserve">  środowisko naturalne</w:t>
            </w:r>
          </w:p>
          <w:p w14:paraId="4FE6BBA5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 sytuacja i rozwój regionalny</w:t>
            </w:r>
          </w:p>
          <w:p w14:paraId="61B99117" w14:textId="77777777" w:rsidR="00917572" w:rsidRDefault="00917572" w:rsidP="00917572">
            <w:pPr>
              <w:ind w:left="317" w:hanging="317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2"/>
                <w:sz w:val="22"/>
                <w:szCs w:val="22"/>
              </w:rPr>
              <w:t>sądy powszechne, administracyjne lub wojskowe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00BA1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demografia</w:t>
            </w:r>
          </w:p>
          <w:p w14:paraId="47CAE506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mienie państwowe</w:t>
            </w:r>
          </w:p>
          <w:p w14:paraId="4DC0E03C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inne:</w:t>
            </w:r>
          </w:p>
        </w:tc>
        <w:tc>
          <w:tcPr>
            <w:tcW w:w="4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73B74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informatyzacja</w:t>
            </w:r>
          </w:p>
          <w:p w14:paraId="4260D34B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zdrowie</w:t>
            </w:r>
          </w:p>
        </w:tc>
      </w:tr>
      <w:tr w:rsidR="00917572" w14:paraId="0C3BCF57" w14:textId="77777777" w:rsidTr="00092C8C">
        <w:trPr>
          <w:trHeight w:val="181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88400" w14:textId="77777777" w:rsidR="00917572" w:rsidRDefault="00917572" w:rsidP="00EA0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7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A17C" w14:textId="77777777" w:rsidR="00917572" w:rsidRDefault="00917572" w:rsidP="00EA0B2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Brak wpływu.</w:t>
            </w:r>
          </w:p>
        </w:tc>
      </w:tr>
      <w:tr w:rsidR="00917572" w14:paraId="7C98C0C2" w14:textId="77777777" w:rsidTr="00917572">
        <w:trPr>
          <w:trHeight w:val="14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D8E0668" w14:textId="77777777" w:rsidR="00917572" w:rsidRDefault="00917572" w:rsidP="00EA0B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 Planowane wykonanie przepisów aktu prawnego</w:t>
            </w:r>
          </w:p>
        </w:tc>
      </w:tr>
      <w:tr w:rsidR="00917572" w14:paraId="11A7B083" w14:textId="77777777" w:rsidTr="00917572">
        <w:trPr>
          <w:trHeight w:val="14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7D1C9" w14:textId="77777777" w:rsidR="00917572" w:rsidRDefault="00917572" w:rsidP="00917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przepisów rozporządzenia nastąpi po jego wejściu w życie.</w:t>
            </w:r>
          </w:p>
        </w:tc>
      </w:tr>
      <w:tr w:rsidR="00917572" w14:paraId="3EA8F075" w14:textId="77777777" w:rsidTr="00917572">
        <w:trPr>
          <w:trHeight w:val="14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92B56AC" w14:textId="554A9725" w:rsidR="00917572" w:rsidRDefault="00917572" w:rsidP="00EA0B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W jaki sposób i kiedy nastąpi ewaluacja efektów projektu oraz jakie mierniki zostaną zastosowane?</w:t>
            </w:r>
          </w:p>
        </w:tc>
      </w:tr>
      <w:tr w:rsidR="00917572" w14:paraId="720B7C94" w14:textId="77777777" w:rsidTr="00917572">
        <w:trPr>
          <w:trHeight w:val="14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D8886" w14:textId="77777777" w:rsidR="00917572" w:rsidRDefault="00917572" w:rsidP="00EA0B21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Ze względu na charakter regulacji nie przewiduje się przeprowadzenia ewaluacji efektów projektu.</w:t>
            </w:r>
          </w:p>
        </w:tc>
      </w:tr>
      <w:tr w:rsidR="00917572" w14:paraId="3993ACB4" w14:textId="77777777" w:rsidTr="00917572">
        <w:trPr>
          <w:trHeight w:val="14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DB73C5E" w14:textId="77777777" w:rsidR="00917572" w:rsidRDefault="00917572" w:rsidP="00EA0B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 Załączniki (istotne dokumenty źródłowe, badania, analizy itp.) </w:t>
            </w:r>
          </w:p>
        </w:tc>
      </w:tr>
      <w:tr w:rsidR="00917572" w14:paraId="6F438DD2" w14:textId="77777777" w:rsidTr="00917572">
        <w:trPr>
          <w:trHeight w:val="14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544F6" w14:textId="77777777" w:rsidR="00917572" w:rsidRDefault="00917572" w:rsidP="00EA0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Brak.</w:t>
            </w:r>
          </w:p>
        </w:tc>
      </w:tr>
    </w:tbl>
    <w:p w14:paraId="0DA4A641" w14:textId="77777777" w:rsidR="00510D57" w:rsidRDefault="00510D57"/>
    <w:sectPr w:rsidR="00510D57" w:rsidSect="00917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D5943"/>
    <w:multiLevelType w:val="hybridMultilevel"/>
    <w:tmpl w:val="1222E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0839"/>
    <w:multiLevelType w:val="hybridMultilevel"/>
    <w:tmpl w:val="4F780532"/>
    <w:lvl w:ilvl="0" w:tplc="C9D6CD1C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0673C"/>
    <w:multiLevelType w:val="hybridMultilevel"/>
    <w:tmpl w:val="2CD06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C16A5"/>
    <w:multiLevelType w:val="hybridMultilevel"/>
    <w:tmpl w:val="6AD28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86403"/>
    <w:multiLevelType w:val="hybridMultilevel"/>
    <w:tmpl w:val="6526D886"/>
    <w:lvl w:ilvl="0" w:tplc="4170B4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F7A"/>
    <w:multiLevelType w:val="hybridMultilevel"/>
    <w:tmpl w:val="097660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72"/>
    <w:rsid w:val="00092C8C"/>
    <w:rsid w:val="001B4413"/>
    <w:rsid w:val="001B4578"/>
    <w:rsid w:val="00260EF5"/>
    <w:rsid w:val="00265C23"/>
    <w:rsid w:val="00296EC7"/>
    <w:rsid w:val="003A23BF"/>
    <w:rsid w:val="003A666C"/>
    <w:rsid w:val="003C04B3"/>
    <w:rsid w:val="00467A89"/>
    <w:rsid w:val="004B6981"/>
    <w:rsid w:val="00510D57"/>
    <w:rsid w:val="0054004D"/>
    <w:rsid w:val="00657460"/>
    <w:rsid w:val="006F1A3F"/>
    <w:rsid w:val="00706ACC"/>
    <w:rsid w:val="007575D5"/>
    <w:rsid w:val="00793069"/>
    <w:rsid w:val="008A2CB2"/>
    <w:rsid w:val="00911F52"/>
    <w:rsid w:val="00917572"/>
    <w:rsid w:val="009F42F8"/>
    <w:rsid w:val="00AC551A"/>
    <w:rsid w:val="00B929C2"/>
    <w:rsid w:val="00C17806"/>
    <w:rsid w:val="00C5159A"/>
    <w:rsid w:val="00CC1686"/>
    <w:rsid w:val="00D577EC"/>
    <w:rsid w:val="00D9608D"/>
    <w:rsid w:val="00EA0B21"/>
    <w:rsid w:val="00F65D8F"/>
    <w:rsid w:val="00FC6285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FF3B"/>
  <w15:chartTrackingRefBased/>
  <w15:docId w15:val="{0C8AEC0F-5250-403D-8F04-4C9FD53F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917572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917572"/>
    <w:pPr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5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7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91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2827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Lutostański Damian</dc:creator>
  <cp:keywords/>
  <dc:description/>
  <cp:lastModifiedBy>Antosiewicz Barbara</cp:lastModifiedBy>
  <cp:revision>2</cp:revision>
  <dcterms:created xsi:type="dcterms:W3CDTF">2022-11-10T10:01:00Z</dcterms:created>
  <dcterms:modified xsi:type="dcterms:W3CDTF">2022-11-10T10:01:00Z</dcterms:modified>
</cp:coreProperties>
</file>