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571"/>
      </w:tblGrid>
      <w:tr w:rsidR="006A701A" w:rsidRPr="004F512A" w14:paraId="71CF516C" w14:textId="77777777" w:rsidTr="00DE4C3A">
        <w:trPr>
          <w:trHeight w:val="1611"/>
        </w:trPr>
        <w:tc>
          <w:tcPr>
            <w:tcW w:w="6631" w:type="dxa"/>
            <w:gridSpan w:val="17"/>
          </w:tcPr>
          <w:p w14:paraId="2D508E30" w14:textId="5E877563" w:rsidR="006A701A" w:rsidRPr="004F512A" w:rsidRDefault="006A701A" w:rsidP="00616511">
            <w:pPr>
              <w:spacing w:before="120" w:line="240" w:lineRule="auto"/>
              <w:ind w:hanging="45"/>
              <w:rPr>
                <w:rFonts w:ascii="Times New Roman" w:hAnsi="Times New Roman"/>
                <w:color w:val="000000"/>
              </w:rPr>
            </w:pPr>
            <w:bookmarkStart w:id="0" w:name="t1"/>
            <w:r w:rsidRPr="004F512A">
              <w:rPr>
                <w:rFonts w:ascii="Times New Roman" w:hAnsi="Times New Roman"/>
                <w:b/>
                <w:color w:val="000000"/>
              </w:rPr>
              <w:t xml:space="preserve">Nazwa </w:t>
            </w:r>
            <w:r w:rsidR="001B75D8" w:rsidRPr="004F512A">
              <w:rPr>
                <w:rFonts w:ascii="Times New Roman" w:hAnsi="Times New Roman"/>
                <w:b/>
                <w:color w:val="000000"/>
              </w:rPr>
              <w:t>projektu</w:t>
            </w:r>
          </w:p>
          <w:p w14:paraId="066B93CB" w14:textId="4464D817" w:rsidR="006A701A" w:rsidRPr="004F512A" w:rsidRDefault="00480003" w:rsidP="00A52ADB">
            <w:pPr>
              <w:spacing w:line="240" w:lineRule="auto"/>
              <w:ind w:hanging="34"/>
              <w:rPr>
                <w:rFonts w:ascii="Times New Roman" w:hAnsi="Times New Roman"/>
                <w:color w:val="000000"/>
              </w:rPr>
            </w:pPr>
            <w:r>
              <w:rPr>
                <w:rFonts w:ascii="Times New Roman" w:hAnsi="Times New Roman"/>
                <w:color w:val="000000"/>
              </w:rPr>
              <w:t xml:space="preserve">Ustawa </w:t>
            </w:r>
            <w:r w:rsidR="004E4DFE" w:rsidRPr="004F512A">
              <w:rPr>
                <w:rFonts w:ascii="Times New Roman" w:hAnsi="Times New Roman"/>
                <w:color w:val="000000"/>
              </w:rPr>
              <w:t>o przygotowaniu i realizacji inwestycji w zakresie elektrowni szczytowo-pompowych</w:t>
            </w:r>
          </w:p>
          <w:p w14:paraId="681189BE" w14:textId="77777777" w:rsidR="006A701A" w:rsidRPr="004F512A" w:rsidRDefault="006A701A" w:rsidP="00616511">
            <w:pPr>
              <w:spacing w:before="120" w:line="240" w:lineRule="auto"/>
              <w:ind w:hanging="45"/>
              <w:rPr>
                <w:rFonts w:ascii="Times New Roman" w:hAnsi="Times New Roman"/>
                <w:b/>
                <w:color w:val="000000"/>
              </w:rPr>
            </w:pPr>
            <w:r w:rsidRPr="004F512A">
              <w:rPr>
                <w:rFonts w:ascii="Times New Roman" w:hAnsi="Times New Roman"/>
                <w:b/>
                <w:color w:val="000000"/>
              </w:rPr>
              <w:t>Ministerstwo wiodące i ministerstwa współpracujące</w:t>
            </w:r>
          </w:p>
          <w:bookmarkEnd w:id="0"/>
          <w:p w14:paraId="7C23757C" w14:textId="3C8F2CBE" w:rsidR="007415D0" w:rsidRPr="004F512A" w:rsidRDefault="004E4DFE" w:rsidP="004E4DFE">
            <w:pPr>
              <w:spacing w:line="240" w:lineRule="auto"/>
              <w:ind w:hanging="34"/>
              <w:rPr>
                <w:rFonts w:ascii="Times New Roman" w:hAnsi="Times New Roman"/>
                <w:color w:val="000000"/>
              </w:rPr>
            </w:pPr>
            <w:r w:rsidRPr="004F512A">
              <w:rPr>
                <w:rFonts w:ascii="Times New Roman" w:hAnsi="Times New Roman"/>
                <w:color w:val="000000"/>
              </w:rPr>
              <w:t>Ministerstwo Klimatu i Środowiska</w:t>
            </w:r>
          </w:p>
          <w:p w14:paraId="2A1F9732" w14:textId="77777777" w:rsidR="004E4DFE" w:rsidRPr="004F512A" w:rsidRDefault="004E4DFE" w:rsidP="001B3460">
            <w:pPr>
              <w:spacing w:line="240" w:lineRule="auto"/>
              <w:rPr>
                <w:rFonts w:ascii="Times New Roman" w:hAnsi="Times New Roman"/>
                <w:b/>
              </w:rPr>
            </w:pPr>
          </w:p>
          <w:p w14:paraId="775F1C3E" w14:textId="57A9DA11" w:rsidR="001B3460" w:rsidRPr="004F512A" w:rsidRDefault="001B3460" w:rsidP="001B3460">
            <w:pPr>
              <w:spacing w:line="240" w:lineRule="auto"/>
              <w:rPr>
                <w:rFonts w:ascii="Times New Roman" w:hAnsi="Times New Roman"/>
                <w:b/>
              </w:rPr>
            </w:pPr>
            <w:r w:rsidRPr="004F512A">
              <w:rPr>
                <w:rFonts w:ascii="Times New Roman" w:hAnsi="Times New Roman"/>
                <w:b/>
              </w:rPr>
              <w:t xml:space="preserve">Osoba odpowiedzialna za projekt w randze Ministra, Sekretarza Stanu lub Podsekretarza Stanu </w:t>
            </w:r>
          </w:p>
          <w:p w14:paraId="16CB5CA7" w14:textId="228B1E5A" w:rsidR="001B3460" w:rsidRPr="004F512A" w:rsidRDefault="004E4DFE" w:rsidP="001B3460">
            <w:pPr>
              <w:spacing w:line="240" w:lineRule="auto"/>
              <w:rPr>
                <w:rFonts w:ascii="Times New Roman" w:hAnsi="Times New Roman"/>
              </w:rPr>
            </w:pPr>
            <w:r w:rsidRPr="004F512A">
              <w:rPr>
                <w:rFonts w:ascii="Times New Roman" w:hAnsi="Times New Roman"/>
              </w:rPr>
              <w:t>Pan</w:t>
            </w:r>
            <w:r w:rsidR="00D67AF3">
              <w:rPr>
                <w:rFonts w:ascii="Times New Roman" w:hAnsi="Times New Roman"/>
              </w:rPr>
              <w:t xml:space="preserve">i Anna </w:t>
            </w:r>
            <w:r w:rsidR="002B1857">
              <w:rPr>
                <w:rFonts w:ascii="Times New Roman" w:hAnsi="Times New Roman"/>
              </w:rPr>
              <w:t>Łukaszewska-Trzeciakowska</w:t>
            </w:r>
            <w:r w:rsidRPr="004F512A">
              <w:rPr>
                <w:rFonts w:ascii="Times New Roman" w:hAnsi="Times New Roman"/>
              </w:rPr>
              <w:t xml:space="preserve"> –</w:t>
            </w:r>
            <w:r w:rsidR="006E3DE6">
              <w:rPr>
                <w:rFonts w:ascii="Times New Roman" w:hAnsi="Times New Roman"/>
              </w:rPr>
              <w:t xml:space="preserve"> </w:t>
            </w:r>
            <w:r w:rsidR="002B1857">
              <w:rPr>
                <w:rFonts w:ascii="Times New Roman" w:hAnsi="Times New Roman"/>
              </w:rPr>
              <w:t xml:space="preserve">Podsekretarz Stanu w </w:t>
            </w:r>
            <w:r w:rsidRPr="004F512A">
              <w:rPr>
                <w:rFonts w:ascii="Times New Roman" w:hAnsi="Times New Roman"/>
              </w:rPr>
              <w:t>Minister</w:t>
            </w:r>
            <w:r w:rsidR="002B1857">
              <w:rPr>
                <w:rFonts w:ascii="Times New Roman" w:hAnsi="Times New Roman"/>
              </w:rPr>
              <w:t>stwie</w:t>
            </w:r>
            <w:r w:rsidRPr="004F512A">
              <w:rPr>
                <w:rFonts w:ascii="Times New Roman" w:hAnsi="Times New Roman"/>
              </w:rPr>
              <w:t xml:space="preserve"> Klimatu i Środowiska</w:t>
            </w:r>
          </w:p>
          <w:p w14:paraId="12AE3C53" w14:textId="77777777" w:rsidR="006A701A" w:rsidRPr="004F512A" w:rsidRDefault="006A701A" w:rsidP="00616511">
            <w:pPr>
              <w:spacing w:before="120" w:line="240" w:lineRule="auto"/>
              <w:ind w:hanging="45"/>
              <w:rPr>
                <w:rFonts w:ascii="Times New Roman" w:hAnsi="Times New Roman"/>
                <w:b/>
                <w:color w:val="000000"/>
              </w:rPr>
            </w:pPr>
            <w:r w:rsidRPr="004F512A">
              <w:rPr>
                <w:rFonts w:ascii="Times New Roman" w:hAnsi="Times New Roman"/>
                <w:b/>
                <w:color w:val="000000"/>
              </w:rPr>
              <w:t>Kontakt do opiekuna merytorycznego projektu</w:t>
            </w:r>
          </w:p>
          <w:p w14:paraId="325180CC" w14:textId="03B8AD3C" w:rsidR="006A701A" w:rsidRDefault="004E4DFE" w:rsidP="00A17CB2">
            <w:pPr>
              <w:spacing w:line="240" w:lineRule="auto"/>
              <w:ind w:hanging="34"/>
              <w:rPr>
                <w:rFonts w:ascii="Times New Roman" w:hAnsi="Times New Roman"/>
                <w:color w:val="000000"/>
              </w:rPr>
            </w:pPr>
            <w:r w:rsidRPr="004F512A">
              <w:rPr>
                <w:rFonts w:ascii="Times New Roman" w:hAnsi="Times New Roman"/>
                <w:color w:val="000000"/>
              </w:rPr>
              <w:t xml:space="preserve">Pan </w:t>
            </w:r>
            <w:r w:rsidR="00FB7039">
              <w:rPr>
                <w:rFonts w:ascii="Times New Roman" w:hAnsi="Times New Roman"/>
                <w:color w:val="000000"/>
              </w:rPr>
              <w:t xml:space="preserve">Łukasz </w:t>
            </w:r>
            <w:proofErr w:type="spellStart"/>
            <w:r w:rsidR="00FB7039">
              <w:rPr>
                <w:rFonts w:ascii="Times New Roman" w:hAnsi="Times New Roman"/>
                <w:color w:val="000000"/>
              </w:rPr>
              <w:t>Bartuszek</w:t>
            </w:r>
            <w:proofErr w:type="spellEnd"/>
            <w:r w:rsidR="00FB7039">
              <w:rPr>
                <w:rFonts w:ascii="Times New Roman" w:hAnsi="Times New Roman"/>
                <w:color w:val="000000"/>
              </w:rPr>
              <w:t xml:space="preserve"> </w:t>
            </w:r>
            <w:r w:rsidRPr="004F512A">
              <w:rPr>
                <w:rFonts w:ascii="Times New Roman" w:hAnsi="Times New Roman"/>
                <w:color w:val="000000"/>
              </w:rPr>
              <w:t xml:space="preserve"> – Departament Elektroenergetyki i Gazu</w:t>
            </w:r>
          </w:p>
          <w:p w14:paraId="1AC32391" w14:textId="77777777" w:rsidR="00DB4D79" w:rsidRPr="002B34DA" w:rsidRDefault="00DB4D79" w:rsidP="00A17CB2">
            <w:pPr>
              <w:spacing w:line="240" w:lineRule="auto"/>
              <w:ind w:hanging="34"/>
              <w:rPr>
                <w:rFonts w:ascii="Times New Roman" w:hAnsi="Times New Roman"/>
                <w:color w:val="000000"/>
                <w:lang w:val="en-GB"/>
              </w:rPr>
            </w:pPr>
            <w:r w:rsidRPr="002B34DA">
              <w:rPr>
                <w:rFonts w:ascii="Times New Roman" w:hAnsi="Times New Roman"/>
                <w:color w:val="000000"/>
                <w:lang w:val="en-GB"/>
              </w:rPr>
              <w:t>tel. (22) 369-10-55</w:t>
            </w:r>
          </w:p>
          <w:p w14:paraId="414D04D5" w14:textId="2B1587D2" w:rsidR="00DB4D79" w:rsidRPr="002B34DA" w:rsidRDefault="00776219" w:rsidP="00A17CB2">
            <w:pPr>
              <w:spacing w:line="240" w:lineRule="auto"/>
              <w:ind w:hanging="34"/>
              <w:rPr>
                <w:rFonts w:ascii="Times New Roman" w:hAnsi="Times New Roman"/>
                <w:color w:val="000000"/>
                <w:lang w:val="en-GB"/>
              </w:rPr>
            </w:pPr>
            <w:r w:rsidRPr="002B34DA">
              <w:rPr>
                <w:rFonts w:ascii="Times New Roman" w:hAnsi="Times New Roman"/>
                <w:color w:val="000000"/>
                <w:lang w:val="en-GB"/>
              </w:rPr>
              <w:t xml:space="preserve">e-mail: </w:t>
            </w:r>
            <w:r w:rsidR="00DB4D79" w:rsidRPr="002B34DA">
              <w:rPr>
                <w:rFonts w:ascii="Times New Roman" w:hAnsi="Times New Roman"/>
                <w:color w:val="000000"/>
                <w:lang w:val="en-GB"/>
              </w:rPr>
              <w:t>departament.elektroenergetyki@klimat.gov.pl</w:t>
            </w:r>
          </w:p>
        </w:tc>
        <w:tc>
          <w:tcPr>
            <w:tcW w:w="4455" w:type="dxa"/>
            <w:gridSpan w:val="12"/>
            <w:shd w:val="clear" w:color="auto" w:fill="FFFFFF"/>
          </w:tcPr>
          <w:p w14:paraId="42BF4090" w14:textId="0F7795AF" w:rsidR="001B3460" w:rsidRPr="004F512A" w:rsidRDefault="001B3460" w:rsidP="001B3460">
            <w:pPr>
              <w:spacing w:line="240" w:lineRule="auto"/>
              <w:rPr>
                <w:rFonts w:ascii="Times New Roman" w:hAnsi="Times New Roman"/>
                <w:b/>
              </w:rPr>
            </w:pPr>
            <w:r w:rsidRPr="004F512A">
              <w:rPr>
                <w:rFonts w:ascii="Times New Roman" w:hAnsi="Times New Roman"/>
                <w:b/>
              </w:rPr>
              <w:t>Data sporządzenia</w:t>
            </w:r>
            <w:r w:rsidRPr="004F512A">
              <w:rPr>
                <w:rFonts w:ascii="Times New Roman" w:hAnsi="Times New Roman"/>
                <w:b/>
              </w:rPr>
              <w:br/>
            </w:r>
            <w:sdt>
              <w:sdtPr>
                <w:rPr>
                  <w:rFonts w:ascii="Times New Roman" w:hAnsi="Times New Roman"/>
                  <w:b/>
                </w:rPr>
                <w:id w:val="-345788683"/>
                <w:placeholder>
                  <w:docPart w:val="DefaultPlaceholder_1082065160"/>
                </w:placeholder>
                <w:date w:fullDate="2022-09-12T00:00:00Z">
                  <w:dateFormat w:val="dd.MM.yyyy"/>
                  <w:lid w:val="pl-PL"/>
                  <w:storeMappedDataAs w:val="dateTime"/>
                  <w:calendar w:val="gregorian"/>
                </w:date>
              </w:sdtPr>
              <w:sdtContent>
                <w:r w:rsidR="008A264A">
                  <w:rPr>
                    <w:rFonts w:ascii="Times New Roman" w:hAnsi="Times New Roman"/>
                    <w:b/>
                  </w:rPr>
                  <w:t>12.09.2022</w:t>
                </w:r>
              </w:sdtContent>
            </w:sdt>
          </w:p>
          <w:p w14:paraId="3E1C9E58" w14:textId="77777777" w:rsidR="00F76884" w:rsidRPr="004F512A" w:rsidRDefault="00F76884" w:rsidP="00F76884">
            <w:pPr>
              <w:spacing w:line="240" w:lineRule="auto"/>
              <w:rPr>
                <w:rFonts w:ascii="Times New Roman" w:hAnsi="Times New Roman"/>
                <w:b/>
              </w:rPr>
            </w:pPr>
          </w:p>
          <w:p w14:paraId="6AF35B20" w14:textId="77777777" w:rsidR="00F76884" w:rsidRPr="004F512A" w:rsidRDefault="00F76884" w:rsidP="00F76884">
            <w:pPr>
              <w:spacing w:line="240" w:lineRule="auto"/>
              <w:rPr>
                <w:rFonts w:ascii="Times New Roman" w:hAnsi="Times New Roman"/>
                <w:b/>
              </w:rPr>
            </w:pPr>
            <w:r w:rsidRPr="004F512A">
              <w:rPr>
                <w:rFonts w:ascii="Times New Roman" w:hAnsi="Times New Roman"/>
                <w:b/>
              </w:rPr>
              <w:t xml:space="preserve">Źródło: </w:t>
            </w:r>
            <w:bookmarkStart w:id="1" w:name="Lista1"/>
          </w:p>
          <w:bookmarkEnd w:id="1" w:displacedByCustomXml="next"/>
          <w:sdt>
            <w:sdtPr>
              <w:rPr>
                <w:rFonts w:ascii="Times New Roman" w:hAnsi="Times New Roman"/>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Content>
              <w:p w14:paraId="14FBCD91" w14:textId="2D88F537" w:rsidR="00F76884" w:rsidRPr="004F512A" w:rsidRDefault="00BE4510" w:rsidP="00F76884">
                <w:pPr>
                  <w:spacing w:line="240" w:lineRule="auto"/>
                  <w:rPr>
                    <w:rFonts w:ascii="Times New Roman" w:hAnsi="Times New Roman"/>
                  </w:rPr>
                </w:pPr>
                <w:r>
                  <w:rPr>
                    <w:rFonts w:ascii="Times New Roman" w:hAnsi="Times New Roman"/>
                  </w:rPr>
                  <w:t>Inne</w:t>
                </w:r>
              </w:p>
            </w:sdtContent>
          </w:sdt>
          <w:p w14:paraId="1B09FFBB" w14:textId="1577ADE8" w:rsidR="00BA2BB7" w:rsidRPr="004F512A" w:rsidRDefault="00FB7039" w:rsidP="00F76884">
            <w:pPr>
              <w:spacing w:line="240" w:lineRule="auto"/>
              <w:rPr>
                <w:rFonts w:ascii="Times New Roman" w:hAnsi="Times New Roman"/>
              </w:rPr>
            </w:pPr>
            <w:r>
              <w:rPr>
                <w:rFonts w:ascii="Times New Roman" w:hAnsi="Times New Roman"/>
              </w:rPr>
              <w:t>Inicjatywa własna</w:t>
            </w:r>
          </w:p>
          <w:p w14:paraId="69A46A6B" w14:textId="77777777" w:rsidR="00F76884" w:rsidRPr="004F512A" w:rsidRDefault="00F76884" w:rsidP="00F76884">
            <w:pPr>
              <w:spacing w:line="240" w:lineRule="auto"/>
              <w:rPr>
                <w:rFonts w:ascii="Times New Roman" w:hAnsi="Times New Roman"/>
              </w:rPr>
            </w:pPr>
          </w:p>
          <w:p w14:paraId="639381A1" w14:textId="77777777" w:rsidR="006A701A" w:rsidRPr="004F512A" w:rsidRDefault="006A701A" w:rsidP="007943E2">
            <w:pPr>
              <w:spacing w:before="120" w:line="240" w:lineRule="auto"/>
              <w:rPr>
                <w:rFonts w:ascii="Times New Roman" w:hAnsi="Times New Roman"/>
                <w:b/>
                <w:color w:val="000000"/>
              </w:rPr>
            </w:pPr>
            <w:r w:rsidRPr="004F512A">
              <w:rPr>
                <w:rFonts w:ascii="Times New Roman" w:hAnsi="Times New Roman"/>
                <w:b/>
                <w:color w:val="000000"/>
              </w:rPr>
              <w:t xml:space="preserve">Nr </w:t>
            </w:r>
            <w:r w:rsidR="0057668E" w:rsidRPr="004F512A">
              <w:rPr>
                <w:rFonts w:ascii="Times New Roman" w:hAnsi="Times New Roman"/>
                <w:b/>
                <w:color w:val="000000"/>
              </w:rPr>
              <w:t>w</w:t>
            </w:r>
            <w:r w:rsidRPr="004F512A">
              <w:rPr>
                <w:rFonts w:ascii="Times New Roman" w:hAnsi="Times New Roman"/>
                <w:b/>
                <w:color w:val="000000"/>
              </w:rPr>
              <w:t xml:space="preserve"> wykaz</w:t>
            </w:r>
            <w:r w:rsidR="0057668E" w:rsidRPr="004F512A">
              <w:rPr>
                <w:rFonts w:ascii="Times New Roman" w:hAnsi="Times New Roman"/>
                <w:b/>
                <w:color w:val="000000"/>
              </w:rPr>
              <w:t>ie</w:t>
            </w:r>
            <w:r w:rsidRPr="004F512A">
              <w:rPr>
                <w:rFonts w:ascii="Times New Roman" w:hAnsi="Times New Roman"/>
                <w:b/>
                <w:color w:val="000000"/>
              </w:rPr>
              <w:t xml:space="preserve"> prac </w:t>
            </w:r>
          </w:p>
          <w:p w14:paraId="2CE0F9DF" w14:textId="7BF730EA" w:rsidR="006A701A" w:rsidRPr="004F512A" w:rsidRDefault="00380E90" w:rsidP="007943E2">
            <w:pPr>
              <w:spacing w:line="240" w:lineRule="auto"/>
              <w:rPr>
                <w:rFonts w:ascii="Times New Roman" w:hAnsi="Times New Roman"/>
                <w:color w:val="000000"/>
              </w:rPr>
            </w:pPr>
            <w:r>
              <w:rPr>
                <w:rFonts w:ascii="Times New Roman" w:hAnsi="Times New Roman"/>
                <w:b/>
                <w:color w:val="000000"/>
              </w:rPr>
              <w:t>UD 453</w:t>
            </w:r>
          </w:p>
          <w:p w14:paraId="4DDEA791" w14:textId="77777777" w:rsidR="006A701A" w:rsidRPr="004F512A" w:rsidRDefault="006A701A" w:rsidP="00A17CB2">
            <w:pPr>
              <w:spacing w:line="240" w:lineRule="auto"/>
              <w:rPr>
                <w:rFonts w:ascii="Times New Roman" w:hAnsi="Times New Roman"/>
                <w:color w:val="000000"/>
              </w:rPr>
            </w:pPr>
          </w:p>
        </w:tc>
      </w:tr>
      <w:tr w:rsidR="006A701A" w:rsidRPr="004F512A" w14:paraId="1EAABB76" w14:textId="77777777" w:rsidTr="00DE4C3A">
        <w:trPr>
          <w:trHeight w:val="142"/>
        </w:trPr>
        <w:tc>
          <w:tcPr>
            <w:tcW w:w="11086" w:type="dxa"/>
            <w:gridSpan w:val="29"/>
            <w:shd w:val="clear" w:color="auto" w:fill="99CCFF"/>
          </w:tcPr>
          <w:p w14:paraId="39737DB8" w14:textId="77777777" w:rsidR="006A701A" w:rsidRPr="004F512A" w:rsidRDefault="006A701A" w:rsidP="001B4CA1">
            <w:pPr>
              <w:spacing w:line="240" w:lineRule="auto"/>
              <w:ind w:left="57"/>
              <w:jc w:val="center"/>
              <w:rPr>
                <w:rFonts w:ascii="Times New Roman" w:hAnsi="Times New Roman"/>
                <w:b/>
                <w:color w:val="FFFFFF"/>
              </w:rPr>
            </w:pPr>
            <w:r w:rsidRPr="004F512A">
              <w:rPr>
                <w:rFonts w:ascii="Times New Roman" w:hAnsi="Times New Roman"/>
                <w:b/>
                <w:color w:val="FFFFFF"/>
              </w:rPr>
              <w:t>OCENA SKUTKÓW REGULACJI</w:t>
            </w:r>
          </w:p>
        </w:tc>
      </w:tr>
      <w:tr w:rsidR="006A701A" w:rsidRPr="004F512A" w14:paraId="1E04C08C" w14:textId="77777777" w:rsidTr="00DE4C3A">
        <w:trPr>
          <w:trHeight w:val="333"/>
        </w:trPr>
        <w:tc>
          <w:tcPr>
            <w:tcW w:w="11086" w:type="dxa"/>
            <w:gridSpan w:val="29"/>
            <w:shd w:val="clear" w:color="auto" w:fill="99CCFF"/>
            <w:vAlign w:val="center"/>
          </w:tcPr>
          <w:p w14:paraId="16E65983" w14:textId="77777777" w:rsidR="006A701A" w:rsidRPr="004F512A" w:rsidRDefault="003D12F6" w:rsidP="006A701A">
            <w:pPr>
              <w:numPr>
                <w:ilvl w:val="0"/>
                <w:numId w:val="3"/>
              </w:numPr>
              <w:spacing w:before="60" w:after="60" w:line="240" w:lineRule="auto"/>
              <w:ind w:left="318" w:hanging="284"/>
              <w:jc w:val="both"/>
              <w:rPr>
                <w:rFonts w:ascii="Times New Roman" w:hAnsi="Times New Roman"/>
                <w:b/>
                <w:color w:val="000000"/>
              </w:rPr>
            </w:pPr>
            <w:r w:rsidRPr="004F512A">
              <w:rPr>
                <w:rFonts w:ascii="Times New Roman" w:hAnsi="Times New Roman"/>
                <w:b/>
              </w:rPr>
              <w:t xml:space="preserve">Jaki problem jest </w:t>
            </w:r>
            <w:r w:rsidR="00CC6305" w:rsidRPr="004F512A">
              <w:rPr>
                <w:rFonts w:ascii="Times New Roman" w:hAnsi="Times New Roman"/>
                <w:b/>
              </w:rPr>
              <w:t>rozwiązywany?</w:t>
            </w:r>
            <w:bookmarkStart w:id="2" w:name="Wybór1"/>
            <w:bookmarkEnd w:id="2"/>
          </w:p>
        </w:tc>
      </w:tr>
      <w:tr w:rsidR="006A701A" w:rsidRPr="004F512A" w14:paraId="78AC04BA" w14:textId="77777777" w:rsidTr="00DE4C3A">
        <w:trPr>
          <w:trHeight w:val="142"/>
        </w:trPr>
        <w:tc>
          <w:tcPr>
            <w:tcW w:w="11086" w:type="dxa"/>
            <w:gridSpan w:val="29"/>
            <w:shd w:val="clear" w:color="auto" w:fill="FFFFFF"/>
          </w:tcPr>
          <w:p w14:paraId="375B790D" w14:textId="77777777" w:rsidR="006A701A" w:rsidRPr="004F512A" w:rsidRDefault="006A701A" w:rsidP="00B37C80">
            <w:pPr>
              <w:spacing w:line="240" w:lineRule="auto"/>
              <w:jc w:val="both"/>
              <w:rPr>
                <w:rFonts w:ascii="Times New Roman" w:hAnsi="Times New Roman"/>
                <w:color w:val="000000"/>
              </w:rPr>
            </w:pPr>
          </w:p>
          <w:p w14:paraId="6692D2C3" w14:textId="63741413" w:rsidR="006A701A" w:rsidRPr="004F512A" w:rsidRDefault="00D04BC2" w:rsidP="00B37C80">
            <w:pPr>
              <w:spacing w:line="240" w:lineRule="auto"/>
              <w:jc w:val="both"/>
              <w:rPr>
                <w:rFonts w:ascii="Times New Roman" w:hAnsi="Times New Roman"/>
                <w:color w:val="000000"/>
              </w:rPr>
            </w:pPr>
            <w:r w:rsidRPr="004F512A">
              <w:rPr>
                <w:rFonts w:ascii="Times New Roman" w:hAnsi="Times New Roman"/>
                <w:color w:val="000000"/>
              </w:rPr>
              <w:t xml:space="preserve">Magazynowanie </w:t>
            </w:r>
            <w:r w:rsidR="00394EA9" w:rsidRPr="004F512A">
              <w:rPr>
                <w:rFonts w:ascii="Times New Roman" w:hAnsi="Times New Roman"/>
                <w:color w:val="000000"/>
              </w:rPr>
              <w:t>energii stanowi kluczowy warunek transformacji energetycznej w kierunku energetyki rozproszonej opartej o odnawialne źródła energii (OZE). Służy ono stabilizacji krajowych systemów energetycznych poprzez ograniczanie krótkoterminowych fluktuacji mocy źródeł OZE oraz wyrównywanie profilu ich pracy. Tym samym tkwi w nim doskonały potencjał inwestycyjny rozwoju energetyki rozproszonej</w:t>
            </w:r>
            <w:r w:rsidR="0000779A">
              <w:rPr>
                <w:rFonts w:ascii="Times New Roman" w:hAnsi="Times New Roman"/>
                <w:color w:val="000000"/>
              </w:rPr>
              <w:t>,</w:t>
            </w:r>
            <w:r w:rsidR="00394EA9" w:rsidRPr="004F512A">
              <w:rPr>
                <w:rFonts w:ascii="Times New Roman" w:hAnsi="Times New Roman"/>
                <w:color w:val="000000"/>
              </w:rPr>
              <w:t xml:space="preserve"> stanowiąc zarazem ekwiwalent rozbudowy sieci elektroenergetycznej i konieczności ponoszenia nakładów z tym związanych. Magazyny energii elektrycznej w postaci elektrowni szczytowo-pompowych nabierają również szczególnego znaczenia w przypadku zagrożenia bezpieczeństwa dostaw energii elektrycznej i konieczności szybkiego dostarczenia mocy do systemów energetycznych.</w:t>
            </w:r>
          </w:p>
          <w:p w14:paraId="1FDD44DB" w14:textId="77777777" w:rsidR="00394EA9" w:rsidRPr="004F512A" w:rsidRDefault="00394EA9" w:rsidP="00394EA9">
            <w:pPr>
              <w:spacing w:line="240" w:lineRule="auto"/>
              <w:jc w:val="both"/>
              <w:rPr>
                <w:rFonts w:ascii="Times New Roman" w:hAnsi="Times New Roman"/>
                <w:color w:val="000000"/>
              </w:rPr>
            </w:pPr>
            <w:r w:rsidRPr="004F512A">
              <w:rPr>
                <w:rFonts w:ascii="Times New Roman" w:hAnsi="Times New Roman"/>
                <w:color w:val="000000"/>
              </w:rPr>
              <w:t>Obecnie w Polsce funkcjonuje 6 głównych elektrowni szczytowo-pompowych:</w:t>
            </w:r>
          </w:p>
          <w:p w14:paraId="06A74E78" w14:textId="17D0A1BD" w:rsidR="00394EA9" w:rsidRPr="004F512A" w:rsidRDefault="00394EA9" w:rsidP="00394EA9">
            <w:pPr>
              <w:spacing w:line="240" w:lineRule="auto"/>
              <w:jc w:val="both"/>
              <w:rPr>
                <w:rFonts w:ascii="Times New Roman" w:hAnsi="Times New Roman"/>
                <w:color w:val="000000"/>
              </w:rPr>
            </w:pPr>
            <w:r w:rsidRPr="004F512A">
              <w:rPr>
                <w:rFonts w:ascii="Times New Roman" w:hAnsi="Times New Roman"/>
                <w:color w:val="000000"/>
              </w:rPr>
              <w:t>1)</w:t>
            </w:r>
            <w:r w:rsidRPr="004F512A">
              <w:rPr>
                <w:rFonts w:ascii="Times New Roman" w:hAnsi="Times New Roman"/>
                <w:color w:val="000000"/>
              </w:rPr>
              <w:tab/>
              <w:t>Elektrownia Żarnowiec – moc 716 MW;</w:t>
            </w:r>
          </w:p>
          <w:p w14:paraId="5B79FAF4" w14:textId="29A8EA8F" w:rsidR="00394EA9" w:rsidRPr="004F512A" w:rsidRDefault="00394EA9" w:rsidP="00394EA9">
            <w:pPr>
              <w:spacing w:line="240" w:lineRule="auto"/>
              <w:jc w:val="both"/>
              <w:rPr>
                <w:rFonts w:ascii="Times New Roman" w:hAnsi="Times New Roman"/>
                <w:color w:val="000000"/>
              </w:rPr>
            </w:pPr>
            <w:r w:rsidRPr="004F512A">
              <w:rPr>
                <w:rFonts w:ascii="Times New Roman" w:hAnsi="Times New Roman"/>
                <w:color w:val="000000"/>
              </w:rPr>
              <w:t>2)</w:t>
            </w:r>
            <w:r w:rsidRPr="004F512A">
              <w:rPr>
                <w:rFonts w:ascii="Times New Roman" w:hAnsi="Times New Roman"/>
                <w:color w:val="000000"/>
              </w:rPr>
              <w:tab/>
              <w:t>Elektrownia Porąbka-Żar –</w:t>
            </w:r>
            <w:r w:rsidR="00A411AE">
              <w:rPr>
                <w:rFonts w:ascii="Times New Roman" w:hAnsi="Times New Roman"/>
                <w:color w:val="000000"/>
              </w:rPr>
              <w:t xml:space="preserve"> moc</w:t>
            </w:r>
            <w:r w:rsidRPr="004F512A">
              <w:rPr>
                <w:rFonts w:ascii="Times New Roman" w:hAnsi="Times New Roman"/>
                <w:color w:val="000000"/>
              </w:rPr>
              <w:t xml:space="preserve"> 500 MW;</w:t>
            </w:r>
          </w:p>
          <w:p w14:paraId="334583FD" w14:textId="6AF45280" w:rsidR="00A411AE" w:rsidRDefault="00394EA9" w:rsidP="00394EA9">
            <w:pPr>
              <w:spacing w:line="240" w:lineRule="auto"/>
              <w:jc w:val="both"/>
              <w:rPr>
                <w:rFonts w:ascii="Times New Roman" w:hAnsi="Times New Roman"/>
                <w:color w:val="000000"/>
              </w:rPr>
            </w:pPr>
            <w:r w:rsidRPr="004F512A">
              <w:rPr>
                <w:rFonts w:ascii="Times New Roman" w:hAnsi="Times New Roman"/>
                <w:color w:val="000000"/>
              </w:rPr>
              <w:t>3)</w:t>
            </w:r>
            <w:r w:rsidRPr="004F512A">
              <w:rPr>
                <w:rFonts w:ascii="Times New Roman" w:hAnsi="Times New Roman"/>
                <w:color w:val="000000"/>
              </w:rPr>
              <w:tab/>
              <w:t xml:space="preserve">Zespół Elektrowni Wodnych Solina-Myczkowce – moc 200 MW po modernizacji </w:t>
            </w:r>
            <w:r w:rsidR="00A411AE">
              <w:rPr>
                <w:rFonts w:ascii="Times New Roman" w:hAnsi="Times New Roman"/>
                <w:color w:val="000000"/>
              </w:rPr>
              <w:t xml:space="preserve">w latach </w:t>
            </w:r>
            <w:r w:rsidRPr="004F512A">
              <w:rPr>
                <w:rFonts w:ascii="Times New Roman" w:hAnsi="Times New Roman"/>
                <w:color w:val="000000"/>
              </w:rPr>
              <w:t>2000–2003</w:t>
            </w:r>
            <w:r w:rsidR="00EA3585">
              <w:rPr>
                <w:rFonts w:ascii="Times New Roman" w:hAnsi="Times New Roman"/>
                <w:color w:val="000000"/>
              </w:rPr>
              <w:t>,</w:t>
            </w:r>
            <w:r w:rsidRPr="004F512A">
              <w:rPr>
                <w:rFonts w:ascii="Times New Roman" w:hAnsi="Times New Roman"/>
                <w:color w:val="000000"/>
              </w:rPr>
              <w:t xml:space="preserve"> </w:t>
            </w:r>
          </w:p>
          <w:p w14:paraId="719D46AB" w14:textId="09408D76" w:rsidR="00394EA9" w:rsidRPr="004F512A" w:rsidRDefault="00A411AE" w:rsidP="00394EA9">
            <w:pPr>
              <w:spacing w:line="240" w:lineRule="auto"/>
              <w:jc w:val="both"/>
              <w:rPr>
                <w:rFonts w:ascii="Times New Roman" w:hAnsi="Times New Roman"/>
                <w:color w:val="000000"/>
              </w:rPr>
            </w:pPr>
            <w:r>
              <w:rPr>
                <w:rFonts w:ascii="Times New Roman" w:hAnsi="Times New Roman"/>
                <w:color w:val="000000"/>
              </w:rPr>
              <w:t xml:space="preserve">             </w:t>
            </w:r>
            <w:r w:rsidR="00394EA9" w:rsidRPr="004F512A">
              <w:rPr>
                <w:rFonts w:ascii="Times New Roman" w:hAnsi="Times New Roman"/>
                <w:color w:val="000000"/>
              </w:rPr>
              <w:t xml:space="preserve">przed modernizacją </w:t>
            </w:r>
            <w:r w:rsidR="006E02BF">
              <w:rPr>
                <w:rFonts w:ascii="Times New Roman" w:hAnsi="Times New Roman"/>
                <w:color w:val="000000"/>
              </w:rPr>
              <w:t xml:space="preserve">moc </w:t>
            </w:r>
            <w:r w:rsidR="00394EA9" w:rsidRPr="004F512A">
              <w:rPr>
                <w:rFonts w:ascii="Times New Roman" w:hAnsi="Times New Roman"/>
                <w:color w:val="000000"/>
              </w:rPr>
              <w:t>136 MW;</w:t>
            </w:r>
          </w:p>
          <w:p w14:paraId="39ACFAC5" w14:textId="77777777" w:rsidR="00394EA9" w:rsidRPr="004F512A" w:rsidRDefault="00394EA9" w:rsidP="00394EA9">
            <w:pPr>
              <w:spacing w:line="240" w:lineRule="auto"/>
              <w:jc w:val="both"/>
              <w:rPr>
                <w:rFonts w:ascii="Times New Roman" w:hAnsi="Times New Roman"/>
                <w:color w:val="000000"/>
              </w:rPr>
            </w:pPr>
            <w:r w:rsidRPr="004F512A">
              <w:rPr>
                <w:rFonts w:ascii="Times New Roman" w:hAnsi="Times New Roman"/>
                <w:color w:val="000000"/>
              </w:rPr>
              <w:t>4)</w:t>
            </w:r>
            <w:r w:rsidRPr="004F512A">
              <w:rPr>
                <w:rFonts w:ascii="Times New Roman" w:hAnsi="Times New Roman"/>
                <w:color w:val="000000"/>
              </w:rPr>
              <w:tab/>
              <w:t xml:space="preserve">Elektrownia Żydowo – moc 167 MW po modernizacji zakończonej w 2013 r.;    </w:t>
            </w:r>
          </w:p>
          <w:p w14:paraId="3C1D19BB" w14:textId="24624874" w:rsidR="00394EA9" w:rsidRPr="004F512A" w:rsidRDefault="00394EA9" w:rsidP="00394EA9">
            <w:pPr>
              <w:spacing w:line="240" w:lineRule="auto"/>
              <w:jc w:val="both"/>
              <w:rPr>
                <w:rFonts w:ascii="Times New Roman" w:hAnsi="Times New Roman"/>
                <w:color w:val="000000"/>
              </w:rPr>
            </w:pPr>
            <w:r w:rsidRPr="004F512A">
              <w:rPr>
                <w:rFonts w:ascii="Times New Roman" w:hAnsi="Times New Roman"/>
                <w:color w:val="000000"/>
              </w:rPr>
              <w:t>5)</w:t>
            </w:r>
            <w:r w:rsidRPr="004F512A">
              <w:rPr>
                <w:rFonts w:ascii="Times New Roman" w:hAnsi="Times New Roman"/>
                <w:color w:val="000000"/>
              </w:rPr>
              <w:tab/>
              <w:t>Elektrownia Niedzica – 9</w:t>
            </w:r>
            <w:r w:rsidR="00446A15">
              <w:rPr>
                <w:rFonts w:ascii="Times New Roman" w:hAnsi="Times New Roman"/>
                <w:color w:val="000000"/>
              </w:rPr>
              <w:t>2</w:t>
            </w:r>
            <w:r w:rsidRPr="004F512A">
              <w:rPr>
                <w:rFonts w:ascii="Times New Roman" w:hAnsi="Times New Roman"/>
                <w:color w:val="000000"/>
              </w:rPr>
              <w:t xml:space="preserve"> MW;</w:t>
            </w:r>
          </w:p>
          <w:p w14:paraId="4370DD52" w14:textId="25AA73A8" w:rsidR="00394EA9" w:rsidRPr="004F512A" w:rsidRDefault="00394EA9" w:rsidP="00394EA9">
            <w:pPr>
              <w:spacing w:line="240" w:lineRule="auto"/>
              <w:jc w:val="both"/>
              <w:rPr>
                <w:rFonts w:ascii="Times New Roman" w:hAnsi="Times New Roman"/>
                <w:color w:val="000000"/>
              </w:rPr>
            </w:pPr>
            <w:r w:rsidRPr="004F512A">
              <w:rPr>
                <w:rFonts w:ascii="Times New Roman" w:hAnsi="Times New Roman"/>
                <w:color w:val="000000"/>
              </w:rPr>
              <w:t>6)</w:t>
            </w:r>
            <w:r w:rsidRPr="004F512A">
              <w:rPr>
                <w:rFonts w:ascii="Times New Roman" w:hAnsi="Times New Roman"/>
                <w:color w:val="000000"/>
              </w:rPr>
              <w:tab/>
              <w:t>Elektrownia Dychów –</w:t>
            </w:r>
            <w:r w:rsidR="006E02BF">
              <w:rPr>
                <w:rFonts w:ascii="Times New Roman" w:hAnsi="Times New Roman"/>
                <w:color w:val="000000"/>
              </w:rPr>
              <w:t xml:space="preserve"> </w:t>
            </w:r>
            <w:r w:rsidRPr="004F512A">
              <w:rPr>
                <w:rFonts w:ascii="Times New Roman" w:hAnsi="Times New Roman"/>
                <w:color w:val="000000"/>
              </w:rPr>
              <w:t xml:space="preserve"> moc 90 MW.</w:t>
            </w:r>
          </w:p>
          <w:p w14:paraId="54F64AAD" w14:textId="67B2250F" w:rsidR="006A701A" w:rsidRPr="004F512A" w:rsidRDefault="00394EA9" w:rsidP="002E2C73">
            <w:pPr>
              <w:spacing w:line="240" w:lineRule="auto"/>
              <w:jc w:val="both"/>
              <w:rPr>
                <w:rFonts w:ascii="Times New Roman" w:hAnsi="Times New Roman"/>
                <w:color w:val="000000"/>
              </w:rPr>
            </w:pPr>
            <w:r w:rsidRPr="004F512A">
              <w:rPr>
                <w:rFonts w:ascii="Times New Roman" w:hAnsi="Times New Roman"/>
                <w:color w:val="000000"/>
              </w:rPr>
              <w:t xml:space="preserve">Zgodnie z założeniami Polityki Energetycznej </w:t>
            </w:r>
            <w:r w:rsidR="00480003">
              <w:rPr>
                <w:rFonts w:ascii="Times New Roman" w:hAnsi="Times New Roman"/>
                <w:color w:val="000000"/>
              </w:rPr>
              <w:t xml:space="preserve">Polski </w:t>
            </w:r>
            <w:r w:rsidRPr="004F512A">
              <w:rPr>
                <w:rFonts w:ascii="Times New Roman" w:hAnsi="Times New Roman"/>
                <w:color w:val="000000"/>
              </w:rPr>
              <w:t xml:space="preserve">do 2040 </w:t>
            </w:r>
            <w:r w:rsidR="00480003">
              <w:rPr>
                <w:rFonts w:ascii="Times New Roman" w:hAnsi="Times New Roman"/>
                <w:color w:val="000000"/>
              </w:rPr>
              <w:t xml:space="preserve">r. </w:t>
            </w:r>
            <w:r w:rsidRPr="004F512A">
              <w:rPr>
                <w:rFonts w:ascii="Times New Roman" w:hAnsi="Times New Roman"/>
                <w:color w:val="000000"/>
              </w:rPr>
              <w:t>(PEP2040)</w:t>
            </w:r>
            <w:r w:rsidR="007D4525">
              <w:rPr>
                <w:rFonts w:ascii="Times New Roman" w:hAnsi="Times New Roman"/>
                <w:color w:val="000000"/>
              </w:rPr>
              <w:t>, do 2040 r.</w:t>
            </w:r>
            <w:r w:rsidRPr="004F512A">
              <w:rPr>
                <w:rFonts w:ascii="Times New Roman" w:hAnsi="Times New Roman"/>
                <w:color w:val="000000"/>
              </w:rPr>
              <w:t xml:space="preserve"> OZE ma</w:t>
            </w:r>
            <w:r w:rsidR="00480003">
              <w:rPr>
                <w:rFonts w:ascii="Times New Roman" w:hAnsi="Times New Roman"/>
                <w:color w:val="000000"/>
              </w:rPr>
              <w:t>ją</w:t>
            </w:r>
            <w:r w:rsidRPr="004F512A">
              <w:rPr>
                <w:rFonts w:ascii="Times New Roman" w:hAnsi="Times New Roman"/>
                <w:color w:val="000000"/>
              </w:rPr>
              <w:t xml:space="preserve"> stanowić prawie 50% łącznej mocy zainstalowanej elektrycznej w polskim systemie elektroenergetycznym. </w:t>
            </w:r>
            <w:r w:rsidR="00523A5D">
              <w:rPr>
                <w:rFonts w:ascii="Times New Roman" w:hAnsi="Times New Roman"/>
                <w:color w:val="000000"/>
              </w:rPr>
              <w:t>W</w:t>
            </w:r>
            <w:r w:rsidR="00523A5D" w:rsidRPr="00523A5D">
              <w:rPr>
                <w:rFonts w:ascii="Times New Roman" w:hAnsi="Times New Roman"/>
                <w:color w:val="000000"/>
              </w:rPr>
              <w:t xml:space="preserve"> przyjętych przez Radę Ministrów w dniu 29 marca 2022 r.  założeniach do aktualizacji PEP2040 zaznacza się, iż</w:t>
            </w:r>
            <w:r w:rsidR="00523A5D">
              <w:rPr>
                <w:rFonts w:ascii="Times New Roman" w:hAnsi="Times New Roman"/>
                <w:color w:val="000000"/>
              </w:rPr>
              <w:t xml:space="preserve"> </w:t>
            </w:r>
            <w:r w:rsidR="002E2C73">
              <w:rPr>
                <w:rFonts w:ascii="Times New Roman" w:hAnsi="Times New Roman"/>
                <w:color w:val="000000"/>
              </w:rPr>
              <w:t>o</w:t>
            </w:r>
            <w:r w:rsidR="002E2C73" w:rsidRPr="002E2C73">
              <w:rPr>
                <w:rFonts w:ascii="Times New Roman" w:hAnsi="Times New Roman"/>
                <w:color w:val="000000"/>
              </w:rPr>
              <w:t>bok dalszego rozwoju mocy wiatrowych i słonecznych, zintensyfikowane</w:t>
            </w:r>
            <w:r w:rsidR="002E2C73">
              <w:rPr>
                <w:rFonts w:ascii="Times New Roman" w:hAnsi="Times New Roman"/>
                <w:color w:val="000000"/>
              </w:rPr>
              <w:t xml:space="preserve"> </w:t>
            </w:r>
            <w:r w:rsidR="002E2C73" w:rsidRPr="002E2C73">
              <w:rPr>
                <w:rFonts w:ascii="Times New Roman" w:hAnsi="Times New Roman"/>
                <w:color w:val="000000"/>
              </w:rPr>
              <w:t>będą działania mające na celu rozwój wykorzystania OZE niezależnych od warunków</w:t>
            </w:r>
            <w:r w:rsidR="002E2C73">
              <w:rPr>
                <w:rFonts w:ascii="Times New Roman" w:hAnsi="Times New Roman"/>
                <w:color w:val="000000"/>
              </w:rPr>
              <w:t xml:space="preserve"> </w:t>
            </w:r>
            <w:r w:rsidR="002E2C73" w:rsidRPr="002E2C73">
              <w:rPr>
                <w:rFonts w:ascii="Times New Roman" w:hAnsi="Times New Roman"/>
                <w:color w:val="000000"/>
              </w:rPr>
              <w:t>atmosferycznych, czyli wykorzystujących energię wody, biomasy, biogazu, czy ciepła ziemi.</w:t>
            </w:r>
            <w:r w:rsidR="002E2C73">
              <w:rPr>
                <w:rFonts w:ascii="Times New Roman" w:hAnsi="Times New Roman"/>
                <w:color w:val="000000"/>
              </w:rPr>
              <w:t xml:space="preserve"> </w:t>
            </w:r>
            <w:r w:rsidR="002E2C73" w:rsidRPr="002E2C73">
              <w:rPr>
                <w:rFonts w:ascii="Times New Roman" w:hAnsi="Times New Roman"/>
                <w:color w:val="000000"/>
              </w:rPr>
              <w:t>Szczególnie pożądane będzie wykorzystanie OZE w klastrach energii i spółdzielniach</w:t>
            </w:r>
            <w:r w:rsidR="002E2C73">
              <w:rPr>
                <w:rFonts w:ascii="Times New Roman" w:hAnsi="Times New Roman"/>
                <w:color w:val="000000"/>
              </w:rPr>
              <w:t xml:space="preserve"> </w:t>
            </w:r>
            <w:r w:rsidR="002E2C73" w:rsidRPr="002E2C73">
              <w:rPr>
                <w:rFonts w:ascii="Times New Roman" w:hAnsi="Times New Roman"/>
                <w:color w:val="000000"/>
              </w:rPr>
              <w:t>energetycznych oraz w ramach instalacji hybrydowych.</w:t>
            </w:r>
            <w:r w:rsidR="00523A5D" w:rsidRPr="00523A5D">
              <w:rPr>
                <w:rFonts w:ascii="Times New Roman" w:hAnsi="Times New Roman"/>
                <w:color w:val="000000"/>
              </w:rPr>
              <w:t xml:space="preserve"> </w:t>
            </w:r>
            <w:r w:rsidRPr="004F512A">
              <w:rPr>
                <w:rFonts w:ascii="Times New Roman" w:hAnsi="Times New Roman"/>
                <w:color w:val="000000"/>
              </w:rPr>
              <w:t>Warto zauważyć jednak, że</w:t>
            </w:r>
            <w:r w:rsidR="00602AA7">
              <w:rPr>
                <w:rFonts w:ascii="Times New Roman" w:hAnsi="Times New Roman"/>
                <w:color w:val="000000"/>
              </w:rPr>
              <w:t xml:space="preserve"> </w:t>
            </w:r>
            <w:r w:rsidRPr="004F512A">
              <w:rPr>
                <w:rFonts w:ascii="Times New Roman" w:hAnsi="Times New Roman"/>
                <w:color w:val="000000"/>
              </w:rPr>
              <w:t xml:space="preserve">dynamika wzrostu mocy wytwórczych OZE zdecydowanie wyprzedza </w:t>
            </w:r>
            <w:r w:rsidR="00480003" w:rsidRPr="004F512A">
              <w:rPr>
                <w:rFonts w:ascii="Times New Roman" w:hAnsi="Times New Roman"/>
                <w:color w:val="000000"/>
              </w:rPr>
              <w:t xml:space="preserve">perspektywę </w:t>
            </w:r>
            <w:r w:rsidRPr="004F512A">
              <w:rPr>
                <w:rFonts w:ascii="Times New Roman" w:hAnsi="Times New Roman"/>
                <w:color w:val="000000"/>
              </w:rPr>
              <w:t xml:space="preserve">zarysowaną w </w:t>
            </w:r>
            <w:r w:rsidR="0061640F">
              <w:rPr>
                <w:rFonts w:ascii="Times New Roman" w:hAnsi="Times New Roman"/>
                <w:color w:val="000000"/>
              </w:rPr>
              <w:t xml:space="preserve">pierwotnej </w:t>
            </w:r>
            <w:r w:rsidRPr="004F512A">
              <w:rPr>
                <w:rFonts w:ascii="Times New Roman" w:hAnsi="Times New Roman"/>
                <w:color w:val="000000"/>
              </w:rPr>
              <w:t>PEP2040. Zgodnie z danymi Agencji Rynku Energii S.A. na koniec stycznia 2022 roku stan mocy elektrycznej zainstalowanej w odnawialnych źródłach energii osiągnął 17 417 MW, co oznacza przekroczenie poziomu zakładanego w PEP2040 w roku 2025. Zgodnie z szacunkami obejmującymi już wybudowane jak i przyszłe moce, już w 2030 roku w Polsce może być nawet 40 GW mocy zainstalowanej w OZE, co będzie odpowiadać za ponad połowę całkowitej mocy zainstalowanej elektrycznej w naszym kraju. Tylko dzięki tak dynamicznemu wzrostowi udziału źródeł OZE możemy osiągnąć cele określone w dyrektywie RED II oraz rozporządzeniu Parlamentu Europejskiego i Rady (UE) 2018/1999 z dnia 11 grudnia 2018 r. w sprawie zarządzania unią energetyczną i działaniami w dziedzinie klimatu. Należy tu podkreślić, że w PEP2040 przewiduje się wzrost udziału OZE</w:t>
            </w:r>
            <w:r w:rsidR="00570B72" w:rsidRPr="004F512A">
              <w:rPr>
                <w:rFonts w:ascii="Times New Roman" w:hAnsi="Times New Roman"/>
                <w:color w:val="000000"/>
              </w:rPr>
              <w:t xml:space="preserve"> w elektroenergetyce</w:t>
            </w:r>
            <w:r w:rsidRPr="004F512A">
              <w:rPr>
                <w:rFonts w:ascii="Times New Roman" w:hAnsi="Times New Roman"/>
                <w:color w:val="000000"/>
              </w:rPr>
              <w:t xml:space="preserve"> do ok. 32% w 2030 r. Wraz ze wzrostem udziału pogodowo-zależnych źródeł OZE w systemie, rosnąć będzie znaczenie źródeł </w:t>
            </w:r>
            <w:r w:rsidR="0061640F">
              <w:rPr>
                <w:rFonts w:ascii="Times New Roman" w:hAnsi="Times New Roman"/>
                <w:color w:val="000000"/>
              </w:rPr>
              <w:t>stabilizu</w:t>
            </w:r>
            <w:r w:rsidRPr="004F512A">
              <w:rPr>
                <w:rFonts w:ascii="Times New Roman" w:hAnsi="Times New Roman"/>
                <w:color w:val="000000"/>
              </w:rPr>
              <w:t>jących oraz służących utrzymaniu parametrów jakościowych energii elektrycznej w skali kraju, z rolą elektrowni szczytowo-pompowych na czele.</w:t>
            </w:r>
          </w:p>
          <w:p w14:paraId="29E7B1A3" w14:textId="7AE62849" w:rsidR="00B84D5F" w:rsidRDefault="0029002D" w:rsidP="00394EA9">
            <w:pPr>
              <w:spacing w:line="240" w:lineRule="auto"/>
              <w:jc w:val="both"/>
              <w:rPr>
                <w:rFonts w:ascii="Times New Roman" w:hAnsi="Times New Roman"/>
                <w:color w:val="000000"/>
              </w:rPr>
            </w:pPr>
            <w:r w:rsidRPr="0029002D">
              <w:rPr>
                <w:rFonts w:ascii="Times New Roman" w:hAnsi="Times New Roman"/>
                <w:color w:val="000000"/>
              </w:rPr>
              <w:t>Pomimo wielu zalet elektrowni szczytowo-pompowych oraz dynamicznego rozwoju OZE i generacji rozproszonej, w Polsce od wielu lat, oprócz działań modernizacyjnych, nie powstała jednak żadna nowa elektrownia szczytowo-pompowa</w:t>
            </w:r>
            <w:r>
              <w:rPr>
                <w:rFonts w:ascii="Times New Roman" w:hAnsi="Times New Roman"/>
                <w:color w:val="000000"/>
              </w:rPr>
              <w:t>.</w:t>
            </w:r>
            <w:r w:rsidR="00446A15">
              <w:rPr>
                <w:rFonts w:ascii="Times New Roman" w:hAnsi="Times New Roman"/>
                <w:color w:val="000000"/>
              </w:rPr>
              <w:t xml:space="preserve"> Istotną</w:t>
            </w:r>
            <w:r w:rsidR="00446A15" w:rsidRPr="00B84D5F">
              <w:rPr>
                <w:rFonts w:ascii="Times New Roman" w:hAnsi="Times New Roman"/>
                <w:color w:val="000000"/>
              </w:rPr>
              <w:t xml:space="preserve"> </w:t>
            </w:r>
            <w:r w:rsidR="00B84D5F" w:rsidRPr="00B84D5F">
              <w:rPr>
                <w:rFonts w:ascii="Times New Roman" w:hAnsi="Times New Roman"/>
                <w:color w:val="000000"/>
              </w:rPr>
              <w:t xml:space="preserve">barierą w powstawaniu nowych elektrowni szczytowo-pompowych, oprócz przyczyn o charakterze faktycznym - niewiele dogodnych miejsc na lokalizację elektrowni szczytowo pompowych (przewaga terenów nizinnych na obszarze Polski) - jest pomijanie w przepisach wielu ustaw elektrowni szczytowo-pompowych. Bariery prawne polegają na konieczności przeprowadzenia standardowego procesu inwestycyjnego związanego z brakiem zakwalifikowania budowy lub modernizacji elektrowni szczytowo-pompowej jako inwestycji celu publicznego. Ze względu na wieloetapowość i znaczny rozmiar inwestycji w zakresie elektrowni szczytowo-pompowej podlega ona szeregowi ograniczeń i wymagań administracyjnych zawartych w różnych aktach prawnych, które prowadzą do znacznego wydłużenia procesu </w:t>
            </w:r>
            <w:r w:rsidR="00B84D5F" w:rsidRPr="00B84D5F">
              <w:rPr>
                <w:rFonts w:ascii="Times New Roman" w:hAnsi="Times New Roman"/>
                <w:color w:val="000000"/>
              </w:rPr>
              <w:lastRenderedPageBreak/>
              <w:t>inwestycyjnego. Jest to m.in. obowiązek uzyskania decyzji o środowiskowych uwarunkowaniach, zgody wodnoprawnej, pozwolenia na budowę, itd.</w:t>
            </w:r>
          </w:p>
          <w:p w14:paraId="3253EE39" w14:textId="44DBFF97" w:rsidR="00394EA9" w:rsidRPr="004F512A" w:rsidRDefault="00546E87" w:rsidP="00394EA9">
            <w:pPr>
              <w:spacing w:line="240" w:lineRule="auto"/>
              <w:jc w:val="both"/>
              <w:rPr>
                <w:rFonts w:ascii="Times New Roman" w:hAnsi="Times New Roman"/>
                <w:color w:val="000000"/>
              </w:rPr>
            </w:pPr>
            <w:r>
              <w:rPr>
                <w:rFonts w:ascii="Times New Roman" w:hAnsi="Times New Roman"/>
                <w:color w:val="000000"/>
              </w:rPr>
              <w:t xml:space="preserve">Oprócz potrzeby zintegrowania ww. postępowań nie bez znaczenia </w:t>
            </w:r>
            <w:r w:rsidR="0000779A">
              <w:rPr>
                <w:rFonts w:ascii="Times New Roman" w:hAnsi="Times New Roman"/>
                <w:color w:val="000000"/>
              </w:rPr>
              <w:t>pozostaje</w:t>
            </w:r>
            <w:r>
              <w:rPr>
                <w:rFonts w:ascii="Times New Roman" w:hAnsi="Times New Roman"/>
                <w:color w:val="000000"/>
              </w:rPr>
              <w:t xml:space="preserve"> również </w:t>
            </w:r>
            <w:r w:rsidR="0000779A">
              <w:rPr>
                <w:rFonts w:ascii="Times New Roman" w:hAnsi="Times New Roman"/>
                <w:color w:val="000000"/>
              </w:rPr>
              <w:t>nadanie</w:t>
            </w:r>
            <w:r>
              <w:rPr>
                <w:rFonts w:ascii="Times New Roman" w:hAnsi="Times New Roman"/>
                <w:color w:val="000000"/>
              </w:rPr>
              <w:t xml:space="preserve"> inwestycj</w:t>
            </w:r>
            <w:r w:rsidR="0000779A">
              <w:rPr>
                <w:rFonts w:ascii="Times New Roman" w:hAnsi="Times New Roman"/>
                <w:color w:val="000000"/>
              </w:rPr>
              <w:t>om</w:t>
            </w:r>
            <w:r>
              <w:rPr>
                <w:rFonts w:ascii="Times New Roman" w:hAnsi="Times New Roman"/>
                <w:color w:val="000000"/>
              </w:rPr>
              <w:t xml:space="preserve"> w zakresie elektrowni szczytowo-pompow</w:t>
            </w:r>
            <w:r w:rsidR="0000779A">
              <w:rPr>
                <w:rFonts w:ascii="Times New Roman" w:hAnsi="Times New Roman"/>
                <w:color w:val="000000"/>
              </w:rPr>
              <w:t>ych</w:t>
            </w:r>
            <w:r>
              <w:rPr>
                <w:rFonts w:ascii="Times New Roman" w:hAnsi="Times New Roman"/>
                <w:color w:val="000000"/>
              </w:rPr>
              <w:t xml:space="preserve"> statusu inwestycji celu publicznego. </w:t>
            </w:r>
            <w:r w:rsidR="00394EA9" w:rsidRPr="004F512A">
              <w:rPr>
                <w:rFonts w:ascii="Times New Roman" w:hAnsi="Times New Roman"/>
                <w:color w:val="000000"/>
              </w:rPr>
              <w:t>Zgodnie z art. 2 pkt 5 ustawy z dnia 27 marca 2003 r. o planowaniu i zagospodarowaniu przestrzennym (Dz. U. z 2022 r. poz. 503</w:t>
            </w:r>
            <w:r w:rsidR="00570B72">
              <w:rPr>
                <w:rFonts w:ascii="Times New Roman" w:hAnsi="Times New Roman"/>
                <w:szCs w:val="24"/>
              </w:rPr>
              <w:t xml:space="preserve"> oraz z 2022 r. poz. 1846</w:t>
            </w:r>
            <w:r w:rsidR="00394EA9" w:rsidRPr="004F512A">
              <w:rPr>
                <w:rFonts w:ascii="Times New Roman" w:hAnsi="Times New Roman"/>
                <w:color w:val="000000"/>
              </w:rPr>
              <w:t>) przez inwestycję celu publicznego należy rozumieć działania o znaczeniu lokalnym (gminnym) i ponadlokalnym (powiatowym, wojewódzkim i krajowym), a także krajowym (obejmującym również inwestycje międzynarodowe i ponadregionalne), oraz metropolitalnym (obejmującym obszar metropolitalny) bez względu na status podmiotu podejmującego te działania oraz źródła ich finansowania, stanowiące realizację celów, o których mowa w art. 6 ustawy z dnia 21 sierpnia 1997 r. o gospodarce nieruchomościami (Dz. U. z 2021 r., poz. 1899</w:t>
            </w:r>
            <w:r w:rsidR="00570B72">
              <w:rPr>
                <w:rFonts w:ascii="Times New Roman" w:hAnsi="Times New Roman"/>
                <w:szCs w:val="24"/>
              </w:rPr>
              <w:t xml:space="preserve"> oraz z 2022 r. poz. 1846</w:t>
            </w:r>
            <w:r w:rsidR="00394EA9" w:rsidRPr="004F512A">
              <w:rPr>
                <w:rFonts w:ascii="Times New Roman" w:hAnsi="Times New Roman"/>
                <w:color w:val="000000"/>
              </w:rPr>
              <w:t>).</w:t>
            </w:r>
          </w:p>
          <w:p w14:paraId="55763EFA" w14:textId="374C45E1" w:rsidR="00394EA9" w:rsidRPr="004F512A" w:rsidRDefault="00394EA9" w:rsidP="008D6E75">
            <w:pPr>
              <w:spacing w:line="240" w:lineRule="auto"/>
              <w:jc w:val="both"/>
              <w:rPr>
                <w:rFonts w:ascii="Times New Roman" w:hAnsi="Times New Roman"/>
                <w:color w:val="000000"/>
              </w:rPr>
            </w:pPr>
            <w:r w:rsidRPr="004F512A">
              <w:rPr>
                <w:rFonts w:ascii="Times New Roman" w:hAnsi="Times New Roman"/>
                <w:color w:val="000000"/>
              </w:rPr>
              <w:t xml:space="preserve">W katalogu celów publicznych, zawartym w art. 6 ustawy z dnia 21 sierpnia 1997 r. o gospodarce nieruchomościami, nie uwzględniono </w:t>
            </w:r>
            <w:r w:rsidR="00546E87">
              <w:rPr>
                <w:rFonts w:ascii="Times New Roman" w:hAnsi="Times New Roman"/>
                <w:color w:val="000000"/>
              </w:rPr>
              <w:t>jednak</w:t>
            </w:r>
            <w:r w:rsidRPr="004F512A">
              <w:rPr>
                <w:rFonts w:ascii="Times New Roman" w:hAnsi="Times New Roman"/>
                <w:color w:val="000000"/>
              </w:rPr>
              <w:t xml:space="preserve"> budowy i utrzymania elektrowni szczytowo-pompow</w:t>
            </w:r>
            <w:r w:rsidR="0000779A">
              <w:rPr>
                <w:rFonts w:ascii="Times New Roman" w:hAnsi="Times New Roman"/>
                <w:color w:val="000000"/>
              </w:rPr>
              <w:t>ych</w:t>
            </w:r>
            <w:r w:rsidRPr="004F512A">
              <w:rPr>
                <w:rFonts w:ascii="Times New Roman" w:hAnsi="Times New Roman"/>
                <w:color w:val="000000"/>
              </w:rPr>
              <w:t>.</w:t>
            </w:r>
            <w:r w:rsidR="00D04BC2" w:rsidRPr="004F512A">
              <w:rPr>
                <w:rFonts w:ascii="Times New Roman" w:hAnsi="Times New Roman"/>
                <w:color w:val="000000"/>
              </w:rPr>
              <w:t xml:space="preserve"> Tym samym, w obecnie obowiązującym stanie prawnym </w:t>
            </w:r>
            <w:r w:rsidR="008D6E75" w:rsidRPr="004F512A">
              <w:rPr>
                <w:rFonts w:ascii="Times New Roman" w:hAnsi="Times New Roman"/>
                <w:color w:val="000000"/>
              </w:rPr>
              <w:t xml:space="preserve">budowa elektrowni szczytowo-pompowej nie </w:t>
            </w:r>
            <w:r w:rsidR="0000779A">
              <w:rPr>
                <w:rFonts w:ascii="Times New Roman" w:hAnsi="Times New Roman"/>
                <w:color w:val="000000"/>
              </w:rPr>
              <w:t>stanowi</w:t>
            </w:r>
            <w:r w:rsidR="008D6E75" w:rsidRPr="004F512A">
              <w:rPr>
                <w:rFonts w:ascii="Times New Roman" w:hAnsi="Times New Roman"/>
                <w:color w:val="000000"/>
              </w:rPr>
              <w:t xml:space="preserve"> cel</w:t>
            </w:r>
            <w:r w:rsidR="0000779A">
              <w:rPr>
                <w:rFonts w:ascii="Times New Roman" w:hAnsi="Times New Roman"/>
                <w:color w:val="000000"/>
              </w:rPr>
              <w:t>u</w:t>
            </w:r>
            <w:r w:rsidR="008D6E75" w:rsidRPr="004F512A">
              <w:rPr>
                <w:rFonts w:ascii="Times New Roman" w:hAnsi="Times New Roman"/>
                <w:color w:val="000000"/>
              </w:rPr>
              <w:t xml:space="preserve"> publiczn</w:t>
            </w:r>
            <w:r w:rsidR="0000779A">
              <w:rPr>
                <w:rFonts w:ascii="Times New Roman" w:hAnsi="Times New Roman"/>
                <w:color w:val="000000"/>
              </w:rPr>
              <w:t>ego</w:t>
            </w:r>
            <w:r w:rsidR="008D6E75" w:rsidRPr="004F512A">
              <w:rPr>
                <w:rFonts w:ascii="Times New Roman" w:hAnsi="Times New Roman"/>
                <w:color w:val="000000"/>
              </w:rPr>
              <w:t xml:space="preserve"> w przeciwieństwie do </w:t>
            </w:r>
            <w:proofErr w:type="spellStart"/>
            <w:r w:rsidR="008D6E75" w:rsidRPr="004F512A">
              <w:rPr>
                <w:rFonts w:ascii="Times New Roman" w:hAnsi="Times New Roman"/>
                <w:color w:val="000000"/>
              </w:rPr>
              <w:t>przesyłu</w:t>
            </w:r>
            <w:proofErr w:type="spellEnd"/>
            <w:r w:rsidR="008D6E75" w:rsidRPr="004F512A">
              <w:rPr>
                <w:rFonts w:ascii="Times New Roman" w:hAnsi="Times New Roman"/>
                <w:color w:val="000000"/>
              </w:rPr>
              <w:t xml:space="preserve"> lub dystrybucji energii elektrycznej. Należy zaznaczyć, że na gruncie obowiązujących przepisów kwalifikacja inwestycji jako inwestycji celu publicznego ma istotne znaczenie w procesie inwestycyjnym, zaczynając od etapu planistycznego. Zgodnie z art. 50 ust. 1 ustawy z dnia 27 marca 2003 r. o planowaniu i zagospodarowaniu przestrzennym inwestycja celu publicznego jest lokalizowana na podstawie </w:t>
            </w:r>
            <w:r w:rsidR="006D2C4E">
              <w:rPr>
                <w:rFonts w:ascii="Times New Roman" w:hAnsi="Times New Roman"/>
                <w:color w:val="000000"/>
              </w:rPr>
              <w:t>miejscowego planu zagospodarowania przestrzennego</w:t>
            </w:r>
            <w:r w:rsidR="008D6E75" w:rsidRPr="004F512A">
              <w:rPr>
                <w:rFonts w:ascii="Times New Roman" w:hAnsi="Times New Roman"/>
                <w:color w:val="000000"/>
              </w:rPr>
              <w:t xml:space="preserve">, a w przypadku jego braku - w drodze decyzji o ustaleniu lokalizacji inwestycji celu publicznego. Art. 51 </w:t>
            </w:r>
            <w:r w:rsidR="006D2C4E">
              <w:rPr>
                <w:rFonts w:ascii="Times New Roman" w:hAnsi="Times New Roman"/>
                <w:color w:val="000000"/>
              </w:rPr>
              <w:t>ww.</w:t>
            </w:r>
            <w:r w:rsidR="006D2C4E" w:rsidRPr="004F512A">
              <w:rPr>
                <w:rFonts w:ascii="Times New Roman" w:hAnsi="Times New Roman"/>
                <w:color w:val="000000"/>
              </w:rPr>
              <w:t xml:space="preserve"> </w:t>
            </w:r>
            <w:r w:rsidR="008D6E75" w:rsidRPr="004F512A">
              <w:rPr>
                <w:rFonts w:ascii="Times New Roman" w:hAnsi="Times New Roman"/>
                <w:color w:val="000000"/>
              </w:rPr>
              <w:t xml:space="preserve">ustawy przewiduje 65 dni na wydanie decyzji lokalizacyjnej pod rygorem kary administracyjnej dla organu pozostającego w zwłoce, zaś zgodnie z art. 55 i art. 56 </w:t>
            </w:r>
            <w:r w:rsidR="006D2C4E">
              <w:rPr>
                <w:rFonts w:ascii="Times New Roman" w:hAnsi="Times New Roman"/>
                <w:color w:val="000000"/>
              </w:rPr>
              <w:t xml:space="preserve">tej ustawy </w:t>
            </w:r>
            <w:r w:rsidR="008D6E75" w:rsidRPr="004F512A">
              <w:rPr>
                <w:rFonts w:ascii="Times New Roman" w:hAnsi="Times New Roman"/>
                <w:color w:val="000000"/>
              </w:rPr>
              <w:t xml:space="preserve">decyzja o ustaleniu lokalizacji inwestycji celu publicznego wiąże organ wydający decyzję o pozwoleniu na budowę </w:t>
            </w:r>
            <w:r w:rsidR="006D2C4E">
              <w:rPr>
                <w:rFonts w:ascii="Times New Roman" w:hAnsi="Times New Roman"/>
                <w:color w:val="000000"/>
              </w:rPr>
              <w:t>i</w:t>
            </w:r>
            <w:r w:rsidR="006D2C4E" w:rsidRPr="004F512A">
              <w:rPr>
                <w:rFonts w:ascii="Times New Roman" w:hAnsi="Times New Roman"/>
                <w:color w:val="000000"/>
              </w:rPr>
              <w:t xml:space="preserve"> </w:t>
            </w:r>
            <w:r w:rsidR="008D6E75" w:rsidRPr="004F512A">
              <w:rPr>
                <w:rFonts w:ascii="Times New Roman" w:hAnsi="Times New Roman"/>
                <w:color w:val="000000"/>
              </w:rPr>
              <w:t>nie można odmówić ustalenia lokalizacji inwestycji celu publicznego, jeżeli zamierzenie inwestycyjne jest zgodne z przepisami odrębnymi. Powyższych usprawnień nie przewiduje tryb wydawania decyzji o warunkach zabudowy i zagospodarowania terenu, która określa ramy dopuszczalnej inwestycji w przypadku braku miejscowego planu zagospodarowania przestrzennego. Na potrzeby realizacji inwestycji celu publicznego możliwe jest również m.in. wywłaszczenie nieruchomości w trybie przewidzianym w art. 112 i nast. ustawy z dnia 21 sierpnia 1997 r. o gospodarce nieruchomościami.</w:t>
            </w:r>
          </w:p>
          <w:p w14:paraId="256CA5B8" w14:textId="6529539C" w:rsidR="00F112C9" w:rsidRPr="004F512A" w:rsidRDefault="006D2C4E" w:rsidP="008D6E75">
            <w:pPr>
              <w:spacing w:line="240" w:lineRule="auto"/>
              <w:jc w:val="both"/>
              <w:rPr>
                <w:rFonts w:ascii="Times New Roman" w:hAnsi="Times New Roman"/>
                <w:color w:val="000000"/>
              </w:rPr>
            </w:pPr>
            <w:r>
              <w:rPr>
                <w:rFonts w:ascii="Times New Roman" w:hAnsi="Times New Roman"/>
                <w:color w:val="000000"/>
              </w:rPr>
              <w:t>Obecnie</w:t>
            </w:r>
            <w:r w:rsidR="00F112C9" w:rsidRPr="004F512A">
              <w:rPr>
                <w:rFonts w:ascii="Times New Roman" w:hAnsi="Times New Roman"/>
                <w:color w:val="000000"/>
              </w:rPr>
              <w:t xml:space="preserve"> inwestycja w zakresie budowy elektrowni szczytowo-pompowej podlega ogólnym uregulowaniom i procedurom administracyjnym wymuszającym ubieganie się w oddzielnych post</w:t>
            </w:r>
            <w:r w:rsidR="00A85C85" w:rsidRPr="004F512A">
              <w:rPr>
                <w:rFonts w:ascii="Times New Roman" w:hAnsi="Times New Roman"/>
                <w:color w:val="000000"/>
              </w:rPr>
              <w:t>ę</w:t>
            </w:r>
            <w:r w:rsidR="00F112C9" w:rsidRPr="004F512A">
              <w:rPr>
                <w:rFonts w:ascii="Times New Roman" w:hAnsi="Times New Roman"/>
                <w:color w:val="000000"/>
              </w:rPr>
              <w:t>powania</w:t>
            </w:r>
            <w:r w:rsidR="00A85C85" w:rsidRPr="004F512A">
              <w:rPr>
                <w:rFonts w:ascii="Times New Roman" w:hAnsi="Times New Roman"/>
                <w:color w:val="000000"/>
              </w:rPr>
              <w:t>ch administracyjnych</w:t>
            </w:r>
            <w:r w:rsidR="00F112C9" w:rsidRPr="004F512A">
              <w:rPr>
                <w:rFonts w:ascii="Times New Roman" w:hAnsi="Times New Roman"/>
                <w:color w:val="000000"/>
              </w:rPr>
              <w:t xml:space="preserve"> o decyzje i opinie wymagane przepisami prawa. Prowadzi to do wydłużenia całego procesu inwestycyjnego opóźniając w czasie integrację OZE</w:t>
            </w:r>
            <w:r w:rsidR="00872CF4" w:rsidRPr="004F512A">
              <w:rPr>
                <w:rFonts w:ascii="Times New Roman" w:hAnsi="Times New Roman"/>
                <w:color w:val="000000"/>
              </w:rPr>
              <w:t xml:space="preserve"> oraz skorzystanie ze skutecznego narzędzia</w:t>
            </w:r>
            <w:r w:rsidR="003211EC">
              <w:rPr>
                <w:rFonts w:ascii="Times New Roman" w:hAnsi="Times New Roman"/>
                <w:color w:val="000000"/>
              </w:rPr>
              <w:t>,</w:t>
            </w:r>
            <w:r w:rsidR="00872CF4" w:rsidRPr="004F512A">
              <w:rPr>
                <w:rFonts w:ascii="Times New Roman" w:hAnsi="Times New Roman"/>
                <w:color w:val="000000"/>
              </w:rPr>
              <w:t xml:space="preserve"> jakim jest elektrownia szczytowo-pompowa w obliczu </w:t>
            </w:r>
            <w:r w:rsidR="00A459C8" w:rsidRPr="004F512A">
              <w:rPr>
                <w:rFonts w:ascii="Times New Roman" w:hAnsi="Times New Roman"/>
                <w:color w:val="000000"/>
              </w:rPr>
              <w:t>potencjalnego</w:t>
            </w:r>
            <w:r w:rsidR="00872CF4" w:rsidRPr="004F512A">
              <w:rPr>
                <w:rFonts w:ascii="Times New Roman" w:hAnsi="Times New Roman"/>
                <w:color w:val="000000"/>
              </w:rPr>
              <w:t xml:space="preserve"> zagrożenia bezpieczeństwa dost</w:t>
            </w:r>
            <w:r w:rsidR="00A459C8" w:rsidRPr="004F512A">
              <w:rPr>
                <w:rFonts w:ascii="Times New Roman" w:hAnsi="Times New Roman"/>
                <w:color w:val="000000"/>
              </w:rPr>
              <w:t>aw</w:t>
            </w:r>
            <w:r w:rsidR="00872CF4" w:rsidRPr="004F512A">
              <w:rPr>
                <w:rFonts w:ascii="Times New Roman" w:hAnsi="Times New Roman"/>
                <w:color w:val="000000"/>
              </w:rPr>
              <w:t xml:space="preserve"> energii elektrycznej</w:t>
            </w:r>
            <w:r w:rsidR="00A459C8" w:rsidRPr="004F512A">
              <w:rPr>
                <w:rFonts w:ascii="Times New Roman" w:hAnsi="Times New Roman"/>
                <w:color w:val="000000"/>
              </w:rPr>
              <w:t>.</w:t>
            </w:r>
          </w:p>
          <w:p w14:paraId="079BA23F" w14:textId="77777777" w:rsidR="006A701A" w:rsidRPr="004F512A" w:rsidRDefault="006A701A" w:rsidP="00B37C80">
            <w:pPr>
              <w:spacing w:line="240" w:lineRule="auto"/>
              <w:jc w:val="both"/>
              <w:rPr>
                <w:rFonts w:ascii="Times New Roman" w:hAnsi="Times New Roman"/>
                <w:color w:val="000000"/>
              </w:rPr>
            </w:pPr>
          </w:p>
        </w:tc>
      </w:tr>
      <w:tr w:rsidR="006A701A" w:rsidRPr="004F512A" w14:paraId="456E15AD" w14:textId="77777777" w:rsidTr="00DE4C3A">
        <w:trPr>
          <w:trHeight w:val="142"/>
        </w:trPr>
        <w:tc>
          <w:tcPr>
            <w:tcW w:w="11086" w:type="dxa"/>
            <w:gridSpan w:val="29"/>
            <w:shd w:val="clear" w:color="auto" w:fill="99CCFF"/>
            <w:vAlign w:val="center"/>
          </w:tcPr>
          <w:p w14:paraId="7A3E5C76" w14:textId="77777777" w:rsidR="006A701A" w:rsidRPr="004F512A" w:rsidRDefault="0013216E" w:rsidP="00C53F26">
            <w:pPr>
              <w:numPr>
                <w:ilvl w:val="0"/>
                <w:numId w:val="3"/>
              </w:numPr>
              <w:spacing w:before="60" w:after="60" w:line="240" w:lineRule="auto"/>
              <w:ind w:left="318" w:hanging="284"/>
              <w:jc w:val="both"/>
              <w:rPr>
                <w:rFonts w:ascii="Times New Roman" w:hAnsi="Times New Roman"/>
                <w:b/>
                <w:color w:val="000000"/>
              </w:rPr>
            </w:pPr>
            <w:r w:rsidRPr="004F512A">
              <w:rPr>
                <w:rFonts w:ascii="Times New Roman" w:hAnsi="Times New Roman"/>
                <w:b/>
                <w:color w:val="000000"/>
                <w:spacing w:val="-2"/>
              </w:rPr>
              <w:lastRenderedPageBreak/>
              <w:t>Rekomendowane rozwiązanie, w tym planowane narzędzia interwencji, i oczekiwany efekt</w:t>
            </w:r>
          </w:p>
        </w:tc>
      </w:tr>
      <w:tr w:rsidR="006A701A" w:rsidRPr="004F512A" w14:paraId="0752064E" w14:textId="77777777" w:rsidTr="00DE4C3A">
        <w:trPr>
          <w:trHeight w:val="142"/>
        </w:trPr>
        <w:tc>
          <w:tcPr>
            <w:tcW w:w="11086" w:type="dxa"/>
            <w:gridSpan w:val="29"/>
            <w:shd w:val="clear" w:color="auto" w:fill="auto"/>
          </w:tcPr>
          <w:p w14:paraId="7F30C465" w14:textId="77777777" w:rsidR="00885757" w:rsidRPr="004F512A" w:rsidRDefault="00885757" w:rsidP="00B37C80">
            <w:pPr>
              <w:spacing w:line="240" w:lineRule="auto"/>
              <w:jc w:val="both"/>
              <w:rPr>
                <w:rFonts w:ascii="Times New Roman" w:hAnsi="Times New Roman"/>
                <w:color w:val="000000"/>
                <w:spacing w:val="-2"/>
              </w:rPr>
            </w:pPr>
          </w:p>
          <w:p w14:paraId="54FC0020" w14:textId="68B443B0" w:rsidR="00974CDF" w:rsidRDefault="00974CDF" w:rsidP="00B37C80">
            <w:pPr>
              <w:spacing w:line="240" w:lineRule="auto"/>
              <w:jc w:val="both"/>
              <w:rPr>
                <w:rFonts w:ascii="Times New Roman" w:hAnsi="Times New Roman"/>
                <w:color w:val="000000"/>
                <w:spacing w:val="-2"/>
              </w:rPr>
            </w:pPr>
            <w:r w:rsidRPr="00974CDF">
              <w:rPr>
                <w:rFonts w:ascii="Times New Roman" w:hAnsi="Times New Roman"/>
                <w:color w:val="000000"/>
                <w:spacing w:val="-2"/>
              </w:rPr>
              <w:t>W związku z tym, że przeprowadzenie procesu inwestycyjnego jest objęte właściwością szeregu ustaw z obszaru planowania i zagospodarowania przestrzennego, prawa budowlanego, ochrony przyrody i in., rekomenduje się ujęcie wszystkich niezbędnych regulacji w jedynym akcie prawnym – ustawie o przygotowaniu i realizacji inwestycji w zakresie elektrowni szczytowo-pompowych. Dodatkowo, wprowadzenie instytucji decyzji zintegrowanej podyktowane usprawnieniem procesu inwestycyjnego, wymusza konieczność jej normatywnego umiejscowienia w osobnej regulacji.</w:t>
            </w:r>
          </w:p>
          <w:p w14:paraId="2B425C99" w14:textId="097169FB" w:rsidR="006A701A" w:rsidRPr="004F512A" w:rsidRDefault="00885757" w:rsidP="00B37C80">
            <w:pPr>
              <w:spacing w:line="240" w:lineRule="auto"/>
              <w:jc w:val="both"/>
              <w:rPr>
                <w:rFonts w:ascii="Times New Roman" w:hAnsi="Times New Roman"/>
                <w:color w:val="000000"/>
                <w:spacing w:val="-2"/>
              </w:rPr>
            </w:pPr>
            <w:r w:rsidRPr="004F512A">
              <w:rPr>
                <w:rFonts w:ascii="Times New Roman" w:hAnsi="Times New Roman"/>
                <w:color w:val="000000"/>
                <w:spacing w:val="-2"/>
              </w:rPr>
              <w:t>W związku z tym, że w obecnie obowiązującym stanie prawnym i zgodnie z przyjętą linią orzeczniczą</w:t>
            </w:r>
            <w:r w:rsidR="00C228D6">
              <w:rPr>
                <w:rFonts w:ascii="Times New Roman" w:hAnsi="Times New Roman"/>
                <w:color w:val="000000"/>
                <w:spacing w:val="-2"/>
              </w:rPr>
              <w:t xml:space="preserve"> sądów administracyjnych</w:t>
            </w:r>
            <w:r w:rsidRPr="004F512A">
              <w:rPr>
                <w:rFonts w:ascii="Times New Roman" w:hAnsi="Times New Roman"/>
                <w:color w:val="000000"/>
                <w:spacing w:val="-2"/>
              </w:rPr>
              <w:t xml:space="preserve"> elektrownia szczytowo-pompowa nie stanowi inwestycji celu publicznego, proponuje się określić wprost w przepisach ustawy o przygotowaniu i realizacji inwestycji w zakresie elektrowni szczytowo-pompowych, że inwestycja w zakresie elektrowni szczytowo-pompowej jest inwestycją celu publicznego w rozumieniu przepisów o gospodarce nieruchomościami.</w:t>
            </w:r>
          </w:p>
          <w:p w14:paraId="2DB00A52" w14:textId="0D305A53" w:rsidR="00885757" w:rsidRPr="004F512A" w:rsidRDefault="00885757" w:rsidP="00885757">
            <w:p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Niezależnie od powyższego, na wzór rozwiązań istniejących w innych specustawach wskazane jest przesądzić, że dla inwestycji w zakresie elektrowni szczytowo – pompowej wydaje się kompleksową decyzję o </w:t>
            </w:r>
            <w:r w:rsidR="004611A9">
              <w:rPr>
                <w:rFonts w:ascii="Times New Roman" w:hAnsi="Times New Roman"/>
                <w:color w:val="000000"/>
                <w:spacing w:val="-2"/>
              </w:rPr>
              <w:t xml:space="preserve">ustaleniu </w:t>
            </w:r>
            <w:r w:rsidRPr="004F512A">
              <w:rPr>
                <w:rFonts w:ascii="Times New Roman" w:hAnsi="Times New Roman"/>
                <w:color w:val="000000"/>
                <w:spacing w:val="-2"/>
              </w:rPr>
              <w:t>lokalizacji</w:t>
            </w:r>
            <w:r w:rsidR="007D4525">
              <w:rPr>
                <w:rFonts w:ascii="Times New Roman" w:hAnsi="Times New Roman"/>
                <w:color w:val="000000"/>
                <w:spacing w:val="-2"/>
              </w:rPr>
              <w:t xml:space="preserve"> inwestycji</w:t>
            </w:r>
            <w:r w:rsidR="00E52872">
              <w:rPr>
                <w:rFonts w:ascii="Times New Roman" w:hAnsi="Times New Roman"/>
                <w:color w:val="000000"/>
                <w:spacing w:val="-2"/>
              </w:rPr>
              <w:t xml:space="preserve"> </w:t>
            </w:r>
            <w:r w:rsidR="00E52872" w:rsidRPr="00E52872">
              <w:rPr>
                <w:rFonts w:ascii="Times New Roman" w:hAnsi="Times New Roman"/>
                <w:color w:val="000000"/>
                <w:spacing w:val="-2"/>
              </w:rPr>
              <w:t xml:space="preserve">w zakresie elektrowni szczytowo-pompowej </w:t>
            </w:r>
            <w:r w:rsidRPr="004F512A">
              <w:rPr>
                <w:rFonts w:ascii="Times New Roman" w:hAnsi="Times New Roman"/>
                <w:color w:val="000000"/>
                <w:spacing w:val="-2"/>
              </w:rPr>
              <w:t>, łączącą w sobie aspekty decyzji lokalizacyjnej, podziałowej i wywłaszczeniowej.</w:t>
            </w:r>
          </w:p>
          <w:p w14:paraId="5588BC43" w14:textId="77777777" w:rsidR="00885757" w:rsidRPr="004F512A" w:rsidRDefault="00885757" w:rsidP="00885757">
            <w:pPr>
              <w:spacing w:line="240" w:lineRule="auto"/>
              <w:jc w:val="both"/>
              <w:rPr>
                <w:rFonts w:ascii="Times New Roman" w:hAnsi="Times New Roman"/>
                <w:color w:val="000000"/>
                <w:spacing w:val="-2"/>
              </w:rPr>
            </w:pPr>
            <w:r w:rsidRPr="004F512A">
              <w:rPr>
                <w:rFonts w:ascii="Times New Roman" w:hAnsi="Times New Roman"/>
                <w:color w:val="000000"/>
                <w:spacing w:val="-2"/>
              </w:rPr>
              <w:t>Dzięki takiemu rozwiązaniu, m.in:</w:t>
            </w:r>
          </w:p>
          <w:p w14:paraId="79AB3ED3" w14:textId="1305D807" w:rsidR="00885757" w:rsidRPr="004F512A" w:rsidRDefault="00885757" w:rsidP="00885757">
            <w:pPr>
              <w:spacing w:line="240" w:lineRule="auto"/>
              <w:jc w:val="both"/>
              <w:rPr>
                <w:rFonts w:ascii="Times New Roman" w:hAnsi="Times New Roman"/>
                <w:color w:val="000000"/>
                <w:spacing w:val="-2"/>
              </w:rPr>
            </w:pPr>
            <w:r w:rsidRPr="004F512A">
              <w:rPr>
                <w:rFonts w:ascii="Times New Roman" w:hAnsi="Times New Roman"/>
                <w:color w:val="000000"/>
                <w:spacing w:val="-2"/>
              </w:rPr>
              <w:t>1)</w:t>
            </w:r>
            <w:r w:rsidRPr="004F512A">
              <w:rPr>
                <w:rFonts w:ascii="Times New Roman" w:hAnsi="Times New Roman"/>
                <w:color w:val="000000"/>
                <w:spacing w:val="-2"/>
              </w:rPr>
              <w:tab/>
              <w:t xml:space="preserve">przepisy ustawy z dnia 27 marca 2003 r. o planowaniu i zagospodarowaniu przestrzennym (z wyjątkiem art. 57 ust. 1 i 4) nie będą miały zastosowania do przygotowywania projektów dot. realizacji elektrowni szczytowo-pompowych (decyzja </w:t>
            </w:r>
            <w:r w:rsidR="004611A9">
              <w:rPr>
                <w:rFonts w:ascii="Times New Roman" w:hAnsi="Times New Roman"/>
                <w:color w:val="000000"/>
                <w:spacing w:val="-2"/>
              </w:rPr>
              <w:t>o ustaleniu lokalizacji inwestycji</w:t>
            </w:r>
            <w:r w:rsidR="004611A9" w:rsidRPr="004F512A">
              <w:rPr>
                <w:rFonts w:ascii="Times New Roman" w:hAnsi="Times New Roman"/>
                <w:color w:val="000000"/>
                <w:spacing w:val="-2"/>
              </w:rPr>
              <w:t xml:space="preserve"> </w:t>
            </w:r>
            <w:r w:rsidRPr="004F512A">
              <w:rPr>
                <w:rFonts w:ascii="Times New Roman" w:hAnsi="Times New Roman"/>
                <w:color w:val="000000"/>
                <w:spacing w:val="-2"/>
              </w:rPr>
              <w:t>wydawana byłaby bez względu na istnienie bądź nie miejscowego planu zagospodarowania przestrzennego), a przepisy ustawy z dnia 21 sierpnia 1997 r. o gospodarce nieruchomościami stosowane będą jedynie w zakresie nieuregulowanym w specustawie;</w:t>
            </w:r>
          </w:p>
          <w:p w14:paraId="39961D23" w14:textId="623D4F05" w:rsidR="00885757" w:rsidRPr="004F512A" w:rsidRDefault="00885757" w:rsidP="00885757">
            <w:pPr>
              <w:spacing w:line="240" w:lineRule="auto"/>
              <w:jc w:val="both"/>
              <w:rPr>
                <w:rFonts w:ascii="Times New Roman" w:hAnsi="Times New Roman"/>
                <w:color w:val="000000"/>
                <w:spacing w:val="-2"/>
              </w:rPr>
            </w:pPr>
            <w:r w:rsidRPr="004F512A">
              <w:rPr>
                <w:rFonts w:ascii="Times New Roman" w:hAnsi="Times New Roman"/>
                <w:color w:val="000000"/>
                <w:spacing w:val="-2"/>
              </w:rPr>
              <w:t>2)</w:t>
            </w:r>
            <w:r w:rsidRPr="004F512A">
              <w:rPr>
                <w:rFonts w:ascii="Times New Roman" w:hAnsi="Times New Roman"/>
                <w:color w:val="000000"/>
                <w:spacing w:val="-2"/>
              </w:rPr>
              <w:tab/>
              <w:t xml:space="preserve">decyzja </w:t>
            </w:r>
            <w:r w:rsidR="004611A9">
              <w:rPr>
                <w:rFonts w:ascii="Times New Roman" w:hAnsi="Times New Roman"/>
                <w:color w:val="000000"/>
                <w:spacing w:val="-2"/>
              </w:rPr>
              <w:t>o ustaleniu lokalizacji inwestycji</w:t>
            </w:r>
            <w:r w:rsidR="004611A9" w:rsidRPr="004F512A">
              <w:rPr>
                <w:rFonts w:ascii="Times New Roman" w:hAnsi="Times New Roman"/>
                <w:color w:val="000000"/>
                <w:spacing w:val="-2"/>
              </w:rPr>
              <w:t xml:space="preserve"> </w:t>
            </w:r>
            <w:r w:rsidRPr="004F512A">
              <w:rPr>
                <w:rFonts w:ascii="Times New Roman" w:hAnsi="Times New Roman"/>
                <w:color w:val="000000"/>
                <w:spacing w:val="-2"/>
              </w:rPr>
              <w:t>wiązać będzie właściwe organy przy sporządzaniu studium uwarunkowań i kierunków zagospodarowania przestrzennego oraz miejscowego planu zagospodarowania przestrzennego a także w zakresie wydawania decyzji o warunkach zabudowy i zagospodarowania terenu oraz pozwolenia na budowę;</w:t>
            </w:r>
          </w:p>
          <w:p w14:paraId="4EE8A48D" w14:textId="650D61C9" w:rsidR="00885757" w:rsidRPr="004F512A" w:rsidRDefault="00885757" w:rsidP="00885757">
            <w:pPr>
              <w:spacing w:line="240" w:lineRule="auto"/>
              <w:jc w:val="both"/>
              <w:rPr>
                <w:rFonts w:ascii="Times New Roman" w:hAnsi="Times New Roman"/>
                <w:color w:val="000000"/>
                <w:spacing w:val="-2"/>
              </w:rPr>
            </w:pPr>
            <w:r w:rsidRPr="004F512A">
              <w:rPr>
                <w:rFonts w:ascii="Times New Roman" w:hAnsi="Times New Roman"/>
                <w:color w:val="000000"/>
                <w:spacing w:val="-2"/>
              </w:rPr>
              <w:t>3)</w:t>
            </w:r>
            <w:r w:rsidRPr="004F512A">
              <w:rPr>
                <w:rFonts w:ascii="Times New Roman" w:hAnsi="Times New Roman"/>
                <w:color w:val="000000"/>
                <w:spacing w:val="-2"/>
              </w:rPr>
              <w:tab/>
              <w:t xml:space="preserve">ostateczna decyzja </w:t>
            </w:r>
            <w:r w:rsidR="004611A9">
              <w:rPr>
                <w:rFonts w:ascii="Times New Roman" w:hAnsi="Times New Roman"/>
                <w:color w:val="000000"/>
                <w:spacing w:val="-2"/>
              </w:rPr>
              <w:t>o ustaleniu lokalizacji inwestycji</w:t>
            </w:r>
            <w:r w:rsidR="004611A9" w:rsidRPr="004F512A">
              <w:rPr>
                <w:rFonts w:ascii="Times New Roman" w:hAnsi="Times New Roman"/>
                <w:color w:val="000000"/>
                <w:spacing w:val="-2"/>
              </w:rPr>
              <w:t xml:space="preserve"> </w:t>
            </w:r>
            <w:r w:rsidRPr="004F512A">
              <w:rPr>
                <w:rFonts w:ascii="Times New Roman" w:hAnsi="Times New Roman"/>
                <w:color w:val="000000"/>
                <w:spacing w:val="-2"/>
              </w:rPr>
              <w:t>będzie stanowić podstawę do dokonywania wpisów w księdze wieczystej i w katastrze nieruchomości;</w:t>
            </w:r>
          </w:p>
          <w:p w14:paraId="4DFD9116" w14:textId="77777777" w:rsidR="00885757" w:rsidRPr="004F512A" w:rsidRDefault="00885757" w:rsidP="00885757">
            <w:pPr>
              <w:spacing w:line="240" w:lineRule="auto"/>
              <w:jc w:val="both"/>
              <w:rPr>
                <w:rFonts w:ascii="Times New Roman" w:hAnsi="Times New Roman"/>
                <w:color w:val="000000"/>
                <w:spacing w:val="-2"/>
              </w:rPr>
            </w:pPr>
            <w:r w:rsidRPr="004F512A">
              <w:rPr>
                <w:rFonts w:ascii="Times New Roman" w:hAnsi="Times New Roman"/>
                <w:color w:val="000000"/>
                <w:spacing w:val="-2"/>
              </w:rPr>
              <w:t>4)</w:t>
            </w:r>
            <w:r w:rsidRPr="004F512A">
              <w:rPr>
                <w:rFonts w:ascii="Times New Roman" w:hAnsi="Times New Roman"/>
                <w:color w:val="000000"/>
                <w:spacing w:val="-2"/>
              </w:rPr>
              <w:tab/>
              <w:t>znacznie ułatwiony zostanie proces pozyskiwania gruntów na potrzeby realizacji inwestycji.</w:t>
            </w:r>
          </w:p>
          <w:p w14:paraId="13B3C6FF" w14:textId="4D6D363C" w:rsidR="00885757" w:rsidRPr="004F512A" w:rsidRDefault="00885757" w:rsidP="00885757">
            <w:p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Proponuje się wprowadzenie ułatwień w zakresie pozyskiwania gruntów wynikających z wprowadzenia obowiązku wydania decyzji </w:t>
            </w:r>
            <w:r w:rsidR="004611A9">
              <w:rPr>
                <w:rFonts w:ascii="Times New Roman" w:hAnsi="Times New Roman"/>
                <w:color w:val="000000"/>
                <w:spacing w:val="-2"/>
              </w:rPr>
              <w:t>o ustaleniu lokalizacji inwestycji</w:t>
            </w:r>
            <w:r w:rsidRPr="004F512A">
              <w:rPr>
                <w:rFonts w:ascii="Times New Roman" w:hAnsi="Times New Roman"/>
                <w:color w:val="000000"/>
                <w:spacing w:val="-2"/>
              </w:rPr>
              <w:t>.</w:t>
            </w:r>
          </w:p>
          <w:p w14:paraId="72E5DB7B" w14:textId="63DB540F" w:rsidR="00885757" w:rsidRPr="004F512A" w:rsidRDefault="00885757" w:rsidP="00885757">
            <w:pPr>
              <w:spacing w:line="240" w:lineRule="auto"/>
              <w:jc w:val="both"/>
              <w:rPr>
                <w:rFonts w:ascii="Times New Roman" w:hAnsi="Times New Roman"/>
                <w:color w:val="000000"/>
                <w:spacing w:val="-2"/>
              </w:rPr>
            </w:pPr>
            <w:r w:rsidRPr="004F512A">
              <w:rPr>
                <w:rFonts w:ascii="Times New Roman" w:hAnsi="Times New Roman"/>
                <w:color w:val="000000"/>
                <w:spacing w:val="-2"/>
              </w:rPr>
              <w:lastRenderedPageBreak/>
              <w:t xml:space="preserve">Rekomenduje się wprowadzenie szczególnego trybu pozyskiwania gruntów w oparciu o decyzję </w:t>
            </w:r>
            <w:r w:rsidR="004611A9">
              <w:rPr>
                <w:rFonts w:ascii="Times New Roman" w:hAnsi="Times New Roman"/>
                <w:color w:val="000000"/>
                <w:spacing w:val="-2"/>
              </w:rPr>
              <w:t>o ustaleniu lokalizacji inwestycji</w:t>
            </w:r>
            <w:r w:rsidR="004611A9" w:rsidRPr="004F512A">
              <w:rPr>
                <w:rFonts w:ascii="Times New Roman" w:hAnsi="Times New Roman"/>
                <w:color w:val="000000"/>
                <w:spacing w:val="-2"/>
              </w:rPr>
              <w:t xml:space="preserve"> </w:t>
            </w:r>
            <w:r w:rsidRPr="004F512A">
              <w:rPr>
                <w:rFonts w:ascii="Times New Roman" w:hAnsi="Times New Roman"/>
                <w:color w:val="000000"/>
                <w:spacing w:val="-2"/>
              </w:rPr>
              <w:t>(przy uwzględnieniu, iż koszty wywłaszczeń ponosi inwestor), na podstawie którego w szczególności:</w:t>
            </w:r>
          </w:p>
          <w:p w14:paraId="7721FC62" w14:textId="7034BA0F" w:rsidR="00885757" w:rsidRPr="004F512A" w:rsidRDefault="00885757" w:rsidP="00885757">
            <w:pPr>
              <w:spacing w:line="240" w:lineRule="auto"/>
              <w:jc w:val="both"/>
              <w:rPr>
                <w:rFonts w:ascii="Times New Roman" w:hAnsi="Times New Roman"/>
                <w:color w:val="000000"/>
                <w:spacing w:val="-2"/>
              </w:rPr>
            </w:pPr>
            <w:r w:rsidRPr="004F512A">
              <w:rPr>
                <w:rFonts w:ascii="Times New Roman" w:hAnsi="Times New Roman"/>
                <w:color w:val="000000"/>
                <w:spacing w:val="-2"/>
              </w:rPr>
              <w:t>1)</w:t>
            </w:r>
            <w:r w:rsidRPr="004F512A">
              <w:rPr>
                <w:rFonts w:ascii="Times New Roman" w:hAnsi="Times New Roman"/>
                <w:color w:val="000000"/>
                <w:spacing w:val="-2"/>
              </w:rPr>
              <w:tab/>
            </w:r>
            <w:r w:rsidR="004611A9">
              <w:rPr>
                <w:rFonts w:ascii="Times New Roman" w:hAnsi="Times New Roman"/>
                <w:color w:val="000000"/>
                <w:spacing w:val="-2"/>
              </w:rPr>
              <w:t xml:space="preserve">ww. </w:t>
            </w:r>
            <w:r w:rsidRPr="004F512A">
              <w:rPr>
                <w:rFonts w:ascii="Times New Roman" w:hAnsi="Times New Roman"/>
                <w:color w:val="000000"/>
                <w:spacing w:val="-2"/>
              </w:rPr>
              <w:t>decyzja zatwierdzać będzie podział nieruchomości położonych w obszarze realizacji inwestycji;</w:t>
            </w:r>
          </w:p>
          <w:p w14:paraId="6DDC41CC" w14:textId="30922BA6" w:rsidR="00885757" w:rsidRPr="004F512A" w:rsidRDefault="00885757" w:rsidP="00885757">
            <w:pPr>
              <w:spacing w:line="240" w:lineRule="auto"/>
              <w:jc w:val="both"/>
              <w:rPr>
                <w:rFonts w:ascii="Times New Roman" w:hAnsi="Times New Roman"/>
                <w:color w:val="000000"/>
                <w:spacing w:val="-2"/>
              </w:rPr>
            </w:pPr>
            <w:r w:rsidRPr="004F512A">
              <w:rPr>
                <w:rFonts w:ascii="Times New Roman" w:hAnsi="Times New Roman"/>
                <w:color w:val="000000"/>
                <w:spacing w:val="-2"/>
              </w:rPr>
              <w:t>2)</w:t>
            </w:r>
            <w:r w:rsidRPr="004F512A">
              <w:rPr>
                <w:rFonts w:ascii="Times New Roman" w:hAnsi="Times New Roman"/>
                <w:color w:val="000000"/>
                <w:spacing w:val="-2"/>
              </w:rPr>
              <w:tab/>
              <w:t xml:space="preserve">z dniem, w którym decyzja </w:t>
            </w:r>
            <w:r w:rsidR="004611A9">
              <w:rPr>
                <w:rFonts w:ascii="Times New Roman" w:hAnsi="Times New Roman"/>
                <w:color w:val="000000"/>
                <w:spacing w:val="-2"/>
              </w:rPr>
              <w:t>ta</w:t>
            </w:r>
            <w:r w:rsidR="004611A9" w:rsidRPr="004F512A">
              <w:rPr>
                <w:rFonts w:ascii="Times New Roman" w:hAnsi="Times New Roman"/>
                <w:color w:val="000000"/>
                <w:spacing w:val="-2"/>
              </w:rPr>
              <w:t xml:space="preserve"> </w:t>
            </w:r>
            <w:r w:rsidRPr="004F512A">
              <w:rPr>
                <w:rFonts w:ascii="Times New Roman" w:hAnsi="Times New Roman"/>
                <w:color w:val="000000"/>
                <w:spacing w:val="-2"/>
              </w:rPr>
              <w:t xml:space="preserve">stanie się ostateczna, nieruchomości w niej określone z mocy prawa będą stawać się własnością Skarbu Państwa za odszkodowaniem (następnie będą oddawane w użytkowanie wieczyste </w:t>
            </w:r>
            <w:r w:rsidR="004611A9">
              <w:rPr>
                <w:rFonts w:ascii="Times New Roman" w:hAnsi="Times New Roman"/>
                <w:color w:val="000000"/>
                <w:spacing w:val="-2"/>
              </w:rPr>
              <w:t>i</w:t>
            </w:r>
            <w:r w:rsidR="004611A9" w:rsidRPr="004F512A">
              <w:rPr>
                <w:rFonts w:ascii="Times New Roman" w:hAnsi="Times New Roman"/>
                <w:color w:val="000000"/>
                <w:spacing w:val="-2"/>
              </w:rPr>
              <w:t>nwestorowi</w:t>
            </w:r>
            <w:r w:rsidRPr="004F512A">
              <w:rPr>
                <w:rFonts w:ascii="Times New Roman" w:hAnsi="Times New Roman"/>
                <w:color w:val="000000"/>
                <w:spacing w:val="-2"/>
              </w:rPr>
              <w:t xml:space="preserve">), a ograniczone prawa rzeczowe obciążające te nieruchomości lub </w:t>
            </w:r>
            <w:r w:rsidR="004611A9">
              <w:rPr>
                <w:rFonts w:ascii="Times New Roman" w:hAnsi="Times New Roman"/>
                <w:color w:val="000000"/>
                <w:spacing w:val="-2"/>
              </w:rPr>
              <w:t>zobowiązania</w:t>
            </w:r>
            <w:r w:rsidRPr="004F512A">
              <w:rPr>
                <w:rFonts w:ascii="Times New Roman" w:hAnsi="Times New Roman"/>
                <w:color w:val="000000"/>
                <w:spacing w:val="-2"/>
              </w:rPr>
              <w:t>, których przedmiotem są nieruchomości</w:t>
            </w:r>
            <w:r w:rsidR="004611A9">
              <w:rPr>
                <w:rFonts w:ascii="Times New Roman" w:hAnsi="Times New Roman"/>
                <w:color w:val="000000"/>
                <w:spacing w:val="-2"/>
              </w:rPr>
              <w:t xml:space="preserve"> </w:t>
            </w:r>
            <w:r w:rsidRPr="004F512A">
              <w:rPr>
                <w:rFonts w:ascii="Times New Roman" w:hAnsi="Times New Roman"/>
                <w:color w:val="000000"/>
                <w:spacing w:val="-2"/>
              </w:rPr>
              <w:t>-</w:t>
            </w:r>
            <w:r w:rsidR="004611A9">
              <w:rPr>
                <w:rFonts w:ascii="Times New Roman" w:hAnsi="Times New Roman"/>
                <w:color w:val="000000"/>
                <w:spacing w:val="-2"/>
              </w:rPr>
              <w:t xml:space="preserve"> </w:t>
            </w:r>
            <w:r w:rsidRPr="004F512A">
              <w:rPr>
                <w:rFonts w:ascii="Times New Roman" w:hAnsi="Times New Roman"/>
                <w:color w:val="000000"/>
                <w:spacing w:val="-2"/>
              </w:rPr>
              <w:t>wygasną (także za odszkodowaniem);</w:t>
            </w:r>
          </w:p>
          <w:p w14:paraId="35D5153D" w14:textId="72A15FBC" w:rsidR="00885757" w:rsidRPr="004F512A" w:rsidRDefault="00885757" w:rsidP="00885757">
            <w:pPr>
              <w:spacing w:line="240" w:lineRule="auto"/>
              <w:jc w:val="both"/>
              <w:rPr>
                <w:rFonts w:ascii="Times New Roman" w:hAnsi="Times New Roman"/>
                <w:color w:val="000000"/>
                <w:spacing w:val="-2"/>
              </w:rPr>
            </w:pPr>
            <w:r w:rsidRPr="004F512A">
              <w:rPr>
                <w:rFonts w:ascii="Times New Roman" w:hAnsi="Times New Roman"/>
                <w:color w:val="000000"/>
                <w:spacing w:val="-2"/>
              </w:rPr>
              <w:t>3)</w:t>
            </w:r>
            <w:r w:rsidRPr="004F512A">
              <w:rPr>
                <w:rFonts w:ascii="Times New Roman" w:hAnsi="Times New Roman"/>
                <w:color w:val="000000"/>
                <w:spacing w:val="-2"/>
              </w:rPr>
              <w:tab/>
              <w:t xml:space="preserve">decyzja </w:t>
            </w:r>
            <w:r w:rsidR="004611A9">
              <w:rPr>
                <w:rFonts w:ascii="Times New Roman" w:hAnsi="Times New Roman"/>
                <w:color w:val="000000"/>
                <w:spacing w:val="-2"/>
              </w:rPr>
              <w:t>o ustaleniu lokalizacji</w:t>
            </w:r>
            <w:r w:rsidR="004611A9" w:rsidRPr="004F512A">
              <w:rPr>
                <w:rFonts w:ascii="Times New Roman" w:hAnsi="Times New Roman"/>
                <w:color w:val="000000"/>
                <w:spacing w:val="-2"/>
              </w:rPr>
              <w:t xml:space="preserve"> </w:t>
            </w:r>
            <w:r w:rsidRPr="004F512A">
              <w:rPr>
                <w:rFonts w:ascii="Times New Roman" w:hAnsi="Times New Roman"/>
                <w:color w:val="000000"/>
                <w:spacing w:val="-2"/>
              </w:rPr>
              <w:t>będzie stanowić podstawę do wydania przez właściwy organ decyzji o wygaśnięciu trwałego zarządu ustanowionego na nieruchomości przeznaczonej na inwestycję w zakresie elektrowni szczytowo-pompowej, stanowiącej własność Skarbu Państwa;</w:t>
            </w:r>
          </w:p>
          <w:p w14:paraId="4A9C8ED0" w14:textId="19234275" w:rsidR="00885757" w:rsidRPr="004F512A" w:rsidRDefault="00885757" w:rsidP="00885757">
            <w:pPr>
              <w:spacing w:line="240" w:lineRule="auto"/>
              <w:jc w:val="both"/>
              <w:rPr>
                <w:rFonts w:ascii="Times New Roman" w:hAnsi="Times New Roman"/>
                <w:color w:val="000000"/>
                <w:spacing w:val="-2"/>
              </w:rPr>
            </w:pPr>
            <w:r w:rsidRPr="004F512A">
              <w:rPr>
                <w:rFonts w:ascii="Times New Roman" w:hAnsi="Times New Roman"/>
                <w:color w:val="000000"/>
                <w:spacing w:val="-2"/>
              </w:rPr>
              <w:t>4)</w:t>
            </w:r>
            <w:r w:rsidRPr="004F512A">
              <w:rPr>
                <w:rFonts w:ascii="Times New Roman" w:hAnsi="Times New Roman"/>
                <w:color w:val="000000"/>
                <w:spacing w:val="-2"/>
              </w:rPr>
              <w:tab/>
              <w:t xml:space="preserve">nieuregulowany stan prawny nieruchomości objętych wnioskiem o wydanie decyzji </w:t>
            </w:r>
            <w:r w:rsidR="004611A9">
              <w:rPr>
                <w:rFonts w:ascii="Times New Roman" w:hAnsi="Times New Roman"/>
                <w:color w:val="000000"/>
                <w:spacing w:val="-2"/>
              </w:rPr>
              <w:t>ustaleniu lokalizacji</w:t>
            </w:r>
            <w:r w:rsidR="004611A9" w:rsidRPr="004F512A">
              <w:rPr>
                <w:rFonts w:ascii="Times New Roman" w:hAnsi="Times New Roman"/>
                <w:color w:val="000000"/>
                <w:spacing w:val="-2"/>
              </w:rPr>
              <w:t xml:space="preserve"> </w:t>
            </w:r>
            <w:r w:rsidRPr="004F512A">
              <w:rPr>
                <w:rFonts w:ascii="Times New Roman" w:hAnsi="Times New Roman"/>
                <w:color w:val="000000"/>
                <w:spacing w:val="-2"/>
              </w:rPr>
              <w:t xml:space="preserve">nie będzie stanowić przeszkody do wydania </w:t>
            </w:r>
            <w:r w:rsidR="004611A9">
              <w:rPr>
                <w:rFonts w:ascii="Times New Roman" w:hAnsi="Times New Roman"/>
                <w:color w:val="000000"/>
                <w:spacing w:val="-2"/>
              </w:rPr>
              <w:t xml:space="preserve">tej </w:t>
            </w:r>
            <w:r w:rsidRPr="004F512A">
              <w:rPr>
                <w:rFonts w:ascii="Times New Roman" w:hAnsi="Times New Roman"/>
                <w:color w:val="000000"/>
                <w:spacing w:val="-2"/>
              </w:rPr>
              <w:t>decyzji.</w:t>
            </w:r>
          </w:p>
          <w:p w14:paraId="731FB09A" w14:textId="60184881" w:rsidR="00885757" w:rsidRPr="004F512A" w:rsidRDefault="004611A9" w:rsidP="00885757">
            <w:pPr>
              <w:spacing w:line="240" w:lineRule="auto"/>
              <w:jc w:val="both"/>
              <w:rPr>
                <w:rFonts w:ascii="Times New Roman" w:hAnsi="Times New Roman"/>
                <w:color w:val="000000"/>
                <w:spacing w:val="-2"/>
              </w:rPr>
            </w:pPr>
            <w:r>
              <w:rPr>
                <w:rFonts w:ascii="Times New Roman" w:hAnsi="Times New Roman"/>
                <w:color w:val="000000"/>
                <w:spacing w:val="-2"/>
              </w:rPr>
              <w:t>Zostanie</w:t>
            </w:r>
            <w:r w:rsidR="00885757" w:rsidRPr="004F512A">
              <w:rPr>
                <w:rFonts w:ascii="Times New Roman" w:hAnsi="Times New Roman"/>
                <w:color w:val="000000"/>
                <w:spacing w:val="-2"/>
              </w:rPr>
              <w:t xml:space="preserve"> również uregulowana sytuacja korzystania z cudzych nieruchomości przed rozpoczęciem inwestycji na potrzeby wykonania określonych czynności niezbędnych dla uzyskania określonych decyzji administracyjnych. Jeżeli do przeprowadzenia pomiarów, badań lub innych prac niezbędnych do sporządzenia raportu o oddziaływaniu przedsięwzięcia na środowisko lub do sporządzenia wniosku o wydanie decyzji </w:t>
            </w:r>
            <w:r>
              <w:rPr>
                <w:rFonts w:ascii="Times New Roman" w:hAnsi="Times New Roman"/>
                <w:color w:val="000000"/>
                <w:spacing w:val="-2"/>
              </w:rPr>
              <w:t xml:space="preserve">o ustaleniu </w:t>
            </w:r>
            <w:r w:rsidR="00A03E83">
              <w:rPr>
                <w:rFonts w:ascii="Times New Roman" w:hAnsi="Times New Roman"/>
                <w:color w:val="000000"/>
                <w:spacing w:val="-2"/>
              </w:rPr>
              <w:t>lokalizacji</w:t>
            </w:r>
            <w:r w:rsidRPr="004F512A">
              <w:rPr>
                <w:rFonts w:ascii="Times New Roman" w:hAnsi="Times New Roman"/>
                <w:color w:val="000000"/>
                <w:spacing w:val="-2"/>
              </w:rPr>
              <w:t xml:space="preserve"> </w:t>
            </w:r>
            <w:r w:rsidR="00885757" w:rsidRPr="004F512A">
              <w:rPr>
                <w:rFonts w:ascii="Times New Roman" w:hAnsi="Times New Roman"/>
                <w:color w:val="000000"/>
                <w:spacing w:val="-2"/>
              </w:rPr>
              <w:t>(np. wykonanie badań archeologicznych, geologicznych, hydrogeologicznych lub określeniu geotechnicznych warunków posadowienia obiektu), konieczne będzie wejście na teren cudzej nieruchomości (także o nieuregulowanym stanie prawnym), inwestor powinien być uprawniony do uzyskania decyzji wojewody o zezwoleniu na wejście na teren tej nieruchomości.</w:t>
            </w:r>
          </w:p>
          <w:p w14:paraId="21C70B7E" w14:textId="1EA26923" w:rsidR="00885757" w:rsidRPr="004F512A" w:rsidRDefault="00885757" w:rsidP="00885757">
            <w:p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Realizacja inwestycji w zakresie elektrowni szczytowo-pompowej (w szczególności budowa) wymaga przeprowadzenia wieloetapowego procesu inwestycyjnego, którego elementem jest pozyskanie m.in. decyzji </w:t>
            </w:r>
            <w:r w:rsidR="004611A9">
              <w:rPr>
                <w:rFonts w:ascii="Times New Roman" w:hAnsi="Times New Roman"/>
                <w:color w:val="000000"/>
                <w:spacing w:val="-2"/>
              </w:rPr>
              <w:t>o środowiskowych uwarunkowaniach</w:t>
            </w:r>
            <w:r w:rsidRPr="004F512A">
              <w:rPr>
                <w:rFonts w:ascii="Times New Roman" w:hAnsi="Times New Roman"/>
                <w:color w:val="000000"/>
                <w:spacing w:val="-2"/>
              </w:rPr>
              <w:t>, zgód wodnoprawnych, pozwolenia na budowę</w:t>
            </w:r>
            <w:r w:rsidR="00974CDF">
              <w:rPr>
                <w:rFonts w:ascii="Times New Roman" w:hAnsi="Times New Roman"/>
                <w:color w:val="000000"/>
                <w:spacing w:val="-2"/>
              </w:rPr>
              <w:t>, itd</w:t>
            </w:r>
            <w:r w:rsidRPr="004F512A">
              <w:rPr>
                <w:rFonts w:ascii="Times New Roman" w:hAnsi="Times New Roman"/>
                <w:color w:val="000000"/>
                <w:spacing w:val="-2"/>
              </w:rPr>
              <w:t>.</w:t>
            </w:r>
          </w:p>
          <w:p w14:paraId="6C10AAE0" w14:textId="6943454E" w:rsidR="00885757" w:rsidRPr="004F512A" w:rsidRDefault="004611A9" w:rsidP="00885757">
            <w:pPr>
              <w:spacing w:line="240" w:lineRule="auto"/>
              <w:jc w:val="both"/>
              <w:rPr>
                <w:rFonts w:ascii="Times New Roman" w:hAnsi="Times New Roman"/>
                <w:color w:val="000000"/>
                <w:spacing w:val="-2"/>
              </w:rPr>
            </w:pPr>
            <w:r>
              <w:rPr>
                <w:rFonts w:ascii="Times New Roman" w:hAnsi="Times New Roman"/>
                <w:color w:val="000000"/>
                <w:spacing w:val="-2"/>
              </w:rPr>
              <w:t>Instrumentami, określonymi w projekcie ustawy,</w:t>
            </w:r>
            <w:r w:rsidR="00885757" w:rsidRPr="004F512A">
              <w:rPr>
                <w:rFonts w:ascii="Times New Roman" w:hAnsi="Times New Roman"/>
                <w:color w:val="000000"/>
                <w:spacing w:val="-2"/>
              </w:rPr>
              <w:t xml:space="preserve"> mającym</w:t>
            </w:r>
            <w:r>
              <w:rPr>
                <w:rFonts w:ascii="Times New Roman" w:hAnsi="Times New Roman"/>
                <w:color w:val="000000"/>
                <w:spacing w:val="-2"/>
              </w:rPr>
              <w:t>i</w:t>
            </w:r>
            <w:r w:rsidR="00885757" w:rsidRPr="004F512A">
              <w:rPr>
                <w:rFonts w:ascii="Times New Roman" w:hAnsi="Times New Roman"/>
                <w:color w:val="000000"/>
                <w:spacing w:val="-2"/>
              </w:rPr>
              <w:t xml:space="preserve"> na celu usprawnienie procesu inwestycyjnego </w:t>
            </w:r>
            <w:r>
              <w:rPr>
                <w:rFonts w:ascii="Times New Roman" w:hAnsi="Times New Roman"/>
                <w:color w:val="000000"/>
                <w:spacing w:val="-2"/>
              </w:rPr>
              <w:t>są</w:t>
            </w:r>
            <w:r w:rsidR="00885757" w:rsidRPr="004F512A">
              <w:rPr>
                <w:rFonts w:ascii="Times New Roman" w:hAnsi="Times New Roman"/>
                <w:color w:val="000000"/>
                <w:spacing w:val="-2"/>
              </w:rPr>
              <w:t>:</w:t>
            </w:r>
          </w:p>
          <w:p w14:paraId="567845DD" w14:textId="54C69EFF" w:rsidR="00885757" w:rsidRPr="004F512A" w:rsidRDefault="00885757" w:rsidP="00885757">
            <w:pPr>
              <w:spacing w:line="240" w:lineRule="auto"/>
              <w:jc w:val="both"/>
              <w:rPr>
                <w:rFonts w:ascii="Times New Roman" w:hAnsi="Times New Roman"/>
                <w:color w:val="000000"/>
                <w:spacing w:val="-2"/>
              </w:rPr>
            </w:pPr>
            <w:r w:rsidRPr="004F512A">
              <w:rPr>
                <w:rFonts w:ascii="Times New Roman" w:hAnsi="Times New Roman"/>
                <w:color w:val="000000"/>
                <w:spacing w:val="-2"/>
              </w:rPr>
              <w:t>1)</w:t>
            </w:r>
            <w:r w:rsidRPr="004F512A">
              <w:rPr>
                <w:rFonts w:ascii="Times New Roman" w:hAnsi="Times New Roman"/>
                <w:color w:val="000000"/>
                <w:spacing w:val="-2"/>
              </w:rPr>
              <w:tab/>
              <w:t xml:space="preserve">odpowiednie skrócenie terminów </w:t>
            </w:r>
            <w:r w:rsidR="004611A9">
              <w:rPr>
                <w:rFonts w:ascii="Times New Roman" w:hAnsi="Times New Roman"/>
                <w:color w:val="000000"/>
                <w:spacing w:val="-2"/>
              </w:rPr>
              <w:t xml:space="preserve">wydawania </w:t>
            </w:r>
            <w:r w:rsidRPr="004F512A">
              <w:rPr>
                <w:rFonts w:ascii="Times New Roman" w:hAnsi="Times New Roman"/>
                <w:color w:val="000000"/>
                <w:spacing w:val="-2"/>
              </w:rPr>
              <w:t>decyzji administracyjnych w stosunku do terminów obowiązujących;</w:t>
            </w:r>
          </w:p>
          <w:p w14:paraId="5F1D1E1A" w14:textId="77777777" w:rsidR="00885757" w:rsidRPr="004F512A" w:rsidRDefault="00885757" w:rsidP="00885757">
            <w:pPr>
              <w:spacing w:line="240" w:lineRule="auto"/>
              <w:jc w:val="both"/>
              <w:rPr>
                <w:rFonts w:ascii="Times New Roman" w:hAnsi="Times New Roman"/>
                <w:color w:val="000000"/>
                <w:spacing w:val="-2"/>
              </w:rPr>
            </w:pPr>
            <w:r w:rsidRPr="004F512A">
              <w:rPr>
                <w:rFonts w:ascii="Times New Roman" w:hAnsi="Times New Roman"/>
                <w:color w:val="000000"/>
                <w:spacing w:val="-2"/>
              </w:rPr>
              <w:t>2)</w:t>
            </w:r>
            <w:r w:rsidRPr="004F512A">
              <w:rPr>
                <w:rFonts w:ascii="Times New Roman" w:hAnsi="Times New Roman"/>
                <w:color w:val="000000"/>
                <w:spacing w:val="-2"/>
              </w:rPr>
              <w:tab/>
              <w:t>wprowadzenie kar pieniężnych nakładanych na organy właściwe do wydania decyzji w razie przekroczenia tych terminów;</w:t>
            </w:r>
          </w:p>
          <w:p w14:paraId="7B18BE15" w14:textId="62CE786C" w:rsidR="00885757" w:rsidRPr="004F512A" w:rsidRDefault="00885757" w:rsidP="00885757">
            <w:pPr>
              <w:spacing w:line="240" w:lineRule="auto"/>
              <w:jc w:val="both"/>
              <w:rPr>
                <w:rFonts w:ascii="Times New Roman" w:hAnsi="Times New Roman"/>
                <w:color w:val="000000"/>
                <w:spacing w:val="-2"/>
              </w:rPr>
            </w:pPr>
            <w:r w:rsidRPr="004F512A">
              <w:rPr>
                <w:rFonts w:ascii="Times New Roman" w:hAnsi="Times New Roman"/>
                <w:color w:val="000000"/>
                <w:spacing w:val="-2"/>
              </w:rPr>
              <w:t>3)</w:t>
            </w:r>
            <w:r w:rsidRPr="004F512A">
              <w:rPr>
                <w:rFonts w:ascii="Times New Roman" w:hAnsi="Times New Roman"/>
                <w:color w:val="000000"/>
                <w:spacing w:val="-2"/>
              </w:rPr>
              <w:tab/>
              <w:t>nadanie rygorów natychmiastowej wykonalności decyzjom wydawanym w procesie inwestycyjnym</w:t>
            </w:r>
            <w:r w:rsidR="001F4566">
              <w:rPr>
                <w:rFonts w:ascii="Times New Roman" w:hAnsi="Times New Roman"/>
                <w:color w:val="000000"/>
                <w:spacing w:val="-2"/>
              </w:rPr>
              <w:t xml:space="preserve"> na podstawie ustawy</w:t>
            </w:r>
            <w:r w:rsidRPr="004F512A">
              <w:rPr>
                <w:rFonts w:ascii="Times New Roman" w:hAnsi="Times New Roman"/>
                <w:color w:val="000000"/>
                <w:spacing w:val="-2"/>
              </w:rPr>
              <w:t>;</w:t>
            </w:r>
          </w:p>
          <w:p w14:paraId="7F412862" w14:textId="25EEB4A2" w:rsidR="00885757" w:rsidRPr="004F512A" w:rsidRDefault="00885757" w:rsidP="00885757">
            <w:pPr>
              <w:spacing w:line="240" w:lineRule="auto"/>
              <w:jc w:val="both"/>
              <w:rPr>
                <w:rFonts w:ascii="Times New Roman" w:hAnsi="Times New Roman"/>
                <w:color w:val="000000"/>
                <w:spacing w:val="-2"/>
              </w:rPr>
            </w:pPr>
            <w:r w:rsidRPr="004F512A">
              <w:rPr>
                <w:rFonts w:ascii="Times New Roman" w:hAnsi="Times New Roman"/>
                <w:color w:val="000000"/>
                <w:spacing w:val="-2"/>
              </w:rPr>
              <w:t>4)</w:t>
            </w:r>
            <w:r w:rsidRPr="004F512A">
              <w:rPr>
                <w:rFonts w:ascii="Times New Roman" w:hAnsi="Times New Roman"/>
                <w:color w:val="000000"/>
                <w:spacing w:val="-2"/>
              </w:rPr>
              <w:tab/>
              <w:t>skrócenie terminów rozpatrywania przez sądy administracyjne środków zaskarżenia</w:t>
            </w:r>
            <w:r w:rsidR="001F4566">
              <w:rPr>
                <w:rFonts w:ascii="Times New Roman" w:hAnsi="Times New Roman"/>
                <w:color w:val="000000"/>
                <w:spacing w:val="-2"/>
              </w:rPr>
              <w:t xml:space="preserve"> od decyzji wydawanych na podstawie ustawy</w:t>
            </w:r>
            <w:r w:rsidRPr="004F512A">
              <w:rPr>
                <w:rFonts w:ascii="Times New Roman" w:hAnsi="Times New Roman"/>
                <w:color w:val="000000"/>
                <w:spacing w:val="-2"/>
              </w:rPr>
              <w:t>;</w:t>
            </w:r>
          </w:p>
          <w:p w14:paraId="01B72214" w14:textId="519465D2" w:rsidR="00885757" w:rsidRPr="004F512A" w:rsidRDefault="00885757" w:rsidP="00885757">
            <w:pPr>
              <w:spacing w:line="240" w:lineRule="auto"/>
              <w:jc w:val="both"/>
              <w:rPr>
                <w:rFonts w:ascii="Times New Roman" w:hAnsi="Times New Roman"/>
                <w:color w:val="000000"/>
                <w:spacing w:val="-2"/>
              </w:rPr>
            </w:pPr>
            <w:r w:rsidRPr="004F512A">
              <w:rPr>
                <w:rFonts w:ascii="Times New Roman" w:hAnsi="Times New Roman"/>
                <w:color w:val="000000"/>
                <w:spacing w:val="-2"/>
              </w:rPr>
              <w:t>5)</w:t>
            </w:r>
            <w:r w:rsidRPr="004F512A">
              <w:rPr>
                <w:rFonts w:ascii="Times New Roman" w:hAnsi="Times New Roman"/>
                <w:color w:val="000000"/>
                <w:spacing w:val="-2"/>
              </w:rPr>
              <w:tab/>
              <w:t xml:space="preserve">uniezależnienie wydania pozwolenia wodnoprawnego od uprzedniego uzyskania decyzji </w:t>
            </w:r>
            <w:r w:rsidR="00DA12D7">
              <w:rPr>
                <w:rFonts w:ascii="Times New Roman" w:hAnsi="Times New Roman"/>
                <w:color w:val="000000"/>
                <w:spacing w:val="-2"/>
              </w:rPr>
              <w:t>o ustaleniu lokalizacji inwestycji</w:t>
            </w:r>
            <w:r w:rsidR="00DA12D7" w:rsidRPr="004F512A">
              <w:rPr>
                <w:rFonts w:ascii="Times New Roman" w:hAnsi="Times New Roman"/>
                <w:color w:val="000000"/>
                <w:spacing w:val="-2"/>
              </w:rPr>
              <w:t xml:space="preserve"> </w:t>
            </w:r>
            <w:r w:rsidRPr="004F512A">
              <w:rPr>
                <w:rFonts w:ascii="Times New Roman" w:hAnsi="Times New Roman"/>
                <w:color w:val="000000"/>
                <w:spacing w:val="-2"/>
              </w:rPr>
              <w:t>(tak by procesy te mogły toczyć się niezależnie).</w:t>
            </w:r>
          </w:p>
          <w:p w14:paraId="679FB4F6" w14:textId="57BD3E2D" w:rsidR="00885757" w:rsidRPr="004F512A" w:rsidRDefault="00885757" w:rsidP="00885757">
            <w:pPr>
              <w:spacing w:line="240" w:lineRule="auto"/>
              <w:jc w:val="both"/>
              <w:rPr>
                <w:rFonts w:ascii="Times New Roman" w:hAnsi="Times New Roman"/>
                <w:color w:val="000000"/>
                <w:spacing w:val="-2"/>
              </w:rPr>
            </w:pPr>
            <w:r w:rsidRPr="004F512A">
              <w:rPr>
                <w:rFonts w:ascii="Times New Roman" w:hAnsi="Times New Roman"/>
                <w:color w:val="000000"/>
                <w:spacing w:val="-2"/>
              </w:rPr>
              <w:t>Inwestycje niezbędne do uruchomienia inwestycji w zakresie elektrowni szczytowo pompowej powinny podlegać tym samym zasadom</w:t>
            </w:r>
            <w:r w:rsidR="00EE1D32">
              <w:rPr>
                <w:rFonts w:ascii="Times New Roman" w:hAnsi="Times New Roman"/>
                <w:color w:val="000000"/>
                <w:spacing w:val="-2"/>
              </w:rPr>
              <w:t>,</w:t>
            </w:r>
            <w:r w:rsidRPr="004F512A">
              <w:rPr>
                <w:rFonts w:ascii="Times New Roman" w:hAnsi="Times New Roman"/>
                <w:color w:val="000000"/>
                <w:spacing w:val="-2"/>
              </w:rPr>
              <w:t xml:space="preserve"> co inwestycja główna. Dlatego proponuje się wprowadzenie instytucji inwestycji towarzyszącej. Pozwoli to na zsynchronizowanie obydwu procesów inwestycyjnych. Przez </w:t>
            </w:r>
            <w:r w:rsidR="00DA12D7" w:rsidRPr="004F512A">
              <w:rPr>
                <w:rFonts w:ascii="Times New Roman" w:hAnsi="Times New Roman"/>
                <w:color w:val="000000"/>
                <w:spacing w:val="-2"/>
              </w:rPr>
              <w:t>inwestycj</w:t>
            </w:r>
            <w:r w:rsidR="00DA12D7">
              <w:rPr>
                <w:rFonts w:ascii="Times New Roman" w:hAnsi="Times New Roman"/>
                <w:color w:val="000000"/>
                <w:spacing w:val="-2"/>
              </w:rPr>
              <w:t>ę</w:t>
            </w:r>
            <w:r w:rsidR="00DA12D7" w:rsidRPr="004F512A">
              <w:rPr>
                <w:rFonts w:ascii="Times New Roman" w:hAnsi="Times New Roman"/>
                <w:color w:val="000000"/>
                <w:spacing w:val="-2"/>
              </w:rPr>
              <w:t xml:space="preserve"> </w:t>
            </w:r>
            <w:r w:rsidRPr="004F512A">
              <w:rPr>
                <w:rFonts w:ascii="Times New Roman" w:hAnsi="Times New Roman"/>
                <w:color w:val="000000"/>
                <w:spacing w:val="-2"/>
              </w:rPr>
              <w:t xml:space="preserve">towarzyszącą będzie </w:t>
            </w:r>
            <w:r w:rsidR="00DA12D7">
              <w:rPr>
                <w:rFonts w:ascii="Times New Roman" w:hAnsi="Times New Roman"/>
                <w:color w:val="000000"/>
                <w:spacing w:val="-2"/>
              </w:rPr>
              <w:t xml:space="preserve">się </w:t>
            </w:r>
            <w:r w:rsidRPr="004F512A">
              <w:rPr>
                <w:rFonts w:ascii="Times New Roman" w:hAnsi="Times New Roman"/>
                <w:color w:val="000000"/>
                <w:spacing w:val="-2"/>
              </w:rPr>
              <w:t xml:space="preserve">rozumieć inwestycję w zakresie budowy lub rozbudowy sieci przesyłowej w rozumieniu art. 3 pkt 11a ustawy z dnia 10 kwietnia 1997 r. – Prawo energetyczne </w:t>
            </w:r>
            <w:r w:rsidR="00DA12D7">
              <w:rPr>
                <w:rFonts w:ascii="Times New Roman" w:hAnsi="Times New Roman"/>
                <w:color w:val="000000"/>
                <w:spacing w:val="-2"/>
              </w:rPr>
              <w:t>(Dz. U.</w:t>
            </w:r>
            <w:r w:rsidR="007D4525">
              <w:rPr>
                <w:rFonts w:ascii="Times New Roman" w:hAnsi="Times New Roman"/>
                <w:color w:val="000000"/>
                <w:spacing w:val="-2"/>
              </w:rPr>
              <w:t xml:space="preserve"> z 2022 r. poz.</w:t>
            </w:r>
            <w:r w:rsidR="00DA12D7">
              <w:rPr>
                <w:rFonts w:ascii="Times New Roman" w:hAnsi="Times New Roman"/>
                <w:color w:val="000000"/>
                <w:spacing w:val="-2"/>
              </w:rPr>
              <w:t xml:space="preserve"> </w:t>
            </w:r>
            <w:r w:rsidR="007D4525" w:rsidRPr="007D4525">
              <w:rPr>
                <w:rFonts w:ascii="Times New Roman" w:hAnsi="Times New Roman"/>
                <w:color w:val="000000"/>
                <w:spacing w:val="-2"/>
              </w:rPr>
              <w:t>1385, 1723 i 2127</w:t>
            </w:r>
            <w:r w:rsidR="00DA12D7">
              <w:rPr>
                <w:rFonts w:ascii="Times New Roman" w:hAnsi="Times New Roman"/>
                <w:color w:val="000000"/>
                <w:spacing w:val="-2"/>
              </w:rPr>
              <w:t xml:space="preserve">) </w:t>
            </w:r>
            <w:r w:rsidRPr="004F512A">
              <w:rPr>
                <w:rFonts w:ascii="Times New Roman" w:hAnsi="Times New Roman"/>
                <w:color w:val="000000"/>
                <w:spacing w:val="-2"/>
              </w:rPr>
              <w:t xml:space="preserve">konieczną do wyprowadzenia mocy z elektrowni szczytowo-pompowej lub inną inwestycję niezbędną do wybudowania lub zapewnienia prawidłowej eksploatacji tej elektrowni.  </w:t>
            </w:r>
          </w:p>
          <w:p w14:paraId="2BE72FC0" w14:textId="4CA84637" w:rsidR="00363309" w:rsidRPr="004F512A" w:rsidRDefault="00885757" w:rsidP="00B37C80">
            <w:p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Rozwiązania zaproponowane w ustawie </w:t>
            </w:r>
            <w:r w:rsidR="008E4764">
              <w:rPr>
                <w:rFonts w:ascii="Times New Roman" w:hAnsi="Times New Roman"/>
                <w:color w:val="000000"/>
                <w:spacing w:val="-2"/>
              </w:rPr>
              <w:t>k</w:t>
            </w:r>
            <w:r w:rsidRPr="004F512A">
              <w:rPr>
                <w:rFonts w:ascii="Times New Roman" w:hAnsi="Times New Roman"/>
                <w:color w:val="000000"/>
                <w:spacing w:val="-2"/>
              </w:rPr>
              <w:t>oncentr</w:t>
            </w:r>
            <w:r w:rsidR="008E4764">
              <w:rPr>
                <w:rFonts w:ascii="Times New Roman" w:hAnsi="Times New Roman"/>
                <w:color w:val="000000"/>
                <w:spacing w:val="-2"/>
              </w:rPr>
              <w:t>ują</w:t>
            </w:r>
            <w:r w:rsidRPr="004F512A">
              <w:rPr>
                <w:rFonts w:ascii="Times New Roman" w:hAnsi="Times New Roman"/>
                <w:color w:val="000000"/>
                <w:spacing w:val="-2"/>
              </w:rPr>
              <w:t xml:space="preserve"> się na usprawnieniu </w:t>
            </w:r>
            <w:r w:rsidR="00EE1D32">
              <w:rPr>
                <w:rFonts w:ascii="Times New Roman" w:hAnsi="Times New Roman"/>
                <w:color w:val="000000"/>
                <w:spacing w:val="-2"/>
              </w:rPr>
              <w:t xml:space="preserve">i uproszczeniu </w:t>
            </w:r>
            <w:r w:rsidRPr="004F512A">
              <w:rPr>
                <w:rFonts w:ascii="Times New Roman" w:hAnsi="Times New Roman"/>
                <w:color w:val="000000"/>
                <w:spacing w:val="-2"/>
              </w:rPr>
              <w:t>procedur administracyjnych bez naruszania podstawowych wartości</w:t>
            </w:r>
            <w:r w:rsidR="0000779A">
              <w:rPr>
                <w:rFonts w:ascii="Times New Roman" w:hAnsi="Times New Roman"/>
                <w:color w:val="000000"/>
                <w:spacing w:val="-2"/>
              </w:rPr>
              <w:t xml:space="preserve">, takich </w:t>
            </w:r>
            <w:r w:rsidRPr="004F512A">
              <w:rPr>
                <w:rFonts w:ascii="Times New Roman" w:hAnsi="Times New Roman"/>
                <w:color w:val="000000"/>
                <w:spacing w:val="-2"/>
              </w:rPr>
              <w:t xml:space="preserve">jak m.in. ochrona własności Skarbu Państwa, realizacji inwestycji (w razie możliwości wyboru) na obszarze jak najmniej ingerującym w obecny ład przestrzenny i wartości przyrodnicze. </w:t>
            </w:r>
            <w:r w:rsidR="008E4764">
              <w:rPr>
                <w:rFonts w:ascii="Times New Roman" w:hAnsi="Times New Roman"/>
                <w:color w:val="000000"/>
                <w:spacing w:val="-2"/>
              </w:rPr>
              <w:t xml:space="preserve">Nie </w:t>
            </w:r>
            <w:r w:rsidRPr="004F512A">
              <w:rPr>
                <w:rFonts w:ascii="Times New Roman" w:hAnsi="Times New Roman"/>
                <w:color w:val="000000"/>
                <w:spacing w:val="-2"/>
              </w:rPr>
              <w:t>prowadz</w:t>
            </w:r>
            <w:r w:rsidR="008E4764">
              <w:rPr>
                <w:rFonts w:ascii="Times New Roman" w:hAnsi="Times New Roman"/>
                <w:color w:val="000000"/>
                <w:spacing w:val="-2"/>
              </w:rPr>
              <w:t>ą one</w:t>
            </w:r>
            <w:r w:rsidRPr="004F512A">
              <w:rPr>
                <w:rFonts w:ascii="Times New Roman" w:hAnsi="Times New Roman"/>
                <w:color w:val="000000"/>
                <w:spacing w:val="-2"/>
              </w:rPr>
              <w:t xml:space="preserve"> do jaskrawego zróżnicowania sytuacji w porównaniu z innymi inwestycjami w wytwarzanie oraz magazynowanie energii elektrycznej, ze względu na ryzyko uznania takich uregulowań za niedopuszczalną pomoc publiczną. Przepisy ustawy </w:t>
            </w:r>
            <w:r w:rsidR="0093317A">
              <w:rPr>
                <w:rFonts w:ascii="Times New Roman" w:hAnsi="Times New Roman"/>
                <w:color w:val="000000"/>
                <w:spacing w:val="-2"/>
              </w:rPr>
              <w:t xml:space="preserve">dotyczą </w:t>
            </w:r>
            <w:r w:rsidRPr="004F512A">
              <w:rPr>
                <w:rFonts w:ascii="Times New Roman" w:hAnsi="Times New Roman"/>
                <w:color w:val="000000"/>
                <w:spacing w:val="-2"/>
              </w:rPr>
              <w:t>wszystki</w:t>
            </w:r>
            <w:r w:rsidR="0093317A">
              <w:rPr>
                <w:rFonts w:ascii="Times New Roman" w:hAnsi="Times New Roman"/>
                <w:color w:val="000000"/>
                <w:spacing w:val="-2"/>
              </w:rPr>
              <w:t>ch</w:t>
            </w:r>
            <w:r w:rsidRPr="004F512A">
              <w:rPr>
                <w:rFonts w:ascii="Times New Roman" w:hAnsi="Times New Roman"/>
                <w:color w:val="000000"/>
                <w:spacing w:val="-2"/>
              </w:rPr>
              <w:t xml:space="preserve"> elektrowni</w:t>
            </w:r>
            <w:r w:rsidR="0093317A">
              <w:rPr>
                <w:rFonts w:ascii="Times New Roman" w:hAnsi="Times New Roman"/>
                <w:color w:val="000000"/>
                <w:spacing w:val="-2"/>
              </w:rPr>
              <w:t xml:space="preserve"> </w:t>
            </w:r>
            <w:r w:rsidRPr="004F512A">
              <w:rPr>
                <w:rFonts w:ascii="Times New Roman" w:hAnsi="Times New Roman"/>
                <w:color w:val="000000"/>
                <w:spacing w:val="-2"/>
              </w:rPr>
              <w:t>szczytowo-pompow</w:t>
            </w:r>
            <w:r w:rsidR="0093317A">
              <w:rPr>
                <w:rFonts w:ascii="Times New Roman" w:hAnsi="Times New Roman"/>
                <w:color w:val="000000"/>
                <w:spacing w:val="-2"/>
              </w:rPr>
              <w:t>ych,</w:t>
            </w:r>
            <w:r w:rsidRPr="004F512A">
              <w:rPr>
                <w:rFonts w:ascii="Times New Roman" w:hAnsi="Times New Roman"/>
                <w:color w:val="000000"/>
                <w:spacing w:val="-2"/>
              </w:rPr>
              <w:t xml:space="preserve"> bez względu na moc czy technologię. W zależności zaś od okoliczności będą one służyły różnym celom, przede wszystkim takim jak</w:t>
            </w:r>
            <w:r w:rsidR="00EE1D32">
              <w:rPr>
                <w:rFonts w:ascii="Times New Roman" w:hAnsi="Times New Roman"/>
                <w:color w:val="000000"/>
                <w:spacing w:val="-2"/>
              </w:rPr>
              <w:t>:</w:t>
            </w:r>
            <w:r w:rsidRPr="004F512A">
              <w:rPr>
                <w:rFonts w:ascii="Times New Roman" w:hAnsi="Times New Roman"/>
                <w:color w:val="000000"/>
                <w:spacing w:val="-2"/>
              </w:rPr>
              <w:t xml:space="preserve"> rezerwowanie zasobów mocy dla Krajowego Systemu Elektroenergetycznego </w:t>
            </w:r>
            <w:r w:rsidR="00B16F7F" w:rsidRPr="004F512A">
              <w:rPr>
                <w:rFonts w:ascii="Times New Roman" w:hAnsi="Times New Roman"/>
                <w:color w:val="000000"/>
                <w:spacing w:val="-2"/>
              </w:rPr>
              <w:t xml:space="preserve">(KSE) </w:t>
            </w:r>
            <w:r w:rsidRPr="004F512A">
              <w:rPr>
                <w:rFonts w:ascii="Times New Roman" w:hAnsi="Times New Roman"/>
                <w:color w:val="000000"/>
                <w:spacing w:val="-2"/>
              </w:rPr>
              <w:t xml:space="preserve">w przypadku jej braku, stabilizacja tego systemu związania z udziałem </w:t>
            </w:r>
            <w:r w:rsidR="00036A9D" w:rsidRPr="004F512A">
              <w:rPr>
                <w:rFonts w:ascii="Times New Roman" w:hAnsi="Times New Roman"/>
                <w:color w:val="000000"/>
                <w:spacing w:val="-2"/>
              </w:rPr>
              <w:t xml:space="preserve">OZE </w:t>
            </w:r>
            <w:r w:rsidRPr="004F512A">
              <w:rPr>
                <w:rFonts w:ascii="Times New Roman" w:hAnsi="Times New Roman"/>
                <w:color w:val="000000"/>
                <w:spacing w:val="-2"/>
              </w:rPr>
              <w:t>poprzez stabilizację cen energii elektrycznej w razie drastycznych jej wahań.</w:t>
            </w:r>
          </w:p>
          <w:p w14:paraId="6804D750" w14:textId="629C1D15" w:rsidR="006A701A" w:rsidRDefault="00E80EC9" w:rsidP="00DB4D79">
            <w:p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Dodatkowo przesądzenie, że elektrownia szczytowo-pompowa </w:t>
            </w:r>
            <w:r w:rsidR="006D4A80" w:rsidRPr="004F512A">
              <w:rPr>
                <w:rFonts w:ascii="Times New Roman" w:hAnsi="Times New Roman"/>
                <w:color w:val="000000"/>
                <w:spacing w:val="-2"/>
              </w:rPr>
              <w:t>stanowi magazyn energii elektrycznej pozwoli na skorzystanie z ułatwień wprowadzonych ustawą z dnia 20 maja 2021 r. o zmianie ustawy – Prawo energetyczne oraz niektórych innych ustaw (Dz. U. poz. 1093).</w:t>
            </w:r>
            <w:r w:rsidR="00F652E4">
              <w:rPr>
                <w:rFonts w:ascii="Times New Roman" w:hAnsi="Times New Roman"/>
                <w:color w:val="000000"/>
                <w:spacing w:val="-2"/>
              </w:rPr>
              <w:t xml:space="preserve"> Do podstawowych ułatwień należą </w:t>
            </w:r>
            <w:r w:rsidR="002645A3" w:rsidRPr="002645A3">
              <w:rPr>
                <w:rFonts w:ascii="Times New Roman" w:hAnsi="Times New Roman"/>
                <w:color w:val="000000"/>
                <w:spacing w:val="-2"/>
              </w:rPr>
              <w:t>wyłączenie z obowiązku posiadania taryfy magazynowania energii elektrycznej</w:t>
            </w:r>
            <w:r w:rsidR="002645A3">
              <w:rPr>
                <w:rFonts w:ascii="Times New Roman" w:hAnsi="Times New Roman"/>
                <w:color w:val="000000"/>
                <w:spacing w:val="-2"/>
              </w:rPr>
              <w:t>, z</w:t>
            </w:r>
            <w:r w:rsidR="002645A3" w:rsidRPr="002645A3">
              <w:rPr>
                <w:rFonts w:ascii="Times New Roman" w:hAnsi="Times New Roman"/>
                <w:color w:val="000000"/>
                <w:spacing w:val="-2"/>
              </w:rPr>
              <w:t>niesie podwójnego naliczania opłat sieciowych</w:t>
            </w:r>
            <w:r w:rsidR="002645A3">
              <w:rPr>
                <w:rFonts w:ascii="Times New Roman" w:hAnsi="Times New Roman"/>
                <w:color w:val="000000"/>
                <w:spacing w:val="-2"/>
              </w:rPr>
              <w:t>, z</w:t>
            </w:r>
            <w:r w:rsidR="002645A3" w:rsidRPr="002645A3">
              <w:rPr>
                <w:rFonts w:ascii="Times New Roman" w:hAnsi="Times New Roman"/>
                <w:color w:val="000000"/>
                <w:spacing w:val="-2"/>
              </w:rPr>
              <w:t>wolnienie z połowy opłaty za przyłączenie magazynu do sieci</w:t>
            </w:r>
            <w:r w:rsidR="002645A3">
              <w:rPr>
                <w:rFonts w:ascii="Times New Roman" w:hAnsi="Times New Roman"/>
                <w:color w:val="000000"/>
                <w:spacing w:val="-2"/>
              </w:rPr>
              <w:t>, z</w:t>
            </w:r>
            <w:r w:rsidR="002645A3" w:rsidRPr="002645A3">
              <w:rPr>
                <w:rFonts w:ascii="Times New Roman" w:hAnsi="Times New Roman"/>
                <w:color w:val="000000"/>
                <w:spacing w:val="-2"/>
              </w:rPr>
              <w:t>wolnienie z obowiązku przedstawiania świadectw pochodzenia do umorzenia, w tym z OZE, z kogeneracji oraz świadectw efektywności energetycznej, energii pobranej z sieci przez magazyn, w części która została następnie po jej zmagazynowaniu wprowadzona do sieci</w:t>
            </w:r>
            <w:r w:rsidR="002645A3">
              <w:rPr>
                <w:rFonts w:ascii="Times New Roman" w:hAnsi="Times New Roman"/>
                <w:color w:val="000000"/>
                <w:spacing w:val="-2"/>
              </w:rPr>
              <w:t xml:space="preserve">, a także </w:t>
            </w:r>
            <w:r w:rsidR="00F00417">
              <w:rPr>
                <w:rFonts w:ascii="Times New Roman" w:hAnsi="Times New Roman"/>
                <w:color w:val="000000"/>
                <w:spacing w:val="-2"/>
              </w:rPr>
              <w:t>z</w:t>
            </w:r>
            <w:r w:rsidR="002645A3" w:rsidRPr="002645A3">
              <w:rPr>
                <w:rFonts w:ascii="Times New Roman" w:hAnsi="Times New Roman"/>
                <w:color w:val="000000"/>
                <w:spacing w:val="-2"/>
              </w:rPr>
              <w:t xml:space="preserve">wolnienie z opłaty przejściowej, z opłaty </w:t>
            </w:r>
            <w:proofErr w:type="spellStart"/>
            <w:r w:rsidR="002645A3" w:rsidRPr="002645A3">
              <w:rPr>
                <w:rFonts w:ascii="Times New Roman" w:hAnsi="Times New Roman"/>
                <w:color w:val="000000"/>
                <w:spacing w:val="-2"/>
              </w:rPr>
              <w:t>mocowej</w:t>
            </w:r>
            <w:proofErr w:type="spellEnd"/>
            <w:r w:rsidR="002645A3" w:rsidRPr="002645A3">
              <w:rPr>
                <w:rFonts w:ascii="Times New Roman" w:hAnsi="Times New Roman"/>
                <w:color w:val="000000"/>
                <w:spacing w:val="-2"/>
              </w:rPr>
              <w:t xml:space="preserve"> oraz opłaty kogeneracyjnej (w tych dwóch ostatnich przypadkach w części dot. zużycia energii elektrycznej na potrzeby magazynowania energii elektrycznej)</w:t>
            </w:r>
            <w:r w:rsidR="002645A3">
              <w:rPr>
                <w:rFonts w:ascii="Times New Roman" w:hAnsi="Times New Roman"/>
                <w:color w:val="000000"/>
                <w:spacing w:val="-2"/>
              </w:rPr>
              <w:t>.</w:t>
            </w:r>
          </w:p>
          <w:p w14:paraId="4FFF1193" w14:textId="641DD86E" w:rsidR="00E70FEB" w:rsidRPr="004F512A" w:rsidRDefault="00E70FEB" w:rsidP="00DB4D79">
            <w:pPr>
              <w:spacing w:line="240" w:lineRule="auto"/>
              <w:jc w:val="both"/>
              <w:rPr>
                <w:rFonts w:ascii="Times New Roman" w:hAnsi="Times New Roman"/>
                <w:color w:val="000000"/>
                <w:spacing w:val="-2"/>
              </w:rPr>
            </w:pPr>
          </w:p>
        </w:tc>
      </w:tr>
      <w:tr w:rsidR="006A701A" w:rsidRPr="004F512A" w14:paraId="56DFA924" w14:textId="77777777" w:rsidTr="00DE4C3A">
        <w:trPr>
          <w:trHeight w:val="307"/>
        </w:trPr>
        <w:tc>
          <w:tcPr>
            <w:tcW w:w="11086" w:type="dxa"/>
            <w:gridSpan w:val="29"/>
            <w:shd w:val="clear" w:color="auto" w:fill="99CCFF"/>
            <w:vAlign w:val="center"/>
          </w:tcPr>
          <w:p w14:paraId="70C87FE7" w14:textId="77777777" w:rsidR="006A701A" w:rsidRPr="004F512A" w:rsidRDefault="009E3C4B" w:rsidP="007D2192">
            <w:pPr>
              <w:numPr>
                <w:ilvl w:val="0"/>
                <w:numId w:val="3"/>
              </w:numPr>
              <w:spacing w:before="60" w:after="60" w:line="240" w:lineRule="auto"/>
              <w:ind w:left="318" w:hanging="284"/>
              <w:jc w:val="both"/>
              <w:rPr>
                <w:rFonts w:ascii="Times New Roman" w:hAnsi="Times New Roman"/>
                <w:b/>
                <w:color w:val="000000"/>
              </w:rPr>
            </w:pPr>
            <w:r w:rsidRPr="004F512A">
              <w:rPr>
                <w:rFonts w:ascii="Times New Roman" w:hAnsi="Times New Roman"/>
                <w:b/>
                <w:spacing w:val="-2"/>
              </w:rPr>
              <w:lastRenderedPageBreak/>
              <w:t>Jak problem został rozwiązany w innych krajach, w szczególności krajach członkowskich OECD/UE</w:t>
            </w:r>
            <w:r w:rsidR="006A701A" w:rsidRPr="004F512A">
              <w:rPr>
                <w:rFonts w:ascii="Times New Roman" w:hAnsi="Times New Roman"/>
                <w:b/>
                <w:color w:val="000000"/>
              </w:rPr>
              <w:t>?</w:t>
            </w:r>
            <w:r w:rsidR="006A701A" w:rsidRPr="004F512A">
              <w:rPr>
                <w:rFonts w:ascii="Times New Roman" w:hAnsi="Times New Roman"/>
                <w:i/>
                <w:color w:val="000000"/>
              </w:rPr>
              <w:t xml:space="preserve"> </w:t>
            </w:r>
          </w:p>
        </w:tc>
      </w:tr>
      <w:tr w:rsidR="006A701A" w:rsidRPr="004F512A" w14:paraId="176CCE9E" w14:textId="77777777" w:rsidTr="00DE4C3A">
        <w:trPr>
          <w:trHeight w:val="142"/>
        </w:trPr>
        <w:tc>
          <w:tcPr>
            <w:tcW w:w="11086" w:type="dxa"/>
            <w:gridSpan w:val="29"/>
            <w:shd w:val="clear" w:color="auto" w:fill="auto"/>
          </w:tcPr>
          <w:p w14:paraId="6C271C9F" w14:textId="77777777" w:rsidR="002049BF" w:rsidRPr="004F512A" w:rsidRDefault="002049BF" w:rsidP="002049BF">
            <w:pPr>
              <w:spacing w:line="240" w:lineRule="auto"/>
              <w:jc w:val="both"/>
              <w:rPr>
                <w:rFonts w:ascii="Times New Roman" w:hAnsi="Times New Roman"/>
                <w:color w:val="000000"/>
                <w:spacing w:val="-2"/>
              </w:rPr>
            </w:pPr>
          </w:p>
          <w:p w14:paraId="17579C0D" w14:textId="744C2983" w:rsidR="002049BF" w:rsidRPr="004F512A" w:rsidRDefault="002049BF" w:rsidP="002049BF">
            <w:pPr>
              <w:spacing w:line="240" w:lineRule="auto"/>
              <w:jc w:val="both"/>
              <w:rPr>
                <w:rFonts w:ascii="Times New Roman" w:hAnsi="Times New Roman"/>
                <w:color w:val="000000"/>
                <w:spacing w:val="-2"/>
              </w:rPr>
            </w:pPr>
            <w:r w:rsidRPr="004F512A">
              <w:rPr>
                <w:rFonts w:ascii="Times New Roman" w:hAnsi="Times New Roman"/>
                <w:color w:val="000000"/>
                <w:spacing w:val="-2"/>
              </w:rPr>
              <w:lastRenderedPageBreak/>
              <w:t>Na chwilę obecną rozwiązania w traktowaniu magazynów energii są znacznie zróżnicowane i brak jest jednolitego podejścia (chociażby poprzez wprowadzenie odpowiednich definicji) do tej kwestii. Przy czym</w:t>
            </w:r>
            <w:r w:rsidR="00EE1D32">
              <w:rPr>
                <w:rFonts w:ascii="Times New Roman" w:hAnsi="Times New Roman"/>
                <w:color w:val="000000"/>
                <w:spacing w:val="-2"/>
              </w:rPr>
              <w:t>,</w:t>
            </w:r>
            <w:r w:rsidRPr="004F512A">
              <w:rPr>
                <w:rFonts w:ascii="Times New Roman" w:hAnsi="Times New Roman"/>
                <w:color w:val="000000"/>
                <w:spacing w:val="-2"/>
              </w:rPr>
              <w:t xml:space="preserve"> co do zasady magazynowanie energii elektrycznej utożsamia się z wytwarzaniem tej energii oraz czasem świadczeniem usług systemowych.</w:t>
            </w:r>
          </w:p>
          <w:p w14:paraId="170A68FB" w14:textId="7DBD2FB2" w:rsidR="002049BF" w:rsidRPr="004F512A" w:rsidRDefault="002049BF" w:rsidP="002049BF">
            <w:pPr>
              <w:spacing w:line="240" w:lineRule="auto"/>
              <w:jc w:val="both"/>
              <w:rPr>
                <w:rFonts w:ascii="Times New Roman" w:hAnsi="Times New Roman"/>
                <w:color w:val="000000"/>
                <w:spacing w:val="-2"/>
              </w:rPr>
            </w:pPr>
            <w:r w:rsidRPr="004F512A">
              <w:rPr>
                <w:rFonts w:ascii="Times New Roman" w:hAnsi="Times New Roman"/>
                <w:color w:val="000000"/>
                <w:spacing w:val="-2"/>
              </w:rPr>
              <w:t>W Niemczech przepisy przewidują rozróżnienie na magazyny połączone z instalacją OZE i magazyny przyłączone bezpośrednio do sieci. Niemiecka ustawa (</w:t>
            </w:r>
            <w:proofErr w:type="spellStart"/>
            <w:r w:rsidRPr="004F512A">
              <w:rPr>
                <w:rFonts w:ascii="Times New Roman" w:hAnsi="Times New Roman"/>
                <w:color w:val="000000"/>
                <w:spacing w:val="-2"/>
              </w:rPr>
              <w:t>Gesetz</w:t>
            </w:r>
            <w:proofErr w:type="spellEnd"/>
            <w:r w:rsidR="002B34DA">
              <w:rPr>
                <w:rFonts w:ascii="Times New Roman" w:hAnsi="Times New Roman"/>
                <w:color w:val="000000"/>
                <w:spacing w:val="-2"/>
              </w:rPr>
              <w:t xml:space="preserve"> </w:t>
            </w:r>
            <w:proofErr w:type="spellStart"/>
            <w:r w:rsidRPr="004F512A">
              <w:rPr>
                <w:rFonts w:ascii="Times New Roman" w:hAnsi="Times New Roman"/>
                <w:color w:val="000000"/>
                <w:spacing w:val="-2"/>
              </w:rPr>
              <w:t>über</w:t>
            </w:r>
            <w:proofErr w:type="spellEnd"/>
            <w:r w:rsidR="002B34DA">
              <w:rPr>
                <w:rFonts w:ascii="Times New Roman" w:hAnsi="Times New Roman"/>
                <w:color w:val="000000"/>
                <w:spacing w:val="-2"/>
              </w:rPr>
              <w:t xml:space="preserve"> </w:t>
            </w:r>
            <w:proofErr w:type="spellStart"/>
            <w:r w:rsidRPr="004F512A">
              <w:rPr>
                <w:rFonts w:ascii="Times New Roman" w:hAnsi="Times New Roman"/>
                <w:color w:val="000000"/>
                <w:spacing w:val="-2"/>
              </w:rPr>
              <w:t>die</w:t>
            </w:r>
            <w:proofErr w:type="spellEnd"/>
            <w:r w:rsidR="002B34DA">
              <w:rPr>
                <w:rFonts w:ascii="Times New Roman" w:hAnsi="Times New Roman"/>
                <w:color w:val="000000"/>
                <w:spacing w:val="-2"/>
              </w:rPr>
              <w:t xml:space="preserve"> </w:t>
            </w:r>
            <w:proofErr w:type="spellStart"/>
            <w:r w:rsidRPr="004F512A">
              <w:rPr>
                <w:rFonts w:ascii="Times New Roman" w:hAnsi="Times New Roman"/>
                <w:color w:val="000000"/>
                <w:spacing w:val="-2"/>
              </w:rPr>
              <w:t>Elektrizitäts</w:t>
            </w:r>
            <w:proofErr w:type="spellEnd"/>
            <w:r w:rsidR="002B34DA">
              <w:rPr>
                <w:rFonts w:ascii="Times New Roman" w:hAnsi="Times New Roman"/>
                <w:color w:val="000000"/>
                <w:spacing w:val="-2"/>
              </w:rPr>
              <w:t xml:space="preserve"> </w:t>
            </w:r>
            <w:proofErr w:type="spellStart"/>
            <w:r w:rsidRPr="004F512A">
              <w:rPr>
                <w:rFonts w:ascii="Times New Roman" w:hAnsi="Times New Roman"/>
                <w:color w:val="000000"/>
                <w:spacing w:val="-2"/>
              </w:rPr>
              <w:t>und</w:t>
            </w:r>
            <w:proofErr w:type="spellEnd"/>
            <w:r w:rsidR="002B34DA">
              <w:rPr>
                <w:rFonts w:ascii="Times New Roman" w:hAnsi="Times New Roman"/>
                <w:color w:val="000000"/>
                <w:spacing w:val="-2"/>
              </w:rPr>
              <w:t xml:space="preserve"> </w:t>
            </w:r>
            <w:proofErr w:type="spellStart"/>
            <w:r w:rsidRPr="004F512A">
              <w:rPr>
                <w:rFonts w:ascii="Times New Roman" w:hAnsi="Times New Roman"/>
                <w:color w:val="000000"/>
                <w:spacing w:val="-2"/>
              </w:rPr>
              <w:t>Gasversorgung</w:t>
            </w:r>
            <w:proofErr w:type="spellEnd"/>
            <w:r w:rsidRPr="004F512A">
              <w:rPr>
                <w:rFonts w:ascii="Times New Roman" w:hAnsi="Times New Roman"/>
                <w:color w:val="000000"/>
                <w:spacing w:val="-2"/>
              </w:rPr>
              <w:t>) wprowadza zwolnienie z opłat sieciowych dla energii elektrycznej wprowadzanej z sieci do magazynu energii elektrycznej. W przypadku magazynów zintegrowanych z instalacją OZE przepisy gwarantują uzyskanie wsparcia dla generacji OZE z chwilą wprowadzenia energii elektrycznej z magazynu do sieci.</w:t>
            </w:r>
          </w:p>
          <w:p w14:paraId="056A18E3" w14:textId="0415BC5E" w:rsidR="002049BF" w:rsidRPr="004F512A" w:rsidRDefault="002049BF" w:rsidP="002049BF">
            <w:pPr>
              <w:spacing w:line="240" w:lineRule="auto"/>
              <w:jc w:val="both"/>
              <w:rPr>
                <w:rFonts w:ascii="Times New Roman" w:hAnsi="Times New Roman"/>
                <w:color w:val="000000"/>
                <w:spacing w:val="-2"/>
              </w:rPr>
            </w:pPr>
            <w:r w:rsidRPr="004F512A">
              <w:rPr>
                <w:rFonts w:ascii="Times New Roman" w:hAnsi="Times New Roman"/>
                <w:color w:val="000000"/>
                <w:spacing w:val="-2"/>
              </w:rPr>
              <w:t>We Włoszech magazynowanie energii elektrycznej traktowane jest jako działalność wytwórcza. Przepisy dopuszczają możliwość posiadania i korzystania z magazynów energii elektrycznej przez OSP i OSD, jeżeli usług w oparciu magazyn energii elektrycznej nie można pozyskać na rynku. Przepisy regulujące tę kwestię ujęte są w dekrecie „</w:t>
            </w:r>
            <w:proofErr w:type="spellStart"/>
            <w:r w:rsidRPr="004F512A">
              <w:rPr>
                <w:rFonts w:ascii="Times New Roman" w:hAnsi="Times New Roman"/>
                <w:color w:val="000000"/>
                <w:spacing w:val="-2"/>
              </w:rPr>
              <w:t>Italian</w:t>
            </w:r>
            <w:proofErr w:type="spellEnd"/>
            <w:r w:rsidRPr="004F512A">
              <w:rPr>
                <w:rFonts w:ascii="Times New Roman" w:hAnsi="Times New Roman"/>
                <w:color w:val="000000"/>
                <w:spacing w:val="-2"/>
              </w:rPr>
              <w:t xml:space="preserve"> </w:t>
            </w:r>
            <w:proofErr w:type="spellStart"/>
            <w:r w:rsidRPr="004F512A">
              <w:rPr>
                <w:rFonts w:ascii="Times New Roman" w:hAnsi="Times New Roman"/>
                <w:color w:val="000000"/>
                <w:spacing w:val="-2"/>
              </w:rPr>
              <w:t>decree</w:t>
            </w:r>
            <w:proofErr w:type="spellEnd"/>
            <w:r w:rsidRPr="004F512A">
              <w:rPr>
                <w:rFonts w:ascii="Times New Roman" w:hAnsi="Times New Roman"/>
                <w:color w:val="000000"/>
                <w:spacing w:val="-2"/>
              </w:rPr>
              <w:t xml:space="preserve"> law 93/11”, </w:t>
            </w:r>
            <w:r w:rsidR="00CC20AD">
              <w:rPr>
                <w:rFonts w:ascii="Times New Roman" w:hAnsi="Times New Roman"/>
                <w:color w:val="000000"/>
                <w:spacing w:val="-2"/>
              </w:rPr>
              <w:t xml:space="preserve">art. </w:t>
            </w:r>
            <w:r w:rsidRPr="004F512A">
              <w:rPr>
                <w:rFonts w:ascii="Times New Roman" w:hAnsi="Times New Roman"/>
                <w:color w:val="000000"/>
                <w:spacing w:val="-2"/>
              </w:rPr>
              <w:t>36, par</w:t>
            </w:r>
            <w:r w:rsidR="00CC20AD">
              <w:rPr>
                <w:rFonts w:ascii="Times New Roman" w:hAnsi="Times New Roman"/>
                <w:color w:val="000000"/>
                <w:spacing w:val="-2"/>
              </w:rPr>
              <w:t>.</w:t>
            </w:r>
            <w:r w:rsidRPr="004F512A">
              <w:rPr>
                <w:rFonts w:ascii="Times New Roman" w:hAnsi="Times New Roman"/>
                <w:color w:val="000000"/>
                <w:spacing w:val="-2"/>
              </w:rPr>
              <w:t xml:space="preserve"> 4, który warunkuje uzyskanie akceptacji regulatora na posiadanie magazynu energii elektrycznej wykonaniem analizy kosztów i oczekiwanych korzyści (</w:t>
            </w:r>
            <w:proofErr w:type="spellStart"/>
            <w:r w:rsidRPr="004F512A">
              <w:rPr>
                <w:rFonts w:ascii="Times New Roman" w:hAnsi="Times New Roman"/>
                <w:color w:val="000000"/>
                <w:spacing w:val="-2"/>
              </w:rPr>
              <w:t>cost</w:t>
            </w:r>
            <w:proofErr w:type="spellEnd"/>
            <w:r w:rsidRPr="004F512A">
              <w:rPr>
                <w:rFonts w:ascii="Times New Roman" w:hAnsi="Times New Roman"/>
                <w:color w:val="000000"/>
                <w:spacing w:val="-2"/>
              </w:rPr>
              <w:t xml:space="preserve">-benefit </w:t>
            </w:r>
            <w:proofErr w:type="spellStart"/>
            <w:r w:rsidRPr="004F512A">
              <w:rPr>
                <w:rFonts w:ascii="Times New Roman" w:hAnsi="Times New Roman"/>
                <w:color w:val="000000"/>
                <w:spacing w:val="-2"/>
              </w:rPr>
              <w:t>analysis</w:t>
            </w:r>
            <w:proofErr w:type="spellEnd"/>
            <w:r w:rsidRPr="004F512A">
              <w:rPr>
                <w:rFonts w:ascii="Times New Roman" w:hAnsi="Times New Roman"/>
                <w:color w:val="000000"/>
                <w:spacing w:val="-2"/>
              </w:rPr>
              <w:t>), która wskazywałaby na efektywność kosztową planowanych magazynów energii elektrycznej w porównaniu do innych środków.</w:t>
            </w:r>
          </w:p>
          <w:p w14:paraId="52497CAD" w14:textId="77777777" w:rsidR="002049BF" w:rsidRPr="004F512A" w:rsidRDefault="002049BF" w:rsidP="002049BF">
            <w:p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W Wielkiej Brytanii magazynowanie energii elektrycznej w aspekcie regulacyjnym jest traktowane jak wytwarzanie i jako usługa systemowa, którą OSP może zamówić u innych podmiotów działających na wolnym rynku. OSP nie może posiadać ani eksploatować magazynów energii elektrycznej, które wymagają koncesji na wytwarzanie energii elektrycznej. W prawie brytyjskim istnieje jednak wyjątek dla małych jednostek wytwórczych, które nie mają obowiązku posiadania koncesji na wytwarzanie energii elektrycznej i to powoduje, że jest możliwe posiadanie przez operatorów jednostek o małej mocy. </w:t>
            </w:r>
          </w:p>
          <w:p w14:paraId="6840EC3C" w14:textId="77777777" w:rsidR="002049BF" w:rsidRPr="004F512A" w:rsidRDefault="002049BF" w:rsidP="002049BF">
            <w:pPr>
              <w:spacing w:line="240" w:lineRule="auto"/>
              <w:jc w:val="both"/>
              <w:rPr>
                <w:rFonts w:ascii="Times New Roman" w:hAnsi="Times New Roman"/>
                <w:color w:val="000000"/>
                <w:spacing w:val="-2"/>
              </w:rPr>
            </w:pPr>
            <w:r w:rsidRPr="004F512A">
              <w:rPr>
                <w:rFonts w:ascii="Times New Roman" w:hAnsi="Times New Roman"/>
                <w:color w:val="000000"/>
                <w:spacing w:val="-2"/>
              </w:rPr>
              <w:t>Regulacje europejskie, jakkolwiek zróżnicowane, zbliżają się do siebie w wyniku objęcia obszaru magazynowania energii wspólnymi regulacjami na poziomie europejskim a co za tym idzie w związku z koniecznością ich zharmonizowania. Magazynowanie na obszarze Europy, oprócz wielkoskalowych elektrowni szczytowo-pompowych, jest w dużej mierze rozproszone i rozdrobnione (np. Niemcy). Natomiast w USA oraz Australii dostrzega się inwestycje w bateryjne magazyny energii elektrycznej o dużej mocy (np. w Australii oddano ostatnio do użytku instalację o mocy 100 MW i pojemności 129 MWh).</w:t>
            </w:r>
          </w:p>
          <w:p w14:paraId="1160F5C8" w14:textId="471C541E" w:rsidR="002049BF" w:rsidRPr="004F512A" w:rsidRDefault="002049BF" w:rsidP="002049BF">
            <w:p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W USA Federalna Komisja Regulacji Energetyki (FERC) wydała regulacje ułatwiające wprowadzenie magazynów energii do systemu elektroenergetycznego. FERC wprowadziła dodatkowe opłaty za usługę regulacji sieci – do opłaty za moc dodała opłaty za możliwą szybkość interwencji w sieci przez dane źródło, co spowodowało prawie dwukrotny wzrost opłacalności biznesu polegającego na oferowaniu rezerw interwencyjnych w postaci magazynów energii w systemie energetycznym USA. W tej usłudze została doceniona nie tylko wielkość mocy, jaką posiada dane źródło, ale też możliwość szybkiej reakcji na zakłócenia częstotliwości w sieci. FERC zauważyła, że zasady rynkowe opracowane dla tradycyjnych metod wytwarzania mogą stwarzać bariery wejścia dla nowych technologii, takich jak magazyny energii. Zaproponowała, aby operatorzy sieci stworzyli odpowiednie taryfy w celu określenia modelu uczestnictwa, analizując fizyczne i operacyjne właściwości magazynów, co zwiększy konkurencję i ograniczy stawki. FERC zaproponowała, aby każdy operator zdefiniował kryteria w swojej taryfie, które nie mogą ograniczać uczestnictwa różnych typów magazynów. Uczestnictwo będzie uwzględniało jedynie parametry fizyczne i operacyjne, co umożliwi wprowadzenie nowych technologii bez potrzeby zmiany taryf. FERC wymaga, aby taryfy określające model uczestnictwa magazynów energii uwzględniały jedynie magazyny o mocy co najmniej 100 </w:t>
            </w:r>
            <w:proofErr w:type="spellStart"/>
            <w:r w:rsidRPr="004F512A">
              <w:rPr>
                <w:rFonts w:ascii="Times New Roman" w:hAnsi="Times New Roman"/>
                <w:color w:val="000000"/>
                <w:spacing w:val="-2"/>
              </w:rPr>
              <w:t>kW.</w:t>
            </w:r>
            <w:proofErr w:type="spellEnd"/>
            <w:r w:rsidRPr="004F512A">
              <w:rPr>
                <w:rFonts w:ascii="Times New Roman" w:hAnsi="Times New Roman"/>
                <w:color w:val="000000"/>
                <w:spacing w:val="-2"/>
              </w:rPr>
              <w:t xml:space="preserve"> Ten wymóg obejmuje wszystkie minimalne wymagania dotyczące pojemności, minimalną ofertę sprzedaży oraz zakupu. FERC wymaga, aby sprzedaż energii elektrycznej z rynku OSD i OSP do magazynu energii, którą następnie odsprzeda z powrotem na te rynki, odbywała się po cenie hurtowej za energię elektryczną. Ponadto wymaga od operatorów posiadania liczników mierzących całą energię wchodzącą i wychodzącą. Natomiast magazyny OSD i u odbiorcy za licznikiem wymagają innego rozwiązania.</w:t>
            </w:r>
          </w:p>
          <w:p w14:paraId="34E02EB6" w14:textId="77777777" w:rsidR="006A701A" w:rsidRPr="004F512A" w:rsidRDefault="006A701A" w:rsidP="00954E8A">
            <w:pPr>
              <w:spacing w:line="240" w:lineRule="auto"/>
              <w:jc w:val="both"/>
              <w:rPr>
                <w:rFonts w:ascii="Times New Roman" w:hAnsi="Times New Roman"/>
                <w:color w:val="000000"/>
                <w:spacing w:val="-2"/>
              </w:rPr>
            </w:pPr>
          </w:p>
        </w:tc>
      </w:tr>
      <w:tr w:rsidR="006A701A" w:rsidRPr="004F512A" w14:paraId="4814E1F4" w14:textId="77777777" w:rsidTr="00DE4C3A">
        <w:trPr>
          <w:trHeight w:val="359"/>
        </w:trPr>
        <w:tc>
          <w:tcPr>
            <w:tcW w:w="11086" w:type="dxa"/>
            <w:gridSpan w:val="29"/>
            <w:shd w:val="clear" w:color="auto" w:fill="99CCFF"/>
            <w:vAlign w:val="center"/>
          </w:tcPr>
          <w:p w14:paraId="443F365A" w14:textId="77777777" w:rsidR="006A701A" w:rsidRPr="004F512A" w:rsidRDefault="006A701A" w:rsidP="00213EFD">
            <w:pPr>
              <w:numPr>
                <w:ilvl w:val="0"/>
                <w:numId w:val="3"/>
              </w:numPr>
              <w:spacing w:before="60" w:after="60" w:line="240" w:lineRule="auto"/>
              <w:ind w:left="318" w:hanging="284"/>
              <w:jc w:val="both"/>
              <w:rPr>
                <w:rFonts w:ascii="Times New Roman" w:hAnsi="Times New Roman"/>
                <w:b/>
                <w:color w:val="000000"/>
              </w:rPr>
            </w:pPr>
            <w:r w:rsidRPr="004F512A">
              <w:rPr>
                <w:rFonts w:ascii="Times New Roman" w:hAnsi="Times New Roman"/>
                <w:b/>
                <w:color w:val="000000"/>
              </w:rPr>
              <w:lastRenderedPageBreak/>
              <w:t>Podmioty, na które oddziałuje projekt</w:t>
            </w:r>
          </w:p>
        </w:tc>
      </w:tr>
      <w:tr w:rsidR="00260F33" w:rsidRPr="004F512A" w14:paraId="5764230A" w14:textId="77777777" w:rsidTr="00DE4C3A">
        <w:trPr>
          <w:trHeight w:val="142"/>
        </w:trPr>
        <w:tc>
          <w:tcPr>
            <w:tcW w:w="2668" w:type="dxa"/>
            <w:gridSpan w:val="3"/>
            <w:shd w:val="clear" w:color="auto" w:fill="auto"/>
          </w:tcPr>
          <w:p w14:paraId="642D1D83" w14:textId="77777777" w:rsidR="00260F33" w:rsidRPr="004F512A" w:rsidRDefault="00260F33" w:rsidP="0072636A">
            <w:pPr>
              <w:spacing w:before="40" w:line="240" w:lineRule="auto"/>
              <w:jc w:val="center"/>
              <w:rPr>
                <w:rFonts w:ascii="Times New Roman" w:hAnsi="Times New Roman"/>
                <w:color w:val="000000"/>
                <w:spacing w:val="-2"/>
              </w:rPr>
            </w:pPr>
            <w:r w:rsidRPr="004F512A">
              <w:rPr>
                <w:rFonts w:ascii="Times New Roman" w:hAnsi="Times New Roman"/>
                <w:color w:val="000000"/>
                <w:spacing w:val="-2"/>
              </w:rPr>
              <w:t>Grupa</w:t>
            </w:r>
          </w:p>
        </w:tc>
        <w:tc>
          <w:tcPr>
            <w:tcW w:w="2292" w:type="dxa"/>
            <w:gridSpan w:val="8"/>
            <w:shd w:val="clear" w:color="auto" w:fill="auto"/>
          </w:tcPr>
          <w:p w14:paraId="31D21C8F" w14:textId="77777777" w:rsidR="00260F33" w:rsidRPr="004F512A" w:rsidRDefault="00563199" w:rsidP="0072636A">
            <w:pPr>
              <w:spacing w:before="40" w:line="240" w:lineRule="auto"/>
              <w:jc w:val="center"/>
              <w:rPr>
                <w:rFonts w:ascii="Times New Roman" w:hAnsi="Times New Roman"/>
                <w:color w:val="000000"/>
                <w:spacing w:val="-2"/>
              </w:rPr>
            </w:pPr>
            <w:r w:rsidRPr="004F512A">
              <w:rPr>
                <w:rFonts w:ascii="Times New Roman" w:hAnsi="Times New Roman"/>
                <w:color w:val="000000"/>
                <w:spacing w:val="-2"/>
              </w:rPr>
              <w:t>Wielkość</w:t>
            </w:r>
          </w:p>
        </w:tc>
        <w:tc>
          <w:tcPr>
            <w:tcW w:w="2996" w:type="dxa"/>
            <w:gridSpan w:val="12"/>
            <w:shd w:val="clear" w:color="auto" w:fill="auto"/>
          </w:tcPr>
          <w:p w14:paraId="649E57FD" w14:textId="77777777" w:rsidR="00260F33" w:rsidRPr="004F512A" w:rsidRDefault="00260F33" w:rsidP="0072636A">
            <w:pPr>
              <w:spacing w:before="40" w:line="240" w:lineRule="auto"/>
              <w:jc w:val="center"/>
              <w:rPr>
                <w:rFonts w:ascii="Times New Roman" w:hAnsi="Times New Roman"/>
                <w:color w:val="000000"/>
                <w:spacing w:val="-2"/>
              </w:rPr>
            </w:pPr>
            <w:r w:rsidRPr="004F512A">
              <w:rPr>
                <w:rFonts w:ascii="Times New Roman" w:hAnsi="Times New Roman"/>
                <w:color w:val="000000"/>
                <w:spacing w:val="-2"/>
              </w:rPr>
              <w:t>Źródło danych</w:t>
            </w:r>
            <w:r w:rsidRPr="004F512A" w:rsidDel="00260F33">
              <w:rPr>
                <w:rFonts w:ascii="Times New Roman" w:hAnsi="Times New Roman"/>
                <w:color w:val="000000"/>
                <w:spacing w:val="-2"/>
              </w:rPr>
              <w:t xml:space="preserve"> </w:t>
            </w:r>
          </w:p>
        </w:tc>
        <w:tc>
          <w:tcPr>
            <w:tcW w:w="3130" w:type="dxa"/>
            <w:gridSpan w:val="6"/>
            <w:shd w:val="clear" w:color="auto" w:fill="auto"/>
          </w:tcPr>
          <w:p w14:paraId="29A26E09" w14:textId="77777777" w:rsidR="00260F33" w:rsidRPr="004F512A" w:rsidRDefault="00260F33" w:rsidP="0072636A">
            <w:pPr>
              <w:spacing w:before="40" w:line="240" w:lineRule="auto"/>
              <w:jc w:val="center"/>
              <w:rPr>
                <w:rFonts w:ascii="Times New Roman" w:hAnsi="Times New Roman"/>
                <w:color w:val="000000"/>
                <w:spacing w:val="-2"/>
              </w:rPr>
            </w:pPr>
            <w:r w:rsidRPr="004F512A">
              <w:rPr>
                <w:rFonts w:ascii="Times New Roman" w:hAnsi="Times New Roman"/>
                <w:color w:val="000000"/>
                <w:spacing w:val="-2"/>
              </w:rPr>
              <w:t>Oddziaływanie</w:t>
            </w:r>
          </w:p>
        </w:tc>
      </w:tr>
      <w:tr w:rsidR="00260F33" w:rsidRPr="004F512A" w14:paraId="77F368A7" w14:textId="77777777" w:rsidTr="00DE4C3A">
        <w:trPr>
          <w:trHeight w:val="142"/>
        </w:trPr>
        <w:tc>
          <w:tcPr>
            <w:tcW w:w="2668" w:type="dxa"/>
            <w:gridSpan w:val="3"/>
            <w:shd w:val="clear" w:color="auto" w:fill="auto"/>
          </w:tcPr>
          <w:p w14:paraId="37A11352" w14:textId="4E30AB91" w:rsidR="00260F33" w:rsidRPr="004F512A" w:rsidRDefault="002B1506" w:rsidP="002B1506">
            <w:pPr>
              <w:spacing w:line="240" w:lineRule="auto"/>
              <w:jc w:val="center"/>
              <w:rPr>
                <w:rFonts w:ascii="Times New Roman" w:hAnsi="Times New Roman"/>
                <w:color w:val="000000"/>
                <w:spacing w:val="-2"/>
              </w:rPr>
            </w:pPr>
            <w:r w:rsidRPr="004F512A">
              <w:rPr>
                <w:rFonts w:ascii="Times New Roman" w:hAnsi="Times New Roman"/>
                <w:color w:val="000000"/>
              </w:rPr>
              <w:t>Elektrownie szczytowo - pompowe</w:t>
            </w:r>
          </w:p>
        </w:tc>
        <w:tc>
          <w:tcPr>
            <w:tcW w:w="2292" w:type="dxa"/>
            <w:gridSpan w:val="8"/>
            <w:shd w:val="clear" w:color="auto" w:fill="auto"/>
          </w:tcPr>
          <w:p w14:paraId="396EFEB7" w14:textId="3C32BAA2" w:rsidR="00260F33" w:rsidRPr="004F512A" w:rsidRDefault="002B1506" w:rsidP="002B1506">
            <w:pPr>
              <w:spacing w:line="240" w:lineRule="auto"/>
              <w:jc w:val="center"/>
              <w:rPr>
                <w:rFonts w:ascii="Times New Roman" w:hAnsi="Times New Roman"/>
                <w:color w:val="000000"/>
                <w:spacing w:val="-2"/>
              </w:rPr>
            </w:pPr>
            <w:r w:rsidRPr="004F512A">
              <w:rPr>
                <w:rFonts w:ascii="Times New Roman" w:hAnsi="Times New Roman"/>
                <w:color w:val="000000"/>
                <w:spacing w:val="-2"/>
              </w:rPr>
              <w:t>6</w:t>
            </w:r>
          </w:p>
        </w:tc>
        <w:tc>
          <w:tcPr>
            <w:tcW w:w="2996" w:type="dxa"/>
            <w:gridSpan w:val="12"/>
            <w:shd w:val="clear" w:color="auto" w:fill="auto"/>
          </w:tcPr>
          <w:p w14:paraId="722E88B8" w14:textId="5D20B8EB" w:rsidR="00260F33" w:rsidRPr="004F512A" w:rsidRDefault="00F00417" w:rsidP="00A459C8">
            <w:pPr>
              <w:spacing w:line="240" w:lineRule="auto"/>
              <w:jc w:val="center"/>
              <w:rPr>
                <w:rFonts w:ascii="Times New Roman" w:hAnsi="Times New Roman"/>
                <w:color w:val="000000"/>
                <w:spacing w:val="-2"/>
              </w:rPr>
            </w:pPr>
            <w:r>
              <w:t xml:space="preserve"> </w:t>
            </w:r>
            <w:r w:rsidRPr="00F00417">
              <w:rPr>
                <w:rFonts w:ascii="Times New Roman" w:hAnsi="Times New Roman"/>
                <w:color w:val="000000"/>
                <w:spacing w:val="-2"/>
              </w:rPr>
              <w:t>Biuletyn Informacji Publicznej Urzędu Regulacji Energetyki</w:t>
            </w:r>
          </w:p>
        </w:tc>
        <w:tc>
          <w:tcPr>
            <w:tcW w:w="3130" w:type="dxa"/>
            <w:gridSpan w:val="6"/>
            <w:shd w:val="clear" w:color="auto" w:fill="auto"/>
          </w:tcPr>
          <w:p w14:paraId="7E3FFDAA" w14:textId="4A97114C" w:rsidR="00260F33" w:rsidRPr="004F512A" w:rsidRDefault="002B1506" w:rsidP="00A17CB2">
            <w:pPr>
              <w:spacing w:line="240" w:lineRule="auto"/>
              <w:rPr>
                <w:rFonts w:ascii="Times New Roman" w:hAnsi="Times New Roman"/>
                <w:color w:val="000000"/>
                <w:spacing w:val="-2"/>
              </w:rPr>
            </w:pPr>
            <w:r w:rsidRPr="004F512A">
              <w:rPr>
                <w:rFonts w:ascii="Times New Roman" w:hAnsi="Times New Roman"/>
                <w:color w:val="000000"/>
                <w:spacing w:val="-2"/>
              </w:rPr>
              <w:t>Usprawnienie procedury modernizacji przestarzałych instalacji</w:t>
            </w:r>
            <w:r w:rsidR="00F53551" w:rsidRPr="004F512A">
              <w:rPr>
                <w:rFonts w:ascii="Times New Roman" w:hAnsi="Times New Roman"/>
                <w:color w:val="000000"/>
                <w:spacing w:val="-2"/>
              </w:rPr>
              <w:t xml:space="preserve"> oraz skorzystanie z ułatwień wprowadzonych ustawą z dnia 20 maja 2021 r. o zmianie ustawy – Prawo energetyczne oraz niektórych innych ustaw  dla magazynów energii elektrycznej. </w:t>
            </w:r>
          </w:p>
        </w:tc>
      </w:tr>
      <w:tr w:rsidR="00260F33" w:rsidRPr="004F512A" w14:paraId="67D83F35" w14:textId="77777777" w:rsidTr="00DE4C3A">
        <w:trPr>
          <w:trHeight w:val="142"/>
        </w:trPr>
        <w:tc>
          <w:tcPr>
            <w:tcW w:w="2668" w:type="dxa"/>
            <w:gridSpan w:val="3"/>
            <w:shd w:val="clear" w:color="auto" w:fill="auto"/>
          </w:tcPr>
          <w:p w14:paraId="5002BF49" w14:textId="7B089BE7" w:rsidR="00260F33" w:rsidRPr="004F512A" w:rsidRDefault="002B1506" w:rsidP="007F0021">
            <w:pPr>
              <w:spacing w:line="240" w:lineRule="auto"/>
              <w:rPr>
                <w:rFonts w:ascii="Times New Roman" w:hAnsi="Times New Roman"/>
                <w:color w:val="000000"/>
                <w:spacing w:val="-2"/>
              </w:rPr>
            </w:pPr>
            <w:r w:rsidRPr="004F512A">
              <w:rPr>
                <w:rFonts w:ascii="Times New Roman" w:hAnsi="Times New Roman"/>
                <w:color w:val="000000"/>
              </w:rPr>
              <w:t xml:space="preserve">Potencjalni inwestorzy </w:t>
            </w:r>
          </w:p>
        </w:tc>
        <w:tc>
          <w:tcPr>
            <w:tcW w:w="2292" w:type="dxa"/>
            <w:gridSpan w:val="8"/>
            <w:shd w:val="clear" w:color="auto" w:fill="auto"/>
          </w:tcPr>
          <w:p w14:paraId="14712DA9" w14:textId="01ADFA31" w:rsidR="00260F33" w:rsidRPr="004F512A" w:rsidRDefault="00067B4F" w:rsidP="007F0021">
            <w:pPr>
              <w:spacing w:line="240" w:lineRule="auto"/>
              <w:rPr>
                <w:rFonts w:ascii="Times New Roman" w:hAnsi="Times New Roman"/>
                <w:color w:val="000000"/>
                <w:spacing w:val="-2"/>
              </w:rPr>
            </w:pPr>
            <w:r>
              <w:rPr>
                <w:rFonts w:ascii="Times New Roman" w:hAnsi="Times New Roman"/>
                <w:color w:val="000000"/>
                <w:spacing w:val="-2"/>
              </w:rPr>
              <w:t>N</w:t>
            </w:r>
            <w:r w:rsidR="00E270AD">
              <w:rPr>
                <w:rFonts w:ascii="Times New Roman" w:hAnsi="Times New Roman"/>
                <w:color w:val="000000"/>
                <w:spacing w:val="-2"/>
              </w:rPr>
              <w:t xml:space="preserve">ajwiększe </w:t>
            </w:r>
            <w:r w:rsidR="00E80EC9" w:rsidRPr="004F512A">
              <w:rPr>
                <w:rFonts w:ascii="Times New Roman" w:hAnsi="Times New Roman"/>
                <w:color w:val="000000"/>
                <w:spacing w:val="-2"/>
              </w:rPr>
              <w:t>grupy energetyczne</w:t>
            </w:r>
            <w:r w:rsidR="00E270AD">
              <w:rPr>
                <w:rFonts w:ascii="Times New Roman" w:hAnsi="Times New Roman"/>
                <w:color w:val="000000"/>
                <w:spacing w:val="-2"/>
              </w:rPr>
              <w:t xml:space="preserve"> (</w:t>
            </w:r>
            <w:r w:rsidR="00CB51B8">
              <w:rPr>
                <w:rFonts w:ascii="Times New Roman" w:hAnsi="Times New Roman"/>
                <w:color w:val="000000"/>
                <w:spacing w:val="-2"/>
              </w:rPr>
              <w:t>4</w:t>
            </w:r>
            <w:r w:rsidR="00E270AD">
              <w:rPr>
                <w:rFonts w:ascii="Times New Roman" w:hAnsi="Times New Roman"/>
                <w:color w:val="000000"/>
                <w:spacing w:val="-2"/>
              </w:rPr>
              <w:t>)</w:t>
            </w:r>
            <w:r>
              <w:rPr>
                <w:rFonts w:ascii="Times New Roman" w:hAnsi="Times New Roman"/>
                <w:color w:val="000000"/>
                <w:spacing w:val="-2"/>
              </w:rPr>
              <w:t xml:space="preserve"> </w:t>
            </w:r>
            <w:r w:rsidR="00E80EC9" w:rsidRPr="004F512A">
              <w:rPr>
                <w:rFonts w:ascii="Times New Roman" w:hAnsi="Times New Roman"/>
                <w:color w:val="000000"/>
                <w:spacing w:val="-2"/>
              </w:rPr>
              <w:t>Jednakże nie jest wykluczone, że wprowadzone ułatwienia zachęcą inn</w:t>
            </w:r>
            <w:r w:rsidR="00E270AD">
              <w:rPr>
                <w:rFonts w:ascii="Times New Roman" w:hAnsi="Times New Roman"/>
                <w:color w:val="000000"/>
                <w:spacing w:val="-2"/>
              </w:rPr>
              <w:t>ych inwestorów</w:t>
            </w:r>
            <w:r w:rsidR="00E270AD" w:rsidRPr="004F512A">
              <w:rPr>
                <w:rFonts w:ascii="Times New Roman" w:hAnsi="Times New Roman"/>
                <w:color w:val="000000"/>
                <w:spacing w:val="-2"/>
              </w:rPr>
              <w:t xml:space="preserve"> </w:t>
            </w:r>
            <w:r w:rsidR="00E80EC9" w:rsidRPr="004F512A">
              <w:rPr>
                <w:rFonts w:ascii="Times New Roman" w:hAnsi="Times New Roman"/>
                <w:color w:val="000000"/>
                <w:spacing w:val="-2"/>
              </w:rPr>
              <w:t xml:space="preserve">do </w:t>
            </w:r>
            <w:r w:rsidR="00E80EC9" w:rsidRPr="004F512A">
              <w:rPr>
                <w:rFonts w:ascii="Times New Roman" w:hAnsi="Times New Roman"/>
                <w:color w:val="000000"/>
                <w:spacing w:val="-2"/>
              </w:rPr>
              <w:lastRenderedPageBreak/>
              <w:t>przedsięwzięć w tym obszarze</w:t>
            </w:r>
          </w:p>
        </w:tc>
        <w:tc>
          <w:tcPr>
            <w:tcW w:w="2996" w:type="dxa"/>
            <w:gridSpan w:val="12"/>
            <w:shd w:val="clear" w:color="auto" w:fill="auto"/>
          </w:tcPr>
          <w:p w14:paraId="54F17393" w14:textId="5BD147CA" w:rsidR="00260F33" w:rsidRPr="004F512A" w:rsidRDefault="00E80EC9" w:rsidP="00A459C8">
            <w:pPr>
              <w:spacing w:line="240" w:lineRule="auto"/>
              <w:jc w:val="center"/>
              <w:rPr>
                <w:rFonts w:ascii="Times New Roman" w:hAnsi="Times New Roman"/>
                <w:color w:val="000000"/>
                <w:spacing w:val="-2"/>
              </w:rPr>
            </w:pPr>
            <w:r w:rsidRPr="004F512A">
              <w:rPr>
                <w:rFonts w:ascii="Times New Roman" w:hAnsi="Times New Roman"/>
                <w:color w:val="000000"/>
                <w:spacing w:val="-2"/>
              </w:rPr>
              <w:lastRenderedPageBreak/>
              <w:t>Szacunki własne</w:t>
            </w:r>
          </w:p>
        </w:tc>
        <w:tc>
          <w:tcPr>
            <w:tcW w:w="3130" w:type="dxa"/>
            <w:gridSpan w:val="6"/>
            <w:shd w:val="clear" w:color="auto" w:fill="auto"/>
          </w:tcPr>
          <w:p w14:paraId="4DEBBDAC" w14:textId="1D7355F8" w:rsidR="00260F33" w:rsidRPr="004F512A" w:rsidRDefault="00E80EC9" w:rsidP="007F0021">
            <w:pPr>
              <w:spacing w:line="240" w:lineRule="auto"/>
              <w:rPr>
                <w:rFonts w:ascii="Times New Roman" w:hAnsi="Times New Roman"/>
                <w:color w:val="000000"/>
                <w:spacing w:val="-2"/>
              </w:rPr>
            </w:pPr>
            <w:r w:rsidRPr="004F512A">
              <w:rPr>
                <w:rFonts w:ascii="Times New Roman" w:hAnsi="Times New Roman"/>
                <w:color w:val="000000"/>
                <w:spacing w:val="-2"/>
              </w:rPr>
              <w:t>Usprawnienie procedury realizacji inwestycji w budowę nowych elektrowni szczytowo-pompowych</w:t>
            </w:r>
          </w:p>
        </w:tc>
      </w:tr>
      <w:tr w:rsidR="00260F33" w:rsidRPr="004F512A" w14:paraId="6E7A5667" w14:textId="77777777" w:rsidTr="00DE4C3A">
        <w:trPr>
          <w:trHeight w:val="142"/>
        </w:trPr>
        <w:tc>
          <w:tcPr>
            <w:tcW w:w="2668" w:type="dxa"/>
            <w:gridSpan w:val="3"/>
            <w:shd w:val="clear" w:color="auto" w:fill="auto"/>
          </w:tcPr>
          <w:p w14:paraId="6DFDB848" w14:textId="31D78108" w:rsidR="00260F33" w:rsidRPr="004F512A" w:rsidRDefault="00F53551" w:rsidP="00A17CB2">
            <w:pPr>
              <w:spacing w:line="240" w:lineRule="auto"/>
              <w:rPr>
                <w:rFonts w:ascii="Times New Roman" w:hAnsi="Times New Roman"/>
                <w:color w:val="000000"/>
                <w:spacing w:val="-2"/>
              </w:rPr>
            </w:pPr>
            <w:r w:rsidRPr="004F512A">
              <w:rPr>
                <w:rFonts w:ascii="Times New Roman" w:hAnsi="Times New Roman"/>
                <w:color w:val="000000"/>
                <w:spacing w:val="-2"/>
              </w:rPr>
              <w:t>Operator systemu przesyłowego elektroenergetycznego</w:t>
            </w:r>
            <w:r w:rsidR="005A6AEC" w:rsidRPr="004F512A">
              <w:rPr>
                <w:rFonts w:ascii="Times New Roman" w:hAnsi="Times New Roman"/>
                <w:color w:val="000000"/>
                <w:spacing w:val="-2"/>
              </w:rPr>
              <w:t xml:space="preserve"> (PSE S.A.) </w:t>
            </w:r>
          </w:p>
        </w:tc>
        <w:tc>
          <w:tcPr>
            <w:tcW w:w="2292" w:type="dxa"/>
            <w:gridSpan w:val="8"/>
            <w:shd w:val="clear" w:color="auto" w:fill="auto"/>
          </w:tcPr>
          <w:p w14:paraId="39938ECE" w14:textId="58796E2F" w:rsidR="00260F33" w:rsidRPr="004F512A" w:rsidRDefault="00F53551" w:rsidP="00F53551">
            <w:pPr>
              <w:spacing w:line="240" w:lineRule="auto"/>
              <w:jc w:val="center"/>
              <w:rPr>
                <w:rFonts w:ascii="Times New Roman" w:hAnsi="Times New Roman"/>
                <w:color w:val="000000"/>
                <w:spacing w:val="-2"/>
              </w:rPr>
            </w:pPr>
            <w:r w:rsidRPr="004F512A">
              <w:rPr>
                <w:rFonts w:ascii="Times New Roman" w:hAnsi="Times New Roman"/>
                <w:color w:val="000000"/>
                <w:spacing w:val="-2"/>
              </w:rPr>
              <w:t>1</w:t>
            </w:r>
          </w:p>
        </w:tc>
        <w:tc>
          <w:tcPr>
            <w:tcW w:w="2996" w:type="dxa"/>
            <w:gridSpan w:val="12"/>
            <w:shd w:val="clear" w:color="auto" w:fill="auto"/>
          </w:tcPr>
          <w:p w14:paraId="6CDA36FF" w14:textId="7A994128" w:rsidR="00260F33" w:rsidRPr="004F512A" w:rsidRDefault="00DA0796" w:rsidP="00A459C8">
            <w:pPr>
              <w:spacing w:line="240" w:lineRule="auto"/>
              <w:jc w:val="center"/>
              <w:rPr>
                <w:rFonts w:ascii="Times New Roman" w:hAnsi="Times New Roman"/>
                <w:color w:val="000000"/>
                <w:spacing w:val="-2"/>
              </w:rPr>
            </w:pPr>
            <w:r>
              <w:rPr>
                <w:rFonts w:ascii="Times New Roman" w:hAnsi="Times New Roman"/>
                <w:color w:val="000000"/>
                <w:spacing w:val="-2"/>
              </w:rPr>
              <w:t>Ustawa z dnia 10 kwietnia 1997 r. – Prawo energetyczne</w:t>
            </w:r>
          </w:p>
        </w:tc>
        <w:tc>
          <w:tcPr>
            <w:tcW w:w="3130" w:type="dxa"/>
            <w:gridSpan w:val="6"/>
            <w:shd w:val="clear" w:color="auto" w:fill="auto"/>
          </w:tcPr>
          <w:p w14:paraId="0A7CBD64" w14:textId="212C2C0C" w:rsidR="00260F33" w:rsidRPr="004F512A" w:rsidRDefault="00DA0796" w:rsidP="00A17CB2">
            <w:pPr>
              <w:spacing w:line="240" w:lineRule="auto"/>
              <w:rPr>
                <w:rFonts w:ascii="Times New Roman" w:hAnsi="Times New Roman"/>
                <w:color w:val="000000"/>
                <w:spacing w:val="-2"/>
              </w:rPr>
            </w:pPr>
            <w:r>
              <w:rPr>
                <w:rFonts w:ascii="Times New Roman" w:hAnsi="Times New Roman"/>
                <w:color w:val="000000"/>
                <w:spacing w:val="-2"/>
              </w:rPr>
              <w:t xml:space="preserve">Ułatwienie </w:t>
            </w:r>
            <w:r w:rsidR="00364F30">
              <w:rPr>
                <w:rFonts w:ascii="Times New Roman" w:hAnsi="Times New Roman"/>
                <w:color w:val="000000"/>
                <w:spacing w:val="-2"/>
              </w:rPr>
              <w:t xml:space="preserve">przygotowania i realizacji inwestycji w zakresie ESP </w:t>
            </w:r>
            <w:r w:rsidR="005976DA">
              <w:rPr>
                <w:rFonts w:ascii="Times New Roman" w:hAnsi="Times New Roman"/>
                <w:color w:val="000000"/>
                <w:spacing w:val="-2"/>
              </w:rPr>
              <w:t>(bezpośredni</w:t>
            </w:r>
            <w:r w:rsidR="008E1C00">
              <w:rPr>
                <w:rFonts w:ascii="Times New Roman" w:hAnsi="Times New Roman"/>
                <w:color w:val="000000"/>
                <w:spacing w:val="-2"/>
              </w:rPr>
              <w:t xml:space="preserve"> skutek ustawy</w:t>
            </w:r>
            <w:r w:rsidR="005976DA">
              <w:rPr>
                <w:rFonts w:ascii="Times New Roman" w:hAnsi="Times New Roman"/>
                <w:color w:val="000000"/>
                <w:spacing w:val="-2"/>
              </w:rPr>
              <w:t xml:space="preserve">), co w dalszej perspektywie wpłynie na </w:t>
            </w:r>
            <w:r>
              <w:rPr>
                <w:rFonts w:ascii="Times New Roman" w:hAnsi="Times New Roman"/>
                <w:color w:val="000000"/>
                <w:spacing w:val="-2"/>
              </w:rPr>
              <w:t>bilansowani</w:t>
            </w:r>
            <w:r w:rsidR="005976DA">
              <w:rPr>
                <w:rFonts w:ascii="Times New Roman" w:hAnsi="Times New Roman"/>
                <w:color w:val="000000"/>
                <w:spacing w:val="-2"/>
              </w:rPr>
              <w:t>e</w:t>
            </w:r>
            <w:r w:rsidR="00F53551" w:rsidRPr="004F512A">
              <w:rPr>
                <w:rFonts w:ascii="Times New Roman" w:hAnsi="Times New Roman"/>
                <w:color w:val="000000"/>
                <w:spacing w:val="-2"/>
              </w:rPr>
              <w:t xml:space="preserve"> KSE </w:t>
            </w:r>
            <w:r>
              <w:rPr>
                <w:rFonts w:ascii="Times New Roman" w:hAnsi="Times New Roman"/>
                <w:color w:val="000000"/>
                <w:spacing w:val="-2"/>
              </w:rPr>
              <w:t>poprzez możliwość</w:t>
            </w:r>
            <w:r w:rsidR="00F53551" w:rsidRPr="004F512A">
              <w:rPr>
                <w:rFonts w:ascii="Times New Roman" w:hAnsi="Times New Roman"/>
                <w:color w:val="000000"/>
                <w:spacing w:val="-2"/>
              </w:rPr>
              <w:t xml:space="preserve"> natychmiastowe</w:t>
            </w:r>
            <w:r>
              <w:rPr>
                <w:rFonts w:ascii="Times New Roman" w:hAnsi="Times New Roman"/>
                <w:color w:val="000000"/>
                <w:spacing w:val="-2"/>
              </w:rPr>
              <w:t>go</w:t>
            </w:r>
            <w:r w:rsidR="00F53551" w:rsidRPr="004F512A">
              <w:rPr>
                <w:rFonts w:ascii="Times New Roman" w:hAnsi="Times New Roman"/>
                <w:color w:val="000000"/>
                <w:spacing w:val="-2"/>
              </w:rPr>
              <w:t xml:space="preserve"> dostarczeni</w:t>
            </w:r>
            <w:r>
              <w:rPr>
                <w:rFonts w:ascii="Times New Roman" w:hAnsi="Times New Roman"/>
                <w:color w:val="000000"/>
                <w:spacing w:val="-2"/>
              </w:rPr>
              <w:t>a</w:t>
            </w:r>
            <w:r w:rsidR="00F53551" w:rsidRPr="004F512A">
              <w:rPr>
                <w:rFonts w:ascii="Times New Roman" w:hAnsi="Times New Roman"/>
                <w:color w:val="000000"/>
                <w:spacing w:val="-2"/>
              </w:rPr>
              <w:t xml:space="preserve"> mocy do systemu elektroenergetycznego w przypadku zagrożenia bezpieczeństwa dostaw energii elektrycznej</w:t>
            </w:r>
            <w:r w:rsidR="005976DA">
              <w:rPr>
                <w:rFonts w:ascii="Times New Roman" w:hAnsi="Times New Roman"/>
                <w:color w:val="000000"/>
                <w:spacing w:val="-2"/>
              </w:rPr>
              <w:t xml:space="preserve"> (</w:t>
            </w:r>
            <w:r w:rsidR="00985AE2">
              <w:rPr>
                <w:rFonts w:ascii="Times New Roman" w:hAnsi="Times New Roman"/>
                <w:color w:val="000000"/>
                <w:spacing w:val="-2"/>
              </w:rPr>
              <w:t>pośredni skutek ustawy</w:t>
            </w:r>
            <w:r w:rsidR="005976DA">
              <w:rPr>
                <w:rFonts w:ascii="Times New Roman" w:hAnsi="Times New Roman"/>
                <w:color w:val="000000"/>
                <w:spacing w:val="-2"/>
              </w:rPr>
              <w:t>)</w:t>
            </w:r>
            <w:r w:rsidR="005976DA">
              <w:rPr>
                <w:rFonts w:ascii="Times New Roman" w:hAnsi="Times New Roman"/>
                <w:b/>
                <w:bCs/>
                <w:color w:val="000000"/>
                <w:spacing w:val="-2"/>
              </w:rPr>
              <w:t>.</w:t>
            </w:r>
          </w:p>
        </w:tc>
      </w:tr>
      <w:tr w:rsidR="00260F33" w:rsidRPr="004F512A" w14:paraId="21ABB71E" w14:textId="77777777" w:rsidTr="00DE4C3A">
        <w:trPr>
          <w:trHeight w:val="142"/>
        </w:trPr>
        <w:tc>
          <w:tcPr>
            <w:tcW w:w="2668" w:type="dxa"/>
            <w:gridSpan w:val="3"/>
            <w:shd w:val="clear" w:color="auto" w:fill="auto"/>
          </w:tcPr>
          <w:p w14:paraId="6651ACA5" w14:textId="32A90C2D" w:rsidR="00260F33" w:rsidRPr="004F512A" w:rsidRDefault="00F53551" w:rsidP="0072636A">
            <w:pPr>
              <w:tabs>
                <w:tab w:val="left" w:pos="1560"/>
              </w:tabs>
              <w:spacing w:line="240" w:lineRule="auto"/>
              <w:rPr>
                <w:rFonts w:ascii="Times New Roman" w:hAnsi="Times New Roman"/>
                <w:color w:val="000000"/>
              </w:rPr>
            </w:pPr>
            <w:r w:rsidRPr="004F512A">
              <w:rPr>
                <w:rFonts w:ascii="Times New Roman" w:hAnsi="Times New Roman"/>
                <w:color w:val="000000"/>
              </w:rPr>
              <w:t>Operatorzy systemów dystrybucyjnych elektroenergetycznych</w:t>
            </w:r>
          </w:p>
        </w:tc>
        <w:tc>
          <w:tcPr>
            <w:tcW w:w="2292" w:type="dxa"/>
            <w:gridSpan w:val="8"/>
            <w:shd w:val="clear" w:color="auto" w:fill="auto"/>
          </w:tcPr>
          <w:p w14:paraId="66592043" w14:textId="23576C21" w:rsidR="00260F33" w:rsidRPr="004F512A" w:rsidRDefault="002D5827" w:rsidP="002D5827">
            <w:pPr>
              <w:spacing w:line="240" w:lineRule="auto"/>
              <w:jc w:val="center"/>
              <w:rPr>
                <w:rFonts w:ascii="Times New Roman" w:hAnsi="Times New Roman"/>
                <w:color w:val="000000"/>
                <w:spacing w:val="-2"/>
              </w:rPr>
            </w:pPr>
            <w:r w:rsidRPr="004F512A">
              <w:rPr>
                <w:rFonts w:ascii="Times New Roman" w:hAnsi="Times New Roman"/>
                <w:color w:val="000000"/>
                <w:spacing w:val="-2"/>
              </w:rPr>
              <w:t>187</w:t>
            </w:r>
          </w:p>
        </w:tc>
        <w:tc>
          <w:tcPr>
            <w:tcW w:w="2996" w:type="dxa"/>
            <w:gridSpan w:val="12"/>
            <w:shd w:val="clear" w:color="auto" w:fill="auto"/>
          </w:tcPr>
          <w:p w14:paraId="0437A0E1" w14:textId="75EAF56E" w:rsidR="00260F33" w:rsidRPr="004F512A" w:rsidRDefault="00F53551" w:rsidP="00A17CB2">
            <w:pPr>
              <w:spacing w:line="240" w:lineRule="auto"/>
              <w:rPr>
                <w:rFonts w:ascii="Times New Roman" w:hAnsi="Times New Roman"/>
                <w:color w:val="000000"/>
                <w:spacing w:val="-2"/>
              </w:rPr>
            </w:pPr>
            <w:r w:rsidRPr="004F512A">
              <w:rPr>
                <w:rFonts w:ascii="Times New Roman" w:hAnsi="Times New Roman"/>
                <w:color w:val="000000"/>
                <w:spacing w:val="-2"/>
              </w:rPr>
              <w:t>Biuletyn Informacji Publicznej Urzędu Regulacji Energetyki</w:t>
            </w:r>
          </w:p>
        </w:tc>
        <w:tc>
          <w:tcPr>
            <w:tcW w:w="3130" w:type="dxa"/>
            <w:gridSpan w:val="6"/>
            <w:shd w:val="clear" w:color="auto" w:fill="auto"/>
          </w:tcPr>
          <w:p w14:paraId="652398D9" w14:textId="7F7A9987" w:rsidR="00260F33" w:rsidRPr="004F512A" w:rsidRDefault="00DA0796" w:rsidP="00A17CB2">
            <w:pPr>
              <w:spacing w:line="240" w:lineRule="auto"/>
              <w:rPr>
                <w:rFonts w:ascii="Times New Roman" w:hAnsi="Times New Roman"/>
                <w:color w:val="000000"/>
                <w:spacing w:val="-2"/>
              </w:rPr>
            </w:pPr>
            <w:r>
              <w:rPr>
                <w:rFonts w:ascii="Times New Roman" w:hAnsi="Times New Roman"/>
                <w:color w:val="000000"/>
                <w:spacing w:val="-2"/>
              </w:rPr>
              <w:t xml:space="preserve">Ułatwienie </w:t>
            </w:r>
            <w:r w:rsidR="005976DA">
              <w:rPr>
                <w:rFonts w:ascii="Times New Roman" w:hAnsi="Times New Roman"/>
                <w:color w:val="000000"/>
                <w:spacing w:val="-2"/>
              </w:rPr>
              <w:t>przygotowania i realizacji inwestycji w zakresie ESP (</w:t>
            </w:r>
            <w:r w:rsidR="00985AE2">
              <w:rPr>
                <w:rFonts w:ascii="Times New Roman" w:hAnsi="Times New Roman"/>
                <w:color w:val="000000"/>
                <w:spacing w:val="-2"/>
              </w:rPr>
              <w:t>bezpośredni skutek ustawy</w:t>
            </w:r>
            <w:r w:rsidR="005976DA">
              <w:rPr>
                <w:rFonts w:ascii="Times New Roman" w:hAnsi="Times New Roman"/>
                <w:color w:val="000000"/>
                <w:spacing w:val="-2"/>
              </w:rPr>
              <w:t xml:space="preserve">), co w dalszej perspektywie wpłynie na </w:t>
            </w:r>
            <w:r>
              <w:rPr>
                <w:rFonts w:ascii="Times New Roman" w:hAnsi="Times New Roman"/>
                <w:color w:val="000000"/>
                <w:spacing w:val="-2"/>
              </w:rPr>
              <w:t>bilansowani</w:t>
            </w:r>
            <w:r w:rsidR="005976DA">
              <w:rPr>
                <w:rFonts w:ascii="Times New Roman" w:hAnsi="Times New Roman"/>
                <w:color w:val="000000"/>
                <w:spacing w:val="-2"/>
              </w:rPr>
              <w:t>e</w:t>
            </w:r>
            <w:r>
              <w:rPr>
                <w:rFonts w:ascii="Times New Roman" w:hAnsi="Times New Roman"/>
                <w:color w:val="000000"/>
                <w:spacing w:val="-2"/>
              </w:rPr>
              <w:t xml:space="preserve"> </w:t>
            </w:r>
            <w:r w:rsidR="002D5827" w:rsidRPr="004F512A">
              <w:rPr>
                <w:rFonts w:ascii="Times New Roman" w:hAnsi="Times New Roman"/>
                <w:color w:val="000000"/>
                <w:spacing w:val="-2"/>
              </w:rPr>
              <w:t>pracy sieci dystrybucyjnej elektroenergetycznej w dobie dynamicznego wzrostu udziału OZE</w:t>
            </w:r>
            <w:r w:rsidR="005976DA">
              <w:rPr>
                <w:rFonts w:ascii="Times New Roman" w:hAnsi="Times New Roman"/>
                <w:color w:val="000000"/>
                <w:spacing w:val="-2"/>
              </w:rPr>
              <w:t xml:space="preserve"> (</w:t>
            </w:r>
            <w:r w:rsidR="007A7A67">
              <w:rPr>
                <w:rFonts w:ascii="Times New Roman" w:hAnsi="Times New Roman"/>
                <w:color w:val="000000"/>
                <w:spacing w:val="-2"/>
              </w:rPr>
              <w:t>pośredni skutek ustawy</w:t>
            </w:r>
            <w:r w:rsidR="005976DA">
              <w:rPr>
                <w:rFonts w:ascii="Times New Roman" w:hAnsi="Times New Roman"/>
                <w:color w:val="000000"/>
                <w:spacing w:val="-2"/>
              </w:rPr>
              <w:t>)</w:t>
            </w:r>
            <w:r w:rsidR="00FA10FA" w:rsidRPr="00FA10FA">
              <w:rPr>
                <w:rFonts w:ascii="Times New Roman" w:hAnsi="Times New Roman"/>
                <w:b/>
                <w:bCs/>
                <w:color w:val="000000"/>
                <w:spacing w:val="-2"/>
              </w:rPr>
              <w:t>.</w:t>
            </w:r>
          </w:p>
        </w:tc>
      </w:tr>
      <w:tr w:rsidR="00260F33" w:rsidRPr="004F512A" w14:paraId="15BBECBB" w14:textId="77777777" w:rsidTr="00DE4C3A">
        <w:trPr>
          <w:trHeight w:val="142"/>
        </w:trPr>
        <w:tc>
          <w:tcPr>
            <w:tcW w:w="2668" w:type="dxa"/>
            <w:gridSpan w:val="3"/>
            <w:shd w:val="clear" w:color="auto" w:fill="auto"/>
          </w:tcPr>
          <w:p w14:paraId="539CBE28" w14:textId="2A7CA90C" w:rsidR="00260F33" w:rsidRPr="004F512A" w:rsidRDefault="002D5827" w:rsidP="0072636A">
            <w:pPr>
              <w:tabs>
                <w:tab w:val="left" w:pos="1560"/>
              </w:tabs>
              <w:spacing w:line="240" w:lineRule="auto"/>
              <w:rPr>
                <w:rFonts w:ascii="Times New Roman" w:hAnsi="Times New Roman"/>
                <w:color w:val="000000"/>
              </w:rPr>
            </w:pPr>
            <w:r w:rsidRPr="004F512A">
              <w:rPr>
                <w:rFonts w:ascii="Times New Roman" w:hAnsi="Times New Roman"/>
                <w:color w:val="000000"/>
              </w:rPr>
              <w:t>Odbiorcy końcowi energii elektrycznej</w:t>
            </w:r>
          </w:p>
        </w:tc>
        <w:tc>
          <w:tcPr>
            <w:tcW w:w="2292" w:type="dxa"/>
            <w:gridSpan w:val="8"/>
            <w:shd w:val="clear" w:color="auto" w:fill="auto"/>
          </w:tcPr>
          <w:p w14:paraId="3F37F094" w14:textId="3E69065F" w:rsidR="00260F33" w:rsidRPr="004F512A" w:rsidRDefault="002D5827" w:rsidP="002D5827">
            <w:pPr>
              <w:spacing w:line="240" w:lineRule="auto"/>
              <w:jc w:val="center"/>
              <w:rPr>
                <w:rFonts w:ascii="Times New Roman" w:hAnsi="Times New Roman"/>
                <w:color w:val="000000"/>
                <w:spacing w:val="-2"/>
              </w:rPr>
            </w:pPr>
            <w:r w:rsidRPr="004F512A">
              <w:rPr>
                <w:rFonts w:ascii="Times New Roman" w:hAnsi="Times New Roman"/>
                <w:color w:val="000000"/>
                <w:spacing w:val="-2"/>
              </w:rPr>
              <w:t>17,935 mln</w:t>
            </w:r>
          </w:p>
        </w:tc>
        <w:tc>
          <w:tcPr>
            <w:tcW w:w="2996" w:type="dxa"/>
            <w:gridSpan w:val="12"/>
            <w:shd w:val="clear" w:color="auto" w:fill="auto"/>
          </w:tcPr>
          <w:p w14:paraId="601534C1" w14:textId="30D24E02" w:rsidR="00260F33" w:rsidRPr="004F512A" w:rsidRDefault="002D5827" w:rsidP="002D5827">
            <w:pPr>
              <w:spacing w:line="240" w:lineRule="auto"/>
              <w:jc w:val="center"/>
              <w:rPr>
                <w:rFonts w:ascii="Times New Roman" w:hAnsi="Times New Roman"/>
                <w:color w:val="000000"/>
                <w:spacing w:val="-2"/>
              </w:rPr>
            </w:pPr>
            <w:r w:rsidRPr="004F512A">
              <w:rPr>
                <w:rFonts w:ascii="Times New Roman" w:hAnsi="Times New Roman"/>
                <w:color w:val="000000"/>
                <w:spacing w:val="-2"/>
              </w:rPr>
              <w:t>Agencji Rynku Energii</w:t>
            </w:r>
          </w:p>
        </w:tc>
        <w:tc>
          <w:tcPr>
            <w:tcW w:w="3130" w:type="dxa"/>
            <w:gridSpan w:val="6"/>
            <w:shd w:val="clear" w:color="auto" w:fill="auto"/>
          </w:tcPr>
          <w:p w14:paraId="2895CBE6" w14:textId="60DC00EF" w:rsidR="00260F33" w:rsidRPr="004F512A" w:rsidRDefault="007A6150" w:rsidP="00A17CB2">
            <w:pPr>
              <w:spacing w:line="240" w:lineRule="auto"/>
              <w:rPr>
                <w:rFonts w:ascii="Times New Roman" w:hAnsi="Times New Roman"/>
                <w:color w:val="000000"/>
                <w:spacing w:val="-2"/>
              </w:rPr>
            </w:pPr>
            <w:r>
              <w:rPr>
                <w:rFonts w:ascii="Times New Roman" w:hAnsi="Times New Roman"/>
                <w:color w:val="000000"/>
                <w:spacing w:val="-2"/>
              </w:rPr>
              <w:t>W dalszej perspektywie z</w:t>
            </w:r>
            <w:r w:rsidR="002D5827" w:rsidRPr="004F512A">
              <w:rPr>
                <w:rFonts w:ascii="Times New Roman" w:hAnsi="Times New Roman"/>
                <w:color w:val="000000"/>
                <w:spacing w:val="-2"/>
              </w:rPr>
              <w:t>apewnienie ciągłości dostaw energii elektrycznej</w:t>
            </w:r>
            <w:r w:rsidR="005A6AEC" w:rsidRPr="004F512A">
              <w:rPr>
                <w:rFonts w:ascii="Times New Roman" w:hAnsi="Times New Roman"/>
                <w:color w:val="000000"/>
                <w:spacing w:val="-2"/>
              </w:rPr>
              <w:t xml:space="preserve"> w przypadku zagrożenia bezpieczeństwa energetycznego</w:t>
            </w:r>
            <w:r w:rsidR="00A459C8" w:rsidRPr="004F512A">
              <w:rPr>
                <w:rFonts w:ascii="Times New Roman" w:hAnsi="Times New Roman"/>
                <w:color w:val="000000"/>
                <w:spacing w:val="-2"/>
              </w:rPr>
              <w:t xml:space="preserve"> i uniknięcie strat związanych z przerwami w tych dostawach</w:t>
            </w:r>
            <w:r>
              <w:rPr>
                <w:rFonts w:ascii="Times New Roman" w:hAnsi="Times New Roman"/>
                <w:color w:val="000000"/>
                <w:spacing w:val="-2"/>
              </w:rPr>
              <w:t xml:space="preserve"> (pośredni skutek ustawy)</w:t>
            </w:r>
            <w:r>
              <w:rPr>
                <w:rFonts w:ascii="Times New Roman" w:hAnsi="Times New Roman"/>
                <w:b/>
                <w:bCs/>
                <w:color w:val="000000"/>
                <w:spacing w:val="-2"/>
              </w:rPr>
              <w:t>.</w:t>
            </w:r>
          </w:p>
        </w:tc>
      </w:tr>
      <w:tr w:rsidR="005A6AEC" w:rsidRPr="004F512A" w14:paraId="211640A6" w14:textId="77777777" w:rsidTr="00DE4C3A">
        <w:trPr>
          <w:trHeight w:val="142"/>
        </w:trPr>
        <w:tc>
          <w:tcPr>
            <w:tcW w:w="2668" w:type="dxa"/>
            <w:gridSpan w:val="3"/>
            <w:shd w:val="clear" w:color="auto" w:fill="auto"/>
          </w:tcPr>
          <w:p w14:paraId="7A7EB25B" w14:textId="00982E92" w:rsidR="005A6AEC" w:rsidRPr="004F512A" w:rsidRDefault="005A6AEC" w:rsidP="0072636A">
            <w:pPr>
              <w:tabs>
                <w:tab w:val="left" w:pos="1560"/>
              </w:tabs>
              <w:spacing w:line="240" w:lineRule="auto"/>
              <w:rPr>
                <w:rFonts w:ascii="Times New Roman" w:hAnsi="Times New Roman"/>
                <w:color w:val="000000"/>
              </w:rPr>
            </w:pPr>
            <w:r w:rsidRPr="004F512A">
              <w:rPr>
                <w:rFonts w:ascii="Times New Roman" w:hAnsi="Times New Roman"/>
                <w:color w:val="000000"/>
              </w:rPr>
              <w:t>Prosumenci energii elektrycznej</w:t>
            </w:r>
          </w:p>
        </w:tc>
        <w:tc>
          <w:tcPr>
            <w:tcW w:w="2292" w:type="dxa"/>
            <w:gridSpan w:val="8"/>
            <w:shd w:val="clear" w:color="auto" w:fill="auto"/>
          </w:tcPr>
          <w:p w14:paraId="698D5966" w14:textId="5978A3D6" w:rsidR="005A6AEC" w:rsidRPr="004F512A" w:rsidRDefault="00373663" w:rsidP="002D5827">
            <w:pPr>
              <w:spacing w:line="240" w:lineRule="auto"/>
              <w:jc w:val="center"/>
              <w:rPr>
                <w:rFonts w:ascii="Times New Roman" w:hAnsi="Times New Roman"/>
                <w:color w:val="000000"/>
                <w:spacing w:val="-2"/>
              </w:rPr>
            </w:pPr>
            <w:r>
              <w:rPr>
                <w:rFonts w:ascii="Times New Roman" w:hAnsi="Times New Roman"/>
                <w:color w:val="000000"/>
                <w:spacing w:val="-2"/>
              </w:rPr>
              <w:t>o</w:t>
            </w:r>
            <w:r w:rsidR="005A6AEC" w:rsidRPr="004F512A">
              <w:rPr>
                <w:rFonts w:ascii="Times New Roman" w:hAnsi="Times New Roman"/>
                <w:color w:val="000000"/>
                <w:spacing w:val="-2"/>
              </w:rPr>
              <w:t xml:space="preserve">k. </w:t>
            </w:r>
            <w:r w:rsidR="005F64DE">
              <w:rPr>
                <w:rFonts w:ascii="Times New Roman" w:hAnsi="Times New Roman"/>
                <w:color w:val="000000"/>
                <w:spacing w:val="-2"/>
              </w:rPr>
              <w:t>860</w:t>
            </w:r>
            <w:r w:rsidR="005A6AEC" w:rsidRPr="004F512A">
              <w:rPr>
                <w:rFonts w:ascii="Times New Roman" w:hAnsi="Times New Roman"/>
                <w:color w:val="000000"/>
                <w:spacing w:val="-2"/>
              </w:rPr>
              <w:t xml:space="preserve"> </w:t>
            </w:r>
            <w:r w:rsidR="005F64DE">
              <w:rPr>
                <w:rFonts w:ascii="Times New Roman" w:hAnsi="Times New Roman"/>
                <w:color w:val="000000"/>
                <w:spacing w:val="-2"/>
              </w:rPr>
              <w:t>tys.</w:t>
            </w:r>
          </w:p>
        </w:tc>
        <w:tc>
          <w:tcPr>
            <w:tcW w:w="2996" w:type="dxa"/>
            <w:gridSpan w:val="12"/>
            <w:shd w:val="clear" w:color="auto" w:fill="auto"/>
          </w:tcPr>
          <w:p w14:paraId="6EAB8022" w14:textId="397789D1" w:rsidR="005A6AEC" w:rsidRPr="004F512A" w:rsidRDefault="00B84D5F" w:rsidP="002D5827">
            <w:pPr>
              <w:spacing w:line="240" w:lineRule="auto"/>
              <w:jc w:val="center"/>
              <w:rPr>
                <w:rFonts w:ascii="Times New Roman" w:hAnsi="Times New Roman"/>
                <w:color w:val="000000"/>
                <w:spacing w:val="-2"/>
              </w:rPr>
            </w:pPr>
            <w:r>
              <w:rPr>
                <w:rFonts w:ascii="Times New Roman" w:hAnsi="Times New Roman"/>
                <w:color w:val="000000"/>
                <w:spacing w:val="-2"/>
              </w:rPr>
              <w:t>Agencja Rynku Energii</w:t>
            </w:r>
          </w:p>
        </w:tc>
        <w:tc>
          <w:tcPr>
            <w:tcW w:w="3130" w:type="dxa"/>
            <w:gridSpan w:val="6"/>
            <w:shd w:val="clear" w:color="auto" w:fill="auto"/>
          </w:tcPr>
          <w:p w14:paraId="445F8FA3" w14:textId="731CB740" w:rsidR="005A6AEC" w:rsidRPr="004F512A" w:rsidRDefault="007A6150" w:rsidP="00A17CB2">
            <w:pPr>
              <w:spacing w:line="240" w:lineRule="auto"/>
              <w:rPr>
                <w:rFonts w:ascii="Times New Roman" w:hAnsi="Times New Roman"/>
                <w:color w:val="000000"/>
                <w:spacing w:val="-2"/>
              </w:rPr>
            </w:pPr>
            <w:r>
              <w:rPr>
                <w:rFonts w:ascii="Times New Roman" w:hAnsi="Times New Roman"/>
                <w:color w:val="000000"/>
                <w:spacing w:val="-2"/>
              </w:rPr>
              <w:t>W dalszej perspektywie r</w:t>
            </w:r>
            <w:r w:rsidR="005A6AEC" w:rsidRPr="004F512A">
              <w:rPr>
                <w:rFonts w:ascii="Times New Roman" w:hAnsi="Times New Roman"/>
                <w:color w:val="000000"/>
                <w:spacing w:val="-2"/>
              </w:rPr>
              <w:t xml:space="preserve">ozwój </w:t>
            </w:r>
            <w:proofErr w:type="spellStart"/>
            <w:r w:rsidR="005A6AEC" w:rsidRPr="004F512A">
              <w:rPr>
                <w:rFonts w:ascii="Times New Roman" w:hAnsi="Times New Roman"/>
                <w:color w:val="000000"/>
                <w:spacing w:val="-2"/>
              </w:rPr>
              <w:t>mikroinstalacji</w:t>
            </w:r>
            <w:proofErr w:type="spellEnd"/>
            <w:r w:rsidR="005A6AEC" w:rsidRPr="004F512A">
              <w:rPr>
                <w:rFonts w:ascii="Times New Roman" w:hAnsi="Times New Roman"/>
                <w:color w:val="000000"/>
                <w:spacing w:val="-2"/>
              </w:rPr>
              <w:t xml:space="preserve"> OZE związany </w:t>
            </w:r>
            <w:r w:rsidR="00DD480B">
              <w:rPr>
                <w:rFonts w:ascii="Times New Roman" w:hAnsi="Times New Roman"/>
                <w:color w:val="000000"/>
                <w:spacing w:val="-2"/>
              </w:rPr>
              <w:t>z lepszym bilansowaniem sieci elektroenergetycznej</w:t>
            </w:r>
            <w:r>
              <w:rPr>
                <w:rFonts w:ascii="Times New Roman" w:hAnsi="Times New Roman"/>
                <w:color w:val="000000"/>
                <w:spacing w:val="-2"/>
              </w:rPr>
              <w:t xml:space="preserve"> (pośredni skutek ustawy)</w:t>
            </w:r>
            <w:r>
              <w:rPr>
                <w:rFonts w:ascii="Times New Roman" w:hAnsi="Times New Roman"/>
                <w:b/>
                <w:bCs/>
                <w:color w:val="000000"/>
                <w:spacing w:val="-2"/>
              </w:rPr>
              <w:t>.</w:t>
            </w:r>
          </w:p>
        </w:tc>
      </w:tr>
      <w:tr w:rsidR="005A6AEC" w:rsidRPr="004F512A" w14:paraId="017A57B6" w14:textId="77777777" w:rsidTr="00DE4C3A">
        <w:trPr>
          <w:trHeight w:val="142"/>
        </w:trPr>
        <w:tc>
          <w:tcPr>
            <w:tcW w:w="2668" w:type="dxa"/>
            <w:gridSpan w:val="3"/>
            <w:shd w:val="clear" w:color="auto" w:fill="auto"/>
          </w:tcPr>
          <w:p w14:paraId="268365A0" w14:textId="5D09B0B6" w:rsidR="005A6AEC" w:rsidRPr="004F512A" w:rsidRDefault="001A6201" w:rsidP="0072636A">
            <w:pPr>
              <w:tabs>
                <w:tab w:val="left" w:pos="1560"/>
              </w:tabs>
              <w:spacing w:line="240" w:lineRule="auto"/>
              <w:rPr>
                <w:rFonts w:ascii="Times New Roman" w:hAnsi="Times New Roman"/>
                <w:color w:val="000000"/>
              </w:rPr>
            </w:pPr>
            <w:r w:rsidRPr="004F512A">
              <w:rPr>
                <w:rFonts w:ascii="Times New Roman" w:hAnsi="Times New Roman"/>
                <w:color w:val="000000"/>
              </w:rPr>
              <w:t>Posiadacze instalacji OZE</w:t>
            </w:r>
          </w:p>
        </w:tc>
        <w:tc>
          <w:tcPr>
            <w:tcW w:w="2292" w:type="dxa"/>
            <w:gridSpan w:val="8"/>
            <w:shd w:val="clear" w:color="auto" w:fill="auto"/>
          </w:tcPr>
          <w:p w14:paraId="19DE717C" w14:textId="1B55C662" w:rsidR="005A6AEC" w:rsidRPr="004F512A" w:rsidRDefault="005F64DE" w:rsidP="002D5827">
            <w:pPr>
              <w:spacing w:line="240" w:lineRule="auto"/>
              <w:jc w:val="center"/>
              <w:rPr>
                <w:rFonts w:ascii="Times New Roman" w:hAnsi="Times New Roman"/>
                <w:color w:val="000000"/>
                <w:spacing w:val="-2"/>
              </w:rPr>
            </w:pPr>
            <w:r>
              <w:rPr>
                <w:rFonts w:ascii="Times New Roman" w:hAnsi="Times New Roman"/>
                <w:color w:val="000000"/>
                <w:spacing w:val="-2"/>
              </w:rPr>
              <w:t>ok. 13 tys.</w:t>
            </w:r>
          </w:p>
        </w:tc>
        <w:tc>
          <w:tcPr>
            <w:tcW w:w="2996" w:type="dxa"/>
            <w:gridSpan w:val="12"/>
            <w:shd w:val="clear" w:color="auto" w:fill="auto"/>
          </w:tcPr>
          <w:p w14:paraId="05B46B08" w14:textId="44A85679" w:rsidR="005A6AEC" w:rsidRPr="004F512A" w:rsidRDefault="00B84D5F" w:rsidP="002D5827">
            <w:pPr>
              <w:spacing w:line="240" w:lineRule="auto"/>
              <w:jc w:val="center"/>
              <w:rPr>
                <w:rFonts w:ascii="Times New Roman" w:hAnsi="Times New Roman"/>
                <w:color w:val="000000"/>
                <w:spacing w:val="-2"/>
              </w:rPr>
            </w:pPr>
            <w:r>
              <w:rPr>
                <w:rFonts w:ascii="Times New Roman" w:hAnsi="Times New Roman"/>
                <w:color w:val="000000"/>
                <w:spacing w:val="-2"/>
              </w:rPr>
              <w:t>Agencja Rynku Energii</w:t>
            </w:r>
          </w:p>
        </w:tc>
        <w:tc>
          <w:tcPr>
            <w:tcW w:w="3130" w:type="dxa"/>
            <w:gridSpan w:val="6"/>
            <w:shd w:val="clear" w:color="auto" w:fill="auto"/>
          </w:tcPr>
          <w:p w14:paraId="757AC23B" w14:textId="2FAEF7B4" w:rsidR="005A6AEC" w:rsidRPr="004F512A" w:rsidRDefault="007A6150" w:rsidP="00A17CB2">
            <w:pPr>
              <w:spacing w:line="240" w:lineRule="auto"/>
              <w:rPr>
                <w:rFonts w:ascii="Times New Roman" w:hAnsi="Times New Roman"/>
                <w:color w:val="000000"/>
                <w:spacing w:val="-2"/>
              </w:rPr>
            </w:pPr>
            <w:r>
              <w:rPr>
                <w:rFonts w:ascii="Times New Roman" w:hAnsi="Times New Roman"/>
                <w:color w:val="000000"/>
                <w:spacing w:val="-2"/>
              </w:rPr>
              <w:t>W dalszej perspektywie r</w:t>
            </w:r>
            <w:r w:rsidR="001A6201" w:rsidRPr="004F512A">
              <w:rPr>
                <w:rFonts w:ascii="Times New Roman" w:hAnsi="Times New Roman"/>
                <w:color w:val="000000"/>
                <w:spacing w:val="-2"/>
              </w:rPr>
              <w:t xml:space="preserve">ozwój instalacji OZE związany z </w:t>
            </w:r>
            <w:r w:rsidR="00DD480B">
              <w:rPr>
                <w:rFonts w:ascii="Times New Roman" w:hAnsi="Times New Roman"/>
                <w:color w:val="000000"/>
                <w:spacing w:val="-2"/>
              </w:rPr>
              <w:t>lepszym bilansowaniem sieci elektroenergetycznej</w:t>
            </w:r>
            <w:r>
              <w:rPr>
                <w:rFonts w:ascii="Times New Roman" w:hAnsi="Times New Roman"/>
                <w:color w:val="000000"/>
                <w:spacing w:val="-2"/>
              </w:rPr>
              <w:t xml:space="preserve"> (pośredni skutek ustawy)</w:t>
            </w:r>
            <w:r>
              <w:rPr>
                <w:rFonts w:ascii="Times New Roman" w:hAnsi="Times New Roman"/>
                <w:b/>
                <w:bCs/>
                <w:color w:val="000000"/>
                <w:spacing w:val="-2"/>
              </w:rPr>
              <w:t>.</w:t>
            </w:r>
          </w:p>
        </w:tc>
      </w:tr>
      <w:tr w:rsidR="005A6AEC" w:rsidRPr="004F512A" w14:paraId="768A4325" w14:textId="77777777" w:rsidTr="00DE4C3A">
        <w:trPr>
          <w:trHeight w:val="1768"/>
        </w:trPr>
        <w:tc>
          <w:tcPr>
            <w:tcW w:w="2668" w:type="dxa"/>
            <w:gridSpan w:val="3"/>
            <w:shd w:val="clear" w:color="auto" w:fill="auto"/>
          </w:tcPr>
          <w:p w14:paraId="3FC7B19A" w14:textId="1558D1CD" w:rsidR="005A6AEC" w:rsidRPr="004F512A" w:rsidRDefault="001A6201" w:rsidP="0072636A">
            <w:pPr>
              <w:tabs>
                <w:tab w:val="left" w:pos="1560"/>
              </w:tabs>
              <w:spacing w:line="240" w:lineRule="auto"/>
              <w:rPr>
                <w:rFonts w:ascii="Times New Roman" w:hAnsi="Times New Roman"/>
                <w:color w:val="000000"/>
              </w:rPr>
            </w:pPr>
            <w:r w:rsidRPr="004F512A">
              <w:rPr>
                <w:rFonts w:ascii="Times New Roman" w:hAnsi="Times New Roman"/>
                <w:color w:val="000000"/>
              </w:rPr>
              <w:t>Minister właściwy do spraw budownictwa, planowania i zagospodarowania przestrzennego oraz mieszkalnictwa</w:t>
            </w:r>
            <w:r w:rsidR="00F73906" w:rsidRPr="004F512A">
              <w:rPr>
                <w:rFonts w:ascii="Times New Roman" w:hAnsi="Times New Roman"/>
                <w:color w:val="000000"/>
              </w:rPr>
              <w:t xml:space="preserve"> (Minister Rozwoju i Technologii)</w:t>
            </w:r>
          </w:p>
        </w:tc>
        <w:tc>
          <w:tcPr>
            <w:tcW w:w="2292" w:type="dxa"/>
            <w:gridSpan w:val="8"/>
            <w:shd w:val="clear" w:color="auto" w:fill="auto"/>
          </w:tcPr>
          <w:p w14:paraId="6AF52CB2" w14:textId="56AEFBA4" w:rsidR="005A6AEC" w:rsidRPr="004F512A" w:rsidRDefault="001A6201" w:rsidP="002D5827">
            <w:pPr>
              <w:spacing w:line="240" w:lineRule="auto"/>
              <w:jc w:val="center"/>
              <w:rPr>
                <w:rFonts w:ascii="Times New Roman" w:hAnsi="Times New Roman"/>
                <w:color w:val="000000"/>
                <w:spacing w:val="-2"/>
              </w:rPr>
            </w:pPr>
            <w:r w:rsidRPr="004F512A">
              <w:rPr>
                <w:rFonts w:ascii="Times New Roman" w:hAnsi="Times New Roman"/>
                <w:color w:val="000000"/>
                <w:spacing w:val="-2"/>
              </w:rPr>
              <w:t>1</w:t>
            </w:r>
          </w:p>
        </w:tc>
        <w:tc>
          <w:tcPr>
            <w:tcW w:w="2996" w:type="dxa"/>
            <w:gridSpan w:val="12"/>
            <w:shd w:val="clear" w:color="auto" w:fill="auto"/>
          </w:tcPr>
          <w:p w14:paraId="5AC09B01" w14:textId="1856629B" w:rsidR="005A6AEC" w:rsidRPr="004F512A" w:rsidRDefault="00F73906" w:rsidP="002D5827">
            <w:pPr>
              <w:spacing w:line="240" w:lineRule="auto"/>
              <w:jc w:val="center"/>
              <w:rPr>
                <w:rFonts w:ascii="Times New Roman" w:hAnsi="Times New Roman"/>
                <w:color w:val="000000"/>
                <w:spacing w:val="-2"/>
              </w:rPr>
            </w:pPr>
            <w:r w:rsidRPr="004F512A">
              <w:rPr>
                <w:rFonts w:ascii="Times New Roman" w:hAnsi="Times New Roman"/>
                <w:color w:val="000000"/>
                <w:spacing w:val="-2"/>
              </w:rPr>
              <w:t>Biuletyn Informacji Publicznej Ministerstwa Rozwoju i Technologii</w:t>
            </w:r>
          </w:p>
        </w:tc>
        <w:tc>
          <w:tcPr>
            <w:tcW w:w="3130" w:type="dxa"/>
            <w:gridSpan w:val="6"/>
            <w:shd w:val="clear" w:color="auto" w:fill="auto"/>
          </w:tcPr>
          <w:p w14:paraId="2A075666" w14:textId="136BFD9D" w:rsidR="005A6AEC" w:rsidRPr="004F512A" w:rsidRDefault="00F73906" w:rsidP="00A17CB2">
            <w:pPr>
              <w:spacing w:line="240" w:lineRule="auto"/>
              <w:rPr>
                <w:rFonts w:ascii="Times New Roman" w:hAnsi="Times New Roman"/>
                <w:color w:val="000000"/>
                <w:spacing w:val="-2"/>
              </w:rPr>
            </w:pPr>
            <w:r w:rsidRPr="004F512A">
              <w:rPr>
                <w:rFonts w:ascii="Times New Roman" w:hAnsi="Times New Roman"/>
                <w:color w:val="000000"/>
                <w:spacing w:val="-2"/>
              </w:rPr>
              <w:t xml:space="preserve">Dodatkowe obowiązki związane z </w:t>
            </w:r>
            <w:r w:rsidR="00D4754B" w:rsidRPr="004F512A">
              <w:rPr>
                <w:rFonts w:ascii="Times New Roman" w:hAnsi="Times New Roman"/>
                <w:color w:val="000000"/>
                <w:spacing w:val="-2"/>
              </w:rPr>
              <w:t>realizacją inwestycji w zakresie elektrowni szczytowo-pompowej</w:t>
            </w:r>
            <w:r w:rsidR="00181018">
              <w:rPr>
                <w:rFonts w:ascii="Times New Roman" w:hAnsi="Times New Roman"/>
                <w:color w:val="000000"/>
                <w:spacing w:val="-2"/>
              </w:rPr>
              <w:t>.</w:t>
            </w:r>
          </w:p>
        </w:tc>
      </w:tr>
      <w:tr w:rsidR="0072711F" w:rsidRPr="004F512A" w14:paraId="0FABC3FF" w14:textId="77777777" w:rsidTr="00DE4C3A">
        <w:trPr>
          <w:trHeight w:val="142"/>
        </w:trPr>
        <w:tc>
          <w:tcPr>
            <w:tcW w:w="2668" w:type="dxa"/>
            <w:gridSpan w:val="3"/>
            <w:shd w:val="clear" w:color="auto" w:fill="auto"/>
          </w:tcPr>
          <w:p w14:paraId="1B51194C" w14:textId="7E436891" w:rsidR="0072711F" w:rsidRPr="004F512A" w:rsidRDefault="0072711F" w:rsidP="0072636A">
            <w:pPr>
              <w:tabs>
                <w:tab w:val="left" w:pos="1560"/>
              </w:tabs>
              <w:spacing w:line="240" w:lineRule="auto"/>
              <w:rPr>
                <w:rFonts w:ascii="Times New Roman" w:hAnsi="Times New Roman"/>
                <w:color w:val="000000"/>
              </w:rPr>
            </w:pPr>
            <w:r>
              <w:rPr>
                <w:rFonts w:ascii="Times New Roman" w:hAnsi="Times New Roman"/>
                <w:color w:val="000000"/>
              </w:rPr>
              <w:t>Prezes Urzędu Regulacji Energetyki</w:t>
            </w:r>
          </w:p>
        </w:tc>
        <w:tc>
          <w:tcPr>
            <w:tcW w:w="2292" w:type="dxa"/>
            <w:gridSpan w:val="8"/>
            <w:shd w:val="clear" w:color="auto" w:fill="auto"/>
          </w:tcPr>
          <w:p w14:paraId="11443082" w14:textId="4DF5A716" w:rsidR="0072711F" w:rsidRPr="004F512A" w:rsidRDefault="0072711F" w:rsidP="002D5827">
            <w:pPr>
              <w:spacing w:line="240" w:lineRule="auto"/>
              <w:jc w:val="center"/>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0005B20A" w14:textId="41BE095B" w:rsidR="0072711F" w:rsidRPr="004F512A" w:rsidRDefault="00DD480B" w:rsidP="002D5827">
            <w:pPr>
              <w:spacing w:line="240" w:lineRule="auto"/>
              <w:jc w:val="center"/>
              <w:rPr>
                <w:rFonts w:ascii="Times New Roman" w:hAnsi="Times New Roman"/>
                <w:color w:val="000000"/>
                <w:spacing w:val="-2"/>
              </w:rPr>
            </w:pPr>
            <w:r>
              <w:rPr>
                <w:rFonts w:ascii="Times New Roman" w:hAnsi="Times New Roman"/>
                <w:color w:val="000000"/>
                <w:spacing w:val="-2"/>
              </w:rPr>
              <w:t xml:space="preserve">Ustawa z dnia 10 kwietnia 1997 r. – Prawo energetyczne </w:t>
            </w:r>
          </w:p>
        </w:tc>
        <w:tc>
          <w:tcPr>
            <w:tcW w:w="3130" w:type="dxa"/>
            <w:gridSpan w:val="6"/>
            <w:shd w:val="clear" w:color="auto" w:fill="auto"/>
          </w:tcPr>
          <w:p w14:paraId="758BCFB2" w14:textId="6CB86EA1" w:rsidR="0072711F" w:rsidRPr="004F512A" w:rsidRDefault="0072711F" w:rsidP="00A17CB2">
            <w:pPr>
              <w:spacing w:line="240" w:lineRule="auto"/>
              <w:rPr>
                <w:rFonts w:ascii="Times New Roman" w:hAnsi="Times New Roman"/>
                <w:color w:val="000000"/>
                <w:spacing w:val="-2"/>
              </w:rPr>
            </w:pPr>
            <w:r>
              <w:rPr>
                <w:rFonts w:ascii="Times New Roman" w:hAnsi="Times New Roman"/>
                <w:color w:val="000000"/>
                <w:spacing w:val="-2"/>
              </w:rPr>
              <w:t>Dodatkowe obowiązki nadzorcze związane z wydaniem koncesji i wejściem na rynek nowych podmiotów</w:t>
            </w:r>
            <w:r w:rsidR="00181018">
              <w:rPr>
                <w:rFonts w:ascii="Times New Roman" w:hAnsi="Times New Roman"/>
                <w:color w:val="000000"/>
                <w:spacing w:val="-2"/>
              </w:rPr>
              <w:t>.</w:t>
            </w:r>
          </w:p>
        </w:tc>
      </w:tr>
      <w:tr w:rsidR="005A6AEC" w:rsidRPr="004F512A" w14:paraId="29489A92" w14:textId="77777777" w:rsidTr="00DE4C3A">
        <w:trPr>
          <w:trHeight w:val="142"/>
        </w:trPr>
        <w:tc>
          <w:tcPr>
            <w:tcW w:w="2668" w:type="dxa"/>
            <w:gridSpan w:val="3"/>
            <w:shd w:val="clear" w:color="auto" w:fill="auto"/>
          </w:tcPr>
          <w:p w14:paraId="77FC635A" w14:textId="5C945E56" w:rsidR="005A6AEC" w:rsidRPr="004F512A" w:rsidRDefault="00D4754B" w:rsidP="0072636A">
            <w:pPr>
              <w:tabs>
                <w:tab w:val="left" w:pos="1560"/>
              </w:tabs>
              <w:spacing w:line="240" w:lineRule="auto"/>
              <w:rPr>
                <w:rFonts w:ascii="Times New Roman" w:hAnsi="Times New Roman"/>
                <w:color w:val="000000"/>
              </w:rPr>
            </w:pPr>
            <w:r w:rsidRPr="004F512A">
              <w:rPr>
                <w:rFonts w:ascii="Times New Roman" w:hAnsi="Times New Roman"/>
                <w:color w:val="000000"/>
              </w:rPr>
              <w:t>Generalny Dyrektor Ochrony Środowiska oraz Regionalni Dyrektorzy Ochrony Środowiska</w:t>
            </w:r>
          </w:p>
        </w:tc>
        <w:tc>
          <w:tcPr>
            <w:tcW w:w="2292" w:type="dxa"/>
            <w:gridSpan w:val="8"/>
            <w:shd w:val="clear" w:color="auto" w:fill="auto"/>
          </w:tcPr>
          <w:p w14:paraId="287C68A9" w14:textId="24918951" w:rsidR="005A6AEC" w:rsidRPr="004F512A" w:rsidRDefault="00D4754B" w:rsidP="002D5827">
            <w:pPr>
              <w:spacing w:line="240" w:lineRule="auto"/>
              <w:jc w:val="center"/>
              <w:rPr>
                <w:rFonts w:ascii="Times New Roman" w:hAnsi="Times New Roman"/>
                <w:color w:val="000000"/>
                <w:spacing w:val="-2"/>
              </w:rPr>
            </w:pPr>
            <w:r w:rsidRPr="004F512A">
              <w:rPr>
                <w:rFonts w:ascii="Times New Roman" w:hAnsi="Times New Roman"/>
                <w:color w:val="000000"/>
                <w:spacing w:val="-2"/>
              </w:rPr>
              <w:t>17</w:t>
            </w:r>
          </w:p>
        </w:tc>
        <w:tc>
          <w:tcPr>
            <w:tcW w:w="2996" w:type="dxa"/>
            <w:gridSpan w:val="12"/>
            <w:shd w:val="clear" w:color="auto" w:fill="auto"/>
          </w:tcPr>
          <w:p w14:paraId="47C7E3B3" w14:textId="05A893DE" w:rsidR="005A6AEC" w:rsidRPr="004F512A" w:rsidRDefault="004A0037" w:rsidP="002D5827">
            <w:pPr>
              <w:spacing w:line="240" w:lineRule="auto"/>
              <w:jc w:val="center"/>
              <w:rPr>
                <w:rFonts w:ascii="Times New Roman" w:hAnsi="Times New Roman"/>
                <w:color w:val="000000"/>
                <w:spacing w:val="-2"/>
              </w:rPr>
            </w:pPr>
            <w:r w:rsidRPr="004A0037">
              <w:rPr>
                <w:rFonts w:ascii="Times New Roman" w:hAnsi="Times New Roman"/>
                <w:color w:val="000000"/>
                <w:spacing w:val="-2"/>
              </w:rPr>
              <w:t>Ustawa z dnia 3 października 2008 r. o udostępnianiu informacji o środowisku i jego ochronie, udziale społeczeństwa w ochronie środowiska oraz o ocenach oddziaływania na środowisko</w:t>
            </w:r>
          </w:p>
        </w:tc>
        <w:tc>
          <w:tcPr>
            <w:tcW w:w="3130" w:type="dxa"/>
            <w:gridSpan w:val="6"/>
            <w:shd w:val="clear" w:color="auto" w:fill="auto"/>
          </w:tcPr>
          <w:p w14:paraId="5A772EBB" w14:textId="5505668B" w:rsidR="005A6AEC" w:rsidRPr="004F512A" w:rsidRDefault="00D4754B" w:rsidP="00A17CB2">
            <w:pPr>
              <w:spacing w:line="240" w:lineRule="auto"/>
              <w:rPr>
                <w:rFonts w:ascii="Times New Roman" w:hAnsi="Times New Roman"/>
                <w:color w:val="000000"/>
                <w:spacing w:val="-2"/>
              </w:rPr>
            </w:pPr>
            <w:r w:rsidRPr="004F512A">
              <w:rPr>
                <w:rFonts w:ascii="Times New Roman" w:hAnsi="Times New Roman"/>
                <w:color w:val="000000"/>
                <w:spacing w:val="-2"/>
              </w:rPr>
              <w:t>Skrócenie niektórych terminów administracyjnych na rozpatrzenie sprawy, koni</w:t>
            </w:r>
            <w:r w:rsidR="00D94A1F" w:rsidRPr="004F512A">
              <w:rPr>
                <w:rFonts w:ascii="Times New Roman" w:hAnsi="Times New Roman"/>
                <w:color w:val="000000"/>
                <w:spacing w:val="-2"/>
              </w:rPr>
              <w:t>eczność przeprowadzenia postępowania w przypadku realizacji inwestycji na obszarze Natura 2000</w:t>
            </w:r>
          </w:p>
        </w:tc>
      </w:tr>
      <w:tr w:rsidR="00C455C7" w:rsidRPr="004F512A" w14:paraId="32CD3C37" w14:textId="77777777" w:rsidTr="00DE4C3A">
        <w:trPr>
          <w:trHeight w:val="142"/>
        </w:trPr>
        <w:tc>
          <w:tcPr>
            <w:tcW w:w="2668" w:type="dxa"/>
            <w:gridSpan w:val="3"/>
            <w:shd w:val="clear" w:color="auto" w:fill="auto"/>
          </w:tcPr>
          <w:p w14:paraId="1C3D19FB" w14:textId="3B1A31CE" w:rsidR="00C455C7" w:rsidRPr="004F512A" w:rsidRDefault="00C455C7" w:rsidP="0072636A">
            <w:pPr>
              <w:tabs>
                <w:tab w:val="left" w:pos="1560"/>
              </w:tabs>
              <w:spacing w:line="240" w:lineRule="auto"/>
              <w:rPr>
                <w:rFonts w:ascii="Times New Roman" w:hAnsi="Times New Roman"/>
                <w:color w:val="000000"/>
              </w:rPr>
            </w:pPr>
            <w:r>
              <w:rPr>
                <w:rFonts w:ascii="Times New Roman" w:hAnsi="Times New Roman"/>
                <w:color w:val="000000"/>
              </w:rPr>
              <w:lastRenderedPageBreak/>
              <w:t>Wojewodowie</w:t>
            </w:r>
          </w:p>
        </w:tc>
        <w:tc>
          <w:tcPr>
            <w:tcW w:w="2292" w:type="dxa"/>
            <w:gridSpan w:val="8"/>
            <w:shd w:val="clear" w:color="auto" w:fill="auto"/>
          </w:tcPr>
          <w:p w14:paraId="2AA3C340" w14:textId="77777777" w:rsidR="00C455C7" w:rsidRDefault="00C455C7" w:rsidP="002D5827">
            <w:pPr>
              <w:spacing w:line="240" w:lineRule="auto"/>
              <w:jc w:val="center"/>
              <w:rPr>
                <w:rFonts w:ascii="Times New Roman" w:hAnsi="Times New Roman"/>
                <w:color w:val="000000"/>
                <w:spacing w:val="-2"/>
              </w:rPr>
            </w:pPr>
            <w:r>
              <w:rPr>
                <w:rFonts w:ascii="Times New Roman" w:hAnsi="Times New Roman"/>
                <w:color w:val="000000"/>
                <w:spacing w:val="-2"/>
              </w:rPr>
              <w:t xml:space="preserve">16 </w:t>
            </w:r>
          </w:p>
          <w:p w14:paraId="6F1A81E8" w14:textId="151485C9" w:rsidR="00C455C7" w:rsidRPr="004F512A" w:rsidRDefault="00C455C7" w:rsidP="002D5827">
            <w:pPr>
              <w:spacing w:line="240" w:lineRule="auto"/>
              <w:jc w:val="center"/>
              <w:rPr>
                <w:rFonts w:ascii="Times New Roman" w:hAnsi="Times New Roman"/>
                <w:color w:val="000000"/>
                <w:spacing w:val="-2"/>
              </w:rPr>
            </w:pPr>
          </w:p>
        </w:tc>
        <w:tc>
          <w:tcPr>
            <w:tcW w:w="2996" w:type="dxa"/>
            <w:gridSpan w:val="12"/>
            <w:shd w:val="clear" w:color="auto" w:fill="auto"/>
          </w:tcPr>
          <w:p w14:paraId="63231722" w14:textId="29912347" w:rsidR="00A80BFE" w:rsidRPr="00A80BFE" w:rsidRDefault="00A80BFE" w:rsidP="00A80BFE">
            <w:pPr>
              <w:spacing w:line="240" w:lineRule="auto"/>
              <w:jc w:val="center"/>
              <w:rPr>
                <w:rFonts w:ascii="Times New Roman" w:hAnsi="Times New Roman"/>
                <w:color w:val="000000"/>
                <w:spacing w:val="-2"/>
              </w:rPr>
            </w:pPr>
            <w:r>
              <w:rPr>
                <w:rFonts w:ascii="Times New Roman" w:hAnsi="Times New Roman"/>
                <w:color w:val="000000"/>
                <w:spacing w:val="-2"/>
              </w:rPr>
              <w:t xml:space="preserve">Ustawa  </w:t>
            </w:r>
            <w:r w:rsidRPr="00A80BFE">
              <w:rPr>
                <w:rFonts w:ascii="Times New Roman" w:hAnsi="Times New Roman"/>
                <w:color w:val="000000"/>
                <w:spacing w:val="-2"/>
              </w:rPr>
              <w:t>z dnia 23 stycznia 2009 r.</w:t>
            </w:r>
          </w:p>
          <w:p w14:paraId="4A8A36E4" w14:textId="78F4F691" w:rsidR="00630EE7" w:rsidRPr="00630EE7" w:rsidRDefault="00A80BFE" w:rsidP="00630EE7">
            <w:pPr>
              <w:spacing w:line="240" w:lineRule="auto"/>
              <w:jc w:val="center"/>
              <w:rPr>
                <w:rFonts w:ascii="Times New Roman" w:hAnsi="Times New Roman"/>
                <w:color w:val="000000"/>
                <w:spacing w:val="-2"/>
              </w:rPr>
            </w:pPr>
            <w:r w:rsidRPr="00A80BFE">
              <w:rPr>
                <w:rFonts w:ascii="Times New Roman" w:hAnsi="Times New Roman"/>
                <w:color w:val="000000"/>
                <w:spacing w:val="-2"/>
              </w:rPr>
              <w:t>o wojewodzie i administracji rządowej w województwie</w:t>
            </w:r>
            <w:r>
              <w:rPr>
                <w:rFonts w:ascii="Times New Roman" w:hAnsi="Times New Roman"/>
                <w:color w:val="000000"/>
                <w:spacing w:val="-2"/>
              </w:rPr>
              <w:t xml:space="preserve"> </w:t>
            </w:r>
            <w:r w:rsidR="00181018">
              <w:rPr>
                <w:rFonts w:ascii="Times New Roman" w:hAnsi="Times New Roman"/>
                <w:color w:val="000000"/>
                <w:spacing w:val="-2"/>
              </w:rPr>
              <w:t xml:space="preserve">(Dz. U. </w:t>
            </w:r>
            <w:r w:rsidR="00630EE7" w:rsidRPr="00630EE7">
              <w:rPr>
                <w:rFonts w:ascii="Times New Roman" w:hAnsi="Times New Roman"/>
                <w:color w:val="000000"/>
                <w:spacing w:val="-2"/>
              </w:rPr>
              <w:t>z 2022 r.</w:t>
            </w:r>
          </w:p>
          <w:p w14:paraId="3368A3CB" w14:textId="4FB6F288" w:rsidR="00630EE7" w:rsidRPr="00630EE7" w:rsidRDefault="00630EE7" w:rsidP="00630EE7">
            <w:pPr>
              <w:spacing w:line="240" w:lineRule="auto"/>
              <w:jc w:val="center"/>
              <w:rPr>
                <w:rFonts w:ascii="Times New Roman" w:hAnsi="Times New Roman"/>
                <w:color w:val="000000"/>
                <w:spacing w:val="-2"/>
              </w:rPr>
            </w:pPr>
            <w:r w:rsidRPr="00630EE7">
              <w:rPr>
                <w:rFonts w:ascii="Times New Roman" w:hAnsi="Times New Roman"/>
                <w:color w:val="000000"/>
                <w:spacing w:val="-2"/>
              </w:rPr>
              <w:t>poz. 135, 655</w:t>
            </w:r>
            <w:r>
              <w:rPr>
                <w:rFonts w:ascii="Times New Roman" w:hAnsi="Times New Roman"/>
                <w:color w:val="000000"/>
                <w:spacing w:val="-2"/>
              </w:rPr>
              <w:t xml:space="preserve"> i </w:t>
            </w:r>
          </w:p>
          <w:p w14:paraId="0DEF9D83" w14:textId="05B1F7BD" w:rsidR="00A80BFE" w:rsidRPr="00A80BFE" w:rsidRDefault="00630EE7" w:rsidP="00630EE7">
            <w:pPr>
              <w:spacing w:line="240" w:lineRule="auto"/>
              <w:jc w:val="center"/>
              <w:rPr>
                <w:rFonts w:ascii="Times New Roman" w:hAnsi="Times New Roman"/>
                <w:color w:val="000000"/>
                <w:spacing w:val="-2"/>
              </w:rPr>
            </w:pPr>
            <w:r w:rsidRPr="00630EE7">
              <w:rPr>
                <w:rFonts w:ascii="Times New Roman" w:hAnsi="Times New Roman"/>
                <w:color w:val="000000"/>
                <w:spacing w:val="-2"/>
              </w:rPr>
              <w:t>1504</w:t>
            </w:r>
            <w:r w:rsidR="00181018">
              <w:rPr>
                <w:rFonts w:ascii="Times New Roman" w:hAnsi="Times New Roman"/>
                <w:color w:val="000000"/>
                <w:spacing w:val="-2"/>
              </w:rPr>
              <w:t xml:space="preserve">) </w:t>
            </w:r>
            <w:r w:rsidR="00A80BFE">
              <w:rPr>
                <w:rFonts w:ascii="Times New Roman" w:hAnsi="Times New Roman"/>
                <w:color w:val="000000"/>
                <w:spacing w:val="-2"/>
              </w:rPr>
              <w:t xml:space="preserve">oraz ustawa </w:t>
            </w:r>
            <w:r w:rsidR="00A80BFE" w:rsidRPr="00A80BFE">
              <w:rPr>
                <w:rFonts w:ascii="Times New Roman" w:hAnsi="Times New Roman"/>
                <w:color w:val="000000"/>
                <w:spacing w:val="-2"/>
              </w:rPr>
              <w:t>z dnia 24 lipca 1998 r.</w:t>
            </w:r>
          </w:p>
          <w:p w14:paraId="0CE2CF0D" w14:textId="2FA90BF0" w:rsidR="00630EE7" w:rsidRPr="00630EE7" w:rsidRDefault="00A80BFE" w:rsidP="00630EE7">
            <w:pPr>
              <w:spacing w:line="240" w:lineRule="auto"/>
              <w:jc w:val="center"/>
              <w:rPr>
                <w:rFonts w:ascii="Times New Roman" w:hAnsi="Times New Roman"/>
                <w:color w:val="000000"/>
                <w:spacing w:val="-2"/>
              </w:rPr>
            </w:pPr>
            <w:r w:rsidRPr="00A80BFE">
              <w:rPr>
                <w:rFonts w:ascii="Times New Roman" w:hAnsi="Times New Roman"/>
                <w:color w:val="000000"/>
                <w:spacing w:val="-2"/>
              </w:rPr>
              <w:t>o wprowadzeniu zasadniczego trójstopniowego podziału terytorialnego państwa</w:t>
            </w:r>
            <w:r w:rsidR="00181018">
              <w:rPr>
                <w:rFonts w:ascii="Times New Roman" w:hAnsi="Times New Roman"/>
                <w:color w:val="000000"/>
                <w:spacing w:val="-2"/>
              </w:rPr>
              <w:t xml:space="preserve"> (Dz. U.</w:t>
            </w:r>
            <w:r w:rsidR="00630EE7">
              <w:t xml:space="preserve"> </w:t>
            </w:r>
          </w:p>
          <w:p w14:paraId="742DE3AF" w14:textId="77777777" w:rsidR="00630EE7" w:rsidRPr="00630EE7" w:rsidRDefault="00630EE7" w:rsidP="00630EE7">
            <w:pPr>
              <w:spacing w:line="240" w:lineRule="auto"/>
              <w:jc w:val="center"/>
              <w:rPr>
                <w:rFonts w:ascii="Times New Roman" w:hAnsi="Times New Roman"/>
                <w:color w:val="000000"/>
                <w:spacing w:val="-2"/>
              </w:rPr>
            </w:pPr>
            <w:r w:rsidRPr="00630EE7">
              <w:rPr>
                <w:rFonts w:ascii="Times New Roman" w:hAnsi="Times New Roman"/>
                <w:color w:val="000000"/>
                <w:spacing w:val="-2"/>
              </w:rPr>
              <w:t>z 1998 r. Nr 96,</w:t>
            </w:r>
          </w:p>
          <w:p w14:paraId="1F84B919" w14:textId="77777777" w:rsidR="00630EE7" w:rsidRPr="00630EE7" w:rsidRDefault="00630EE7" w:rsidP="00630EE7">
            <w:pPr>
              <w:spacing w:line="240" w:lineRule="auto"/>
              <w:jc w:val="center"/>
              <w:rPr>
                <w:rFonts w:ascii="Times New Roman" w:hAnsi="Times New Roman"/>
                <w:color w:val="000000"/>
                <w:spacing w:val="-2"/>
              </w:rPr>
            </w:pPr>
            <w:r w:rsidRPr="00630EE7">
              <w:rPr>
                <w:rFonts w:ascii="Times New Roman" w:hAnsi="Times New Roman"/>
                <w:color w:val="000000"/>
                <w:spacing w:val="-2"/>
              </w:rPr>
              <w:t>poz. 603, Nr 104,</w:t>
            </w:r>
          </w:p>
          <w:p w14:paraId="41BDA5C2" w14:textId="77777777" w:rsidR="00630EE7" w:rsidRPr="00630EE7" w:rsidRDefault="00630EE7" w:rsidP="00630EE7">
            <w:pPr>
              <w:spacing w:line="240" w:lineRule="auto"/>
              <w:jc w:val="center"/>
              <w:rPr>
                <w:rFonts w:ascii="Times New Roman" w:hAnsi="Times New Roman"/>
                <w:color w:val="000000"/>
                <w:spacing w:val="-2"/>
              </w:rPr>
            </w:pPr>
            <w:r w:rsidRPr="00630EE7">
              <w:rPr>
                <w:rFonts w:ascii="Times New Roman" w:hAnsi="Times New Roman"/>
                <w:color w:val="000000"/>
                <w:spacing w:val="-2"/>
              </w:rPr>
              <w:t>poz. 656, z 1999</w:t>
            </w:r>
          </w:p>
          <w:p w14:paraId="238CEDBA" w14:textId="77777777" w:rsidR="00630EE7" w:rsidRPr="00630EE7" w:rsidRDefault="00630EE7" w:rsidP="00630EE7">
            <w:pPr>
              <w:spacing w:line="240" w:lineRule="auto"/>
              <w:jc w:val="center"/>
              <w:rPr>
                <w:rFonts w:ascii="Times New Roman" w:hAnsi="Times New Roman"/>
                <w:color w:val="000000"/>
                <w:spacing w:val="-2"/>
              </w:rPr>
            </w:pPr>
            <w:r w:rsidRPr="00630EE7">
              <w:rPr>
                <w:rFonts w:ascii="Times New Roman" w:hAnsi="Times New Roman"/>
                <w:color w:val="000000"/>
                <w:spacing w:val="-2"/>
              </w:rPr>
              <w:t>r. Nr 101, poz.</w:t>
            </w:r>
          </w:p>
          <w:p w14:paraId="7088C1C6" w14:textId="77777777" w:rsidR="00630EE7" w:rsidRPr="00630EE7" w:rsidRDefault="00630EE7" w:rsidP="00630EE7">
            <w:pPr>
              <w:spacing w:line="240" w:lineRule="auto"/>
              <w:jc w:val="center"/>
              <w:rPr>
                <w:rFonts w:ascii="Times New Roman" w:hAnsi="Times New Roman"/>
                <w:color w:val="000000"/>
                <w:spacing w:val="-2"/>
              </w:rPr>
            </w:pPr>
            <w:r w:rsidRPr="00630EE7">
              <w:rPr>
                <w:rFonts w:ascii="Times New Roman" w:hAnsi="Times New Roman"/>
                <w:color w:val="000000"/>
                <w:spacing w:val="-2"/>
              </w:rPr>
              <w:t>1182, z 2001 r.</w:t>
            </w:r>
          </w:p>
          <w:p w14:paraId="66F6854F" w14:textId="1779CD21" w:rsidR="00A21185" w:rsidRPr="004F512A" w:rsidRDefault="00630EE7" w:rsidP="00630EE7">
            <w:pPr>
              <w:spacing w:line="240" w:lineRule="auto"/>
              <w:jc w:val="center"/>
              <w:rPr>
                <w:rFonts w:ascii="Times New Roman" w:hAnsi="Times New Roman"/>
                <w:color w:val="000000"/>
                <w:spacing w:val="-2"/>
              </w:rPr>
            </w:pPr>
            <w:r w:rsidRPr="00630EE7">
              <w:rPr>
                <w:rFonts w:ascii="Times New Roman" w:hAnsi="Times New Roman"/>
                <w:color w:val="000000"/>
                <w:spacing w:val="-2"/>
              </w:rPr>
              <w:t>Nr 45, poz. 497</w:t>
            </w:r>
            <w:r w:rsidR="00181018">
              <w:rPr>
                <w:rFonts w:ascii="Times New Roman" w:hAnsi="Times New Roman"/>
                <w:color w:val="000000"/>
                <w:spacing w:val="-2"/>
              </w:rPr>
              <w:t>)</w:t>
            </w:r>
          </w:p>
        </w:tc>
        <w:tc>
          <w:tcPr>
            <w:tcW w:w="3130" w:type="dxa"/>
            <w:gridSpan w:val="6"/>
            <w:shd w:val="clear" w:color="auto" w:fill="auto"/>
          </w:tcPr>
          <w:p w14:paraId="1A65146C" w14:textId="18D58F72" w:rsidR="00C455C7" w:rsidRPr="004F512A" w:rsidRDefault="00BC2316" w:rsidP="00A17CB2">
            <w:pPr>
              <w:spacing w:line="240" w:lineRule="auto"/>
              <w:rPr>
                <w:rFonts w:ascii="Times New Roman" w:hAnsi="Times New Roman"/>
                <w:color w:val="000000"/>
                <w:spacing w:val="-2"/>
              </w:rPr>
            </w:pPr>
            <w:r>
              <w:rPr>
                <w:rFonts w:ascii="Times New Roman" w:hAnsi="Times New Roman"/>
                <w:color w:val="000000"/>
                <w:spacing w:val="-2"/>
              </w:rPr>
              <w:t>P</w:t>
            </w:r>
            <w:r w:rsidR="00020115">
              <w:rPr>
                <w:rFonts w:ascii="Times New Roman" w:hAnsi="Times New Roman"/>
                <w:color w:val="000000"/>
                <w:spacing w:val="-2"/>
              </w:rPr>
              <w:t>rzeprowadzenie procedur administracyjn</w:t>
            </w:r>
            <w:r>
              <w:rPr>
                <w:rFonts w:ascii="Times New Roman" w:hAnsi="Times New Roman"/>
                <w:color w:val="000000"/>
                <w:spacing w:val="-2"/>
              </w:rPr>
              <w:t>ych związanych z inwestycjami w zakresie elektrowni szczytowo-pompowych</w:t>
            </w:r>
            <w:r w:rsidR="00020115">
              <w:rPr>
                <w:rFonts w:ascii="Times New Roman" w:hAnsi="Times New Roman"/>
                <w:color w:val="000000"/>
                <w:spacing w:val="-2"/>
              </w:rPr>
              <w:t>, w tym z wyda</w:t>
            </w:r>
            <w:r>
              <w:rPr>
                <w:rFonts w:ascii="Times New Roman" w:hAnsi="Times New Roman"/>
                <w:color w:val="000000"/>
                <w:spacing w:val="-2"/>
              </w:rPr>
              <w:t>wa</w:t>
            </w:r>
            <w:r w:rsidR="00020115">
              <w:rPr>
                <w:rFonts w:ascii="Times New Roman" w:hAnsi="Times New Roman"/>
                <w:color w:val="000000"/>
                <w:spacing w:val="-2"/>
              </w:rPr>
              <w:t>niem d</w:t>
            </w:r>
            <w:r w:rsidR="00020115" w:rsidRPr="00020115">
              <w:rPr>
                <w:rFonts w:ascii="Times New Roman" w:hAnsi="Times New Roman"/>
                <w:color w:val="000000"/>
                <w:spacing w:val="-2"/>
              </w:rPr>
              <w:t>ecyzj</w:t>
            </w:r>
            <w:r w:rsidR="00020115">
              <w:rPr>
                <w:rFonts w:ascii="Times New Roman" w:hAnsi="Times New Roman"/>
                <w:color w:val="000000"/>
                <w:spacing w:val="-2"/>
              </w:rPr>
              <w:t>i</w:t>
            </w:r>
            <w:r w:rsidR="00020115" w:rsidRPr="00020115">
              <w:rPr>
                <w:rFonts w:ascii="Times New Roman" w:hAnsi="Times New Roman"/>
                <w:color w:val="000000"/>
                <w:spacing w:val="-2"/>
              </w:rPr>
              <w:t xml:space="preserve"> o ustaleniu lokalizacji </w:t>
            </w:r>
            <w:r w:rsidR="00181018">
              <w:rPr>
                <w:rFonts w:ascii="Times New Roman" w:hAnsi="Times New Roman"/>
                <w:color w:val="000000"/>
                <w:spacing w:val="-2"/>
              </w:rPr>
              <w:t xml:space="preserve">inwestycji w zakresie </w:t>
            </w:r>
            <w:r w:rsidR="00020115" w:rsidRPr="00020115">
              <w:rPr>
                <w:rFonts w:ascii="Times New Roman" w:hAnsi="Times New Roman"/>
                <w:color w:val="000000"/>
                <w:spacing w:val="-2"/>
              </w:rPr>
              <w:t>elektrowni szczytowo-pompowej</w:t>
            </w:r>
            <w:r w:rsidR="00181018">
              <w:rPr>
                <w:rFonts w:ascii="Times New Roman" w:hAnsi="Times New Roman"/>
                <w:color w:val="000000"/>
                <w:spacing w:val="-2"/>
              </w:rPr>
              <w:t>.</w:t>
            </w:r>
            <w:r w:rsidR="00020115" w:rsidRPr="00020115">
              <w:rPr>
                <w:rFonts w:ascii="Times New Roman" w:hAnsi="Times New Roman"/>
                <w:color w:val="000000"/>
                <w:spacing w:val="-2"/>
              </w:rPr>
              <w:t xml:space="preserve">  </w:t>
            </w:r>
          </w:p>
        </w:tc>
      </w:tr>
      <w:tr w:rsidR="00E14DFD" w:rsidRPr="004F512A" w14:paraId="7C42F3DE" w14:textId="77777777" w:rsidTr="00DE4C3A">
        <w:trPr>
          <w:trHeight w:val="142"/>
        </w:trPr>
        <w:tc>
          <w:tcPr>
            <w:tcW w:w="2668" w:type="dxa"/>
            <w:gridSpan w:val="3"/>
            <w:shd w:val="clear" w:color="auto" w:fill="auto"/>
          </w:tcPr>
          <w:p w14:paraId="48D7CE80" w14:textId="2F735268" w:rsidR="00E14DFD" w:rsidRPr="00000263" w:rsidRDefault="008A264A" w:rsidP="0072636A">
            <w:pPr>
              <w:tabs>
                <w:tab w:val="left" w:pos="1560"/>
              </w:tabs>
              <w:spacing w:line="240" w:lineRule="auto"/>
              <w:rPr>
                <w:rFonts w:ascii="Times New Roman" w:hAnsi="Times New Roman"/>
                <w:color w:val="000000"/>
              </w:rPr>
            </w:pPr>
            <w:r w:rsidRPr="00000263">
              <w:rPr>
                <w:rFonts w:ascii="Times New Roman" w:hAnsi="Times New Roman"/>
                <w:color w:val="000000"/>
              </w:rPr>
              <w:t>Gminy</w:t>
            </w:r>
            <w:r w:rsidRPr="00000263" w:rsidDel="008A264A">
              <w:rPr>
                <w:rFonts w:ascii="Times New Roman" w:hAnsi="Times New Roman"/>
                <w:color w:val="000000"/>
              </w:rPr>
              <w:t xml:space="preserve"> </w:t>
            </w:r>
          </w:p>
        </w:tc>
        <w:tc>
          <w:tcPr>
            <w:tcW w:w="2292" w:type="dxa"/>
            <w:gridSpan w:val="8"/>
            <w:shd w:val="clear" w:color="auto" w:fill="auto"/>
          </w:tcPr>
          <w:p w14:paraId="1A19F33F" w14:textId="13B14C5D" w:rsidR="00E14DFD" w:rsidRPr="00000263" w:rsidRDefault="00E14DFD" w:rsidP="002D5827">
            <w:pPr>
              <w:spacing w:line="240" w:lineRule="auto"/>
              <w:jc w:val="center"/>
              <w:rPr>
                <w:rFonts w:ascii="Times New Roman" w:hAnsi="Times New Roman"/>
                <w:color w:val="000000"/>
                <w:spacing w:val="-2"/>
              </w:rPr>
            </w:pPr>
            <w:r w:rsidRPr="00000263">
              <w:rPr>
                <w:rFonts w:ascii="Times New Roman" w:hAnsi="Times New Roman"/>
                <w:color w:val="000000"/>
                <w:spacing w:val="-2"/>
              </w:rPr>
              <w:t>2477</w:t>
            </w:r>
          </w:p>
        </w:tc>
        <w:tc>
          <w:tcPr>
            <w:tcW w:w="2996" w:type="dxa"/>
            <w:gridSpan w:val="12"/>
            <w:shd w:val="clear" w:color="auto" w:fill="auto"/>
          </w:tcPr>
          <w:p w14:paraId="70957D31" w14:textId="140B3E95" w:rsidR="00E14DFD" w:rsidRPr="00000263" w:rsidRDefault="00E14DFD" w:rsidP="00A80BFE">
            <w:pPr>
              <w:spacing w:line="240" w:lineRule="auto"/>
              <w:jc w:val="center"/>
              <w:rPr>
                <w:rFonts w:ascii="Times New Roman" w:hAnsi="Times New Roman"/>
                <w:color w:val="000000"/>
                <w:spacing w:val="-2"/>
              </w:rPr>
            </w:pPr>
            <w:r w:rsidRPr="00000263">
              <w:rPr>
                <w:rFonts w:ascii="Times New Roman" w:hAnsi="Times New Roman"/>
                <w:color w:val="000000"/>
                <w:spacing w:val="-2"/>
              </w:rPr>
              <w:t xml:space="preserve">Główny </w:t>
            </w:r>
            <w:r w:rsidR="00CF61D8" w:rsidRPr="00000263">
              <w:rPr>
                <w:rFonts w:ascii="Times New Roman" w:hAnsi="Times New Roman"/>
                <w:color w:val="000000"/>
                <w:spacing w:val="-2"/>
              </w:rPr>
              <w:t>Urząd Statystyczny</w:t>
            </w:r>
          </w:p>
        </w:tc>
        <w:tc>
          <w:tcPr>
            <w:tcW w:w="3130" w:type="dxa"/>
            <w:gridSpan w:val="6"/>
            <w:shd w:val="clear" w:color="auto" w:fill="auto"/>
          </w:tcPr>
          <w:p w14:paraId="31F0C1AE" w14:textId="57BDE451" w:rsidR="00E14DFD" w:rsidRPr="00000263" w:rsidRDefault="0024636C" w:rsidP="00A17CB2">
            <w:pPr>
              <w:spacing w:line="240" w:lineRule="auto"/>
              <w:rPr>
                <w:rFonts w:ascii="Times New Roman" w:hAnsi="Times New Roman"/>
                <w:color w:val="000000"/>
                <w:spacing w:val="-2"/>
              </w:rPr>
            </w:pPr>
            <w:r w:rsidRPr="00181018">
              <w:rPr>
                <w:rFonts w:ascii="Times New Roman" w:hAnsi="Times New Roman"/>
                <w:color w:val="000000"/>
                <w:spacing w:val="-2"/>
              </w:rPr>
              <w:t xml:space="preserve">Ułatwienie przygotowania i realizacji inwestycji w zakresie ESP, co będzie skutkować usprawnieniem </w:t>
            </w:r>
            <w:r w:rsidR="00CF61D8" w:rsidRPr="00000263">
              <w:rPr>
                <w:rFonts w:ascii="Times New Roman" w:hAnsi="Times New Roman"/>
                <w:color w:val="000000"/>
                <w:spacing w:val="-2"/>
              </w:rPr>
              <w:t>procedur administracyjnych</w:t>
            </w:r>
            <w:r w:rsidRPr="00000263">
              <w:rPr>
                <w:rFonts w:ascii="Times New Roman" w:hAnsi="Times New Roman"/>
                <w:color w:val="000000"/>
                <w:spacing w:val="-2"/>
              </w:rPr>
              <w:t>.</w:t>
            </w:r>
          </w:p>
        </w:tc>
      </w:tr>
      <w:tr w:rsidR="00E14DFD" w:rsidRPr="004F512A" w14:paraId="261BE226" w14:textId="77777777" w:rsidTr="00DE4C3A">
        <w:trPr>
          <w:trHeight w:val="142"/>
        </w:trPr>
        <w:tc>
          <w:tcPr>
            <w:tcW w:w="2668" w:type="dxa"/>
            <w:gridSpan w:val="3"/>
            <w:shd w:val="clear" w:color="auto" w:fill="auto"/>
          </w:tcPr>
          <w:p w14:paraId="14FF1324" w14:textId="7D83392B" w:rsidR="00E14DFD" w:rsidRPr="00000263" w:rsidRDefault="008A264A" w:rsidP="0072636A">
            <w:pPr>
              <w:tabs>
                <w:tab w:val="left" w:pos="1560"/>
              </w:tabs>
              <w:spacing w:line="240" w:lineRule="auto"/>
              <w:rPr>
                <w:rFonts w:ascii="Times New Roman" w:hAnsi="Times New Roman"/>
                <w:color w:val="000000"/>
              </w:rPr>
            </w:pPr>
            <w:r w:rsidRPr="00000263">
              <w:rPr>
                <w:rFonts w:ascii="Times New Roman" w:hAnsi="Times New Roman"/>
                <w:color w:val="000000"/>
              </w:rPr>
              <w:t>Właściciele nieruchomości, które potencjalnie mogą zostać zajęte pod inwestycje lub inwestycje towarzyszące związane z budową elektrowni szczytowo-pompowych</w:t>
            </w:r>
            <w:r w:rsidRPr="00000263" w:rsidDel="008A264A">
              <w:rPr>
                <w:rFonts w:ascii="Times New Roman" w:hAnsi="Times New Roman"/>
                <w:color w:val="000000"/>
              </w:rPr>
              <w:t xml:space="preserve"> </w:t>
            </w:r>
          </w:p>
        </w:tc>
        <w:tc>
          <w:tcPr>
            <w:tcW w:w="2292" w:type="dxa"/>
            <w:gridSpan w:val="8"/>
            <w:shd w:val="clear" w:color="auto" w:fill="auto"/>
          </w:tcPr>
          <w:p w14:paraId="188E1489" w14:textId="472634CD" w:rsidR="00E14DFD" w:rsidRPr="00000263" w:rsidRDefault="008C205D" w:rsidP="002D5827">
            <w:pPr>
              <w:spacing w:line="240" w:lineRule="auto"/>
              <w:jc w:val="center"/>
              <w:rPr>
                <w:rFonts w:ascii="Times New Roman" w:hAnsi="Times New Roman"/>
                <w:color w:val="000000"/>
                <w:spacing w:val="-2"/>
              </w:rPr>
            </w:pPr>
            <w:r w:rsidRPr="00000263">
              <w:rPr>
                <w:rFonts w:ascii="Times New Roman" w:hAnsi="Times New Roman"/>
                <w:color w:val="000000"/>
                <w:spacing w:val="-2"/>
              </w:rPr>
              <w:t>Na chwilę obecną liczba ta jest nieznana, gdyż nieznana jest liczba i zasięg inwestycji</w:t>
            </w:r>
            <w:r w:rsidR="00B24680" w:rsidRPr="00000263">
              <w:rPr>
                <w:rFonts w:ascii="Times New Roman" w:hAnsi="Times New Roman"/>
                <w:color w:val="000000"/>
                <w:spacing w:val="-2"/>
              </w:rPr>
              <w:t xml:space="preserve"> w zakresie elektrowni szczytowo - pompowych</w:t>
            </w:r>
          </w:p>
        </w:tc>
        <w:tc>
          <w:tcPr>
            <w:tcW w:w="2996" w:type="dxa"/>
            <w:gridSpan w:val="12"/>
            <w:shd w:val="clear" w:color="auto" w:fill="auto"/>
          </w:tcPr>
          <w:p w14:paraId="1DB6980D" w14:textId="2D6CD156" w:rsidR="00E14DFD" w:rsidRPr="00000263" w:rsidRDefault="00B24680" w:rsidP="00A80BFE">
            <w:pPr>
              <w:spacing w:line="240" w:lineRule="auto"/>
              <w:jc w:val="center"/>
              <w:rPr>
                <w:rFonts w:ascii="Times New Roman" w:hAnsi="Times New Roman"/>
                <w:color w:val="000000"/>
                <w:spacing w:val="-2"/>
              </w:rPr>
            </w:pPr>
            <w:r w:rsidRPr="00000263">
              <w:rPr>
                <w:rFonts w:ascii="Times New Roman" w:hAnsi="Times New Roman"/>
                <w:color w:val="000000"/>
                <w:spacing w:val="-2"/>
              </w:rPr>
              <w:t>Informacja ta będzie w posiadaniu wojewody</w:t>
            </w:r>
          </w:p>
        </w:tc>
        <w:tc>
          <w:tcPr>
            <w:tcW w:w="3130" w:type="dxa"/>
            <w:gridSpan w:val="6"/>
            <w:shd w:val="clear" w:color="auto" w:fill="auto"/>
          </w:tcPr>
          <w:p w14:paraId="00F3DAC2" w14:textId="247FF67A" w:rsidR="00E14DFD" w:rsidRPr="00000263" w:rsidRDefault="00FA10FA" w:rsidP="00A17CB2">
            <w:pPr>
              <w:spacing w:line="240" w:lineRule="auto"/>
              <w:rPr>
                <w:rFonts w:ascii="Times New Roman" w:hAnsi="Times New Roman"/>
                <w:color w:val="000000"/>
                <w:spacing w:val="-2"/>
              </w:rPr>
            </w:pPr>
            <w:r w:rsidRPr="00000263">
              <w:rPr>
                <w:rFonts w:ascii="Times New Roman" w:hAnsi="Times New Roman"/>
                <w:color w:val="000000"/>
                <w:spacing w:val="-2"/>
              </w:rPr>
              <w:t xml:space="preserve">Posadowienie inwestycji w zakresie elektrowni szczytowo-pompowej może wiązać </w:t>
            </w:r>
            <w:r w:rsidR="00044DF1" w:rsidRPr="00000263">
              <w:rPr>
                <w:rFonts w:ascii="Times New Roman" w:hAnsi="Times New Roman"/>
                <w:color w:val="000000"/>
                <w:spacing w:val="-2"/>
              </w:rPr>
              <w:t xml:space="preserve">się </w:t>
            </w:r>
            <w:r w:rsidRPr="00000263">
              <w:rPr>
                <w:rFonts w:ascii="Times New Roman" w:hAnsi="Times New Roman"/>
                <w:color w:val="000000"/>
                <w:spacing w:val="-2"/>
              </w:rPr>
              <w:t>z wywłaszczeniem niektórych nieruchomości</w:t>
            </w:r>
            <w:r w:rsidR="00044DF1" w:rsidRPr="00000263">
              <w:rPr>
                <w:rFonts w:ascii="Times New Roman" w:hAnsi="Times New Roman"/>
                <w:color w:val="000000"/>
                <w:spacing w:val="-2"/>
              </w:rPr>
              <w:t xml:space="preserve"> lub ograniczeniem w korzystaniu z prawa własności</w:t>
            </w:r>
            <w:r w:rsidR="00181018">
              <w:rPr>
                <w:rFonts w:ascii="Times New Roman" w:hAnsi="Times New Roman"/>
                <w:color w:val="000000"/>
                <w:spacing w:val="-2"/>
              </w:rPr>
              <w:t>.</w:t>
            </w:r>
          </w:p>
        </w:tc>
      </w:tr>
      <w:tr w:rsidR="006A701A" w:rsidRPr="004F512A" w14:paraId="68061938" w14:textId="77777777" w:rsidTr="00DE4C3A">
        <w:trPr>
          <w:trHeight w:val="302"/>
        </w:trPr>
        <w:tc>
          <w:tcPr>
            <w:tcW w:w="11086" w:type="dxa"/>
            <w:gridSpan w:val="29"/>
            <w:shd w:val="clear" w:color="auto" w:fill="99CCFF"/>
            <w:vAlign w:val="center"/>
          </w:tcPr>
          <w:p w14:paraId="657581EC" w14:textId="77777777" w:rsidR="006A701A" w:rsidRPr="004F512A" w:rsidRDefault="001B3460" w:rsidP="00213EFD">
            <w:pPr>
              <w:numPr>
                <w:ilvl w:val="0"/>
                <w:numId w:val="3"/>
              </w:numPr>
              <w:spacing w:before="60" w:after="60" w:line="240" w:lineRule="auto"/>
              <w:ind w:left="318" w:hanging="284"/>
              <w:jc w:val="both"/>
              <w:rPr>
                <w:rFonts w:ascii="Times New Roman" w:hAnsi="Times New Roman"/>
                <w:b/>
                <w:color w:val="000000"/>
              </w:rPr>
            </w:pPr>
            <w:r w:rsidRPr="004F512A">
              <w:rPr>
                <w:rFonts w:ascii="Times New Roman" w:hAnsi="Times New Roman"/>
                <w:b/>
                <w:color w:val="000000"/>
              </w:rPr>
              <w:t>Informacje na temat zakresu</w:t>
            </w:r>
            <w:r w:rsidR="0076658F" w:rsidRPr="004F512A">
              <w:rPr>
                <w:rFonts w:ascii="Times New Roman" w:hAnsi="Times New Roman"/>
                <w:b/>
                <w:color w:val="000000"/>
              </w:rPr>
              <w:t>,</w:t>
            </w:r>
            <w:r w:rsidRPr="004F512A">
              <w:rPr>
                <w:rFonts w:ascii="Times New Roman" w:hAnsi="Times New Roman"/>
                <w:b/>
                <w:color w:val="000000"/>
              </w:rPr>
              <w:t xml:space="preserve"> czasu trwania </w:t>
            </w:r>
            <w:r w:rsidR="0076658F" w:rsidRPr="004F512A">
              <w:rPr>
                <w:rFonts w:ascii="Times New Roman" w:hAnsi="Times New Roman"/>
                <w:b/>
                <w:color w:val="000000"/>
              </w:rPr>
              <w:t xml:space="preserve">i podsumowanie wyników </w:t>
            </w:r>
            <w:r w:rsidRPr="004F512A">
              <w:rPr>
                <w:rFonts w:ascii="Times New Roman" w:hAnsi="Times New Roman"/>
                <w:b/>
                <w:color w:val="000000"/>
              </w:rPr>
              <w:t>konsultacji</w:t>
            </w:r>
          </w:p>
        </w:tc>
      </w:tr>
      <w:tr w:rsidR="006A701A" w:rsidRPr="004F512A" w14:paraId="25679CC9" w14:textId="77777777" w:rsidTr="00DE4C3A">
        <w:trPr>
          <w:trHeight w:val="342"/>
        </w:trPr>
        <w:tc>
          <w:tcPr>
            <w:tcW w:w="11086" w:type="dxa"/>
            <w:gridSpan w:val="29"/>
            <w:shd w:val="clear" w:color="auto" w:fill="FFFFFF"/>
          </w:tcPr>
          <w:p w14:paraId="521A6AE9" w14:textId="77777777" w:rsidR="008B2D3F" w:rsidRPr="004F512A" w:rsidRDefault="008B2D3F" w:rsidP="008B2D3F">
            <w:pPr>
              <w:spacing w:line="240" w:lineRule="auto"/>
              <w:jc w:val="both"/>
              <w:rPr>
                <w:rFonts w:ascii="Times New Roman" w:hAnsi="Times New Roman"/>
                <w:color w:val="000000"/>
                <w:spacing w:val="-2"/>
              </w:rPr>
            </w:pPr>
          </w:p>
          <w:p w14:paraId="193A3494" w14:textId="01BFA0AD" w:rsidR="00A87D30" w:rsidRDefault="008B2D3F"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Projekt </w:t>
            </w:r>
            <w:r w:rsidR="00175057">
              <w:rPr>
                <w:rFonts w:ascii="Times New Roman" w:hAnsi="Times New Roman"/>
                <w:color w:val="000000"/>
                <w:spacing w:val="-2"/>
              </w:rPr>
              <w:t xml:space="preserve">w ramach </w:t>
            </w:r>
            <w:proofErr w:type="spellStart"/>
            <w:r w:rsidRPr="004F512A">
              <w:rPr>
                <w:rFonts w:ascii="Times New Roman" w:hAnsi="Times New Roman"/>
                <w:color w:val="000000"/>
                <w:spacing w:val="-2"/>
              </w:rPr>
              <w:t>pre</w:t>
            </w:r>
            <w:proofErr w:type="spellEnd"/>
            <w:r w:rsidRPr="004F512A">
              <w:rPr>
                <w:rFonts w:ascii="Times New Roman" w:hAnsi="Times New Roman"/>
                <w:color w:val="000000"/>
                <w:spacing w:val="-2"/>
              </w:rPr>
              <w:t>-konsultacji</w:t>
            </w:r>
            <w:r w:rsidR="00175057">
              <w:rPr>
                <w:rFonts w:ascii="Times New Roman" w:hAnsi="Times New Roman"/>
                <w:color w:val="000000"/>
                <w:spacing w:val="-2"/>
              </w:rPr>
              <w:t xml:space="preserve"> został przekazany przez Kancelarię Prezesa Rady Ministrów </w:t>
            </w:r>
            <w:r w:rsidR="00181018">
              <w:rPr>
                <w:rFonts w:ascii="Times New Roman" w:hAnsi="Times New Roman"/>
                <w:color w:val="000000"/>
                <w:spacing w:val="-2"/>
              </w:rPr>
              <w:t xml:space="preserve">do </w:t>
            </w:r>
            <w:r w:rsidR="00175057">
              <w:rPr>
                <w:rFonts w:ascii="Times New Roman" w:hAnsi="Times New Roman"/>
                <w:color w:val="000000"/>
                <w:spacing w:val="-2"/>
              </w:rPr>
              <w:t xml:space="preserve">członków </w:t>
            </w:r>
            <w:r w:rsidR="00A87D30">
              <w:rPr>
                <w:rFonts w:ascii="Times New Roman" w:hAnsi="Times New Roman"/>
                <w:color w:val="000000"/>
                <w:spacing w:val="-2"/>
              </w:rPr>
              <w:t xml:space="preserve">Zespołu Eksperckiego do spraw Budowy Elektrowni Szczytowo-Pompowych, </w:t>
            </w:r>
            <w:r w:rsidR="00175057">
              <w:rPr>
                <w:rFonts w:ascii="Times New Roman" w:hAnsi="Times New Roman"/>
                <w:color w:val="000000"/>
                <w:spacing w:val="-2"/>
              </w:rPr>
              <w:t>w skład którego wchodzą</w:t>
            </w:r>
            <w:r w:rsidR="00A87D30">
              <w:rPr>
                <w:rFonts w:ascii="Times New Roman" w:hAnsi="Times New Roman"/>
                <w:color w:val="000000"/>
                <w:spacing w:val="-2"/>
              </w:rPr>
              <w:t>:</w:t>
            </w:r>
          </w:p>
          <w:p w14:paraId="7A2FA0EA" w14:textId="215D5E9E" w:rsidR="00CE1F93" w:rsidRPr="00CE1F93" w:rsidRDefault="00CE1F93" w:rsidP="00CE1F93">
            <w:pPr>
              <w:spacing w:line="240" w:lineRule="auto"/>
              <w:jc w:val="both"/>
              <w:rPr>
                <w:rFonts w:ascii="Times New Roman" w:hAnsi="Times New Roman"/>
                <w:color w:val="000000"/>
                <w:spacing w:val="-2"/>
              </w:rPr>
            </w:pPr>
            <w:r>
              <w:rPr>
                <w:rFonts w:ascii="Times New Roman" w:hAnsi="Times New Roman"/>
                <w:color w:val="000000"/>
                <w:spacing w:val="-2"/>
              </w:rPr>
              <w:t>1</w:t>
            </w:r>
            <w:r w:rsidRPr="00CE1F93">
              <w:rPr>
                <w:rFonts w:ascii="Times New Roman" w:hAnsi="Times New Roman"/>
                <w:color w:val="000000"/>
                <w:spacing w:val="-2"/>
              </w:rPr>
              <w:t>)</w:t>
            </w:r>
            <w:r>
              <w:rPr>
                <w:rFonts w:ascii="Times New Roman" w:hAnsi="Times New Roman"/>
                <w:color w:val="000000"/>
                <w:spacing w:val="-2"/>
              </w:rPr>
              <w:t xml:space="preserve"> </w:t>
            </w:r>
            <w:r w:rsidRPr="00CE1F93">
              <w:rPr>
                <w:rFonts w:ascii="Times New Roman" w:hAnsi="Times New Roman"/>
                <w:color w:val="000000"/>
                <w:spacing w:val="-2"/>
              </w:rPr>
              <w:t>przewodniczący Zespołu - Prezes Zarządu Narodowego Funduszu Ochrony Środowiska i Gospodarki Wodnej;</w:t>
            </w:r>
          </w:p>
          <w:p w14:paraId="15B58074" w14:textId="5950AF2E" w:rsidR="00CE1F93" w:rsidRPr="00CE1F93" w:rsidRDefault="00CE1F93" w:rsidP="00CE1F93">
            <w:pPr>
              <w:spacing w:line="240" w:lineRule="auto"/>
              <w:jc w:val="both"/>
              <w:rPr>
                <w:rFonts w:ascii="Times New Roman" w:hAnsi="Times New Roman"/>
                <w:color w:val="000000"/>
                <w:spacing w:val="-2"/>
              </w:rPr>
            </w:pPr>
            <w:r w:rsidRPr="00CE1F93">
              <w:rPr>
                <w:rFonts w:ascii="Times New Roman" w:hAnsi="Times New Roman"/>
                <w:color w:val="000000"/>
                <w:spacing w:val="-2"/>
              </w:rPr>
              <w:t>2)</w:t>
            </w:r>
            <w:r>
              <w:rPr>
                <w:rFonts w:ascii="Times New Roman" w:hAnsi="Times New Roman"/>
                <w:color w:val="000000"/>
                <w:spacing w:val="-2"/>
              </w:rPr>
              <w:t xml:space="preserve"> </w:t>
            </w:r>
            <w:r w:rsidRPr="00CE1F93">
              <w:rPr>
                <w:rFonts w:ascii="Times New Roman" w:hAnsi="Times New Roman"/>
                <w:color w:val="000000"/>
                <w:spacing w:val="-2"/>
              </w:rPr>
              <w:t>zastępcy przewodniczącego Zespołu:</w:t>
            </w:r>
          </w:p>
          <w:p w14:paraId="7A595BBA" w14:textId="7A21AE8F" w:rsidR="00CE1F93" w:rsidRPr="00CE1F93" w:rsidRDefault="00CE1F93" w:rsidP="00CE1F93">
            <w:pPr>
              <w:spacing w:line="240" w:lineRule="auto"/>
              <w:jc w:val="both"/>
              <w:rPr>
                <w:rFonts w:ascii="Times New Roman" w:hAnsi="Times New Roman"/>
                <w:color w:val="000000"/>
                <w:spacing w:val="-2"/>
              </w:rPr>
            </w:pPr>
            <w:r w:rsidRPr="00CE1F93">
              <w:rPr>
                <w:rFonts w:ascii="Times New Roman" w:hAnsi="Times New Roman"/>
                <w:color w:val="000000"/>
                <w:spacing w:val="-2"/>
              </w:rPr>
              <w:t>a)</w:t>
            </w:r>
            <w:r>
              <w:rPr>
                <w:rFonts w:ascii="Times New Roman" w:hAnsi="Times New Roman"/>
                <w:color w:val="000000"/>
                <w:spacing w:val="-2"/>
              </w:rPr>
              <w:t xml:space="preserve"> </w:t>
            </w:r>
            <w:r w:rsidRPr="00CE1F93">
              <w:rPr>
                <w:rFonts w:ascii="Times New Roman" w:hAnsi="Times New Roman"/>
                <w:color w:val="000000"/>
                <w:spacing w:val="-2"/>
              </w:rPr>
              <w:t>sekretarz stanu albo podsekretarz stanu wyznaczony przez ministra właściwego do spraw energii,</w:t>
            </w:r>
          </w:p>
          <w:p w14:paraId="7655809B" w14:textId="0B7EAA84" w:rsidR="00CE1F93" w:rsidRPr="00CE1F93" w:rsidRDefault="00CE1F93" w:rsidP="00CE1F93">
            <w:pPr>
              <w:spacing w:line="240" w:lineRule="auto"/>
              <w:jc w:val="both"/>
              <w:rPr>
                <w:rFonts w:ascii="Times New Roman" w:hAnsi="Times New Roman"/>
                <w:color w:val="000000"/>
                <w:spacing w:val="-2"/>
              </w:rPr>
            </w:pPr>
            <w:r w:rsidRPr="00CE1F93">
              <w:rPr>
                <w:rFonts w:ascii="Times New Roman" w:hAnsi="Times New Roman"/>
                <w:color w:val="000000"/>
                <w:spacing w:val="-2"/>
              </w:rPr>
              <w:t>b)</w:t>
            </w:r>
            <w:r>
              <w:rPr>
                <w:rFonts w:ascii="Times New Roman" w:hAnsi="Times New Roman"/>
                <w:color w:val="000000"/>
                <w:spacing w:val="-2"/>
              </w:rPr>
              <w:t xml:space="preserve"> </w:t>
            </w:r>
            <w:r w:rsidRPr="00CE1F93">
              <w:rPr>
                <w:rFonts w:ascii="Times New Roman" w:hAnsi="Times New Roman"/>
                <w:color w:val="000000"/>
                <w:spacing w:val="-2"/>
              </w:rPr>
              <w:t>przedstawiciel Szefa Kancelarii Prezesa Rady Ministrów przez niego wyznaczony;</w:t>
            </w:r>
          </w:p>
          <w:p w14:paraId="6005AB3B" w14:textId="2B5773CD" w:rsidR="00CE1F93" w:rsidRPr="00CE1F93" w:rsidRDefault="00CE1F93" w:rsidP="00CE1F93">
            <w:pPr>
              <w:spacing w:line="240" w:lineRule="auto"/>
              <w:jc w:val="both"/>
              <w:rPr>
                <w:rFonts w:ascii="Times New Roman" w:hAnsi="Times New Roman"/>
                <w:color w:val="000000"/>
                <w:spacing w:val="-2"/>
              </w:rPr>
            </w:pPr>
            <w:r w:rsidRPr="00CE1F93">
              <w:rPr>
                <w:rFonts w:ascii="Times New Roman" w:hAnsi="Times New Roman"/>
                <w:color w:val="000000"/>
                <w:spacing w:val="-2"/>
              </w:rPr>
              <w:t>3) członkowie, po jednym przedstawicielu, wyznaczonym przez:</w:t>
            </w:r>
          </w:p>
          <w:p w14:paraId="5401F2D1" w14:textId="74A06B7C" w:rsidR="00CE1F93" w:rsidRPr="00CE1F93" w:rsidRDefault="00CE1F93" w:rsidP="00CE1F93">
            <w:pPr>
              <w:spacing w:line="240" w:lineRule="auto"/>
              <w:jc w:val="both"/>
              <w:rPr>
                <w:rFonts w:ascii="Times New Roman" w:hAnsi="Times New Roman"/>
                <w:color w:val="000000"/>
                <w:spacing w:val="-2"/>
              </w:rPr>
            </w:pPr>
            <w:r w:rsidRPr="00CE1F93">
              <w:rPr>
                <w:rFonts w:ascii="Times New Roman" w:hAnsi="Times New Roman"/>
                <w:color w:val="000000"/>
                <w:spacing w:val="-2"/>
              </w:rPr>
              <w:t>a)</w:t>
            </w:r>
            <w:r>
              <w:rPr>
                <w:rFonts w:ascii="Times New Roman" w:hAnsi="Times New Roman"/>
                <w:color w:val="000000"/>
                <w:spacing w:val="-2"/>
              </w:rPr>
              <w:t xml:space="preserve"> </w:t>
            </w:r>
            <w:r w:rsidRPr="00CE1F93">
              <w:rPr>
                <w:rFonts w:ascii="Times New Roman" w:hAnsi="Times New Roman"/>
                <w:color w:val="000000"/>
                <w:spacing w:val="-2"/>
              </w:rPr>
              <w:t>ministra właściwego do spraw aktywów państwowych,</w:t>
            </w:r>
          </w:p>
          <w:p w14:paraId="7A89C03A" w14:textId="0A78C5F1" w:rsidR="00CE1F93" w:rsidRPr="00CE1F93" w:rsidRDefault="00CE1F93" w:rsidP="00CE1F93">
            <w:pPr>
              <w:spacing w:line="240" w:lineRule="auto"/>
              <w:jc w:val="both"/>
              <w:rPr>
                <w:rFonts w:ascii="Times New Roman" w:hAnsi="Times New Roman"/>
                <w:color w:val="000000"/>
                <w:spacing w:val="-2"/>
              </w:rPr>
            </w:pPr>
            <w:r w:rsidRPr="00CE1F93">
              <w:rPr>
                <w:rFonts w:ascii="Times New Roman" w:hAnsi="Times New Roman"/>
                <w:color w:val="000000"/>
                <w:spacing w:val="-2"/>
              </w:rPr>
              <w:t>b)</w:t>
            </w:r>
            <w:r>
              <w:rPr>
                <w:rFonts w:ascii="Times New Roman" w:hAnsi="Times New Roman"/>
                <w:color w:val="000000"/>
                <w:spacing w:val="-2"/>
              </w:rPr>
              <w:t xml:space="preserve"> </w:t>
            </w:r>
            <w:r w:rsidRPr="00CE1F93">
              <w:rPr>
                <w:rFonts w:ascii="Times New Roman" w:hAnsi="Times New Roman"/>
                <w:color w:val="000000"/>
                <w:spacing w:val="-2"/>
              </w:rPr>
              <w:t>ministra właściwego do spraw finansów publicznych,</w:t>
            </w:r>
          </w:p>
          <w:p w14:paraId="52A50212" w14:textId="2A4B4309" w:rsidR="00CE1F93" w:rsidRPr="00CE1F93" w:rsidRDefault="00CE1F93" w:rsidP="00CE1F93">
            <w:pPr>
              <w:spacing w:line="240" w:lineRule="auto"/>
              <w:jc w:val="both"/>
              <w:rPr>
                <w:rFonts w:ascii="Times New Roman" w:hAnsi="Times New Roman"/>
                <w:color w:val="000000"/>
                <w:spacing w:val="-2"/>
              </w:rPr>
            </w:pPr>
            <w:r w:rsidRPr="00CE1F93">
              <w:rPr>
                <w:rFonts w:ascii="Times New Roman" w:hAnsi="Times New Roman"/>
                <w:color w:val="000000"/>
                <w:spacing w:val="-2"/>
              </w:rPr>
              <w:t>c)</w:t>
            </w:r>
            <w:r>
              <w:rPr>
                <w:rFonts w:ascii="Times New Roman" w:hAnsi="Times New Roman"/>
                <w:color w:val="000000"/>
                <w:spacing w:val="-2"/>
              </w:rPr>
              <w:t xml:space="preserve"> </w:t>
            </w:r>
            <w:r w:rsidRPr="00CE1F93">
              <w:rPr>
                <w:rFonts w:ascii="Times New Roman" w:hAnsi="Times New Roman"/>
                <w:color w:val="000000"/>
                <w:spacing w:val="-2"/>
              </w:rPr>
              <w:t>ministra właściwego do spraw gospodarki wodnej,</w:t>
            </w:r>
          </w:p>
          <w:p w14:paraId="73A2DC9F" w14:textId="7952D139" w:rsidR="00CE1F93" w:rsidRPr="00CE1F93" w:rsidRDefault="00CE1F93" w:rsidP="00CE1F93">
            <w:pPr>
              <w:spacing w:line="240" w:lineRule="auto"/>
              <w:jc w:val="both"/>
              <w:rPr>
                <w:rFonts w:ascii="Times New Roman" w:hAnsi="Times New Roman"/>
                <w:color w:val="000000"/>
                <w:spacing w:val="-2"/>
              </w:rPr>
            </w:pPr>
            <w:r w:rsidRPr="00CE1F93">
              <w:rPr>
                <w:rFonts w:ascii="Times New Roman" w:hAnsi="Times New Roman"/>
                <w:color w:val="000000"/>
                <w:spacing w:val="-2"/>
              </w:rPr>
              <w:t>d)</w:t>
            </w:r>
            <w:r>
              <w:rPr>
                <w:rFonts w:ascii="Times New Roman" w:hAnsi="Times New Roman"/>
                <w:color w:val="000000"/>
                <w:spacing w:val="-2"/>
              </w:rPr>
              <w:t xml:space="preserve"> </w:t>
            </w:r>
            <w:r w:rsidRPr="00CE1F93">
              <w:rPr>
                <w:rFonts w:ascii="Times New Roman" w:hAnsi="Times New Roman"/>
                <w:color w:val="000000"/>
                <w:spacing w:val="-2"/>
              </w:rPr>
              <w:t>ministra właściwego do spraw klimatu,</w:t>
            </w:r>
          </w:p>
          <w:p w14:paraId="18F026C3" w14:textId="00A6267E" w:rsidR="00CE1F93" w:rsidRPr="00CE1F93" w:rsidRDefault="00CE1F93" w:rsidP="00CE1F93">
            <w:pPr>
              <w:spacing w:line="240" w:lineRule="auto"/>
              <w:jc w:val="both"/>
              <w:rPr>
                <w:rFonts w:ascii="Times New Roman" w:hAnsi="Times New Roman"/>
                <w:color w:val="000000"/>
                <w:spacing w:val="-2"/>
              </w:rPr>
            </w:pPr>
            <w:r w:rsidRPr="00CE1F93">
              <w:rPr>
                <w:rFonts w:ascii="Times New Roman" w:hAnsi="Times New Roman"/>
                <w:color w:val="000000"/>
                <w:spacing w:val="-2"/>
              </w:rPr>
              <w:t>e)</w:t>
            </w:r>
            <w:r>
              <w:rPr>
                <w:rFonts w:ascii="Times New Roman" w:hAnsi="Times New Roman"/>
                <w:color w:val="000000"/>
                <w:spacing w:val="-2"/>
              </w:rPr>
              <w:t xml:space="preserve"> </w:t>
            </w:r>
            <w:r w:rsidRPr="00CE1F93">
              <w:rPr>
                <w:rFonts w:ascii="Times New Roman" w:hAnsi="Times New Roman"/>
                <w:color w:val="000000"/>
                <w:spacing w:val="-2"/>
              </w:rPr>
              <w:t>ministra właściwego do spraw środowiska,</w:t>
            </w:r>
          </w:p>
          <w:p w14:paraId="6C762CEA" w14:textId="497AE454" w:rsidR="00CE1F93" w:rsidRPr="00CE1F93" w:rsidRDefault="00CE1F93" w:rsidP="00CE1F93">
            <w:pPr>
              <w:spacing w:line="240" w:lineRule="auto"/>
              <w:jc w:val="both"/>
              <w:rPr>
                <w:rFonts w:ascii="Times New Roman" w:hAnsi="Times New Roman"/>
                <w:color w:val="000000"/>
                <w:spacing w:val="-2"/>
              </w:rPr>
            </w:pPr>
            <w:r w:rsidRPr="00CE1F93">
              <w:rPr>
                <w:rFonts w:ascii="Times New Roman" w:hAnsi="Times New Roman"/>
                <w:color w:val="000000"/>
                <w:spacing w:val="-2"/>
              </w:rPr>
              <w:t>f)</w:t>
            </w:r>
            <w:r>
              <w:rPr>
                <w:rFonts w:ascii="Times New Roman" w:hAnsi="Times New Roman"/>
                <w:color w:val="000000"/>
                <w:spacing w:val="-2"/>
              </w:rPr>
              <w:t xml:space="preserve"> </w:t>
            </w:r>
            <w:r w:rsidRPr="00CE1F93">
              <w:rPr>
                <w:rFonts w:ascii="Times New Roman" w:hAnsi="Times New Roman"/>
                <w:color w:val="000000"/>
                <w:spacing w:val="-2"/>
              </w:rPr>
              <w:t>Dyrektora Generalnego Państwowego Gospodarstwa Leśnego "</w:t>
            </w:r>
            <w:r w:rsidR="00181018">
              <w:rPr>
                <w:rFonts w:ascii="Times New Roman" w:hAnsi="Times New Roman"/>
                <w:color w:val="000000"/>
                <w:spacing w:val="-2"/>
              </w:rPr>
              <w:t>”</w:t>
            </w:r>
            <w:r w:rsidRPr="00CE1F93">
              <w:rPr>
                <w:rFonts w:ascii="Times New Roman" w:hAnsi="Times New Roman"/>
                <w:color w:val="000000"/>
                <w:spacing w:val="-2"/>
              </w:rPr>
              <w:t>Lasy Państwowe</w:t>
            </w:r>
            <w:r w:rsidR="00181018">
              <w:rPr>
                <w:rFonts w:ascii="Times New Roman" w:hAnsi="Times New Roman"/>
                <w:color w:val="000000"/>
                <w:spacing w:val="-2"/>
              </w:rPr>
              <w:t>”</w:t>
            </w:r>
            <w:r w:rsidRPr="00CE1F93">
              <w:rPr>
                <w:rFonts w:ascii="Times New Roman" w:hAnsi="Times New Roman"/>
                <w:color w:val="000000"/>
                <w:spacing w:val="-2"/>
              </w:rPr>
              <w:t>,</w:t>
            </w:r>
          </w:p>
          <w:p w14:paraId="58500E0E" w14:textId="4632A5DD" w:rsidR="00CE1F93" w:rsidRPr="00CE1F93" w:rsidRDefault="00CE1F93" w:rsidP="00CE1F93">
            <w:pPr>
              <w:spacing w:line="240" w:lineRule="auto"/>
              <w:jc w:val="both"/>
              <w:rPr>
                <w:rFonts w:ascii="Times New Roman" w:hAnsi="Times New Roman"/>
                <w:color w:val="000000"/>
                <w:spacing w:val="-2"/>
              </w:rPr>
            </w:pPr>
            <w:r w:rsidRPr="00CE1F93">
              <w:rPr>
                <w:rFonts w:ascii="Times New Roman" w:hAnsi="Times New Roman"/>
                <w:color w:val="000000"/>
                <w:spacing w:val="-2"/>
              </w:rPr>
              <w:t>g)</w:t>
            </w:r>
            <w:r>
              <w:rPr>
                <w:rFonts w:ascii="Times New Roman" w:hAnsi="Times New Roman"/>
                <w:color w:val="000000"/>
                <w:spacing w:val="-2"/>
              </w:rPr>
              <w:t xml:space="preserve"> </w:t>
            </w:r>
            <w:r w:rsidRPr="00CE1F93">
              <w:rPr>
                <w:rFonts w:ascii="Times New Roman" w:hAnsi="Times New Roman"/>
                <w:color w:val="000000"/>
                <w:spacing w:val="-2"/>
              </w:rPr>
              <w:t>Pełnomocnika Rządu do spraw Strategicznej Infrastruktury Energetycznej,</w:t>
            </w:r>
          </w:p>
          <w:p w14:paraId="0F1F2B35" w14:textId="0A96506C" w:rsidR="00CE1F93" w:rsidRPr="00CE1F93" w:rsidRDefault="00CE1F93" w:rsidP="00CE1F93">
            <w:pPr>
              <w:spacing w:line="240" w:lineRule="auto"/>
              <w:jc w:val="both"/>
              <w:rPr>
                <w:rFonts w:ascii="Times New Roman" w:hAnsi="Times New Roman"/>
                <w:color w:val="000000"/>
                <w:spacing w:val="-2"/>
              </w:rPr>
            </w:pPr>
            <w:r w:rsidRPr="00CE1F93">
              <w:rPr>
                <w:rFonts w:ascii="Times New Roman" w:hAnsi="Times New Roman"/>
                <w:color w:val="000000"/>
                <w:spacing w:val="-2"/>
              </w:rPr>
              <w:t>h)</w:t>
            </w:r>
            <w:r>
              <w:rPr>
                <w:rFonts w:ascii="Times New Roman" w:hAnsi="Times New Roman"/>
                <w:color w:val="000000"/>
                <w:spacing w:val="-2"/>
              </w:rPr>
              <w:t xml:space="preserve"> </w:t>
            </w:r>
            <w:r w:rsidRPr="00CE1F93">
              <w:rPr>
                <w:rFonts w:ascii="Times New Roman" w:hAnsi="Times New Roman"/>
                <w:color w:val="000000"/>
                <w:spacing w:val="-2"/>
              </w:rPr>
              <w:t>Prezesa Państwowego Gospodarstwa Wodnego "</w:t>
            </w:r>
            <w:r w:rsidR="00181018">
              <w:rPr>
                <w:rFonts w:ascii="Times New Roman" w:hAnsi="Times New Roman"/>
                <w:color w:val="000000"/>
                <w:spacing w:val="-2"/>
              </w:rPr>
              <w:t>”</w:t>
            </w:r>
            <w:r w:rsidRPr="00CE1F93">
              <w:rPr>
                <w:rFonts w:ascii="Times New Roman" w:hAnsi="Times New Roman"/>
                <w:color w:val="000000"/>
                <w:spacing w:val="-2"/>
              </w:rPr>
              <w:t>Wody Polskie</w:t>
            </w:r>
            <w:r w:rsidR="00181018">
              <w:rPr>
                <w:rFonts w:ascii="Times New Roman" w:hAnsi="Times New Roman"/>
                <w:color w:val="000000"/>
                <w:spacing w:val="-2"/>
              </w:rPr>
              <w:t>”</w:t>
            </w:r>
            <w:r w:rsidR="00181018" w:rsidRPr="00CE1F93">
              <w:rPr>
                <w:rFonts w:ascii="Times New Roman" w:hAnsi="Times New Roman"/>
                <w:color w:val="000000"/>
                <w:spacing w:val="-2"/>
              </w:rPr>
              <w:t>,</w:t>
            </w:r>
          </w:p>
          <w:p w14:paraId="79240F82" w14:textId="2EB5A972" w:rsidR="00CE1F93" w:rsidRPr="00CE1F93" w:rsidRDefault="00CE1F93" w:rsidP="00CE1F93">
            <w:pPr>
              <w:spacing w:line="240" w:lineRule="auto"/>
              <w:jc w:val="both"/>
              <w:rPr>
                <w:rFonts w:ascii="Times New Roman" w:hAnsi="Times New Roman"/>
                <w:color w:val="000000"/>
                <w:spacing w:val="-2"/>
              </w:rPr>
            </w:pPr>
            <w:r w:rsidRPr="00CE1F93">
              <w:rPr>
                <w:rFonts w:ascii="Times New Roman" w:hAnsi="Times New Roman"/>
                <w:color w:val="000000"/>
                <w:spacing w:val="-2"/>
              </w:rPr>
              <w:t>i)</w:t>
            </w:r>
            <w:r>
              <w:rPr>
                <w:rFonts w:ascii="Times New Roman" w:hAnsi="Times New Roman"/>
                <w:color w:val="000000"/>
                <w:spacing w:val="-2"/>
              </w:rPr>
              <w:t xml:space="preserve"> </w:t>
            </w:r>
            <w:r w:rsidRPr="00CE1F93">
              <w:rPr>
                <w:rFonts w:ascii="Times New Roman" w:hAnsi="Times New Roman"/>
                <w:color w:val="000000"/>
                <w:spacing w:val="-2"/>
              </w:rPr>
              <w:t>Prezesa Urzędu Regulacji Energetyki,</w:t>
            </w:r>
          </w:p>
          <w:p w14:paraId="341074FC" w14:textId="00B6FC22" w:rsidR="00CE1F93" w:rsidRPr="00CE1F93" w:rsidRDefault="00CE1F93" w:rsidP="00CE1F93">
            <w:pPr>
              <w:spacing w:line="240" w:lineRule="auto"/>
              <w:jc w:val="both"/>
              <w:rPr>
                <w:rFonts w:ascii="Times New Roman" w:hAnsi="Times New Roman"/>
                <w:color w:val="000000"/>
                <w:spacing w:val="-2"/>
              </w:rPr>
            </w:pPr>
            <w:r w:rsidRPr="00CE1F93">
              <w:rPr>
                <w:rFonts w:ascii="Times New Roman" w:hAnsi="Times New Roman"/>
                <w:color w:val="000000"/>
                <w:spacing w:val="-2"/>
              </w:rPr>
              <w:t>j)</w:t>
            </w:r>
            <w:r>
              <w:rPr>
                <w:rFonts w:ascii="Times New Roman" w:hAnsi="Times New Roman"/>
                <w:color w:val="000000"/>
                <w:spacing w:val="-2"/>
              </w:rPr>
              <w:t xml:space="preserve"> </w:t>
            </w:r>
            <w:r w:rsidRPr="00CE1F93">
              <w:rPr>
                <w:rFonts w:ascii="Times New Roman" w:hAnsi="Times New Roman"/>
                <w:color w:val="000000"/>
                <w:spacing w:val="-2"/>
              </w:rPr>
              <w:t>Prezesa Zarządu Banku Gospodarstwa Krajowego,</w:t>
            </w:r>
          </w:p>
          <w:p w14:paraId="104ADC70" w14:textId="7E1E5F5B" w:rsidR="00CE1F93" w:rsidRPr="00CE1F93" w:rsidRDefault="00CE1F93" w:rsidP="00CE1F93">
            <w:pPr>
              <w:spacing w:line="240" w:lineRule="auto"/>
              <w:jc w:val="both"/>
              <w:rPr>
                <w:rFonts w:ascii="Times New Roman" w:hAnsi="Times New Roman"/>
                <w:color w:val="000000"/>
                <w:spacing w:val="-2"/>
              </w:rPr>
            </w:pPr>
            <w:r w:rsidRPr="00CE1F93">
              <w:rPr>
                <w:rFonts w:ascii="Times New Roman" w:hAnsi="Times New Roman"/>
                <w:color w:val="000000"/>
                <w:spacing w:val="-2"/>
              </w:rPr>
              <w:t>k)</w:t>
            </w:r>
            <w:r>
              <w:rPr>
                <w:rFonts w:ascii="Times New Roman" w:hAnsi="Times New Roman"/>
                <w:color w:val="000000"/>
                <w:spacing w:val="-2"/>
              </w:rPr>
              <w:t xml:space="preserve"> </w:t>
            </w:r>
            <w:r w:rsidRPr="00CE1F93">
              <w:rPr>
                <w:rFonts w:ascii="Times New Roman" w:hAnsi="Times New Roman"/>
                <w:color w:val="000000"/>
                <w:spacing w:val="-2"/>
              </w:rPr>
              <w:t>Prezesa Zarządu Energa OZE S.A.,</w:t>
            </w:r>
          </w:p>
          <w:p w14:paraId="06FF74F8" w14:textId="0DE99003" w:rsidR="00CE1F93" w:rsidRPr="00CE1F93" w:rsidRDefault="00CE1F93" w:rsidP="00CE1F93">
            <w:pPr>
              <w:spacing w:line="240" w:lineRule="auto"/>
              <w:jc w:val="both"/>
              <w:rPr>
                <w:rFonts w:ascii="Times New Roman" w:hAnsi="Times New Roman"/>
                <w:color w:val="000000"/>
                <w:spacing w:val="-2"/>
              </w:rPr>
            </w:pPr>
            <w:r w:rsidRPr="00CE1F93">
              <w:rPr>
                <w:rFonts w:ascii="Times New Roman" w:hAnsi="Times New Roman"/>
                <w:color w:val="000000"/>
                <w:spacing w:val="-2"/>
              </w:rPr>
              <w:t>l)</w:t>
            </w:r>
            <w:r>
              <w:rPr>
                <w:rFonts w:ascii="Times New Roman" w:hAnsi="Times New Roman"/>
                <w:color w:val="000000"/>
                <w:spacing w:val="-2"/>
              </w:rPr>
              <w:t xml:space="preserve"> </w:t>
            </w:r>
            <w:r w:rsidRPr="00CE1F93">
              <w:rPr>
                <w:rFonts w:ascii="Times New Roman" w:hAnsi="Times New Roman"/>
                <w:color w:val="000000"/>
                <w:spacing w:val="-2"/>
              </w:rPr>
              <w:t>Prezesa Zarządu PGE Polska Grupa Energetyczna S.A.,</w:t>
            </w:r>
          </w:p>
          <w:p w14:paraId="080A3B48" w14:textId="32285B89" w:rsidR="00CE1F93" w:rsidRPr="00CE1F93" w:rsidRDefault="00CE1F93" w:rsidP="00CE1F93">
            <w:pPr>
              <w:spacing w:line="240" w:lineRule="auto"/>
              <w:jc w:val="both"/>
              <w:rPr>
                <w:rFonts w:ascii="Times New Roman" w:hAnsi="Times New Roman"/>
                <w:color w:val="000000"/>
                <w:spacing w:val="-2"/>
              </w:rPr>
            </w:pPr>
            <w:r w:rsidRPr="00CE1F93">
              <w:rPr>
                <w:rFonts w:ascii="Times New Roman" w:hAnsi="Times New Roman"/>
                <w:color w:val="000000"/>
                <w:spacing w:val="-2"/>
              </w:rPr>
              <w:t>m)</w:t>
            </w:r>
            <w:r>
              <w:rPr>
                <w:rFonts w:ascii="Times New Roman" w:hAnsi="Times New Roman"/>
                <w:color w:val="000000"/>
                <w:spacing w:val="-2"/>
              </w:rPr>
              <w:t xml:space="preserve"> </w:t>
            </w:r>
            <w:r w:rsidRPr="00CE1F93">
              <w:rPr>
                <w:rFonts w:ascii="Times New Roman" w:hAnsi="Times New Roman"/>
                <w:color w:val="000000"/>
                <w:spacing w:val="-2"/>
              </w:rPr>
              <w:t>Prezesa Zarządu Polskie Sieci Elektroenergetyczne S.A.,</w:t>
            </w:r>
          </w:p>
          <w:p w14:paraId="51E9D37D" w14:textId="68B2F66E" w:rsidR="00CE1F93" w:rsidRPr="00CE1F93" w:rsidRDefault="00CE1F93" w:rsidP="00CE1F93">
            <w:pPr>
              <w:spacing w:line="240" w:lineRule="auto"/>
              <w:jc w:val="both"/>
              <w:rPr>
                <w:rFonts w:ascii="Times New Roman" w:hAnsi="Times New Roman"/>
                <w:color w:val="000000"/>
                <w:spacing w:val="-2"/>
              </w:rPr>
            </w:pPr>
            <w:r w:rsidRPr="00CE1F93">
              <w:rPr>
                <w:rFonts w:ascii="Times New Roman" w:hAnsi="Times New Roman"/>
                <w:color w:val="000000"/>
                <w:spacing w:val="-2"/>
              </w:rPr>
              <w:t>n)</w:t>
            </w:r>
            <w:r>
              <w:rPr>
                <w:rFonts w:ascii="Times New Roman" w:hAnsi="Times New Roman"/>
                <w:color w:val="000000"/>
                <w:spacing w:val="-2"/>
              </w:rPr>
              <w:t xml:space="preserve"> </w:t>
            </w:r>
            <w:r w:rsidRPr="00CE1F93">
              <w:rPr>
                <w:rFonts w:ascii="Times New Roman" w:hAnsi="Times New Roman"/>
                <w:color w:val="000000"/>
                <w:spacing w:val="-2"/>
              </w:rPr>
              <w:t>Prezesa Zarządu TAURON Polska Energia S.A.</w:t>
            </w:r>
          </w:p>
          <w:p w14:paraId="78D4D96E" w14:textId="70E4D194" w:rsidR="00CE1F93" w:rsidRDefault="00CE1F93" w:rsidP="00CE1F93">
            <w:pPr>
              <w:spacing w:line="240" w:lineRule="auto"/>
              <w:jc w:val="both"/>
              <w:rPr>
                <w:rFonts w:ascii="Times New Roman" w:hAnsi="Times New Roman"/>
                <w:color w:val="000000"/>
                <w:spacing w:val="-2"/>
              </w:rPr>
            </w:pPr>
            <w:r w:rsidRPr="00CE1F93">
              <w:rPr>
                <w:rFonts w:ascii="Times New Roman" w:hAnsi="Times New Roman"/>
                <w:color w:val="000000"/>
                <w:spacing w:val="-2"/>
              </w:rPr>
              <w:t>4)</w:t>
            </w:r>
            <w:r>
              <w:rPr>
                <w:rFonts w:ascii="Times New Roman" w:hAnsi="Times New Roman"/>
                <w:color w:val="000000"/>
                <w:spacing w:val="-2"/>
              </w:rPr>
              <w:t xml:space="preserve"> </w:t>
            </w:r>
            <w:r w:rsidRPr="00CE1F93">
              <w:rPr>
                <w:rFonts w:ascii="Times New Roman" w:hAnsi="Times New Roman"/>
                <w:color w:val="000000"/>
                <w:spacing w:val="-2"/>
              </w:rPr>
              <w:t>sekretarz - pracownik wyznaczony przez Dyrektora Sekretariatu Szefa Kancelarii Prezesa Rady Ministrów.</w:t>
            </w:r>
          </w:p>
          <w:p w14:paraId="712CC13D" w14:textId="77777777" w:rsidR="00A87D30" w:rsidRPr="004F512A" w:rsidRDefault="00A87D30" w:rsidP="008B2D3F">
            <w:pPr>
              <w:spacing w:line="240" w:lineRule="auto"/>
              <w:jc w:val="both"/>
              <w:rPr>
                <w:rFonts w:ascii="Times New Roman" w:hAnsi="Times New Roman"/>
                <w:color w:val="000000"/>
                <w:spacing w:val="-2"/>
              </w:rPr>
            </w:pPr>
          </w:p>
          <w:p w14:paraId="151777BD" w14:textId="06C83663" w:rsidR="008B2D3F" w:rsidRPr="004F512A" w:rsidRDefault="008B2D3F"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Projekt, zgodnie z art. 5 ustawy z dnia 7 lipca 2005 r. o działalności lobbingowej w procesie stanowienia prawa i § 52 uchwały nr 190 Rady Ministrów z dnia 29 października 2013 r. – Regulamin pracy Rady Ministrów, zostanie udostępniony w Biuletynie Informacji Publicznej, na stronie podmiotowej Rządowego Centrum Legislacji, w serwisie Rządowy Proces Legislacyjny. </w:t>
            </w:r>
          </w:p>
          <w:p w14:paraId="40593DB1" w14:textId="4397F3E9" w:rsidR="008B2D3F" w:rsidRPr="004F512A" w:rsidRDefault="008B2D3F"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Projekt zostanie przekazany do konsultacji </w:t>
            </w:r>
            <w:r w:rsidR="00454973">
              <w:rPr>
                <w:rFonts w:ascii="Times New Roman" w:hAnsi="Times New Roman"/>
                <w:color w:val="000000"/>
                <w:spacing w:val="-2"/>
              </w:rPr>
              <w:t xml:space="preserve">publicznych </w:t>
            </w:r>
            <w:r w:rsidR="00181018">
              <w:rPr>
                <w:rFonts w:ascii="Times New Roman" w:hAnsi="Times New Roman"/>
                <w:color w:val="000000"/>
                <w:spacing w:val="-2"/>
              </w:rPr>
              <w:t xml:space="preserve">(21 dni) </w:t>
            </w:r>
            <w:r w:rsidRPr="004F512A">
              <w:rPr>
                <w:rFonts w:ascii="Times New Roman" w:hAnsi="Times New Roman"/>
                <w:color w:val="000000"/>
                <w:spacing w:val="-2"/>
              </w:rPr>
              <w:t xml:space="preserve">do następujących podmiotów: </w:t>
            </w:r>
          </w:p>
          <w:p w14:paraId="3AA07356" w14:textId="77777777" w:rsidR="008B2D3F" w:rsidRPr="004F512A" w:rsidRDefault="008B2D3F"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1)</w:t>
            </w:r>
            <w:r w:rsidRPr="004F512A">
              <w:rPr>
                <w:rFonts w:ascii="Times New Roman" w:hAnsi="Times New Roman"/>
                <w:color w:val="000000"/>
                <w:spacing w:val="-2"/>
              </w:rPr>
              <w:tab/>
              <w:t xml:space="preserve">Polskie Towarzystwo </w:t>
            </w:r>
            <w:proofErr w:type="spellStart"/>
            <w:r w:rsidRPr="004F512A">
              <w:rPr>
                <w:rFonts w:ascii="Times New Roman" w:hAnsi="Times New Roman"/>
                <w:color w:val="000000"/>
                <w:spacing w:val="-2"/>
              </w:rPr>
              <w:t>Przesyłu</w:t>
            </w:r>
            <w:proofErr w:type="spellEnd"/>
            <w:r w:rsidRPr="004F512A">
              <w:rPr>
                <w:rFonts w:ascii="Times New Roman" w:hAnsi="Times New Roman"/>
                <w:color w:val="000000"/>
                <w:spacing w:val="-2"/>
              </w:rPr>
              <w:t xml:space="preserve"> i Rozdziału Energii Elektrycznej,</w:t>
            </w:r>
          </w:p>
          <w:p w14:paraId="38758162" w14:textId="77777777" w:rsidR="008B2D3F" w:rsidRPr="004F512A" w:rsidRDefault="008B2D3F"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2)</w:t>
            </w:r>
            <w:r w:rsidRPr="004F512A">
              <w:rPr>
                <w:rFonts w:ascii="Times New Roman" w:hAnsi="Times New Roman"/>
                <w:color w:val="000000"/>
                <w:spacing w:val="-2"/>
              </w:rPr>
              <w:tab/>
              <w:t>Polskie Sieci Elektroenergetyczne S.A.,</w:t>
            </w:r>
          </w:p>
          <w:p w14:paraId="0EF16FF6" w14:textId="77777777" w:rsidR="008B2D3F" w:rsidRPr="004F512A" w:rsidRDefault="008B2D3F"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3)</w:t>
            </w:r>
            <w:r w:rsidRPr="004F512A">
              <w:rPr>
                <w:rFonts w:ascii="Times New Roman" w:hAnsi="Times New Roman"/>
                <w:color w:val="000000"/>
                <w:spacing w:val="-2"/>
              </w:rPr>
              <w:tab/>
              <w:t>Towarzystwo Gospodarcze Polskie Elektrownie,</w:t>
            </w:r>
          </w:p>
          <w:p w14:paraId="223CF0B6" w14:textId="31F97EFE" w:rsidR="008B2D3F" w:rsidRPr="004F512A" w:rsidRDefault="004A636D"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lastRenderedPageBreak/>
              <w:t>4</w:t>
            </w:r>
            <w:r w:rsidR="008B2D3F" w:rsidRPr="004F512A">
              <w:rPr>
                <w:rFonts w:ascii="Times New Roman" w:hAnsi="Times New Roman"/>
                <w:color w:val="000000"/>
                <w:spacing w:val="-2"/>
              </w:rPr>
              <w:t>)</w:t>
            </w:r>
            <w:r w:rsidR="008B2D3F" w:rsidRPr="004F512A">
              <w:rPr>
                <w:rFonts w:ascii="Times New Roman" w:hAnsi="Times New Roman"/>
                <w:color w:val="000000"/>
                <w:spacing w:val="-2"/>
              </w:rPr>
              <w:tab/>
              <w:t>Ogólnopolskie Stowarzyszenie Dystrybutorów Niezależnych Energii Elektrycznej,</w:t>
            </w:r>
          </w:p>
          <w:p w14:paraId="16EB4D90" w14:textId="0CE7DEB7" w:rsidR="008B2D3F" w:rsidRPr="004F512A" w:rsidRDefault="004A636D"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5</w:t>
            </w:r>
            <w:r w:rsidR="008B2D3F" w:rsidRPr="004F512A">
              <w:rPr>
                <w:rFonts w:ascii="Times New Roman" w:hAnsi="Times New Roman"/>
                <w:color w:val="000000"/>
                <w:spacing w:val="-2"/>
              </w:rPr>
              <w:t>)</w:t>
            </w:r>
            <w:r w:rsidR="008B2D3F" w:rsidRPr="004F512A">
              <w:rPr>
                <w:rFonts w:ascii="Times New Roman" w:hAnsi="Times New Roman"/>
                <w:color w:val="000000"/>
                <w:spacing w:val="-2"/>
              </w:rPr>
              <w:tab/>
              <w:t>Polska Izba Gospodarcza Energii Odnawialnej i Rozproszonej</w:t>
            </w:r>
            <w:r w:rsidRPr="004F512A">
              <w:rPr>
                <w:rFonts w:ascii="Times New Roman" w:hAnsi="Times New Roman"/>
                <w:color w:val="000000"/>
                <w:spacing w:val="-2"/>
              </w:rPr>
              <w:t>,</w:t>
            </w:r>
          </w:p>
          <w:p w14:paraId="5C0B3FD0" w14:textId="60355AF8" w:rsidR="008B2D3F" w:rsidRPr="004F512A" w:rsidRDefault="004A636D"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6</w:t>
            </w:r>
            <w:r w:rsidR="008B2D3F" w:rsidRPr="004F512A">
              <w:rPr>
                <w:rFonts w:ascii="Times New Roman" w:hAnsi="Times New Roman"/>
                <w:color w:val="000000"/>
                <w:spacing w:val="-2"/>
              </w:rPr>
              <w:t xml:space="preserve">)          </w:t>
            </w:r>
            <w:r w:rsidRPr="004F512A">
              <w:rPr>
                <w:rFonts w:ascii="Times New Roman" w:hAnsi="Times New Roman"/>
                <w:color w:val="000000"/>
                <w:spacing w:val="-2"/>
              </w:rPr>
              <w:t>Enea S.A.,</w:t>
            </w:r>
          </w:p>
          <w:p w14:paraId="2766EBDA" w14:textId="672C1F94" w:rsidR="004A636D" w:rsidRPr="004F512A" w:rsidRDefault="004A636D"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7)          </w:t>
            </w:r>
            <w:r w:rsidR="000D23CF" w:rsidRPr="000D23CF">
              <w:rPr>
                <w:rFonts w:ascii="Times New Roman" w:hAnsi="Times New Roman"/>
                <w:color w:val="000000"/>
                <w:spacing w:val="-2"/>
              </w:rPr>
              <w:t xml:space="preserve">Polski Koncern Naftowy Orlen </w:t>
            </w:r>
            <w:r w:rsidRPr="004F512A">
              <w:rPr>
                <w:rFonts w:ascii="Times New Roman" w:hAnsi="Times New Roman"/>
                <w:color w:val="000000"/>
                <w:spacing w:val="-2"/>
              </w:rPr>
              <w:t>S.A.,</w:t>
            </w:r>
          </w:p>
          <w:p w14:paraId="5594E9C3" w14:textId="354728C9" w:rsidR="0020023B" w:rsidRPr="004F512A" w:rsidRDefault="004A636D"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8)          PGE Polska Grupa Energetyczna S.A.,</w:t>
            </w:r>
          </w:p>
          <w:p w14:paraId="10B4F6CF" w14:textId="05F46D02" w:rsidR="004A636D" w:rsidRDefault="004A636D"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9)          Tauron Polska Energia S.A.,</w:t>
            </w:r>
          </w:p>
          <w:p w14:paraId="60842160" w14:textId="21538965" w:rsidR="0020023B" w:rsidRPr="004F512A" w:rsidRDefault="008231CB" w:rsidP="008B2D3F">
            <w:pPr>
              <w:spacing w:line="240" w:lineRule="auto"/>
              <w:jc w:val="both"/>
              <w:rPr>
                <w:rFonts w:ascii="Times New Roman" w:hAnsi="Times New Roman"/>
                <w:color w:val="000000"/>
                <w:spacing w:val="-2"/>
              </w:rPr>
            </w:pPr>
            <w:r>
              <w:rPr>
                <w:rFonts w:ascii="Times New Roman" w:hAnsi="Times New Roman"/>
                <w:color w:val="000000"/>
                <w:spacing w:val="-2"/>
              </w:rPr>
              <w:t>1</w:t>
            </w:r>
            <w:r w:rsidR="000D23CF">
              <w:rPr>
                <w:rFonts w:ascii="Times New Roman" w:hAnsi="Times New Roman"/>
                <w:color w:val="000000"/>
                <w:spacing w:val="-2"/>
              </w:rPr>
              <w:t>0</w:t>
            </w:r>
            <w:r w:rsidR="0020023B">
              <w:rPr>
                <w:rFonts w:ascii="Times New Roman" w:hAnsi="Times New Roman"/>
                <w:color w:val="000000"/>
                <w:spacing w:val="-2"/>
              </w:rPr>
              <w:t xml:space="preserve">)  </w:t>
            </w:r>
            <w:r>
              <w:rPr>
                <w:rFonts w:ascii="Times New Roman" w:hAnsi="Times New Roman"/>
                <w:color w:val="000000"/>
                <w:spacing w:val="-2"/>
              </w:rPr>
              <w:t xml:space="preserve">     </w:t>
            </w:r>
            <w:r w:rsidR="0020023B">
              <w:rPr>
                <w:rFonts w:ascii="Times New Roman" w:hAnsi="Times New Roman"/>
                <w:color w:val="000000"/>
                <w:spacing w:val="-2"/>
              </w:rPr>
              <w:t xml:space="preserve"> </w:t>
            </w:r>
            <w:r w:rsidR="0020023B" w:rsidRPr="0020023B">
              <w:rPr>
                <w:rFonts w:ascii="Times New Roman" w:hAnsi="Times New Roman"/>
                <w:color w:val="000000"/>
                <w:spacing w:val="-2"/>
              </w:rPr>
              <w:t>Zespół Elektrowni Wodnych Niedzica</w:t>
            </w:r>
            <w:r w:rsidR="0020023B">
              <w:rPr>
                <w:rFonts w:ascii="Times New Roman" w:hAnsi="Times New Roman"/>
                <w:color w:val="000000"/>
                <w:spacing w:val="-2"/>
              </w:rPr>
              <w:t xml:space="preserve"> S.A.</w:t>
            </w:r>
            <w:r>
              <w:rPr>
                <w:rFonts w:ascii="Times New Roman" w:hAnsi="Times New Roman"/>
                <w:color w:val="000000"/>
                <w:spacing w:val="-2"/>
              </w:rPr>
              <w:t>,</w:t>
            </w:r>
          </w:p>
          <w:p w14:paraId="6A358A18" w14:textId="22C45AF1" w:rsidR="004A636D" w:rsidRPr="004F512A" w:rsidRDefault="004A636D"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1</w:t>
            </w:r>
            <w:r w:rsidR="000D23CF">
              <w:rPr>
                <w:rFonts w:ascii="Times New Roman" w:hAnsi="Times New Roman"/>
                <w:color w:val="000000"/>
                <w:spacing w:val="-2"/>
              </w:rPr>
              <w:t>1</w:t>
            </w:r>
            <w:r w:rsidRPr="004F512A">
              <w:rPr>
                <w:rFonts w:ascii="Times New Roman" w:hAnsi="Times New Roman"/>
                <w:color w:val="000000"/>
                <w:spacing w:val="-2"/>
              </w:rPr>
              <w:t>)        Towarzystwo Obrotu Energią,</w:t>
            </w:r>
          </w:p>
          <w:p w14:paraId="6F0A6BB2" w14:textId="579704C8" w:rsidR="00AA584E" w:rsidRPr="004F512A" w:rsidRDefault="00AA584E"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1</w:t>
            </w:r>
            <w:r w:rsidR="000D23CF">
              <w:rPr>
                <w:rFonts w:ascii="Times New Roman" w:hAnsi="Times New Roman"/>
                <w:color w:val="000000"/>
                <w:spacing w:val="-2"/>
              </w:rPr>
              <w:t>2</w:t>
            </w:r>
            <w:r w:rsidRPr="004F512A">
              <w:rPr>
                <w:rFonts w:ascii="Times New Roman" w:hAnsi="Times New Roman"/>
                <w:color w:val="000000"/>
                <w:spacing w:val="-2"/>
              </w:rPr>
              <w:t>)</w:t>
            </w:r>
            <w:r w:rsidRPr="004F512A">
              <w:rPr>
                <w:rFonts w:ascii="Times New Roman" w:hAnsi="Times New Roman"/>
                <w:color w:val="000000"/>
                <w:spacing w:val="-2"/>
              </w:rPr>
              <w:tab/>
              <w:t xml:space="preserve">Stowarzyszenie Polska Izba Magazynowania Energii i </w:t>
            </w:r>
            <w:proofErr w:type="spellStart"/>
            <w:r w:rsidRPr="004F512A">
              <w:rPr>
                <w:rFonts w:ascii="Times New Roman" w:hAnsi="Times New Roman"/>
                <w:color w:val="000000"/>
                <w:spacing w:val="-2"/>
              </w:rPr>
              <w:t>Elektromobilności</w:t>
            </w:r>
            <w:proofErr w:type="spellEnd"/>
            <w:r w:rsidR="00A87D30">
              <w:rPr>
                <w:rFonts w:ascii="Times New Roman" w:hAnsi="Times New Roman"/>
                <w:color w:val="000000"/>
                <w:spacing w:val="-2"/>
              </w:rPr>
              <w:t>,</w:t>
            </w:r>
          </w:p>
          <w:p w14:paraId="4B94FA1C" w14:textId="579F41EC" w:rsidR="00AA584E" w:rsidRDefault="00AA584E"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1</w:t>
            </w:r>
            <w:r w:rsidR="000D23CF">
              <w:rPr>
                <w:rFonts w:ascii="Times New Roman" w:hAnsi="Times New Roman"/>
                <w:color w:val="000000"/>
                <w:spacing w:val="-2"/>
              </w:rPr>
              <w:t>3</w:t>
            </w:r>
            <w:r w:rsidRPr="004F512A">
              <w:rPr>
                <w:rFonts w:ascii="Times New Roman" w:hAnsi="Times New Roman"/>
                <w:color w:val="000000"/>
                <w:spacing w:val="-2"/>
              </w:rPr>
              <w:t>)</w:t>
            </w:r>
            <w:r w:rsidRPr="004F512A">
              <w:rPr>
                <w:rFonts w:ascii="Times New Roman" w:hAnsi="Times New Roman"/>
                <w:color w:val="000000"/>
                <w:spacing w:val="-2"/>
              </w:rPr>
              <w:tab/>
              <w:t>Polskie Stowarzyszenie Magazynowania Energii</w:t>
            </w:r>
            <w:r w:rsidR="00A87D30">
              <w:rPr>
                <w:rFonts w:ascii="Times New Roman" w:hAnsi="Times New Roman"/>
                <w:color w:val="000000"/>
                <w:spacing w:val="-2"/>
              </w:rPr>
              <w:t>,</w:t>
            </w:r>
          </w:p>
          <w:p w14:paraId="20507CC1" w14:textId="3BBC901D" w:rsidR="00072A88" w:rsidRDefault="00072A88" w:rsidP="008B2D3F">
            <w:pPr>
              <w:spacing w:line="240" w:lineRule="auto"/>
              <w:jc w:val="both"/>
              <w:rPr>
                <w:rFonts w:ascii="Times New Roman" w:hAnsi="Times New Roman"/>
                <w:color w:val="000000"/>
                <w:spacing w:val="-2"/>
              </w:rPr>
            </w:pPr>
            <w:r>
              <w:rPr>
                <w:rFonts w:ascii="Times New Roman" w:hAnsi="Times New Roman"/>
                <w:color w:val="000000"/>
                <w:spacing w:val="-2"/>
              </w:rPr>
              <w:t xml:space="preserve">14)        </w:t>
            </w:r>
            <w:r w:rsidRPr="00072A88">
              <w:rPr>
                <w:rFonts w:ascii="Times New Roman" w:hAnsi="Times New Roman"/>
                <w:color w:val="000000"/>
                <w:spacing w:val="-2"/>
              </w:rPr>
              <w:t>Towarzystwo Elektrowni Wodnych</w:t>
            </w:r>
            <w:r>
              <w:rPr>
                <w:rFonts w:ascii="Times New Roman" w:hAnsi="Times New Roman"/>
                <w:color w:val="000000"/>
                <w:spacing w:val="-2"/>
              </w:rPr>
              <w:t>,</w:t>
            </w:r>
          </w:p>
          <w:p w14:paraId="4BF178C8" w14:textId="3774FFB8" w:rsidR="00072A88" w:rsidRPr="004F512A" w:rsidRDefault="00072A88" w:rsidP="008B2D3F">
            <w:pPr>
              <w:spacing w:line="240" w:lineRule="auto"/>
              <w:jc w:val="both"/>
              <w:rPr>
                <w:rFonts w:ascii="Times New Roman" w:hAnsi="Times New Roman"/>
                <w:color w:val="000000"/>
                <w:spacing w:val="-2"/>
              </w:rPr>
            </w:pPr>
            <w:r>
              <w:rPr>
                <w:rFonts w:ascii="Times New Roman" w:hAnsi="Times New Roman"/>
                <w:color w:val="000000"/>
                <w:spacing w:val="-2"/>
              </w:rPr>
              <w:t xml:space="preserve">15)        </w:t>
            </w:r>
            <w:r w:rsidRPr="00072A88">
              <w:rPr>
                <w:rFonts w:ascii="Times New Roman" w:hAnsi="Times New Roman"/>
                <w:color w:val="000000"/>
                <w:spacing w:val="-2"/>
              </w:rPr>
              <w:t>Towarzystw</w:t>
            </w:r>
            <w:r>
              <w:rPr>
                <w:rFonts w:ascii="Times New Roman" w:hAnsi="Times New Roman"/>
                <w:color w:val="000000"/>
                <w:spacing w:val="-2"/>
              </w:rPr>
              <w:t>o</w:t>
            </w:r>
            <w:r w:rsidRPr="00072A88">
              <w:rPr>
                <w:rFonts w:ascii="Times New Roman" w:hAnsi="Times New Roman"/>
                <w:color w:val="000000"/>
                <w:spacing w:val="-2"/>
              </w:rPr>
              <w:t xml:space="preserve"> Rozwoju Małych Elektrowni Wodnych</w:t>
            </w:r>
            <w:r w:rsidR="0040449B">
              <w:rPr>
                <w:rFonts w:ascii="Times New Roman" w:hAnsi="Times New Roman"/>
                <w:color w:val="000000"/>
                <w:spacing w:val="-2"/>
              </w:rPr>
              <w:t>.</w:t>
            </w:r>
          </w:p>
          <w:p w14:paraId="18A22CE6" w14:textId="601E3C02" w:rsidR="008B2D3F" w:rsidRPr="004F512A" w:rsidRDefault="008B2D3F"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Projekt zostanie przekazany do zaopiniowania (</w:t>
            </w:r>
            <w:r w:rsidR="00C30385">
              <w:rPr>
                <w:rFonts w:ascii="Times New Roman" w:hAnsi="Times New Roman"/>
                <w:color w:val="000000"/>
                <w:spacing w:val="-2"/>
              </w:rPr>
              <w:t>21</w:t>
            </w:r>
            <w:r w:rsidRPr="004F512A">
              <w:rPr>
                <w:rFonts w:ascii="Times New Roman" w:hAnsi="Times New Roman"/>
                <w:color w:val="000000"/>
                <w:spacing w:val="-2"/>
              </w:rPr>
              <w:t xml:space="preserve"> dni) następującym podmiotom:</w:t>
            </w:r>
          </w:p>
          <w:p w14:paraId="20A13CE9" w14:textId="0FACCDCB" w:rsidR="008B2D3F" w:rsidRPr="004F512A" w:rsidRDefault="008B2D3F" w:rsidP="00B61823">
            <w:pPr>
              <w:pStyle w:val="Akapitzlist"/>
              <w:numPr>
                <w:ilvl w:val="0"/>
                <w:numId w:val="22"/>
              </w:numPr>
              <w:spacing w:line="240" w:lineRule="auto"/>
              <w:ind w:left="710"/>
              <w:jc w:val="both"/>
              <w:rPr>
                <w:rFonts w:ascii="Times New Roman" w:hAnsi="Times New Roman"/>
                <w:color w:val="000000"/>
                <w:spacing w:val="-2"/>
              </w:rPr>
            </w:pPr>
            <w:r w:rsidRPr="004F512A">
              <w:rPr>
                <w:rFonts w:ascii="Times New Roman" w:hAnsi="Times New Roman"/>
                <w:color w:val="000000"/>
                <w:spacing w:val="-2"/>
              </w:rPr>
              <w:t>Prezes</w:t>
            </w:r>
            <w:r w:rsidR="00300F47">
              <w:rPr>
                <w:rFonts w:ascii="Times New Roman" w:hAnsi="Times New Roman"/>
                <w:color w:val="000000"/>
                <w:spacing w:val="-2"/>
              </w:rPr>
              <w:t>owi</w:t>
            </w:r>
            <w:r w:rsidRPr="004F512A">
              <w:rPr>
                <w:rFonts w:ascii="Times New Roman" w:hAnsi="Times New Roman"/>
                <w:color w:val="000000"/>
                <w:spacing w:val="-2"/>
              </w:rPr>
              <w:t xml:space="preserve"> Urzędu Regulacji Energetyki,</w:t>
            </w:r>
          </w:p>
          <w:p w14:paraId="0BA4B59B" w14:textId="78761F61" w:rsidR="004A636D" w:rsidRPr="004F512A" w:rsidRDefault="004A636D" w:rsidP="00B61823">
            <w:pPr>
              <w:pStyle w:val="Akapitzlist"/>
              <w:numPr>
                <w:ilvl w:val="0"/>
                <w:numId w:val="22"/>
              </w:numPr>
              <w:spacing w:line="240" w:lineRule="auto"/>
              <w:ind w:left="710"/>
              <w:jc w:val="both"/>
              <w:rPr>
                <w:rFonts w:ascii="Times New Roman" w:hAnsi="Times New Roman"/>
                <w:color w:val="000000"/>
                <w:spacing w:val="-2"/>
              </w:rPr>
            </w:pPr>
            <w:r w:rsidRPr="004F512A">
              <w:rPr>
                <w:rFonts w:ascii="Times New Roman" w:hAnsi="Times New Roman"/>
                <w:color w:val="000000"/>
                <w:spacing w:val="-2"/>
              </w:rPr>
              <w:t>Prezes</w:t>
            </w:r>
            <w:r w:rsidR="00300F47">
              <w:rPr>
                <w:rFonts w:ascii="Times New Roman" w:hAnsi="Times New Roman"/>
                <w:color w:val="000000"/>
                <w:spacing w:val="-2"/>
              </w:rPr>
              <w:t>owi</w:t>
            </w:r>
            <w:r w:rsidRPr="004F512A">
              <w:rPr>
                <w:rFonts w:ascii="Times New Roman" w:hAnsi="Times New Roman"/>
                <w:color w:val="000000"/>
                <w:spacing w:val="-2"/>
              </w:rPr>
              <w:t xml:space="preserve"> Urz</w:t>
            </w:r>
            <w:r w:rsidR="00BD3B94" w:rsidRPr="004F512A">
              <w:rPr>
                <w:rFonts w:ascii="Times New Roman" w:hAnsi="Times New Roman"/>
                <w:color w:val="000000"/>
                <w:spacing w:val="-2"/>
              </w:rPr>
              <w:t>ę</w:t>
            </w:r>
            <w:r w:rsidRPr="004F512A">
              <w:rPr>
                <w:rFonts w:ascii="Times New Roman" w:hAnsi="Times New Roman"/>
                <w:color w:val="000000"/>
                <w:spacing w:val="-2"/>
              </w:rPr>
              <w:t>du Ochrony Konkurencji i Konsumentów</w:t>
            </w:r>
            <w:r w:rsidR="00BD3B94" w:rsidRPr="004F512A">
              <w:rPr>
                <w:rFonts w:ascii="Times New Roman" w:hAnsi="Times New Roman"/>
                <w:color w:val="000000"/>
                <w:spacing w:val="-2"/>
              </w:rPr>
              <w:t>,</w:t>
            </w:r>
          </w:p>
          <w:p w14:paraId="73DB1F86" w14:textId="77777777" w:rsidR="00181018" w:rsidRDefault="00BD3B94" w:rsidP="00B61823">
            <w:pPr>
              <w:pStyle w:val="Akapitzlist"/>
              <w:numPr>
                <w:ilvl w:val="0"/>
                <w:numId w:val="22"/>
              </w:numPr>
              <w:spacing w:line="240" w:lineRule="auto"/>
              <w:ind w:left="710"/>
              <w:jc w:val="both"/>
              <w:rPr>
                <w:rFonts w:ascii="Times New Roman" w:hAnsi="Times New Roman"/>
                <w:color w:val="000000"/>
                <w:spacing w:val="-2"/>
              </w:rPr>
            </w:pPr>
            <w:r w:rsidRPr="004F512A">
              <w:rPr>
                <w:rFonts w:ascii="Times New Roman" w:hAnsi="Times New Roman"/>
                <w:color w:val="000000"/>
                <w:spacing w:val="-2"/>
              </w:rPr>
              <w:t>Narodowemu Funduszowi Ochrony Środowiska i Gospodarki Wodnej</w:t>
            </w:r>
            <w:r w:rsidR="00181018">
              <w:rPr>
                <w:rFonts w:ascii="Times New Roman" w:hAnsi="Times New Roman"/>
                <w:color w:val="000000"/>
                <w:spacing w:val="-2"/>
              </w:rPr>
              <w:t>,</w:t>
            </w:r>
          </w:p>
          <w:p w14:paraId="23165682" w14:textId="77777777" w:rsidR="0040449B" w:rsidRDefault="00181018" w:rsidP="00B61823">
            <w:pPr>
              <w:pStyle w:val="Akapitzlist"/>
              <w:numPr>
                <w:ilvl w:val="0"/>
                <w:numId w:val="22"/>
              </w:numPr>
              <w:spacing w:line="240" w:lineRule="auto"/>
              <w:ind w:left="710"/>
              <w:jc w:val="both"/>
              <w:rPr>
                <w:rFonts w:ascii="Times New Roman" w:hAnsi="Times New Roman"/>
                <w:color w:val="000000"/>
                <w:spacing w:val="-2"/>
              </w:rPr>
            </w:pPr>
            <w:r>
              <w:rPr>
                <w:rFonts w:ascii="Times New Roman" w:hAnsi="Times New Roman"/>
                <w:color w:val="000000"/>
                <w:spacing w:val="-2"/>
              </w:rPr>
              <w:t>Generalnemu Dyrektorowi Ochrony Środowiska</w:t>
            </w:r>
            <w:r w:rsidR="0040449B">
              <w:rPr>
                <w:rFonts w:ascii="Times New Roman" w:hAnsi="Times New Roman"/>
                <w:color w:val="000000"/>
                <w:spacing w:val="-2"/>
              </w:rPr>
              <w:t>,</w:t>
            </w:r>
          </w:p>
          <w:p w14:paraId="690C4763" w14:textId="752474F2" w:rsidR="00BD3B94" w:rsidRDefault="0040449B" w:rsidP="00B61823">
            <w:pPr>
              <w:pStyle w:val="Akapitzlist"/>
              <w:numPr>
                <w:ilvl w:val="0"/>
                <w:numId w:val="22"/>
              </w:numPr>
              <w:spacing w:line="240" w:lineRule="auto"/>
              <w:ind w:left="710"/>
              <w:jc w:val="both"/>
              <w:rPr>
                <w:rFonts w:ascii="Times New Roman" w:hAnsi="Times New Roman"/>
                <w:color w:val="000000"/>
                <w:spacing w:val="-2"/>
              </w:rPr>
            </w:pPr>
            <w:r>
              <w:rPr>
                <w:rFonts w:ascii="Times New Roman" w:hAnsi="Times New Roman"/>
                <w:color w:val="000000"/>
                <w:spacing w:val="-2"/>
              </w:rPr>
              <w:t>Młodzieżowej Radzie Klimatycznej</w:t>
            </w:r>
            <w:r w:rsidR="00BD3B94" w:rsidRPr="004F512A">
              <w:rPr>
                <w:rFonts w:ascii="Times New Roman" w:hAnsi="Times New Roman"/>
                <w:color w:val="000000"/>
                <w:spacing w:val="-2"/>
              </w:rPr>
              <w:t>.</w:t>
            </w:r>
          </w:p>
          <w:p w14:paraId="51CD2DDE" w14:textId="77777777" w:rsidR="00A87D30" w:rsidRPr="00A87D30" w:rsidRDefault="00A87D30" w:rsidP="00A87D30">
            <w:pPr>
              <w:spacing w:line="240" w:lineRule="auto"/>
              <w:jc w:val="both"/>
              <w:rPr>
                <w:rFonts w:ascii="Times New Roman" w:hAnsi="Times New Roman"/>
                <w:color w:val="000000"/>
                <w:spacing w:val="-2"/>
              </w:rPr>
            </w:pPr>
          </w:p>
          <w:p w14:paraId="2E74B9F7" w14:textId="40C7DA3A" w:rsidR="008B2D3F" w:rsidRPr="004F512A" w:rsidRDefault="008B2D3F"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Z uwagi na zakres projektu, który nie dotyczy zadań związków zawodowych, projekt nie </w:t>
            </w:r>
            <w:r w:rsidR="000234A5">
              <w:rPr>
                <w:rFonts w:ascii="Times New Roman" w:hAnsi="Times New Roman"/>
                <w:color w:val="000000"/>
                <w:spacing w:val="-2"/>
              </w:rPr>
              <w:t xml:space="preserve">będzie </w:t>
            </w:r>
            <w:r w:rsidRPr="004F512A">
              <w:rPr>
                <w:rFonts w:ascii="Times New Roman" w:hAnsi="Times New Roman"/>
                <w:color w:val="000000"/>
                <w:spacing w:val="-2"/>
              </w:rPr>
              <w:t xml:space="preserve">podlegał opiniowaniu przez reprezentatywne związki zawodowe. </w:t>
            </w:r>
          </w:p>
          <w:p w14:paraId="4F0F0BFA" w14:textId="170D5CC0" w:rsidR="008B2D3F" w:rsidRPr="004F512A" w:rsidRDefault="008B2D3F"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Z uwagi na zakres projektu, który nie dotyczy praw i interesów związków pracodawców, projekt nie </w:t>
            </w:r>
            <w:r w:rsidR="000234A5">
              <w:rPr>
                <w:rFonts w:ascii="Times New Roman" w:hAnsi="Times New Roman"/>
                <w:color w:val="000000"/>
                <w:spacing w:val="-2"/>
              </w:rPr>
              <w:t xml:space="preserve">będzie </w:t>
            </w:r>
            <w:r w:rsidRPr="004F512A">
              <w:rPr>
                <w:rFonts w:ascii="Times New Roman" w:hAnsi="Times New Roman"/>
                <w:color w:val="000000"/>
                <w:spacing w:val="-2"/>
              </w:rPr>
              <w:t xml:space="preserve">podlegał opiniowaniu przez reprezentatywne organizacje pracodawców. </w:t>
            </w:r>
          </w:p>
          <w:p w14:paraId="0F4B4818" w14:textId="6F01A951" w:rsidR="008B2D3F" w:rsidRPr="004F512A" w:rsidRDefault="008B2D3F"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Projekt </w:t>
            </w:r>
            <w:r w:rsidR="00BD3B94" w:rsidRPr="004F512A">
              <w:rPr>
                <w:rFonts w:ascii="Times New Roman" w:hAnsi="Times New Roman"/>
                <w:color w:val="000000"/>
                <w:spacing w:val="-2"/>
              </w:rPr>
              <w:t>zostanie poddany</w:t>
            </w:r>
            <w:r w:rsidRPr="004F512A">
              <w:rPr>
                <w:rFonts w:ascii="Times New Roman" w:hAnsi="Times New Roman"/>
                <w:color w:val="000000"/>
                <w:spacing w:val="-2"/>
              </w:rPr>
              <w:t xml:space="preserve"> opiniowaniu przez Komisję Wspólną Rządu i Samorządu Terytorialnego, gdyż </w:t>
            </w:r>
            <w:r w:rsidR="00BD3B94" w:rsidRPr="004F512A">
              <w:rPr>
                <w:rFonts w:ascii="Times New Roman" w:hAnsi="Times New Roman"/>
                <w:color w:val="000000"/>
                <w:spacing w:val="-2"/>
              </w:rPr>
              <w:t xml:space="preserve">może </w:t>
            </w:r>
            <w:r w:rsidRPr="004F512A">
              <w:rPr>
                <w:rFonts w:ascii="Times New Roman" w:hAnsi="Times New Roman"/>
                <w:color w:val="000000"/>
                <w:spacing w:val="-2"/>
              </w:rPr>
              <w:t>dotyczy</w:t>
            </w:r>
            <w:r w:rsidR="00BD3B94" w:rsidRPr="004F512A">
              <w:rPr>
                <w:rFonts w:ascii="Times New Roman" w:hAnsi="Times New Roman"/>
                <w:color w:val="000000"/>
                <w:spacing w:val="-2"/>
              </w:rPr>
              <w:t>ć</w:t>
            </w:r>
            <w:r w:rsidRPr="004F512A">
              <w:rPr>
                <w:rFonts w:ascii="Times New Roman" w:hAnsi="Times New Roman"/>
                <w:color w:val="000000"/>
                <w:spacing w:val="-2"/>
              </w:rPr>
              <w:t xml:space="preserve"> spraw związanych z samorządem terytorialnym, o których mowa w ustawie z dnia 6 maja 2005 r. o Komisji Wspólnej Rządu i Samorządu Terytorialnego oraz o przedstawicielach Rzeczypospolitej Polskiej w Komitecie Regionów Unii Europejskiej. </w:t>
            </w:r>
          </w:p>
          <w:p w14:paraId="56198521" w14:textId="420D5711" w:rsidR="008B2D3F" w:rsidRPr="004F512A" w:rsidRDefault="008B2D3F"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Projekt nie dotyczy spraw, o których mowa w art. 1 ustawy z dnia 24 lipca 2015 r. o Radzie Dialogu Społecznego i innych instytucji dialogu społecznego, wobec czego nie </w:t>
            </w:r>
            <w:r w:rsidR="00BD3B94" w:rsidRPr="004F512A">
              <w:rPr>
                <w:rFonts w:ascii="Times New Roman" w:hAnsi="Times New Roman"/>
                <w:color w:val="000000"/>
                <w:spacing w:val="-2"/>
              </w:rPr>
              <w:t xml:space="preserve">będzie </w:t>
            </w:r>
            <w:r w:rsidRPr="004F512A">
              <w:rPr>
                <w:rFonts w:ascii="Times New Roman" w:hAnsi="Times New Roman"/>
                <w:color w:val="000000"/>
                <w:spacing w:val="-2"/>
              </w:rPr>
              <w:t>wymagał zaopiniowania przez RDS.</w:t>
            </w:r>
          </w:p>
          <w:p w14:paraId="2C15169C" w14:textId="0AD18018" w:rsidR="008B2D3F" w:rsidRPr="004F512A" w:rsidRDefault="008B2D3F" w:rsidP="008B2D3F">
            <w:pPr>
              <w:spacing w:line="240" w:lineRule="auto"/>
              <w:jc w:val="both"/>
              <w:rPr>
                <w:rFonts w:ascii="Times New Roman" w:hAnsi="Times New Roman"/>
                <w:color w:val="000000"/>
                <w:spacing w:val="-2"/>
              </w:rPr>
            </w:pPr>
            <w:r w:rsidRPr="004F512A">
              <w:rPr>
                <w:rFonts w:ascii="Times New Roman" w:hAnsi="Times New Roman"/>
                <w:color w:val="000000"/>
                <w:spacing w:val="-2"/>
              </w:rPr>
              <w:t>Projekt</w:t>
            </w:r>
            <w:r w:rsidR="00454973">
              <w:rPr>
                <w:rFonts w:ascii="Times New Roman" w:hAnsi="Times New Roman"/>
                <w:color w:val="000000"/>
                <w:spacing w:val="-2"/>
              </w:rPr>
              <w:t xml:space="preserve"> </w:t>
            </w:r>
            <w:r w:rsidR="0031454E">
              <w:rPr>
                <w:rFonts w:ascii="Times New Roman" w:hAnsi="Times New Roman"/>
                <w:color w:val="000000"/>
                <w:spacing w:val="-2"/>
              </w:rPr>
              <w:t xml:space="preserve">ustawy </w:t>
            </w:r>
            <w:r w:rsidRPr="004F512A">
              <w:rPr>
                <w:rFonts w:ascii="Times New Roman" w:hAnsi="Times New Roman"/>
                <w:color w:val="000000"/>
                <w:spacing w:val="-2"/>
              </w:rPr>
              <w:t xml:space="preserve">nie </w:t>
            </w:r>
            <w:r w:rsidR="00BD3B94" w:rsidRPr="004F512A">
              <w:rPr>
                <w:rFonts w:ascii="Times New Roman" w:hAnsi="Times New Roman"/>
                <w:color w:val="000000"/>
                <w:spacing w:val="-2"/>
              </w:rPr>
              <w:t xml:space="preserve">będzie </w:t>
            </w:r>
            <w:r w:rsidRPr="004F512A">
              <w:rPr>
                <w:rFonts w:ascii="Times New Roman" w:hAnsi="Times New Roman"/>
                <w:color w:val="000000"/>
                <w:spacing w:val="-2"/>
              </w:rPr>
              <w:t>wymagał przedstawienia właściwym instytucjom i organom Unii Europejskiej, w tym Europejskiemu Bankowi Centralnemu, celem uzyskania opinii, dokonania powiadomienia, konsultacji albo uzgodnienia projektu.</w:t>
            </w:r>
          </w:p>
          <w:p w14:paraId="16902F5D" w14:textId="14D205AA" w:rsidR="006A701A" w:rsidRPr="004F512A" w:rsidRDefault="008B2D3F" w:rsidP="00B37C80">
            <w:pPr>
              <w:spacing w:line="240" w:lineRule="auto"/>
              <w:jc w:val="both"/>
              <w:rPr>
                <w:rFonts w:ascii="Times New Roman" w:hAnsi="Times New Roman"/>
                <w:color w:val="000000"/>
                <w:spacing w:val="-2"/>
              </w:rPr>
            </w:pPr>
            <w:r w:rsidRPr="004F512A">
              <w:rPr>
                <w:rFonts w:ascii="Times New Roman" w:hAnsi="Times New Roman"/>
                <w:color w:val="000000"/>
                <w:spacing w:val="-2"/>
              </w:rPr>
              <w:t>Wyniki opiniowania i konsultacji publicznych zosta</w:t>
            </w:r>
            <w:r w:rsidR="00BD3B94" w:rsidRPr="004F512A">
              <w:rPr>
                <w:rFonts w:ascii="Times New Roman" w:hAnsi="Times New Roman"/>
                <w:color w:val="000000"/>
                <w:spacing w:val="-2"/>
              </w:rPr>
              <w:t>ną</w:t>
            </w:r>
            <w:r w:rsidRPr="004F512A">
              <w:rPr>
                <w:rFonts w:ascii="Times New Roman" w:hAnsi="Times New Roman"/>
                <w:color w:val="000000"/>
                <w:spacing w:val="-2"/>
              </w:rPr>
              <w:t xml:space="preserve"> omówione w raporcie z opiniowania i konsultacji publicznych udostępnionym na stronie Rządowego Centrum Legislacji, w zakładce Rządowy Proces Legislacyjny.</w:t>
            </w:r>
          </w:p>
          <w:p w14:paraId="3475C732" w14:textId="77777777" w:rsidR="006A701A" w:rsidRPr="004F512A" w:rsidRDefault="006A701A" w:rsidP="00B37C80">
            <w:pPr>
              <w:spacing w:line="240" w:lineRule="auto"/>
              <w:jc w:val="both"/>
              <w:rPr>
                <w:rFonts w:ascii="Times New Roman" w:hAnsi="Times New Roman"/>
                <w:color w:val="000000"/>
                <w:spacing w:val="-2"/>
              </w:rPr>
            </w:pPr>
          </w:p>
        </w:tc>
      </w:tr>
      <w:tr w:rsidR="006A701A" w:rsidRPr="004F512A" w14:paraId="1975F0BD" w14:textId="77777777" w:rsidTr="00DE4C3A">
        <w:trPr>
          <w:trHeight w:val="363"/>
        </w:trPr>
        <w:tc>
          <w:tcPr>
            <w:tcW w:w="11086" w:type="dxa"/>
            <w:gridSpan w:val="29"/>
            <w:shd w:val="clear" w:color="auto" w:fill="99CCFF"/>
            <w:vAlign w:val="center"/>
          </w:tcPr>
          <w:p w14:paraId="12F699C6" w14:textId="77777777" w:rsidR="006A701A" w:rsidRPr="004F512A" w:rsidRDefault="006A701A" w:rsidP="0072636A">
            <w:pPr>
              <w:numPr>
                <w:ilvl w:val="0"/>
                <w:numId w:val="3"/>
              </w:numPr>
              <w:spacing w:before="60" w:after="60" w:line="240" w:lineRule="auto"/>
              <w:ind w:left="318" w:hanging="284"/>
              <w:jc w:val="both"/>
              <w:rPr>
                <w:rFonts w:ascii="Times New Roman" w:hAnsi="Times New Roman"/>
                <w:b/>
                <w:color w:val="000000"/>
              </w:rPr>
            </w:pPr>
            <w:r w:rsidRPr="004F512A">
              <w:rPr>
                <w:rFonts w:ascii="Times New Roman" w:hAnsi="Times New Roman"/>
                <w:b/>
                <w:color w:val="000000"/>
              </w:rPr>
              <w:lastRenderedPageBreak/>
              <w:t xml:space="preserve"> Wpływ na sektor finansów publicznych</w:t>
            </w:r>
          </w:p>
        </w:tc>
      </w:tr>
      <w:tr w:rsidR="00260F33" w:rsidRPr="004F512A" w14:paraId="2C88E7B3" w14:textId="77777777" w:rsidTr="00DE4C3A">
        <w:trPr>
          <w:trHeight w:val="142"/>
        </w:trPr>
        <w:tc>
          <w:tcPr>
            <w:tcW w:w="3133" w:type="dxa"/>
            <w:gridSpan w:val="4"/>
            <w:vMerge w:val="restart"/>
            <w:shd w:val="clear" w:color="auto" w:fill="FFFFFF"/>
          </w:tcPr>
          <w:p w14:paraId="5CA131CA" w14:textId="77777777" w:rsidR="00260F33" w:rsidRPr="004F512A" w:rsidRDefault="00821717" w:rsidP="00821717">
            <w:pPr>
              <w:spacing w:before="40" w:after="40"/>
              <w:rPr>
                <w:rFonts w:ascii="Times New Roman" w:hAnsi="Times New Roman"/>
                <w:i/>
                <w:color w:val="000000"/>
              </w:rPr>
            </w:pPr>
            <w:r w:rsidRPr="004F512A">
              <w:rPr>
                <w:rFonts w:ascii="Times New Roman" w:hAnsi="Times New Roman"/>
                <w:color w:val="000000"/>
              </w:rPr>
              <w:t xml:space="preserve">(ceny </w:t>
            </w:r>
            <w:r w:rsidR="00CF5F4F" w:rsidRPr="004F512A">
              <w:rPr>
                <w:rFonts w:ascii="Times New Roman" w:hAnsi="Times New Roman"/>
                <w:color w:val="000000"/>
              </w:rPr>
              <w:t>stałe</w:t>
            </w:r>
            <w:r w:rsidRPr="004F512A">
              <w:rPr>
                <w:rFonts w:ascii="Times New Roman" w:hAnsi="Times New Roman"/>
                <w:color w:val="000000"/>
              </w:rPr>
              <w:t xml:space="preserve"> z …… r.)</w:t>
            </w:r>
          </w:p>
        </w:tc>
        <w:tc>
          <w:tcPr>
            <w:tcW w:w="7953" w:type="dxa"/>
            <w:gridSpan w:val="25"/>
            <w:shd w:val="clear" w:color="auto" w:fill="FFFFFF"/>
          </w:tcPr>
          <w:p w14:paraId="2EFFF5E4" w14:textId="77777777" w:rsidR="00260F33" w:rsidRPr="004F512A" w:rsidRDefault="00260F33" w:rsidP="00260F33">
            <w:pPr>
              <w:spacing w:before="40" w:after="40" w:line="240" w:lineRule="auto"/>
              <w:jc w:val="center"/>
              <w:rPr>
                <w:rFonts w:ascii="Times New Roman" w:hAnsi="Times New Roman"/>
                <w:i/>
                <w:color w:val="000000"/>
                <w:spacing w:val="-2"/>
              </w:rPr>
            </w:pPr>
            <w:r w:rsidRPr="004F512A">
              <w:rPr>
                <w:rFonts w:ascii="Times New Roman" w:hAnsi="Times New Roman"/>
                <w:color w:val="000000"/>
              </w:rPr>
              <w:t>Skutki w okresie 10 lat od wejścia w życie zmian [</w:t>
            </w:r>
            <w:r w:rsidR="00A056CB" w:rsidRPr="004F512A">
              <w:rPr>
                <w:rFonts w:ascii="Times New Roman" w:hAnsi="Times New Roman"/>
                <w:color w:val="000000"/>
              </w:rPr>
              <w:t xml:space="preserve">mln </w:t>
            </w:r>
            <w:r w:rsidRPr="004F512A">
              <w:rPr>
                <w:rFonts w:ascii="Times New Roman" w:hAnsi="Times New Roman"/>
                <w:color w:val="000000"/>
              </w:rPr>
              <w:t>zł]</w:t>
            </w:r>
          </w:p>
        </w:tc>
      </w:tr>
      <w:tr w:rsidR="0057668E" w:rsidRPr="004F512A" w14:paraId="32C6D8EA" w14:textId="77777777" w:rsidTr="00DE4C3A">
        <w:trPr>
          <w:trHeight w:val="142"/>
        </w:trPr>
        <w:tc>
          <w:tcPr>
            <w:tcW w:w="3133" w:type="dxa"/>
            <w:gridSpan w:val="4"/>
            <w:vMerge/>
            <w:shd w:val="clear" w:color="auto" w:fill="FFFFFF"/>
          </w:tcPr>
          <w:p w14:paraId="1B2D7687" w14:textId="77777777" w:rsidR="0057668E" w:rsidRPr="004F512A" w:rsidRDefault="0057668E" w:rsidP="00A52ADB">
            <w:pPr>
              <w:spacing w:before="40" w:after="40" w:line="240" w:lineRule="auto"/>
              <w:rPr>
                <w:rFonts w:ascii="Times New Roman" w:hAnsi="Times New Roman"/>
                <w:i/>
                <w:color w:val="000000"/>
              </w:rPr>
            </w:pPr>
          </w:p>
        </w:tc>
        <w:tc>
          <w:tcPr>
            <w:tcW w:w="569" w:type="dxa"/>
            <w:gridSpan w:val="2"/>
            <w:shd w:val="clear" w:color="auto" w:fill="FFFFFF"/>
          </w:tcPr>
          <w:p w14:paraId="3A28CADF" w14:textId="77777777" w:rsidR="0057668E" w:rsidRPr="004F512A" w:rsidRDefault="0057668E" w:rsidP="001D6A3C">
            <w:pPr>
              <w:spacing w:line="240" w:lineRule="auto"/>
              <w:jc w:val="center"/>
              <w:rPr>
                <w:rFonts w:ascii="Times New Roman" w:hAnsi="Times New Roman"/>
                <w:color w:val="000000"/>
              </w:rPr>
            </w:pPr>
            <w:r w:rsidRPr="004F512A">
              <w:rPr>
                <w:rFonts w:ascii="Times New Roman" w:hAnsi="Times New Roman"/>
                <w:color w:val="000000"/>
              </w:rPr>
              <w:t>0</w:t>
            </w:r>
          </w:p>
        </w:tc>
        <w:tc>
          <w:tcPr>
            <w:tcW w:w="570" w:type="dxa"/>
            <w:gridSpan w:val="2"/>
            <w:shd w:val="clear" w:color="auto" w:fill="FFFFFF"/>
          </w:tcPr>
          <w:p w14:paraId="49FB9ED5" w14:textId="77777777" w:rsidR="0057668E" w:rsidRPr="004F512A" w:rsidRDefault="0057668E" w:rsidP="001D6A3C">
            <w:pPr>
              <w:spacing w:line="240" w:lineRule="auto"/>
              <w:jc w:val="center"/>
              <w:rPr>
                <w:rFonts w:ascii="Times New Roman" w:hAnsi="Times New Roman"/>
                <w:color w:val="000000"/>
              </w:rPr>
            </w:pPr>
            <w:r w:rsidRPr="004F512A">
              <w:rPr>
                <w:rFonts w:ascii="Times New Roman" w:hAnsi="Times New Roman"/>
                <w:color w:val="000000"/>
              </w:rPr>
              <w:t>1</w:t>
            </w:r>
          </w:p>
        </w:tc>
        <w:tc>
          <w:tcPr>
            <w:tcW w:w="570" w:type="dxa"/>
            <w:gridSpan w:val="2"/>
            <w:shd w:val="clear" w:color="auto" w:fill="FFFFFF"/>
          </w:tcPr>
          <w:p w14:paraId="550938B4" w14:textId="77777777" w:rsidR="0057668E" w:rsidRPr="004F512A" w:rsidRDefault="0057668E" w:rsidP="001D6A3C">
            <w:pPr>
              <w:spacing w:line="240" w:lineRule="auto"/>
              <w:jc w:val="center"/>
              <w:rPr>
                <w:rFonts w:ascii="Times New Roman" w:hAnsi="Times New Roman"/>
                <w:color w:val="000000"/>
              </w:rPr>
            </w:pPr>
            <w:r w:rsidRPr="004F512A">
              <w:rPr>
                <w:rFonts w:ascii="Times New Roman" w:hAnsi="Times New Roman"/>
                <w:color w:val="000000"/>
              </w:rPr>
              <w:t>2</w:t>
            </w:r>
          </w:p>
        </w:tc>
        <w:tc>
          <w:tcPr>
            <w:tcW w:w="569" w:type="dxa"/>
            <w:gridSpan w:val="3"/>
            <w:shd w:val="clear" w:color="auto" w:fill="FFFFFF"/>
          </w:tcPr>
          <w:p w14:paraId="5DD13DBC" w14:textId="77777777" w:rsidR="0057668E" w:rsidRPr="004F512A" w:rsidRDefault="0057668E" w:rsidP="001D6A3C">
            <w:pPr>
              <w:spacing w:line="240" w:lineRule="auto"/>
              <w:jc w:val="center"/>
              <w:rPr>
                <w:rFonts w:ascii="Times New Roman" w:hAnsi="Times New Roman"/>
                <w:color w:val="000000"/>
              </w:rPr>
            </w:pPr>
            <w:r w:rsidRPr="004F512A">
              <w:rPr>
                <w:rFonts w:ascii="Times New Roman" w:hAnsi="Times New Roman"/>
                <w:color w:val="000000"/>
              </w:rPr>
              <w:t>3</w:t>
            </w:r>
          </w:p>
        </w:tc>
        <w:tc>
          <w:tcPr>
            <w:tcW w:w="570" w:type="dxa"/>
            <w:gridSpan w:val="2"/>
            <w:shd w:val="clear" w:color="auto" w:fill="FFFFFF"/>
          </w:tcPr>
          <w:p w14:paraId="3F3A482A" w14:textId="77777777" w:rsidR="0057668E" w:rsidRPr="004F512A" w:rsidRDefault="0057668E" w:rsidP="001D6A3C">
            <w:pPr>
              <w:spacing w:line="240" w:lineRule="auto"/>
              <w:jc w:val="center"/>
              <w:rPr>
                <w:rFonts w:ascii="Times New Roman" w:hAnsi="Times New Roman"/>
                <w:color w:val="000000"/>
              </w:rPr>
            </w:pPr>
            <w:r w:rsidRPr="004F512A">
              <w:rPr>
                <w:rFonts w:ascii="Times New Roman" w:hAnsi="Times New Roman"/>
                <w:color w:val="000000"/>
              </w:rPr>
              <w:t>4</w:t>
            </w:r>
          </w:p>
        </w:tc>
        <w:tc>
          <w:tcPr>
            <w:tcW w:w="570" w:type="dxa"/>
            <w:shd w:val="clear" w:color="auto" w:fill="FFFFFF"/>
          </w:tcPr>
          <w:p w14:paraId="39EF3831" w14:textId="77777777" w:rsidR="0057668E" w:rsidRPr="004F512A" w:rsidRDefault="0057668E" w:rsidP="001D6A3C">
            <w:pPr>
              <w:spacing w:line="240" w:lineRule="auto"/>
              <w:jc w:val="center"/>
              <w:rPr>
                <w:rFonts w:ascii="Times New Roman" w:hAnsi="Times New Roman"/>
                <w:color w:val="000000"/>
              </w:rPr>
            </w:pPr>
            <w:r w:rsidRPr="004F512A">
              <w:rPr>
                <w:rFonts w:ascii="Times New Roman" w:hAnsi="Times New Roman"/>
                <w:color w:val="000000"/>
              </w:rPr>
              <w:t>5</w:t>
            </w:r>
          </w:p>
        </w:tc>
        <w:tc>
          <w:tcPr>
            <w:tcW w:w="570" w:type="dxa"/>
            <w:gridSpan w:val="3"/>
            <w:shd w:val="clear" w:color="auto" w:fill="FFFFFF"/>
          </w:tcPr>
          <w:p w14:paraId="294B8DD6" w14:textId="77777777" w:rsidR="0057668E" w:rsidRPr="004F512A" w:rsidRDefault="0057668E" w:rsidP="001D6A3C">
            <w:pPr>
              <w:spacing w:line="240" w:lineRule="auto"/>
              <w:jc w:val="center"/>
              <w:rPr>
                <w:rFonts w:ascii="Times New Roman" w:hAnsi="Times New Roman"/>
                <w:color w:val="000000"/>
              </w:rPr>
            </w:pPr>
            <w:r w:rsidRPr="004F512A">
              <w:rPr>
                <w:rFonts w:ascii="Times New Roman" w:hAnsi="Times New Roman"/>
                <w:color w:val="000000"/>
              </w:rPr>
              <w:t>6</w:t>
            </w:r>
          </w:p>
        </w:tc>
        <w:tc>
          <w:tcPr>
            <w:tcW w:w="569" w:type="dxa"/>
            <w:gridSpan w:val="3"/>
            <w:shd w:val="clear" w:color="auto" w:fill="FFFFFF"/>
          </w:tcPr>
          <w:p w14:paraId="528D2302" w14:textId="77777777" w:rsidR="0057668E" w:rsidRPr="004F512A" w:rsidRDefault="0057668E" w:rsidP="001D6A3C">
            <w:pPr>
              <w:spacing w:line="240" w:lineRule="auto"/>
              <w:jc w:val="center"/>
              <w:rPr>
                <w:rFonts w:ascii="Times New Roman" w:hAnsi="Times New Roman"/>
                <w:color w:val="000000"/>
              </w:rPr>
            </w:pPr>
            <w:r w:rsidRPr="004F512A">
              <w:rPr>
                <w:rFonts w:ascii="Times New Roman" w:hAnsi="Times New Roman"/>
                <w:color w:val="000000"/>
              </w:rPr>
              <w:t>7</w:t>
            </w:r>
          </w:p>
        </w:tc>
        <w:tc>
          <w:tcPr>
            <w:tcW w:w="570" w:type="dxa"/>
            <w:gridSpan w:val="2"/>
            <w:shd w:val="clear" w:color="auto" w:fill="FFFFFF"/>
          </w:tcPr>
          <w:p w14:paraId="0B84DC85" w14:textId="77777777" w:rsidR="0057668E" w:rsidRPr="004F512A" w:rsidRDefault="0057668E" w:rsidP="001D6A3C">
            <w:pPr>
              <w:spacing w:line="240" w:lineRule="auto"/>
              <w:jc w:val="center"/>
              <w:rPr>
                <w:rFonts w:ascii="Times New Roman" w:hAnsi="Times New Roman"/>
                <w:color w:val="000000"/>
              </w:rPr>
            </w:pPr>
            <w:r w:rsidRPr="004F512A">
              <w:rPr>
                <w:rFonts w:ascii="Times New Roman" w:hAnsi="Times New Roman"/>
                <w:color w:val="000000"/>
              </w:rPr>
              <w:t>8</w:t>
            </w:r>
          </w:p>
        </w:tc>
        <w:tc>
          <w:tcPr>
            <w:tcW w:w="570" w:type="dxa"/>
            <w:gridSpan w:val="2"/>
            <w:shd w:val="clear" w:color="auto" w:fill="FFFFFF"/>
          </w:tcPr>
          <w:p w14:paraId="030C972A" w14:textId="77777777" w:rsidR="0057668E" w:rsidRPr="004F512A" w:rsidRDefault="0057668E" w:rsidP="001D6A3C">
            <w:pPr>
              <w:spacing w:line="240" w:lineRule="auto"/>
              <w:jc w:val="center"/>
              <w:rPr>
                <w:rFonts w:ascii="Times New Roman" w:hAnsi="Times New Roman"/>
                <w:color w:val="000000"/>
              </w:rPr>
            </w:pPr>
            <w:r w:rsidRPr="004F512A">
              <w:rPr>
                <w:rFonts w:ascii="Times New Roman" w:hAnsi="Times New Roman"/>
                <w:color w:val="000000"/>
              </w:rPr>
              <w:t>9</w:t>
            </w:r>
          </w:p>
        </w:tc>
        <w:tc>
          <w:tcPr>
            <w:tcW w:w="570" w:type="dxa"/>
            <w:shd w:val="clear" w:color="auto" w:fill="FFFFFF"/>
          </w:tcPr>
          <w:p w14:paraId="150FC641" w14:textId="77777777" w:rsidR="0057668E" w:rsidRPr="004F512A" w:rsidRDefault="0057668E" w:rsidP="001D6A3C">
            <w:pPr>
              <w:spacing w:line="240" w:lineRule="auto"/>
              <w:jc w:val="center"/>
              <w:rPr>
                <w:rFonts w:ascii="Times New Roman" w:hAnsi="Times New Roman"/>
                <w:color w:val="000000"/>
              </w:rPr>
            </w:pPr>
            <w:r w:rsidRPr="004F512A">
              <w:rPr>
                <w:rFonts w:ascii="Times New Roman" w:hAnsi="Times New Roman"/>
                <w:color w:val="000000"/>
              </w:rPr>
              <w:t>10</w:t>
            </w:r>
          </w:p>
        </w:tc>
        <w:tc>
          <w:tcPr>
            <w:tcW w:w="1686" w:type="dxa"/>
            <w:gridSpan w:val="2"/>
            <w:shd w:val="clear" w:color="auto" w:fill="FFFFFF"/>
          </w:tcPr>
          <w:p w14:paraId="19357499" w14:textId="77777777" w:rsidR="0057668E" w:rsidRPr="004F512A" w:rsidRDefault="0057668E" w:rsidP="00A52ADB">
            <w:pPr>
              <w:spacing w:before="40" w:after="40" w:line="240" w:lineRule="auto"/>
              <w:jc w:val="center"/>
              <w:rPr>
                <w:rFonts w:ascii="Times New Roman" w:hAnsi="Times New Roman"/>
                <w:i/>
                <w:color w:val="000000"/>
                <w:spacing w:val="-2"/>
              </w:rPr>
            </w:pPr>
            <w:r w:rsidRPr="004F512A">
              <w:rPr>
                <w:rFonts w:ascii="Times New Roman" w:hAnsi="Times New Roman"/>
                <w:i/>
                <w:color w:val="000000"/>
                <w:spacing w:val="-2"/>
              </w:rPr>
              <w:t>Łącznie</w:t>
            </w:r>
            <w:r w:rsidR="00CF5F4F" w:rsidRPr="004F512A">
              <w:rPr>
                <w:rFonts w:ascii="Times New Roman" w:hAnsi="Times New Roman"/>
                <w:i/>
                <w:color w:val="000000"/>
                <w:spacing w:val="-2"/>
              </w:rPr>
              <w:t xml:space="preserve"> (0-10)</w:t>
            </w:r>
          </w:p>
        </w:tc>
      </w:tr>
      <w:tr w:rsidR="0057668E" w:rsidRPr="004F512A" w14:paraId="1C1A667A" w14:textId="77777777" w:rsidTr="00DE4C3A">
        <w:trPr>
          <w:trHeight w:val="321"/>
        </w:trPr>
        <w:tc>
          <w:tcPr>
            <w:tcW w:w="3133" w:type="dxa"/>
            <w:gridSpan w:val="4"/>
            <w:shd w:val="clear" w:color="auto" w:fill="FFFFFF"/>
            <w:vAlign w:val="center"/>
          </w:tcPr>
          <w:p w14:paraId="117C5FDA" w14:textId="77777777" w:rsidR="0057668E" w:rsidRPr="004F512A" w:rsidRDefault="0057668E" w:rsidP="00C53F26">
            <w:pPr>
              <w:spacing w:line="240" w:lineRule="auto"/>
              <w:rPr>
                <w:rFonts w:ascii="Times New Roman" w:hAnsi="Times New Roman"/>
                <w:color w:val="000000"/>
              </w:rPr>
            </w:pPr>
            <w:r w:rsidRPr="004F512A">
              <w:rPr>
                <w:rFonts w:ascii="Times New Roman" w:hAnsi="Times New Roman"/>
                <w:b/>
                <w:color w:val="000000"/>
              </w:rPr>
              <w:t>Dochody ogółem</w:t>
            </w:r>
          </w:p>
        </w:tc>
        <w:tc>
          <w:tcPr>
            <w:tcW w:w="569" w:type="dxa"/>
            <w:gridSpan w:val="2"/>
            <w:shd w:val="clear" w:color="auto" w:fill="FFFFFF"/>
          </w:tcPr>
          <w:p w14:paraId="6B75F5AD"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275ED2A1"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7BC329CD"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092789F9"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4CE4C988"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00144977" w14:textId="77777777" w:rsidR="0057668E" w:rsidRPr="004F512A" w:rsidRDefault="0057668E" w:rsidP="009107FD">
            <w:pPr>
              <w:spacing w:line="240" w:lineRule="auto"/>
              <w:rPr>
                <w:rFonts w:ascii="Times New Roman" w:hAnsi="Times New Roman"/>
                <w:color w:val="000000"/>
              </w:rPr>
            </w:pPr>
          </w:p>
        </w:tc>
        <w:tc>
          <w:tcPr>
            <w:tcW w:w="570" w:type="dxa"/>
            <w:gridSpan w:val="3"/>
            <w:shd w:val="clear" w:color="auto" w:fill="FFFFFF"/>
          </w:tcPr>
          <w:p w14:paraId="255312A7"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7EFF61E3"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265B4B69"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1768BE0F"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285000CB" w14:textId="77777777" w:rsidR="0057668E" w:rsidRPr="004F512A" w:rsidRDefault="0057668E" w:rsidP="009107FD">
            <w:pPr>
              <w:spacing w:line="240" w:lineRule="auto"/>
              <w:rPr>
                <w:rFonts w:ascii="Times New Roman" w:hAnsi="Times New Roman"/>
                <w:color w:val="000000"/>
              </w:rPr>
            </w:pPr>
          </w:p>
        </w:tc>
        <w:tc>
          <w:tcPr>
            <w:tcW w:w="1686" w:type="dxa"/>
            <w:gridSpan w:val="2"/>
            <w:shd w:val="clear" w:color="auto" w:fill="FFFFFF"/>
          </w:tcPr>
          <w:p w14:paraId="203B4031" w14:textId="77777777" w:rsidR="0057668E" w:rsidRPr="004F512A" w:rsidRDefault="0057668E" w:rsidP="009107FD">
            <w:pPr>
              <w:spacing w:line="240" w:lineRule="auto"/>
              <w:rPr>
                <w:rFonts w:ascii="Times New Roman" w:hAnsi="Times New Roman"/>
                <w:color w:val="000000"/>
                <w:spacing w:val="-2"/>
              </w:rPr>
            </w:pPr>
          </w:p>
        </w:tc>
      </w:tr>
      <w:tr w:rsidR="0057668E" w:rsidRPr="004F512A" w14:paraId="743A4DEC" w14:textId="77777777" w:rsidTr="00DE4C3A">
        <w:trPr>
          <w:trHeight w:val="321"/>
        </w:trPr>
        <w:tc>
          <w:tcPr>
            <w:tcW w:w="3133" w:type="dxa"/>
            <w:gridSpan w:val="4"/>
            <w:shd w:val="clear" w:color="auto" w:fill="FFFFFF"/>
            <w:vAlign w:val="center"/>
          </w:tcPr>
          <w:p w14:paraId="3BDA2585" w14:textId="77777777" w:rsidR="0057668E" w:rsidRPr="004F512A" w:rsidRDefault="0057668E" w:rsidP="00C53F26">
            <w:pPr>
              <w:spacing w:line="240" w:lineRule="auto"/>
              <w:rPr>
                <w:rFonts w:ascii="Times New Roman" w:hAnsi="Times New Roman"/>
                <w:color w:val="000000"/>
              </w:rPr>
            </w:pPr>
            <w:r w:rsidRPr="004F512A">
              <w:rPr>
                <w:rFonts w:ascii="Times New Roman" w:hAnsi="Times New Roman"/>
                <w:color w:val="000000"/>
              </w:rPr>
              <w:t>budżet państwa</w:t>
            </w:r>
          </w:p>
        </w:tc>
        <w:tc>
          <w:tcPr>
            <w:tcW w:w="569" w:type="dxa"/>
            <w:gridSpan w:val="2"/>
            <w:shd w:val="clear" w:color="auto" w:fill="FFFFFF"/>
          </w:tcPr>
          <w:p w14:paraId="3ADE38EE"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7A3AE596"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4086B79C"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0B3EA8ED"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7DE349FC"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139A4A1A" w14:textId="77777777" w:rsidR="0057668E" w:rsidRPr="004F512A" w:rsidRDefault="0057668E" w:rsidP="009107FD">
            <w:pPr>
              <w:spacing w:line="240" w:lineRule="auto"/>
              <w:rPr>
                <w:rFonts w:ascii="Times New Roman" w:hAnsi="Times New Roman"/>
                <w:color w:val="000000"/>
              </w:rPr>
            </w:pPr>
          </w:p>
        </w:tc>
        <w:tc>
          <w:tcPr>
            <w:tcW w:w="570" w:type="dxa"/>
            <w:gridSpan w:val="3"/>
            <w:shd w:val="clear" w:color="auto" w:fill="FFFFFF"/>
          </w:tcPr>
          <w:p w14:paraId="21197D2C"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69E3BD86"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60EAB4E4"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272A684B"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20EFDA71" w14:textId="77777777" w:rsidR="0057668E" w:rsidRPr="004F512A" w:rsidRDefault="0057668E" w:rsidP="009107FD">
            <w:pPr>
              <w:spacing w:line="240" w:lineRule="auto"/>
              <w:rPr>
                <w:rFonts w:ascii="Times New Roman" w:hAnsi="Times New Roman"/>
                <w:color w:val="000000"/>
              </w:rPr>
            </w:pPr>
          </w:p>
        </w:tc>
        <w:tc>
          <w:tcPr>
            <w:tcW w:w="1686" w:type="dxa"/>
            <w:gridSpan w:val="2"/>
            <w:shd w:val="clear" w:color="auto" w:fill="FFFFFF"/>
          </w:tcPr>
          <w:p w14:paraId="2C9BE8AF" w14:textId="77777777" w:rsidR="0057668E" w:rsidRPr="004F512A" w:rsidRDefault="0057668E" w:rsidP="009107FD">
            <w:pPr>
              <w:spacing w:line="240" w:lineRule="auto"/>
              <w:rPr>
                <w:rFonts w:ascii="Times New Roman" w:hAnsi="Times New Roman"/>
                <w:color w:val="000000"/>
                <w:spacing w:val="-2"/>
              </w:rPr>
            </w:pPr>
          </w:p>
        </w:tc>
      </w:tr>
      <w:tr w:rsidR="0057668E" w:rsidRPr="004F512A" w14:paraId="1604F5DE" w14:textId="77777777" w:rsidTr="00DE4C3A">
        <w:trPr>
          <w:trHeight w:val="344"/>
        </w:trPr>
        <w:tc>
          <w:tcPr>
            <w:tcW w:w="3133" w:type="dxa"/>
            <w:gridSpan w:val="4"/>
            <w:shd w:val="clear" w:color="auto" w:fill="FFFFFF"/>
            <w:vAlign w:val="center"/>
          </w:tcPr>
          <w:p w14:paraId="7BCC5A74" w14:textId="77777777" w:rsidR="0057668E" w:rsidRPr="004F512A" w:rsidRDefault="0057668E" w:rsidP="00C53F26">
            <w:pPr>
              <w:spacing w:line="240" w:lineRule="auto"/>
              <w:rPr>
                <w:rFonts w:ascii="Times New Roman" w:hAnsi="Times New Roman"/>
                <w:color w:val="000000"/>
              </w:rPr>
            </w:pPr>
            <w:r w:rsidRPr="004F512A">
              <w:rPr>
                <w:rFonts w:ascii="Times New Roman" w:hAnsi="Times New Roman"/>
                <w:color w:val="000000"/>
              </w:rPr>
              <w:t>JST</w:t>
            </w:r>
          </w:p>
        </w:tc>
        <w:tc>
          <w:tcPr>
            <w:tcW w:w="569" w:type="dxa"/>
            <w:gridSpan w:val="2"/>
            <w:shd w:val="clear" w:color="auto" w:fill="FFFFFF"/>
          </w:tcPr>
          <w:p w14:paraId="69B720EE" w14:textId="77777777" w:rsidR="0057668E" w:rsidRPr="004F512A" w:rsidRDefault="0057668E" w:rsidP="000B54FB">
            <w:pPr>
              <w:spacing w:line="240" w:lineRule="auto"/>
              <w:rPr>
                <w:rFonts w:ascii="Times New Roman" w:hAnsi="Times New Roman"/>
                <w:color w:val="000000"/>
              </w:rPr>
            </w:pPr>
          </w:p>
        </w:tc>
        <w:tc>
          <w:tcPr>
            <w:tcW w:w="570" w:type="dxa"/>
            <w:gridSpan w:val="2"/>
            <w:shd w:val="clear" w:color="auto" w:fill="FFFFFF"/>
          </w:tcPr>
          <w:p w14:paraId="31772FFD" w14:textId="77777777" w:rsidR="0057668E" w:rsidRPr="004F512A" w:rsidRDefault="0057668E" w:rsidP="000B54FB">
            <w:pPr>
              <w:spacing w:line="240" w:lineRule="auto"/>
              <w:rPr>
                <w:rFonts w:ascii="Times New Roman" w:hAnsi="Times New Roman"/>
                <w:color w:val="000000"/>
              </w:rPr>
            </w:pPr>
          </w:p>
        </w:tc>
        <w:tc>
          <w:tcPr>
            <w:tcW w:w="570" w:type="dxa"/>
            <w:gridSpan w:val="2"/>
            <w:shd w:val="clear" w:color="auto" w:fill="FFFFFF"/>
          </w:tcPr>
          <w:p w14:paraId="4478DB78" w14:textId="77777777" w:rsidR="0057668E" w:rsidRPr="004F512A" w:rsidRDefault="0057668E" w:rsidP="000B54FB">
            <w:pPr>
              <w:spacing w:line="240" w:lineRule="auto"/>
              <w:rPr>
                <w:rFonts w:ascii="Times New Roman" w:hAnsi="Times New Roman"/>
                <w:color w:val="000000"/>
              </w:rPr>
            </w:pPr>
          </w:p>
        </w:tc>
        <w:tc>
          <w:tcPr>
            <w:tcW w:w="569" w:type="dxa"/>
            <w:gridSpan w:val="3"/>
            <w:shd w:val="clear" w:color="auto" w:fill="FFFFFF"/>
          </w:tcPr>
          <w:p w14:paraId="6B886D46" w14:textId="77777777" w:rsidR="0057668E" w:rsidRPr="004F512A" w:rsidRDefault="0057668E" w:rsidP="000B54FB">
            <w:pPr>
              <w:spacing w:line="240" w:lineRule="auto"/>
              <w:rPr>
                <w:rFonts w:ascii="Times New Roman" w:hAnsi="Times New Roman"/>
                <w:color w:val="000000"/>
              </w:rPr>
            </w:pPr>
          </w:p>
        </w:tc>
        <w:tc>
          <w:tcPr>
            <w:tcW w:w="570" w:type="dxa"/>
            <w:gridSpan w:val="2"/>
            <w:shd w:val="clear" w:color="auto" w:fill="FFFFFF"/>
          </w:tcPr>
          <w:p w14:paraId="6BD4F8BC" w14:textId="77777777" w:rsidR="0057668E" w:rsidRPr="004F512A" w:rsidRDefault="0057668E" w:rsidP="000B54FB">
            <w:pPr>
              <w:spacing w:line="240" w:lineRule="auto"/>
              <w:rPr>
                <w:rFonts w:ascii="Times New Roman" w:hAnsi="Times New Roman"/>
                <w:color w:val="000000"/>
              </w:rPr>
            </w:pPr>
          </w:p>
        </w:tc>
        <w:tc>
          <w:tcPr>
            <w:tcW w:w="570" w:type="dxa"/>
            <w:shd w:val="clear" w:color="auto" w:fill="FFFFFF"/>
          </w:tcPr>
          <w:p w14:paraId="64572A1F" w14:textId="77777777" w:rsidR="0057668E" w:rsidRPr="004F512A" w:rsidRDefault="0057668E" w:rsidP="000B54FB">
            <w:pPr>
              <w:spacing w:line="240" w:lineRule="auto"/>
              <w:rPr>
                <w:rFonts w:ascii="Times New Roman" w:hAnsi="Times New Roman"/>
                <w:color w:val="000000"/>
              </w:rPr>
            </w:pPr>
          </w:p>
        </w:tc>
        <w:tc>
          <w:tcPr>
            <w:tcW w:w="570" w:type="dxa"/>
            <w:gridSpan w:val="3"/>
            <w:shd w:val="clear" w:color="auto" w:fill="FFFFFF"/>
          </w:tcPr>
          <w:p w14:paraId="7EF7E1C4" w14:textId="77777777" w:rsidR="0057668E" w:rsidRPr="004F512A" w:rsidRDefault="0057668E" w:rsidP="000B54FB">
            <w:pPr>
              <w:spacing w:line="240" w:lineRule="auto"/>
              <w:rPr>
                <w:rFonts w:ascii="Times New Roman" w:hAnsi="Times New Roman"/>
                <w:color w:val="000000"/>
              </w:rPr>
            </w:pPr>
          </w:p>
        </w:tc>
        <w:tc>
          <w:tcPr>
            <w:tcW w:w="569" w:type="dxa"/>
            <w:gridSpan w:val="3"/>
            <w:shd w:val="clear" w:color="auto" w:fill="FFFFFF"/>
          </w:tcPr>
          <w:p w14:paraId="069D1BBC" w14:textId="77777777" w:rsidR="0057668E" w:rsidRPr="004F512A" w:rsidRDefault="0057668E" w:rsidP="000B54FB">
            <w:pPr>
              <w:spacing w:line="240" w:lineRule="auto"/>
              <w:rPr>
                <w:rFonts w:ascii="Times New Roman" w:hAnsi="Times New Roman"/>
                <w:color w:val="000000"/>
              </w:rPr>
            </w:pPr>
          </w:p>
        </w:tc>
        <w:tc>
          <w:tcPr>
            <w:tcW w:w="570" w:type="dxa"/>
            <w:gridSpan w:val="2"/>
            <w:shd w:val="clear" w:color="auto" w:fill="FFFFFF"/>
          </w:tcPr>
          <w:p w14:paraId="543DB4C4" w14:textId="77777777" w:rsidR="0057668E" w:rsidRPr="004F512A" w:rsidRDefault="0057668E" w:rsidP="000B54FB">
            <w:pPr>
              <w:spacing w:line="240" w:lineRule="auto"/>
              <w:rPr>
                <w:rFonts w:ascii="Times New Roman" w:hAnsi="Times New Roman"/>
                <w:color w:val="000000"/>
              </w:rPr>
            </w:pPr>
          </w:p>
        </w:tc>
        <w:tc>
          <w:tcPr>
            <w:tcW w:w="570" w:type="dxa"/>
            <w:gridSpan w:val="2"/>
            <w:shd w:val="clear" w:color="auto" w:fill="FFFFFF"/>
          </w:tcPr>
          <w:p w14:paraId="5E4CA941" w14:textId="77777777" w:rsidR="0057668E" w:rsidRPr="004F512A" w:rsidRDefault="0057668E" w:rsidP="000B54FB">
            <w:pPr>
              <w:spacing w:line="240" w:lineRule="auto"/>
              <w:rPr>
                <w:rFonts w:ascii="Times New Roman" w:hAnsi="Times New Roman"/>
                <w:color w:val="000000"/>
              </w:rPr>
            </w:pPr>
          </w:p>
        </w:tc>
        <w:tc>
          <w:tcPr>
            <w:tcW w:w="570" w:type="dxa"/>
            <w:shd w:val="clear" w:color="auto" w:fill="FFFFFF"/>
          </w:tcPr>
          <w:p w14:paraId="3E060B97" w14:textId="77777777" w:rsidR="0057668E" w:rsidRPr="004F512A" w:rsidRDefault="0057668E" w:rsidP="000B54FB">
            <w:pPr>
              <w:spacing w:line="240" w:lineRule="auto"/>
              <w:rPr>
                <w:rFonts w:ascii="Times New Roman" w:hAnsi="Times New Roman"/>
                <w:color w:val="000000"/>
              </w:rPr>
            </w:pPr>
          </w:p>
        </w:tc>
        <w:tc>
          <w:tcPr>
            <w:tcW w:w="1686" w:type="dxa"/>
            <w:gridSpan w:val="2"/>
            <w:shd w:val="clear" w:color="auto" w:fill="FFFFFF"/>
          </w:tcPr>
          <w:p w14:paraId="08F765B1" w14:textId="77777777" w:rsidR="0057668E" w:rsidRPr="004F512A" w:rsidRDefault="0057668E" w:rsidP="000B54FB">
            <w:pPr>
              <w:spacing w:line="240" w:lineRule="auto"/>
              <w:rPr>
                <w:rFonts w:ascii="Times New Roman" w:hAnsi="Times New Roman"/>
                <w:color w:val="000000"/>
              </w:rPr>
            </w:pPr>
          </w:p>
        </w:tc>
      </w:tr>
      <w:tr w:rsidR="0057668E" w:rsidRPr="004F512A" w14:paraId="672BA364" w14:textId="77777777" w:rsidTr="00DE4C3A">
        <w:trPr>
          <w:trHeight w:val="344"/>
        </w:trPr>
        <w:tc>
          <w:tcPr>
            <w:tcW w:w="3133" w:type="dxa"/>
            <w:gridSpan w:val="4"/>
            <w:shd w:val="clear" w:color="auto" w:fill="FFFFFF"/>
            <w:vAlign w:val="center"/>
          </w:tcPr>
          <w:p w14:paraId="575912D3" w14:textId="77777777" w:rsidR="0057668E" w:rsidRPr="004F512A" w:rsidRDefault="0057668E" w:rsidP="00C53F26">
            <w:pPr>
              <w:spacing w:line="240" w:lineRule="auto"/>
              <w:rPr>
                <w:rFonts w:ascii="Times New Roman" w:hAnsi="Times New Roman"/>
                <w:color w:val="000000"/>
              </w:rPr>
            </w:pPr>
            <w:r w:rsidRPr="004F512A">
              <w:rPr>
                <w:rFonts w:ascii="Times New Roman" w:hAnsi="Times New Roman"/>
                <w:color w:val="000000"/>
              </w:rPr>
              <w:t>pozostałe jednostki (oddzielnie)</w:t>
            </w:r>
          </w:p>
        </w:tc>
        <w:tc>
          <w:tcPr>
            <w:tcW w:w="569" w:type="dxa"/>
            <w:gridSpan w:val="2"/>
            <w:shd w:val="clear" w:color="auto" w:fill="FFFFFF"/>
          </w:tcPr>
          <w:p w14:paraId="0F3405F1" w14:textId="77777777" w:rsidR="0057668E" w:rsidRPr="004F512A" w:rsidRDefault="0057668E" w:rsidP="000B54FB">
            <w:pPr>
              <w:spacing w:line="240" w:lineRule="auto"/>
              <w:rPr>
                <w:rFonts w:ascii="Times New Roman" w:hAnsi="Times New Roman"/>
                <w:color w:val="000000"/>
              </w:rPr>
            </w:pPr>
          </w:p>
        </w:tc>
        <w:tc>
          <w:tcPr>
            <w:tcW w:w="570" w:type="dxa"/>
            <w:gridSpan w:val="2"/>
            <w:shd w:val="clear" w:color="auto" w:fill="FFFFFF"/>
          </w:tcPr>
          <w:p w14:paraId="59D4A77F" w14:textId="77777777" w:rsidR="0057668E" w:rsidRPr="004F512A" w:rsidRDefault="0057668E" w:rsidP="000B54FB">
            <w:pPr>
              <w:spacing w:line="240" w:lineRule="auto"/>
              <w:rPr>
                <w:rFonts w:ascii="Times New Roman" w:hAnsi="Times New Roman"/>
                <w:color w:val="000000"/>
              </w:rPr>
            </w:pPr>
          </w:p>
        </w:tc>
        <w:tc>
          <w:tcPr>
            <w:tcW w:w="570" w:type="dxa"/>
            <w:gridSpan w:val="2"/>
            <w:shd w:val="clear" w:color="auto" w:fill="FFFFFF"/>
          </w:tcPr>
          <w:p w14:paraId="4E2A8EC6" w14:textId="77777777" w:rsidR="0057668E" w:rsidRPr="004F512A" w:rsidRDefault="0057668E" w:rsidP="000B54FB">
            <w:pPr>
              <w:spacing w:line="240" w:lineRule="auto"/>
              <w:rPr>
                <w:rFonts w:ascii="Times New Roman" w:hAnsi="Times New Roman"/>
                <w:color w:val="000000"/>
              </w:rPr>
            </w:pPr>
          </w:p>
        </w:tc>
        <w:tc>
          <w:tcPr>
            <w:tcW w:w="569" w:type="dxa"/>
            <w:gridSpan w:val="3"/>
            <w:shd w:val="clear" w:color="auto" w:fill="FFFFFF"/>
          </w:tcPr>
          <w:p w14:paraId="51B42163" w14:textId="77777777" w:rsidR="0057668E" w:rsidRPr="004F512A" w:rsidRDefault="0057668E" w:rsidP="000B54FB">
            <w:pPr>
              <w:spacing w:line="240" w:lineRule="auto"/>
              <w:rPr>
                <w:rFonts w:ascii="Times New Roman" w:hAnsi="Times New Roman"/>
                <w:color w:val="000000"/>
              </w:rPr>
            </w:pPr>
          </w:p>
        </w:tc>
        <w:tc>
          <w:tcPr>
            <w:tcW w:w="570" w:type="dxa"/>
            <w:gridSpan w:val="2"/>
            <w:shd w:val="clear" w:color="auto" w:fill="FFFFFF"/>
          </w:tcPr>
          <w:p w14:paraId="0671BC8B" w14:textId="77777777" w:rsidR="0057668E" w:rsidRPr="004F512A" w:rsidRDefault="0057668E" w:rsidP="000B54FB">
            <w:pPr>
              <w:spacing w:line="240" w:lineRule="auto"/>
              <w:rPr>
                <w:rFonts w:ascii="Times New Roman" w:hAnsi="Times New Roman"/>
                <w:color w:val="000000"/>
              </w:rPr>
            </w:pPr>
          </w:p>
        </w:tc>
        <w:tc>
          <w:tcPr>
            <w:tcW w:w="570" w:type="dxa"/>
            <w:shd w:val="clear" w:color="auto" w:fill="FFFFFF"/>
          </w:tcPr>
          <w:p w14:paraId="545AD159" w14:textId="77777777" w:rsidR="0057668E" w:rsidRPr="004F512A" w:rsidRDefault="0057668E" w:rsidP="000B54FB">
            <w:pPr>
              <w:spacing w:line="240" w:lineRule="auto"/>
              <w:rPr>
                <w:rFonts w:ascii="Times New Roman" w:hAnsi="Times New Roman"/>
                <w:color w:val="000000"/>
              </w:rPr>
            </w:pPr>
          </w:p>
        </w:tc>
        <w:tc>
          <w:tcPr>
            <w:tcW w:w="570" w:type="dxa"/>
            <w:gridSpan w:val="3"/>
            <w:shd w:val="clear" w:color="auto" w:fill="FFFFFF"/>
          </w:tcPr>
          <w:p w14:paraId="3B1E2DA8" w14:textId="77777777" w:rsidR="0057668E" w:rsidRPr="004F512A" w:rsidRDefault="0057668E" w:rsidP="000B54FB">
            <w:pPr>
              <w:spacing w:line="240" w:lineRule="auto"/>
              <w:rPr>
                <w:rFonts w:ascii="Times New Roman" w:hAnsi="Times New Roman"/>
                <w:color w:val="000000"/>
              </w:rPr>
            </w:pPr>
          </w:p>
        </w:tc>
        <w:tc>
          <w:tcPr>
            <w:tcW w:w="569" w:type="dxa"/>
            <w:gridSpan w:val="3"/>
            <w:shd w:val="clear" w:color="auto" w:fill="FFFFFF"/>
          </w:tcPr>
          <w:p w14:paraId="0FCA5635" w14:textId="77777777" w:rsidR="0057668E" w:rsidRPr="004F512A" w:rsidRDefault="0057668E" w:rsidP="000B54FB">
            <w:pPr>
              <w:spacing w:line="240" w:lineRule="auto"/>
              <w:rPr>
                <w:rFonts w:ascii="Times New Roman" w:hAnsi="Times New Roman"/>
                <w:color w:val="000000"/>
              </w:rPr>
            </w:pPr>
          </w:p>
        </w:tc>
        <w:tc>
          <w:tcPr>
            <w:tcW w:w="570" w:type="dxa"/>
            <w:gridSpan w:val="2"/>
            <w:shd w:val="clear" w:color="auto" w:fill="FFFFFF"/>
          </w:tcPr>
          <w:p w14:paraId="6059F05D" w14:textId="77777777" w:rsidR="0057668E" w:rsidRPr="004F512A" w:rsidRDefault="0057668E" w:rsidP="000B54FB">
            <w:pPr>
              <w:spacing w:line="240" w:lineRule="auto"/>
              <w:rPr>
                <w:rFonts w:ascii="Times New Roman" w:hAnsi="Times New Roman"/>
                <w:color w:val="000000"/>
              </w:rPr>
            </w:pPr>
          </w:p>
        </w:tc>
        <w:tc>
          <w:tcPr>
            <w:tcW w:w="570" w:type="dxa"/>
            <w:gridSpan w:val="2"/>
            <w:shd w:val="clear" w:color="auto" w:fill="FFFFFF"/>
          </w:tcPr>
          <w:p w14:paraId="75671A11" w14:textId="77777777" w:rsidR="0057668E" w:rsidRPr="004F512A" w:rsidRDefault="0057668E" w:rsidP="000B54FB">
            <w:pPr>
              <w:spacing w:line="240" w:lineRule="auto"/>
              <w:rPr>
                <w:rFonts w:ascii="Times New Roman" w:hAnsi="Times New Roman"/>
                <w:color w:val="000000"/>
              </w:rPr>
            </w:pPr>
          </w:p>
        </w:tc>
        <w:tc>
          <w:tcPr>
            <w:tcW w:w="570" w:type="dxa"/>
            <w:shd w:val="clear" w:color="auto" w:fill="FFFFFF"/>
          </w:tcPr>
          <w:p w14:paraId="0F5FE8CD" w14:textId="77777777" w:rsidR="0057668E" w:rsidRPr="004F512A" w:rsidRDefault="0057668E" w:rsidP="000B54FB">
            <w:pPr>
              <w:spacing w:line="240" w:lineRule="auto"/>
              <w:rPr>
                <w:rFonts w:ascii="Times New Roman" w:hAnsi="Times New Roman"/>
                <w:color w:val="000000"/>
              </w:rPr>
            </w:pPr>
          </w:p>
        </w:tc>
        <w:tc>
          <w:tcPr>
            <w:tcW w:w="1686" w:type="dxa"/>
            <w:gridSpan w:val="2"/>
            <w:shd w:val="clear" w:color="auto" w:fill="FFFFFF"/>
          </w:tcPr>
          <w:p w14:paraId="6D72C63A" w14:textId="77777777" w:rsidR="0057668E" w:rsidRPr="004F512A" w:rsidRDefault="0057668E" w:rsidP="000B54FB">
            <w:pPr>
              <w:spacing w:line="240" w:lineRule="auto"/>
              <w:rPr>
                <w:rFonts w:ascii="Times New Roman" w:hAnsi="Times New Roman"/>
                <w:color w:val="000000"/>
              </w:rPr>
            </w:pPr>
          </w:p>
        </w:tc>
      </w:tr>
      <w:tr w:rsidR="0057668E" w:rsidRPr="004F512A" w14:paraId="357B822B" w14:textId="77777777" w:rsidTr="00DE4C3A">
        <w:trPr>
          <w:trHeight w:val="330"/>
        </w:trPr>
        <w:tc>
          <w:tcPr>
            <w:tcW w:w="3133" w:type="dxa"/>
            <w:gridSpan w:val="4"/>
            <w:shd w:val="clear" w:color="auto" w:fill="FFFFFF"/>
            <w:vAlign w:val="center"/>
          </w:tcPr>
          <w:p w14:paraId="10282B24" w14:textId="77777777" w:rsidR="0057668E" w:rsidRPr="004F512A" w:rsidRDefault="0057668E" w:rsidP="00C53F26">
            <w:pPr>
              <w:spacing w:line="240" w:lineRule="auto"/>
              <w:rPr>
                <w:rFonts w:ascii="Times New Roman" w:hAnsi="Times New Roman"/>
                <w:color w:val="000000"/>
              </w:rPr>
            </w:pPr>
            <w:r w:rsidRPr="004F512A">
              <w:rPr>
                <w:rFonts w:ascii="Times New Roman" w:hAnsi="Times New Roman"/>
                <w:b/>
                <w:color w:val="000000"/>
              </w:rPr>
              <w:t>Wydatki ogółem</w:t>
            </w:r>
          </w:p>
        </w:tc>
        <w:tc>
          <w:tcPr>
            <w:tcW w:w="569" w:type="dxa"/>
            <w:gridSpan w:val="2"/>
            <w:shd w:val="clear" w:color="auto" w:fill="FFFFFF"/>
          </w:tcPr>
          <w:p w14:paraId="700BC88F"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0F1A16E7"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76ED669E"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0C86BF47"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2864AE48"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397ECF6E" w14:textId="77777777" w:rsidR="0057668E" w:rsidRPr="004F512A" w:rsidRDefault="0057668E" w:rsidP="009107FD">
            <w:pPr>
              <w:spacing w:line="240" w:lineRule="auto"/>
              <w:rPr>
                <w:rFonts w:ascii="Times New Roman" w:hAnsi="Times New Roman"/>
                <w:color w:val="000000"/>
              </w:rPr>
            </w:pPr>
          </w:p>
        </w:tc>
        <w:tc>
          <w:tcPr>
            <w:tcW w:w="570" w:type="dxa"/>
            <w:gridSpan w:val="3"/>
            <w:shd w:val="clear" w:color="auto" w:fill="FFFFFF"/>
          </w:tcPr>
          <w:p w14:paraId="50E88F8B"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04D7A682"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601B88FD"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1B6341DB"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49E23045" w14:textId="77777777" w:rsidR="0057668E" w:rsidRPr="004F512A" w:rsidRDefault="0057668E" w:rsidP="009107FD">
            <w:pPr>
              <w:spacing w:line="240" w:lineRule="auto"/>
              <w:rPr>
                <w:rFonts w:ascii="Times New Roman" w:hAnsi="Times New Roman"/>
                <w:color w:val="000000"/>
              </w:rPr>
            </w:pPr>
          </w:p>
        </w:tc>
        <w:tc>
          <w:tcPr>
            <w:tcW w:w="1686" w:type="dxa"/>
            <w:gridSpan w:val="2"/>
            <w:shd w:val="clear" w:color="auto" w:fill="FFFFFF"/>
          </w:tcPr>
          <w:p w14:paraId="0562AC60" w14:textId="77777777" w:rsidR="0057668E" w:rsidRPr="004F512A" w:rsidRDefault="0057668E" w:rsidP="009107FD">
            <w:pPr>
              <w:spacing w:line="240" w:lineRule="auto"/>
              <w:rPr>
                <w:rFonts w:ascii="Times New Roman" w:hAnsi="Times New Roman"/>
                <w:color w:val="000000"/>
              </w:rPr>
            </w:pPr>
          </w:p>
        </w:tc>
      </w:tr>
      <w:tr w:rsidR="0057668E" w:rsidRPr="004F512A" w14:paraId="63B85B9C" w14:textId="77777777" w:rsidTr="00DE4C3A">
        <w:trPr>
          <w:trHeight w:val="330"/>
        </w:trPr>
        <w:tc>
          <w:tcPr>
            <w:tcW w:w="3133" w:type="dxa"/>
            <w:gridSpan w:val="4"/>
            <w:shd w:val="clear" w:color="auto" w:fill="FFFFFF"/>
            <w:vAlign w:val="center"/>
          </w:tcPr>
          <w:p w14:paraId="5E3D744D" w14:textId="77777777" w:rsidR="0057668E" w:rsidRPr="004F512A" w:rsidRDefault="0057668E" w:rsidP="00C53F26">
            <w:pPr>
              <w:spacing w:line="240" w:lineRule="auto"/>
              <w:rPr>
                <w:rFonts w:ascii="Times New Roman" w:hAnsi="Times New Roman"/>
                <w:color w:val="000000"/>
              </w:rPr>
            </w:pPr>
            <w:r w:rsidRPr="004F512A">
              <w:rPr>
                <w:rFonts w:ascii="Times New Roman" w:hAnsi="Times New Roman"/>
                <w:color w:val="000000"/>
              </w:rPr>
              <w:t>budżet państwa</w:t>
            </w:r>
          </w:p>
        </w:tc>
        <w:tc>
          <w:tcPr>
            <w:tcW w:w="569" w:type="dxa"/>
            <w:gridSpan w:val="2"/>
            <w:shd w:val="clear" w:color="auto" w:fill="FFFFFF"/>
          </w:tcPr>
          <w:p w14:paraId="76A38F27"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7BB7BB8F"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52A34878"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5D20169B"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3310318B"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0F49774B" w14:textId="77777777" w:rsidR="0057668E" w:rsidRPr="004F512A" w:rsidRDefault="0057668E" w:rsidP="009107FD">
            <w:pPr>
              <w:spacing w:line="240" w:lineRule="auto"/>
              <w:rPr>
                <w:rFonts w:ascii="Times New Roman" w:hAnsi="Times New Roman"/>
                <w:color w:val="000000"/>
              </w:rPr>
            </w:pPr>
          </w:p>
        </w:tc>
        <w:tc>
          <w:tcPr>
            <w:tcW w:w="570" w:type="dxa"/>
            <w:gridSpan w:val="3"/>
            <w:shd w:val="clear" w:color="auto" w:fill="FFFFFF"/>
          </w:tcPr>
          <w:p w14:paraId="10722AE7"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06E48B4E"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08C0E956"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6BC42BFB"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5FD82EAC" w14:textId="77777777" w:rsidR="0057668E" w:rsidRPr="004F512A" w:rsidRDefault="0057668E" w:rsidP="009107FD">
            <w:pPr>
              <w:spacing w:line="240" w:lineRule="auto"/>
              <w:rPr>
                <w:rFonts w:ascii="Times New Roman" w:hAnsi="Times New Roman"/>
                <w:color w:val="000000"/>
              </w:rPr>
            </w:pPr>
          </w:p>
        </w:tc>
        <w:tc>
          <w:tcPr>
            <w:tcW w:w="1686" w:type="dxa"/>
            <w:gridSpan w:val="2"/>
            <w:shd w:val="clear" w:color="auto" w:fill="FFFFFF"/>
          </w:tcPr>
          <w:p w14:paraId="03836B4F" w14:textId="77777777" w:rsidR="0057668E" w:rsidRPr="004F512A" w:rsidRDefault="0057668E" w:rsidP="009107FD">
            <w:pPr>
              <w:spacing w:line="240" w:lineRule="auto"/>
              <w:rPr>
                <w:rFonts w:ascii="Times New Roman" w:hAnsi="Times New Roman"/>
                <w:color w:val="000000"/>
              </w:rPr>
            </w:pPr>
          </w:p>
        </w:tc>
      </w:tr>
      <w:tr w:rsidR="0057668E" w:rsidRPr="004F512A" w14:paraId="26C5B7AB" w14:textId="77777777" w:rsidTr="00DE4C3A">
        <w:trPr>
          <w:trHeight w:val="351"/>
        </w:trPr>
        <w:tc>
          <w:tcPr>
            <w:tcW w:w="3133" w:type="dxa"/>
            <w:gridSpan w:val="4"/>
            <w:shd w:val="clear" w:color="auto" w:fill="FFFFFF"/>
            <w:vAlign w:val="center"/>
          </w:tcPr>
          <w:p w14:paraId="329F6C6E" w14:textId="77777777" w:rsidR="0057668E" w:rsidRPr="004F512A" w:rsidRDefault="0057668E" w:rsidP="00C53F26">
            <w:pPr>
              <w:spacing w:line="240" w:lineRule="auto"/>
              <w:rPr>
                <w:rFonts w:ascii="Times New Roman" w:hAnsi="Times New Roman"/>
                <w:color w:val="000000"/>
              </w:rPr>
            </w:pPr>
            <w:r w:rsidRPr="004F512A">
              <w:rPr>
                <w:rFonts w:ascii="Times New Roman" w:hAnsi="Times New Roman"/>
                <w:color w:val="000000"/>
              </w:rPr>
              <w:t>JST</w:t>
            </w:r>
          </w:p>
        </w:tc>
        <w:tc>
          <w:tcPr>
            <w:tcW w:w="569" w:type="dxa"/>
            <w:gridSpan w:val="2"/>
            <w:shd w:val="clear" w:color="auto" w:fill="FFFFFF"/>
          </w:tcPr>
          <w:p w14:paraId="290F7BFF"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5214BCC7"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009B01A7"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559B1199"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38FF01AF"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29F0797B" w14:textId="77777777" w:rsidR="0057668E" w:rsidRPr="004F512A" w:rsidRDefault="0057668E" w:rsidP="009107FD">
            <w:pPr>
              <w:spacing w:line="240" w:lineRule="auto"/>
              <w:rPr>
                <w:rFonts w:ascii="Times New Roman" w:hAnsi="Times New Roman"/>
                <w:color w:val="000000"/>
              </w:rPr>
            </w:pPr>
          </w:p>
        </w:tc>
        <w:tc>
          <w:tcPr>
            <w:tcW w:w="570" w:type="dxa"/>
            <w:gridSpan w:val="3"/>
            <w:shd w:val="clear" w:color="auto" w:fill="FFFFFF"/>
          </w:tcPr>
          <w:p w14:paraId="09713489"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56F91EDF"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2E222635"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6F2086E2"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4DE37ED1" w14:textId="77777777" w:rsidR="0057668E" w:rsidRPr="004F512A" w:rsidRDefault="0057668E" w:rsidP="009107FD">
            <w:pPr>
              <w:spacing w:line="240" w:lineRule="auto"/>
              <w:rPr>
                <w:rFonts w:ascii="Times New Roman" w:hAnsi="Times New Roman"/>
                <w:color w:val="000000"/>
              </w:rPr>
            </w:pPr>
          </w:p>
        </w:tc>
        <w:tc>
          <w:tcPr>
            <w:tcW w:w="1686" w:type="dxa"/>
            <w:gridSpan w:val="2"/>
            <w:shd w:val="clear" w:color="auto" w:fill="FFFFFF"/>
          </w:tcPr>
          <w:p w14:paraId="2B84F55D" w14:textId="77777777" w:rsidR="0057668E" w:rsidRPr="004F512A" w:rsidRDefault="0057668E" w:rsidP="009107FD">
            <w:pPr>
              <w:spacing w:line="240" w:lineRule="auto"/>
              <w:rPr>
                <w:rFonts w:ascii="Times New Roman" w:hAnsi="Times New Roman"/>
                <w:color w:val="000000"/>
              </w:rPr>
            </w:pPr>
          </w:p>
        </w:tc>
      </w:tr>
      <w:tr w:rsidR="0057668E" w:rsidRPr="004F512A" w14:paraId="02AE8F39" w14:textId="77777777" w:rsidTr="00DE4C3A">
        <w:trPr>
          <w:trHeight w:val="351"/>
        </w:trPr>
        <w:tc>
          <w:tcPr>
            <w:tcW w:w="3133" w:type="dxa"/>
            <w:gridSpan w:val="4"/>
            <w:shd w:val="clear" w:color="auto" w:fill="FFFFFF"/>
            <w:vAlign w:val="center"/>
          </w:tcPr>
          <w:p w14:paraId="0A23EE85" w14:textId="77777777" w:rsidR="0057668E" w:rsidRPr="004F512A" w:rsidRDefault="0057668E" w:rsidP="00C53F26">
            <w:pPr>
              <w:spacing w:line="240" w:lineRule="auto"/>
              <w:rPr>
                <w:rFonts w:ascii="Times New Roman" w:hAnsi="Times New Roman"/>
                <w:color w:val="000000"/>
              </w:rPr>
            </w:pPr>
            <w:r w:rsidRPr="004F512A">
              <w:rPr>
                <w:rFonts w:ascii="Times New Roman" w:hAnsi="Times New Roman"/>
                <w:color w:val="000000"/>
              </w:rPr>
              <w:t>pozostałe jednostki (oddzielnie)</w:t>
            </w:r>
          </w:p>
        </w:tc>
        <w:tc>
          <w:tcPr>
            <w:tcW w:w="569" w:type="dxa"/>
            <w:gridSpan w:val="2"/>
            <w:shd w:val="clear" w:color="auto" w:fill="FFFFFF"/>
          </w:tcPr>
          <w:p w14:paraId="1F821E2A"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5DCBED6C"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736042F7"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4EF5EBCD"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4B63EADE"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533626DB" w14:textId="77777777" w:rsidR="0057668E" w:rsidRPr="004F512A" w:rsidRDefault="0057668E" w:rsidP="009107FD">
            <w:pPr>
              <w:spacing w:line="240" w:lineRule="auto"/>
              <w:rPr>
                <w:rFonts w:ascii="Times New Roman" w:hAnsi="Times New Roman"/>
                <w:color w:val="000000"/>
              </w:rPr>
            </w:pPr>
          </w:p>
        </w:tc>
        <w:tc>
          <w:tcPr>
            <w:tcW w:w="570" w:type="dxa"/>
            <w:gridSpan w:val="3"/>
            <w:shd w:val="clear" w:color="auto" w:fill="FFFFFF"/>
          </w:tcPr>
          <w:p w14:paraId="5F7D8216"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6CF480B9"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7AFB2746"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101EA231"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0240EBB9" w14:textId="77777777" w:rsidR="0057668E" w:rsidRPr="004F512A" w:rsidRDefault="0057668E" w:rsidP="009107FD">
            <w:pPr>
              <w:spacing w:line="240" w:lineRule="auto"/>
              <w:rPr>
                <w:rFonts w:ascii="Times New Roman" w:hAnsi="Times New Roman"/>
                <w:color w:val="000000"/>
              </w:rPr>
            </w:pPr>
          </w:p>
        </w:tc>
        <w:tc>
          <w:tcPr>
            <w:tcW w:w="1686" w:type="dxa"/>
            <w:gridSpan w:val="2"/>
            <w:shd w:val="clear" w:color="auto" w:fill="FFFFFF"/>
          </w:tcPr>
          <w:p w14:paraId="0F9FDB59" w14:textId="77777777" w:rsidR="0057668E" w:rsidRPr="004F512A" w:rsidRDefault="0057668E" w:rsidP="009107FD">
            <w:pPr>
              <w:spacing w:line="240" w:lineRule="auto"/>
              <w:rPr>
                <w:rFonts w:ascii="Times New Roman" w:hAnsi="Times New Roman"/>
                <w:color w:val="000000"/>
              </w:rPr>
            </w:pPr>
          </w:p>
        </w:tc>
      </w:tr>
      <w:tr w:rsidR="0057668E" w:rsidRPr="004F512A" w14:paraId="411B166B" w14:textId="77777777" w:rsidTr="00DE4C3A">
        <w:trPr>
          <w:trHeight w:val="360"/>
        </w:trPr>
        <w:tc>
          <w:tcPr>
            <w:tcW w:w="3133" w:type="dxa"/>
            <w:gridSpan w:val="4"/>
            <w:shd w:val="clear" w:color="auto" w:fill="FFFFFF"/>
            <w:vAlign w:val="center"/>
          </w:tcPr>
          <w:p w14:paraId="7DB9366D" w14:textId="77777777" w:rsidR="0057668E" w:rsidRPr="004F512A" w:rsidRDefault="0057668E" w:rsidP="00C53F26">
            <w:pPr>
              <w:spacing w:line="240" w:lineRule="auto"/>
              <w:rPr>
                <w:rFonts w:ascii="Times New Roman" w:hAnsi="Times New Roman"/>
                <w:color w:val="000000"/>
              </w:rPr>
            </w:pPr>
            <w:r w:rsidRPr="004F512A">
              <w:rPr>
                <w:rFonts w:ascii="Times New Roman" w:hAnsi="Times New Roman"/>
                <w:b/>
                <w:color w:val="000000"/>
              </w:rPr>
              <w:t>Saldo ogółem</w:t>
            </w:r>
          </w:p>
        </w:tc>
        <w:tc>
          <w:tcPr>
            <w:tcW w:w="569" w:type="dxa"/>
            <w:gridSpan w:val="2"/>
            <w:shd w:val="clear" w:color="auto" w:fill="FFFFFF"/>
          </w:tcPr>
          <w:p w14:paraId="4569E0B2"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09DDE934"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21482FE2"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6961A938"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62A5CB6B"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0D79AE4D" w14:textId="77777777" w:rsidR="0057668E" w:rsidRPr="004F512A" w:rsidRDefault="0057668E" w:rsidP="009107FD">
            <w:pPr>
              <w:spacing w:line="240" w:lineRule="auto"/>
              <w:rPr>
                <w:rFonts w:ascii="Times New Roman" w:hAnsi="Times New Roman"/>
                <w:color w:val="000000"/>
              </w:rPr>
            </w:pPr>
          </w:p>
        </w:tc>
        <w:tc>
          <w:tcPr>
            <w:tcW w:w="570" w:type="dxa"/>
            <w:gridSpan w:val="3"/>
            <w:shd w:val="clear" w:color="auto" w:fill="FFFFFF"/>
          </w:tcPr>
          <w:p w14:paraId="10207F11"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49B76067"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1AFA3639"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0BFEE447"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4C883AC7" w14:textId="77777777" w:rsidR="0057668E" w:rsidRPr="004F512A" w:rsidRDefault="0057668E" w:rsidP="009107FD">
            <w:pPr>
              <w:spacing w:line="240" w:lineRule="auto"/>
              <w:rPr>
                <w:rFonts w:ascii="Times New Roman" w:hAnsi="Times New Roman"/>
                <w:color w:val="000000"/>
              </w:rPr>
            </w:pPr>
          </w:p>
        </w:tc>
        <w:tc>
          <w:tcPr>
            <w:tcW w:w="1686" w:type="dxa"/>
            <w:gridSpan w:val="2"/>
            <w:shd w:val="clear" w:color="auto" w:fill="FFFFFF"/>
          </w:tcPr>
          <w:p w14:paraId="2143CCF8" w14:textId="77777777" w:rsidR="0057668E" w:rsidRPr="004F512A" w:rsidRDefault="0057668E" w:rsidP="009107FD">
            <w:pPr>
              <w:spacing w:line="240" w:lineRule="auto"/>
              <w:rPr>
                <w:rFonts w:ascii="Times New Roman" w:hAnsi="Times New Roman"/>
                <w:color w:val="000000"/>
              </w:rPr>
            </w:pPr>
          </w:p>
        </w:tc>
      </w:tr>
      <w:tr w:rsidR="0057668E" w:rsidRPr="004F512A" w14:paraId="79643316" w14:textId="77777777" w:rsidTr="00DE4C3A">
        <w:trPr>
          <w:trHeight w:val="360"/>
        </w:trPr>
        <w:tc>
          <w:tcPr>
            <w:tcW w:w="3133" w:type="dxa"/>
            <w:gridSpan w:val="4"/>
            <w:shd w:val="clear" w:color="auto" w:fill="FFFFFF"/>
            <w:vAlign w:val="center"/>
          </w:tcPr>
          <w:p w14:paraId="4737D5EC" w14:textId="77777777" w:rsidR="0057668E" w:rsidRPr="004F512A" w:rsidRDefault="0057668E" w:rsidP="00C53F26">
            <w:pPr>
              <w:spacing w:line="240" w:lineRule="auto"/>
              <w:rPr>
                <w:rFonts w:ascii="Times New Roman" w:hAnsi="Times New Roman"/>
                <w:color w:val="000000"/>
              </w:rPr>
            </w:pPr>
            <w:r w:rsidRPr="004F512A">
              <w:rPr>
                <w:rFonts w:ascii="Times New Roman" w:hAnsi="Times New Roman"/>
                <w:color w:val="000000"/>
              </w:rPr>
              <w:t>budżet państwa</w:t>
            </w:r>
          </w:p>
        </w:tc>
        <w:tc>
          <w:tcPr>
            <w:tcW w:w="569" w:type="dxa"/>
            <w:gridSpan w:val="2"/>
            <w:shd w:val="clear" w:color="auto" w:fill="FFFFFF"/>
          </w:tcPr>
          <w:p w14:paraId="44168A69"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2FC8C985"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44E7B1F5"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07A2D827"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0D4B02F9"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11BDC3C8" w14:textId="77777777" w:rsidR="0057668E" w:rsidRPr="004F512A" w:rsidRDefault="0057668E" w:rsidP="009107FD">
            <w:pPr>
              <w:spacing w:line="240" w:lineRule="auto"/>
              <w:rPr>
                <w:rFonts w:ascii="Times New Roman" w:hAnsi="Times New Roman"/>
                <w:color w:val="000000"/>
              </w:rPr>
            </w:pPr>
          </w:p>
        </w:tc>
        <w:tc>
          <w:tcPr>
            <w:tcW w:w="570" w:type="dxa"/>
            <w:gridSpan w:val="3"/>
            <w:shd w:val="clear" w:color="auto" w:fill="FFFFFF"/>
          </w:tcPr>
          <w:p w14:paraId="380C8169"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52CD63FF"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2C821916"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1609269A"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781AB1F7" w14:textId="77777777" w:rsidR="0057668E" w:rsidRPr="004F512A" w:rsidRDefault="0057668E" w:rsidP="009107FD">
            <w:pPr>
              <w:spacing w:line="240" w:lineRule="auto"/>
              <w:rPr>
                <w:rFonts w:ascii="Times New Roman" w:hAnsi="Times New Roman"/>
                <w:color w:val="000000"/>
              </w:rPr>
            </w:pPr>
          </w:p>
        </w:tc>
        <w:tc>
          <w:tcPr>
            <w:tcW w:w="1686" w:type="dxa"/>
            <w:gridSpan w:val="2"/>
            <w:shd w:val="clear" w:color="auto" w:fill="FFFFFF"/>
          </w:tcPr>
          <w:p w14:paraId="332A50A2" w14:textId="77777777" w:rsidR="0057668E" w:rsidRPr="004F512A" w:rsidRDefault="0057668E" w:rsidP="009107FD">
            <w:pPr>
              <w:spacing w:line="240" w:lineRule="auto"/>
              <w:rPr>
                <w:rFonts w:ascii="Times New Roman" w:hAnsi="Times New Roman"/>
                <w:color w:val="000000"/>
              </w:rPr>
            </w:pPr>
          </w:p>
        </w:tc>
      </w:tr>
      <w:tr w:rsidR="0057668E" w:rsidRPr="004F512A" w14:paraId="283CBB02" w14:textId="77777777" w:rsidTr="00DE4C3A">
        <w:trPr>
          <w:trHeight w:val="357"/>
        </w:trPr>
        <w:tc>
          <w:tcPr>
            <w:tcW w:w="3133" w:type="dxa"/>
            <w:gridSpan w:val="4"/>
            <w:shd w:val="clear" w:color="auto" w:fill="FFFFFF"/>
            <w:vAlign w:val="center"/>
          </w:tcPr>
          <w:p w14:paraId="1408C3D6" w14:textId="77777777" w:rsidR="0057668E" w:rsidRPr="004F512A" w:rsidRDefault="0057668E" w:rsidP="00C53F26">
            <w:pPr>
              <w:spacing w:line="240" w:lineRule="auto"/>
              <w:rPr>
                <w:rFonts w:ascii="Times New Roman" w:hAnsi="Times New Roman"/>
                <w:color w:val="000000"/>
              </w:rPr>
            </w:pPr>
            <w:r w:rsidRPr="004F512A">
              <w:rPr>
                <w:rFonts w:ascii="Times New Roman" w:hAnsi="Times New Roman"/>
                <w:color w:val="000000"/>
              </w:rPr>
              <w:t>JST</w:t>
            </w:r>
          </w:p>
        </w:tc>
        <w:tc>
          <w:tcPr>
            <w:tcW w:w="569" w:type="dxa"/>
            <w:gridSpan w:val="2"/>
            <w:shd w:val="clear" w:color="auto" w:fill="FFFFFF"/>
          </w:tcPr>
          <w:p w14:paraId="2F4DB180"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529F3D49"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41FF05CB"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6F8E0247"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35FA4D36"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5E70EE5A" w14:textId="77777777" w:rsidR="0057668E" w:rsidRPr="004F512A" w:rsidRDefault="0057668E" w:rsidP="009107FD">
            <w:pPr>
              <w:spacing w:line="240" w:lineRule="auto"/>
              <w:rPr>
                <w:rFonts w:ascii="Times New Roman" w:hAnsi="Times New Roman"/>
                <w:color w:val="000000"/>
              </w:rPr>
            </w:pPr>
          </w:p>
        </w:tc>
        <w:tc>
          <w:tcPr>
            <w:tcW w:w="570" w:type="dxa"/>
            <w:gridSpan w:val="3"/>
            <w:shd w:val="clear" w:color="auto" w:fill="FFFFFF"/>
          </w:tcPr>
          <w:p w14:paraId="2D74D574"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762D860C"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4B7C826E"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02A48A69"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7D5E8674" w14:textId="77777777" w:rsidR="0057668E" w:rsidRPr="004F512A" w:rsidRDefault="0057668E" w:rsidP="009107FD">
            <w:pPr>
              <w:spacing w:line="240" w:lineRule="auto"/>
              <w:rPr>
                <w:rFonts w:ascii="Times New Roman" w:hAnsi="Times New Roman"/>
                <w:color w:val="000000"/>
              </w:rPr>
            </w:pPr>
          </w:p>
        </w:tc>
        <w:tc>
          <w:tcPr>
            <w:tcW w:w="1686" w:type="dxa"/>
            <w:gridSpan w:val="2"/>
            <w:shd w:val="clear" w:color="auto" w:fill="FFFFFF"/>
          </w:tcPr>
          <w:p w14:paraId="2E5905B5" w14:textId="77777777" w:rsidR="0057668E" w:rsidRPr="004F512A" w:rsidRDefault="0057668E" w:rsidP="009107FD">
            <w:pPr>
              <w:spacing w:line="240" w:lineRule="auto"/>
              <w:rPr>
                <w:rFonts w:ascii="Times New Roman" w:hAnsi="Times New Roman"/>
                <w:color w:val="000000"/>
              </w:rPr>
            </w:pPr>
          </w:p>
        </w:tc>
      </w:tr>
      <w:tr w:rsidR="0057668E" w:rsidRPr="004F512A" w14:paraId="7578B35A" w14:textId="77777777" w:rsidTr="00DE4C3A">
        <w:trPr>
          <w:trHeight w:val="357"/>
        </w:trPr>
        <w:tc>
          <w:tcPr>
            <w:tcW w:w="3133" w:type="dxa"/>
            <w:gridSpan w:val="4"/>
            <w:shd w:val="clear" w:color="auto" w:fill="FFFFFF"/>
            <w:vAlign w:val="center"/>
          </w:tcPr>
          <w:p w14:paraId="3CDF15CA" w14:textId="77777777" w:rsidR="0057668E" w:rsidRPr="004F512A" w:rsidRDefault="0057668E" w:rsidP="00C53F26">
            <w:pPr>
              <w:spacing w:line="240" w:lineRule="auto"/>
              <w:rPr>
                <w:rFonts w:ascii="Times New Roman" w:hAnsi="Times New Roman"/>
                <w:color w:val="000000"/>
              </w:rPr>
            </w:pPr>
            <w:r w:rsidRPr="004F512A">
              <w:rPr>
                <w:rFonts w:ascii="Times New Roman" w:hAnsi="Times New Roman"/>
                <w:color w:val="000000"/>
              </w:rPr>
              <w:t>pozostałe jednostki (oddzielnie)</w:t>
            </w:r>
          </w:p>
        </w:tc>
        <w:tc>
          <w:tcPr>
            <w:tcW w:w="569" w:type="dxa"/>
            <w:gridSpan w:val="2"/>
            <w:shd w:val="clear" w:color="auto" w:fill="FFFFFF"/>
          </w:tcPr>
          <w:p w14:paraId="5553CCF5"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0AEAC666"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6BC9E00A"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3AA4C72F"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5E7A311C"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10BAF39D" w14:textId="77777777" w:rsidR="0057668E" w:rsidRPr="004F512A" w:rsidRDefault="0057668E" w:rsidP="009107FD">
            <w:pPr>
              <w:spacing w:line="240" w:lineRule="auto"/>
              <w:rPr>
                <w:rFonts w:ascii="Times New Roman" w:hAnsi="Times New Roman"/>
                <w:color w:val="000000"/>
              </w:rPr>
            </w:pPr>
          </w:p>
        </w:tc>
        <w:tc>
          <w:tcPr>
            <w:tcW w:w="570" w:type="dxa"/>
            <w:gridSpan w:val="3"/>
            <w:shd w:val="clear" w:color="auto" w:fill="FFFFFF"/>
          </w:tcPr>
          <w:p w14:paraId="6F208BD9" w14:textId="77777777" w:rsidR="0057668E" w:rsidRPr="004F512A" w:rsidRDefault="0057668E" w:rsidP="009107FD">
            <w:pPr>
              <w:spacing w:line="240" w:lineRule="auto"/>
              <w:rPr>
                <w:rFonts w:ascii="Times New Roman" w:hAnsi="Times New Roman"/>
                <w:color w:val="000000"/>
              </w:rPr>
            </w:pPr>
          </w:p>
        </w:tc>
        <w:tc>
          <w:tcPr>
            <w:tcW w:w="569" w:type="dxa"/>
            <w:gridSpan w:val="3"/>
            <w:shd w:val="clear" w:color="auto" w:fill="FFFFFF"/>
          </w:tcPr>
          <w:p w14:paraId="4EA1FE6A"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37AA08A4" w14:textId="77777777" w:rsidR="0057668E" w:rsidRPr="004F512A" w:rsidRDefault="0057668E" w:rsidP="009107FD">
            <w:pPr>
              <w:spacing w:line="240" w:lineRule="auto"/>
              <w:rPr>
                <w:rFonts w:ascii="Times New Roman" w:hAnsi="Times New Roman"/>
                <w:color w:val="000000"/>
              </w:rPr>
            </w:pPr>
          </w:p>
        </w:tc>
        <w:tc>
          <w:tcPr>
            <w:tcW w:w="570" w:type="dxa"/>
            <w:gridSpan w:val="2"/>
            <w:shd w:val="clear" w:color="auto" w:fill="FFFFFF"/>
          </w:tcPr>
          <w:p w14:paraId="111A5725" w14:textId="77777777" w:rsidR="0057668E" w:rsidRPr="004F512A" w:rsidRDefault="0057668E" w:rsidP="009107FD">
            <w:pPr>
              <w:spacing w:line="240" w:lineRule="auto"/>
              <w:rPr>
                <w:rFonts w:ascii="Times New Roman" w:hAnsi="Times New Roman"/>
                <w:color w:val="000000"/>
              </w:rPr>
            </w:pPr>
          </w:p>
        </w:tc>
        <w:tc>
          <w:tcPr>
            <w:tcW w:w="570" w:type="dxa"/>
            <w:shd w:val="clear" w:color="auto" w:fill="FFFFFF"/>
          </w:tcPr>
          <w:p w14:paraId="3A8DD892" w14:textId="77777777" w:rsidR="0057668E" w:rsidRPr="004F512A" w:rsidRDefault="0057668E" w:rsidP="009107FD">
            <w:pPr>
              <w:spacing w:line="240" w:lineRule="auto"/>
              <w:rPr>
                <w:rFonts w:ascii="Times New Roman" w:hAnsi="Times New Roman"/>
                <w:color w:val="000000"/>
              </w:rPr>
            </w:pPr>
          </w:p>
        </w:tc>
        <w:tc>
          <w:tcPr>
            <w:tcW w:w="1686" w:type="dxa"/>
            <w:gridSpan w:val="2"/>
            <w:shd w:val="clear" w:color="auto" w:fill="FFFFFF"/>
          </w:tcPr>
          <w:p w14:paraId="6EBA205E" w14:textId="77777777" w:rsidR="0057668E" w:rsidRPr="004F512A" w:rsidRDefault="0057668E" w:rsidP="009107FD">
            <w:pPr>
              <w:spacing w:line="240" w:lineRule="auto"/>
              <w:rPr>
                <w:rFonts w:ascii="Times New Roman" w:hAnsi="Times New Roman"/>
                <w:color w:val="000000"/>
              </w:rPr>
            </w:pPr>
          </w:p>
        </w:tc>
      </w:tr>
      <w:tr w:rsidR="006A701A" w:rsidRPr="004F512A" w14:paraId="492591A4" w14:textId="77777777" w:rsidTr="00DE4C3A">
        <w:trPr>
          <w:trHeight w:val="348"/>
        </w:trPr>
        <w:tc>
          <w:tcPr>
            <w:tcW w:w="2243" w:type="dxa"/>
            <w:gridSpan w:val="2"/>
            <w:shd w:val="clear" w:color="auto" w:fill="FFFFFF"/>
            <w:vAlign w:val="center"/>
          </w:tcPr>
          <w:p w14:paraId="3285719E" w14:textId="77777777" w:rsidR="006A701A" w:rsidRPr="004F512A" w:rsidRDefault="006A701A" w:rsidP="005741EE">
            <w:pPr>
              <w:spacing w:line="240" w:lineRule="auto"/>
              <w:rPr>
                <w:rFonts w:ascii="Times New Roman" w:hAnsi="Times New Roman"/>
                <w:color w:val="000000"/>
              </w:rPr>
            </w:pPr>
            <w:r w:rsidRPr="004F512A">
              <w:rPr>
                <w:rFonts w:ascii="Times New Roman" w:hAnsi="Times New Roman"/>
                <w:color w:val="000000"/>
              </w:rPr>
              <w:t xml:space="preserve">Źródła finansowania </w:t>
            </w:r>
          </w:p>
        </w:tc>
        <w:tc>
          <w:tcPr>
            <w:tcW w:w="8843" w:type="dxa"/>
            <w:gridSpan w:val="27"/>
            <w:shd w:val="clear" w:color="auto" w:fill="FFFFFF"/>
            <w:vAlign w:val="center"/>
          </w:tcPr>
          <w:p w14:paraId="69F07781" w14:textId="77777777" w:rsidR="006A701A" w:rsidRPr="004F512A" w:rsidRDefault="006A701A" w:rsidP="004E59D1">
            <w:pPr>
              <w:spacing w:line="240" w:lineRule="auto"/>
              <w:jc w:val="both"/>
              <w:rPr>
                <w:rFonts w:ascii="Times New Roman" w:hAnsi="Times New Roman"/>
                <w:color w:val="000000"/>
              </w:rPr>
            </w:pPr>
          </w:p>
        </w:tc>
      </w:tr>
      <w:tr w:rsidR="00E24BD7" w:rsidRPr="004F512A" w14:paraId="2A828AF6" w14:textId="77777777" w:rsidTr="00DE4C3A">
        <w:trPr>
          <w:trHeight w:val="1926"/>
        </w:trPr>
        <w:tc>
          <w:tcPr>
            <w:tcW w:w="2243" w:type="dxa"/>
            <w:gridSpan w:val="2"/>
            <w:shd w:val="clear" w:color="auto" w:fill="FFFFFF"/>
          </w:tcPr>
          <w:p w14:paraId="41510B22" w14:textId="77777777" w:rsidR="00E24BD7" w:rsidRPr="004F512A" w:rsidRDefault="001B3460" w:rsidP="00821717">
            <w:pPr>
              <w:spacing w:line="240" w:lineRule="auto"/>
              <w:rPr>
                <w:rFonts w:ascii="Times New Roman" w:hAnsi="Times New Roman"/>
                <w:color w:val="000000"/>
              </w:rPr>
            </w:pPr>
            <w:r w:rsidRPr="004F512A">
              <w:rPr>
                <w:rFonts w:ascii="Times New Roman" w:hAnsi="Times New Roman"/>
                <w:color w:val="000000"/>
              </w:rPr>
              <w:lastRenderedPageBreak/>
              <w:t>Dodatkowe informacje, w tym wskazanie źródeł danych i przyjętych do obliczeń założeń</w:t>
            </w:r>
          </w:p>
        </w:tc>
        <w:tc>
          <w:tcPr>
            <w:tcW w:w="8843" w:type="dxa"/>
            <w:gridSpan w:val="27"/>
            <w:shd w:val="clear" w:color="auto" w:fill="FFFFFF"/>
          </w:tcPr>
          <w:p w14:paraId="26C39E14" w14:textId="77777777" w:rsidR="005E6034" w:rsidRDefault="005E6034" w:rsidP="00B37C80">
            <w:pPr>
              <w:spacing w:line="240" w:lineRule="auto"/>
              <w:jc w:val="both"/>
              <w:rPr>
                <w:rFonts w:ascii="Times New Roman" w:hAnsi="Times New Roman"/>
                <w:color w:val="000000"/>
              </w:rPr>
            </w:pPr>
          </w:p>
          <w:p w14:paraId="57E04DC7" w14:textId="0EF488A0" w:rsidR="00E24BD7" w:rsidRPr="004F512A" w:rsidRDefault="00BF73DC" w:rsidP="00B37C80">
            <w:pPr>
              <w:spacing w:line="240" w:lineRule="auto"/>
              <w:jc w:val="both"/>
              <w:rPr>
                <w:rFonts w:ascii="Times New Roman" w:hAnsi="Times New Roman"/>
                <w:color w:val="000000"/>
              </w:rPr>
            </w:pPr>
            <w:r>
              <w:rPr>
                <w:rFonts w:ascii="Times New Roman" w:hAnsi="Times New Roman"/>
                <w:color w:val="000000"/>
              </w:rPr>
              <w:t>Usprawnienie procedur związanych z ułatwieniem przygotowania i realizacją inwestycj</w:t>
            </w:r>
            <w:r w:rsidR="00737188">
              <w:rPr>
                <w:rFonts w:ascii="Times New Roman" w:hAnsi="Times New Roman"/>
                <w:color w:val="000000"/>
              </w:rPr>
              <w:t xml:space="preserve">i </w:t>
            </w:r>
            <w:r>
              <w:rPr>
                <w:rFonts w:ascii="Times New Roman" w:hAnsi="Times New Roman"/>
                <w:color w:val="000000"/>
              </w:rPr>
              <w:t xml:space="preserve"> w </w:t>
            </w:r>
            <w:r w:rsidR="00737188">
              <w:rPr>
                <w:rFonts w:ascii="Times New Roman" w:hAnsi="Times New Roman"/>
                <w:color w:val="000000"/>
              </w:rPr>
              <w:t>zakresie</w:t>
            </w:r>
            <w:r w:rsidR="00630EE7">
              <w:rPr>
                <w:rFonts w:ascii="Times New Roman" w:hAnsi="Times New Roman"/>
                <w:color w:val="000000"/>
              </w:rPr>
              <w:t xml:space="preserve"> elektrowni szczytowo-pompowych</w:t>
            </w:r>
            <w:r>
              <w:rPr>
                <w:rFonts w:ascii="Times New Roman" w:hAnsi="Times New Roman"/>
                <w:color w:val="000000"/>
              </w:rPr>
              <w:t>, w tym skrócenie dotychczasowych terminów</w:t>
            </w:r>
            <w:r w:rsidR="00665168">
              <w:rPr>
                <w:rFonts w:ascii="Times New Roman" w:hAnsi="Times New Roman"/>
                <w:color w:val="000000"/>
              </w:rPr>
              <w:t xml:space="preserve"> administracyjnych</w:t>
            </w:r>
            <w:r>
              <w:rPr>
                <w:rFonts w:ascii="Times New Roman" w:hAnsi="Times New Roman"/>
                <w:color w:val="000000"/>
              </w:rPr>
              <w:t xml:space="preserve">, będzie stanowić </w:t>
            </w:r>
            <w:r w:rsidR="005E79D9">
              <w:rPr>
                <w:rFonts w:ascii="Times New Roman" w:hAnsi="Times New Roman"/>
                <w:color w:val="000000"/>
              </w:rPr>
              <w:t xml:space="preserve">bezpośredni </w:t>
            </w:r>
            <w:r>
              <w:rPr>
                <w:rFonts w:ascii="Times New Roman" w:hAnsi="Times New Roman"/>
                <w:color w:val="000000"/>
              </w:rPr>
              <w:t xml:space="preserve">czynnik dynamizujący rozwój </w:t>
            </w:r>
            <w:r w:rsidR="008D4156">
              <w:rPr>
                <w:rFonts w:ascii="Times New Roman" w:hAnsi="Times New Roman"/>
                <w:color w:val="000000"/>
              </w:rPr>
              <w:t xml:space="preserve">nie tylko </w:t>
            </w:r>
            <w:r>
              <w:rPr>
                <w:rFonts w:ascii="Times New Roman" w:hAnsi="Times New Roman"/>
                <w:color w:val="000000"/>
              </w:rPr>
              <w:t>elektrowni</w:t>
            </w:r>
            <w:r w:rsidR="008D4156">
              <w:rPr>
                <w:rFonts w:ascii="Times New Roman" w:hAnsi="Times New Roman"/>
                <w:color w:val="000000"/>
              </w:rPr>
              <w:t xml:space="preserve"> szczytowo-pompowych, ale także </w:t>
            </w:r>
            <w:r w:rsidR="00966B04">
              <w:rPr>
                <w:rFonts w:ascii="Times New Roman" w:hAnsi="Times New Roman"/>
                <w:color w:val="000000"/>
              </w:rPr>
              <w:t xml:space="preserve">całej </w:t>
            </w:r>
            <w:r w:rsidR="008D4156">
              <w:rPr>
                <w:rFonts w:ascii="Times New Roman" w:hAnsi="Times New Roman"/>
                <w:color w:val="000000"/>
              </w:rPr>
              <w:t>infrastruktury</w:t>
            </w:r>
            <w:r w:rsidR="00346F83">
              <w:rPr>
                <w:rFonts w:ascii="Times New Roman" w:hAnsi="Times New Roman"/>
                <w:color w:val="000000"/>
              </w:rPr>
              <w:t xml:space="preserve"> towarzyszącej</w:t>
            </w:r>
            <w:r w:rsidR="00A0565A">
              <w:rPr>
                <w:rFonts w:ascii="Times New Roman" w:hAnsi="Times New Roman"/>
                <w:color w:val="000000"/>
              </w:rPr>
              <w:t xml:space="preserve">. Będzie wiązać się to z </w:t>
            </w:r>
            <w:r w:rsidR="00934949">
              <w:rPr>
                <w:rFonts w:ascii="Times New Roman" w:hAnsi="Times New Roman"/>
                <w:color w:val="000000"/>
              </w:rPr>
              <w:t xml:space="preserve"> koniecznością zakupu urządzeń i instalacji na potrzebę realizacji inwestycji, nabyci</w:t>
            </w:r>
            <w:r w:rsidR="00A0565A">
              <w:rPr>
                <w:rFonts w:ascii="Times New Roman" w:hAnsi="Times New Roman"/>
                <w:color w:val="000000"/>
              </w:rPr>
              <w:t>em</w:t>
            </w:r>
            <w:r w:rsidR="00934949">
              <w:rPr>
                <w:rFonts w:ascii="Times New Roman" w:hAnsi="Times New Roman"/>
                <w:color w:val="000000"/>
              </w:rPr>
              <w:t xml:space="preserve"> nieruchomości w celu posadowienia elektrowni szczytowo-pompowej</w:t>
            </w:r>
            <w:r w:rsidR="00966B04">
              <w:rPr>
                <w:rFonts w:ascii="Times New Roman" w:hAnsi="Times New Roman"/>
                <w:color w:val="000000"/>
              </w:rPr>
              <w:t>, produkcją energii elektrycznej, zwiększeniem zatrudnienia, etc</w:t>
            </w:r>
            <w:r w:rsidR="00F21AEF">
              <w:rPr>
                <w:rFonts w:ascii="Times New Roman" w:hAnsi="Times New Roman"/>
                <w:color w:val="000000"/>
              </w:rPr>
              <w:t xml:space="preserve">. </w:t>
            </w:r>
            <w:r w:rsidR="00240A6F">
              <w:rPr>
                <w:rFonts w:ascii="Times New Roman" w:hAnsi="Times New Roman"/>
                <w:color w:val="000000"/>
              </w:rPr>
              <w:t>Niezależnie od wydatków po stronie podmiotów sektora publicznego wynikających z wybudowania elektrowni szczytowo-pompowych prognozowan</w:t>
            </w:r>
            <w:r w:rsidR="009A2337">
              <w:rPr>
                <w:rFonts w:ascii="Times New Roman" w:hAnsi="Times New Roman"/>
                <w:color w:val="000000"/>
              </w:rPr>
              <w:t xml:space="preserve">y skutek ustawy </w:t>
            </w:r>
            <w:r w:rsidR="00B20637">
              <w:rPr>
                <w:rFonts w:ascii="Times New Roman" w:hAnsi="Times New Roman"/>
                <w:color w:val="000000"/>
              </w:rPr>
              <w:t>związany</w:t>
            </w:r>
            <w:r w:rsidR="009A2337">
              <w:rPr>
                <w:rFonts w:ascii="Times New Roman" w:hAnsi="Times New Roman"/>
                <w:color w:val="000000"/>
              </w:rPr>
              <w:t xml:space="preserve"> z intensyfikacj</w:t>
            </w:r>
            <w:r w:rsidR="00B20637">
              <w:rPr>
                <w:rFonts w:ascii="Times New Roman" w:hAnsi="Times New Roman"/>
                <w:color w:val="000000"/>
              </w:rPr>
              <w:t>ą</w:t>
            </w:r>
            <w:r w:rsidR="009A2337">
              <w:rPr>
                <w:rFonts w:ascii="Times New Roman" w:hAnsi="Times New Roman"/>
                <w:color w:val="000000"/>
              </w:rPr>
              <w:t xml:space="preserve"> inwestycji </w:t>
            </w:r>
            <w:r w:rsidR="00F21AEF">
              <w:rPr>
                <w:rFonts w:ascii="Times New Roman" w:hAnsi="Times New Roman"/>
                <w:color w:val="000000"/>
              </w:rPr>
              <w:t xml:space="preserve">wpłynie pozytywnie na sferę finansów publicznych </w:t>
            </w:r>
            <w:r w:rsidR="00934949">
              <w:rPr>
                <w:rFonts w:ascii="Times New Roman" w:hAnsi="Times New Roman"/>
                <w:color w:val="000000"/>
              </w:rPr>
              <w:t>i</w:t>
            </w:r>
            <w:r w:rsidR="00F21AEF">
              <w:rPr>
                <w:rFonts w:ascii="Times New Roman" w:hAnsi="Times New Roman"/>
                <w:color w:val="000000"/>
              </w:rPr>
              <w:t xml:space="preserve"> zwiększenie wpływów </w:t>
            </w:r>
            <w:r w:rsidR="009A2337">
              <w:rPr>
                <w:rFonts w:ascii="Times New Roman" w:hAnsi="Times New Roman"/>
                <w:color w:val="000000"/>
              </w:rPr>
              <w:t xml:space="preserve">podatkowych (CIT, PIT, VAT, podatek akcyzowy), danin publicznych (składki ZUS) i podatków lokalnych (podatek od nieruchomości). </w:t>
            </w:r>
            <w:r w:rsidR="005E79D9">
              <w:rPr>
                <w:rFonts w:ascii="Times New Roman" w:hAnsi="Times New Roman"/>
                <w:color w:val="000000"/>
              </w:rPr>
              <w:t>Należy wskazać, że</w:t>
            </w:r>
            <w:r w:rsidR="00294AFE" w:rsidRPr="00294AFE">
              <w:rPr>
                <w:rFonts w:ascii="Times New Roman" w:hAnsi="Times New Roman"/>
                <w:color w:val="000000"/>
              </w:rPr>
              <w:t xml:space="preserve"> </w:t>
            </w:r>
            <w:r w:rsidR="005E79D9">
              <w:rPr>
                <w:rFonts w:ascii="Times New Roman" w:hAnsi="Times New Roman"/>
                <w:color w:val="000000"/>
              </w:rPr>
              <w:t>p</w:t>
            </w:r>
            <w:r w:rsidR="00294AFE" w:rsidRPr="00294AFE">
              <w:rPr>
                <w:rFonts w:ascii="Times New Roman" w:hAnsi="Times New Roman"/>
                <w:color w:val="000000"/>
              </w:rPr>
              <w:t>odatek od nieruchomości uzależniony jest o</w:t>
            </w:r>
            <w:r w:rsidR="006C715F">
              <w:rPr>
                <w:rFonts w:ascii="Times New Roman" w:hAnsi="Times New Roman"/>
                <w:color w:val="000000"/>
              </w:rPr>
              <w:t>d</w:t>
            </w:r>
            <w:r w:rsidR="00294AFE" w:rsidRPr="00294AFE">
              <w:rPr>
                <w:rFonts w:ascii="Times New Roman" w:hAnsi="Times New Roman"/>
                <w:color w:val="000000"/>
              </w:rPr>
              <w:t xml:space="preserve"> jej charakteru i zazwyczaj stawki tego podatku są ustalane przez gminę. W każdym przypadku rozmiar i charakter </w:t>
            </w:r>
            <w:r w:rsidR="0012349E">
              <w:rPr>
                <w:rFonts w:ascii="Times New Roman" w:hAnsi="Times New Roman"/>
                <w:color w:val="000000"/>
              </w:rPr>
              <w:t>konkretnej</w:t>
            </w:r>
            <w:r w:rsidR="00D5038B">
              <w:rPr>
                <w:rFonts w:ascii="Times New Roman" w:hAnsi="Times New Roman"/>
                <w:color w:val="000000"/>
              </w:rPr>
              <w:t xml:space="preserve"> </w:t>
            </w:r>
            <w:r w:rsidR="00294AFE" w:rsidRPr="00294AFE">
              <w:rPr>
                <w:rFonts w:ascii="Times New Roman" w:hAnsi="Times New Roman"/>
                <w:color w:val="000000"/>
              </w:rPr>
              <w:t>inwestycji</w:t>
            </w:r>
            <w:r w:rsidR="00D5038B">
              <w:rPr>
                <w:rFonts w:ascii="Times New Roman" w:hAnsi="Times New Roman"/>
                <w:color w:val="000000"/>
              </w:rPr>
              <w:t xml:space="preserve"> w </w:t>
            </w:r>
            <w:r w:rsidR="00630EE7">
              <w:rPr>
                <w:rFonts w:ascii="Times New Roman" w:hAnsi="Times New Roman"/>
                <w:color w:val="000000"/>
              </w:rPr>
              <w:t>elektrownię szczytowo-pompową</w:t>
            </w:r>
            <w:r w:rsidR="00294AFE" w:rsidRPr="00294AFE">
              <w:rPr>
                <w:rFonts w:ascii="Times New Roman" w:hAnsi="Times New Roman"/>
                <w:color w:val="000000"/>
              </w:rPr>
              <w:t xml:space="preserve"> </w:t>
            </w:r>
            <w:r w:rsidR="00D5038B">
              <w:rPr>
                <w:rFonts w:ascii="Times New Roman" w:hAnsi="Times New Roman"/>
                <w:color w:val="000000"/>
              </w:rPr>
              <w:t>po stronie podmiotów sektora publicznego</w:t>
            </w:r>
            <w:r w:rsidR="00DE4C3A">
              <w:rPr>
                <w:rFonts w:ascii="Times New Roman" w:hAnsi="Times New Roman"/>
                <w:color w:val="000000"/>
              </w:rPr>
              <w:t>,</w:t>
            </w:r>
            <w:r w:rsidR="00D5038B">
              <w:rPr>
                <w:rFonts w:ascii="Times New Roman" w:hAnsi="Times New Roman"/>
                <w:color w:val="000000"/>
              </w:rPr>
              <w:t xml:space="preserve"> </w:t>
            </w:r>
            <w:r w:rsidR="00D5038B" w:rsidRPr="00294AFE">
              <w:rPr>
                <w:rFonts w:ascii="Times New Roman" w:hAnsi="Times New Roman"/>
                <w:color w:val="000000"/>
              </w:rPr>
              <w:t xml:space="preserve">będzie warunkował </w:t>
            </w:r>
            <w:r w:rsidR="00D5038B">
              <w:rPr>
                <w:rFonts w:ascii="Times New Roman" w:hAnsi="Times New Roman"/>
                <w:color w:val="000000"/>
              </w:rPr>
              <w:t>wydatki, jak i przychody</w:t>
            </w:r>
            <w:r w:rsidR="00DE4C3A">
              <w:rPr>
                <w:rFonts w:ascii="Times New Roman" w:hAnsi="Times New Roman"/>
                <w:color w:val="000000"/>
              </w:rPr>
              <w:t>.</w:t>
            </w:r>
            <w:r w:rsidR="008829BA">
              <w:rPr>
                <w:rFonts w:ascii="Times New Roman" w:hAnsi="Times New Roman"/>
                <w:color w:val="000000"/>
              </w:rPr>
              <w:t xml:space="preserve"> </w:t>
            </w:r>
            <w:r w:rsidR="00A95A08">
              <w:rPr>
                <w:rFonts w:ascii="Times New Roman" w:hAnsi="Times New Roman"/>
                <w:color w:val="000000"/>
              </w:rPr>
              <w:t>D</w:t>
            </w:r>
            <w:r w:rsidR="00F45A5C">
              <w:rPr>
                <w:rFonts w:ascii="Times New Roman" w:hAnsi="Times New Roman"/>
                <w:color w:val="000000"/>
              </w:rPr>
              <w:t xml:space="preserve">okładna wartość </w:t>
            </w:r>
            <w:r w:rsidR="001E72F5">
              <w:rPr>
                <w:rFonts w:ascii="Times New Roman" w:hAnsi="Times New Roman"/>
                <w:color w:val="000000"/>
              </w:rPr>
              <w:t xml:space="preserve">w ujęciu pieniężnym </w:t>
            </w:r>
            <w:r w:rsidR="00F45A5C">
              <w:rPr>
                <w:rFonts w:ascii="Times New Roman" w:hAnsi="Times New Roman"/>
                <w:color w:val="000000"/>
              </w:rPr>
              <w:t xml:space="preserve">wpływu projektu ustawy na sferę finansów publicznych </w:t>
            </w:r>
            <w:r w:rsidR="008829BA">
              <w:rPr>
                <w:rFonts w:ascii="Times New Roman" w:hAnsi="Times New Roman"/>
                <w:color w:val="000000"/>
              </w:rPr>
              <w:t>jest trudna do oszacowania</w:t>
            </w:r>
            <w:r w:rsidR="00F45A5C">
              <w:rPr>
                <w:rFonts w:ascii="Times New Roman" w:hAnsi="Times New Roman"/>
                <w:color w:val="000000"/>
              </w:rPr>
              <w:t xml:space="preserve">, gdyż skala inwestycji </w:t>
            </w:r>
            <w:r w:rsidR="008829BA">
              <w:rPr>
                <w:rFonts w:ascii="Times New Roman" w:hAnsi="Times New Roman"/>
                <w:color w:val="000000"/>
              </w:rPr>
              <w:t xml:space="preserve">w </w:t>
            </w:r>
            <w:r w:rsidR="00630EE7">
              <w:rPr>
                <w:rFonts w:ascii="Times New Roman" w:hAnsi="Times New Roman"/>
                <w:color w:val="000000"/>
              </w:rPr>
              <w:t>elektrownię szczytowo-pompową</w:t>
            </w:r>
            <w:r w:rsidR="00A03E83">
              <w:rPr>
                <w:rFonts w:ascii="Times New Roman" w:hAnsi="Times New Roman"/>
                <w:color w:val="000000"/>
              </w:rPr>
              <w:t xml:space="preserve"> </w:t>
            </w:r>
            <w:r w:rsidR="008829BA">
              <w:rPr>
                <w:rFonts w:ascii="Times New Roman" w:hAnsi="Times New Roman"/>
                <w:color w:val="000000"/>
              </w:rPr>
              <w:t xml:space="preserve">nie jest </w:t>
            </w:r>
            <w:r w:rsidR="00DE4C3A">
              <w:rPr>
                <w:rFonts w:ascii="Times New Roman" w:hAnsi="Times New Roman"/>
                <w:color w:val="000000"/>
              </w:rPr>
              <w:t>znana</w:t>
            </w:r>
            <w:r w:rsidR="004E59D1">
              <w:rPr>
                <w:rFonts w:ascii="Times New Roman" w:hAnsi="Times New Roman"/>
                <w:color w:val="000000"/>
              </w:rPr>
              <w:t xml:space="preserve">. </w:t>
            </w:r>
            <w:r w:rsidR="003D0A8D" w:rsidRPr="004F512A">
              <w:rPr>
                <w:rFonts w:ascii="Times New Roman" w:hAnsi="Times New Roman"/>
                <w:color w:val="000000"/>
              </w:rPr>
              <w:t>D</w:t>
            </w:r>
            <w:r w:rsidR="004E59D1">
              <w:rPr>
                <w:rFonts w:ascii="Times New Roman" w:hAnsi="Times New Roman"/>
                <w:color w:val="000000"/>
              </w:rPr>
              <w:t>odatkowo, d</w:t>
            </w:r>
            <w:r w:rsidR="003D0A8D" w:rsidRPr="004F512A">
              <w:rPr>
                <w:rFonts w:ascii="Times New Roman" w:hAnsi="Times New Roman"/>
                <w:color w:val="000000"/>
              </w:rPr>
              <w:t xml:space="preserve">ostarczanie energii elektrycznej </w:t>
            </w:r>
            <w:r w:rsidR="004E59D1">
              <w:rPr>
                <w:rFonts w:ascii="Times New Roman" w:hAnsi="Times New Roman"/>
                <w:color w:val="000000"/>
              </w:rPr>
              <w:t xml:space="preserve">przez elektrownie szczytowo-pompowe </w:t>
            </w:r>
            <w:r w:rsidR="003D0A8D" w:rsidRPr="004F512A">
              <w:rPr>
                <w:rFonts w:ascii="Times New Roman" w:hAnsi="Times New Roman"/>
                <w:color w:val="000000"/>
              </w:rPr>
              <w:t>do KSE cechuje znaczny stopień nieprzewidywalności, gdyż następuje to w przypadku zagrożenia bezpieczeństwa dostaw energii elektrycznej lub w razie nadprodukcji tej energii z OZE</w:t>
            </w:r>
            <w:r w:rsidR="00DB0EC8">
              <w:rPr>
                <w:rFonts w:ascii="Times New Roman" w:hAnsi="Times New Roman"/>
                <w:color w:val="000000"/>
              </w:rPr>
              <w:t xml:space="preserve"> (elektrownia szczytowo-pompowa jako źródło interwencyjne)</w:t>
            </w:r>
            <w:r w:rsidR="003D0A8D" w:rsidRPr="004F512A">
              <w:rPr>
                <w:rFonts w:ascii="Times New Roman" w:hAnsi="Times New Roman"/>
                <w:color w:val="000000"/>
              </w:rPr>
              <w:t xml:space="preserve">. </w:t>
            </w:r>
          </w:p>
          <w:p w14:paraId="29D113D9" w14:textId="562A21BD" w:rsidR="00C4187C" w:rsidRPr="004F512A" w:rsidRDefault="00C4187C" w:rsidP="00C4187C">
            <w:pPr>
              <w:spacing w:line="240" w:lineRule="auto"/>
              <w:jc w:val="both"/>
              <w:rPr>
                <w:rFonts w:ascii="Times New Roman" w:hAnsi="Times New Roman"/>
                <w:color w:val="000000"/>
              </w:rPr>
            </w:pPr>
            <w:r w:rsidRPr="004F512A">
              <w:rPr>
                <w:rFonts w:ascii="Times New Roman" w:hAnsi="Times New Roman"/>
                <w:color w:val="000000"/>
              </w:rPr>
              <w:t>W przypadku inwestycji w nowe moce wytwórcze, często</w:t>
            </w:r>
            <w:r w:rsidRPr="004F512A">
              <w:rPr>
                <w:rFonts w:ascii="Times New Roman" w:hAnsi="Times New Roman"/>
              </w:rPr>
              <w:t xml:space="preserve"> </w:t>
            </w:r>
            <w:r w:rsidRPr="004F512A">
              <w:rPr>
                <w:rFonts w:ascii="Times New Roman" w:hAnsi="Times New Roman"/>
                <w:color w:val="000000"/>
              </w:rPr>
              <w:t>przyjmuje się model</w:t>
            </w:r>
            <w:r w:rsidR="00A459C8" w:rsidRPr="004F512A">
              <w:rPr>
                <w:rFonts w:ascii="Times New Roman" w:hAnsi="Times New Roman"/>
              </w:rPr>
              <w:t xml:space="preserve"> </w:t>
            </w:r>
            <w:r w:rsidRPr="004F512A">
              <w:rPr>
                <w:rFonts w:ascii="Times New Roman" w:hAnsi="Times New Roman"/>
              </w:rPr>
              <w:t xml:space="preserve">tzw. </w:t>
            </w:r>
            <w:r w:rsidRPr="004F512A">
              <w:rPr>
                <w:rFonts w:ascii="Times New Roman" w:hAnsi="Times New Roman"/>
                <w:color w:val="000000"/>
              </w:rPr>
              <w:t xml:space="preserve">przepływów międzygałęziowych, jak np. w raporcie </w:t>
            </w:r>
            <w:r w:rsidR="00440AC8" w:rsidRPr="00440AC8">
              <w:rPr>
                <w:rFonts w:ascii="Times New Roman" w:hAnsi="Times New Roman"/>
                <w:color w:val="000000"/>
              </w:rPr>
              <w:t>Ernst &amp; Young</w:t>
            </w:r>
            <w:r w:rsidRPr="004F512A">
              <w:rPr>
                <w:rFonts w:ascii="Times New Roman" w:hAnsi="Times New Roman"/>
                <w:color w:val="000000"/>
              </w:rPr>
              <w:t xml:space="preserve"> pt.: „Analiza skutków ekonomicznych budowy morskich farm wiatrowych w Polsce”, </w:t>
            </w:r>
            <w:r w:rsidR="00CB51B8" w:rsidRPr="004F512A">
              <w:rPr>
                <w:rFonts w:ascii="Times New Roman" w:hAnsi="Times New Roman"/>
                <w:color w:val="000000"/>
              </w:rPr>
              <w:t>która</w:t>
            </w:r>
            <w:r w:rsidRPr="004F512A">
              <w:rPr>
                <w:rFonts w:ascii="Times New Roman" w:hAnsi="Times New Roman"/>
                <w:color w:val="000000"/>
              </w:rPr>
              <w:t xml:space="preserve"> pozwala pokazać interakcje pomiędzy producentami, dostawcami i nabywcami. Model ten wyróżnia trzy rodzaje skutków ekonomicznych:</w:t>
            </w:r>
          </w:p>
          <w:p w14:paraId="54F3309E" w14:textId="77473713" w:rsidR="00C4187C" w:rsidRPr="004F512A" w:rsidRDefault="00C4187C" w:rsidP="00C4187C">
            <w:pPr>
              <w:spacing w:line="240" w:lineRule="auto"/>
              <w:jc w:val="both"/>
              <w:rPr>
                <w:rFonts w:ascii="Times New Roman" w:hAnsi="Times New Roman"/>
                <w:color w:val="000000"/>
              </w:rPr>
            </w:pPr>
            <w:r w:rsidRPr="004F512A">
              <w:rPr>
                <w:rFonts w:ascii="Times New Roman" w:hAnsi="Times New Roman"/>
                <w:color w:val="000000"/>
              </w:rPr>
              <w:t xml:space="preserve">1) </w:t>
            </w:r>
            <w:r w:rsidR="00425B18">
              <w:rPr>
                <w:rFonts w:ascii="Times New Roman" w:hAnsi="Times New Roman"/>
                <w:color w:val="000000"/>
              </w:rPr>
              <w:t>s</w:t>
            </w:r>
            <w:r w:rsidRPr="004F512A">
              <w:rPr>
                <w:rFonts w:ascii="Times New Roman" w:hAnsi="Times New Roman"/>
                <w:color w:val="000000"/>
              </w:rPr>
              <w:t>kutki bezpośrednie –będące bezpośrednią konsekwencją działań dotyczących projektów inwestycyjnych oraz działalności operacyjnej</w:t>
            </w:r>
            <w:r w:rsidR="007C2DDB">
              <w:rPr>
                <w:rFonts w:ascii="Times New Roman" w:hAnsi="Times New Roman"/>
                <w:color w:val="000000"/>
              </w:rPr>
              <w:t xml:space="preserve"> w zakresie</w:t>
            </w:r>
            <w:r w:rsidR="00ED1308" w:rsidRPr="004F512A">
              <w:rPr>
                <w:rFonts w:ascii="Times New Roman" w:hAnsi="Times New Roman"/>
                <w:color w:val="000000"/>
              </w:rPr>
              <w:t xml:space="preserve"> elektrowni szczytowo-pompowych </w:t>
            </w:r>
            <w:r w:rsidRPr="004F512A">
              <w:rPr>
                <w:rFonts w:ascii="Times New Roman" w:hAnsi="Times New Roman"/>
                <w:color w:val="000000"/>
              </w:rPr>
              <w:t>w przyszłości.</w:t>
            </w:r>
          </w:p>
          <w:p w14:paraId="109CED80" w14:textId="6E1A12A2" w:rsidR="00C4187C" w:rsidRPr="004F512A" w:rsidRDefault="00C4187C" w:rsidP="00C4187C">
            <w:pPr>
              <w:spacing w:line="240" w:lineRule="auto"/>
              <w:jc w:val="both"/>
              <w:rPr>
                <w:rFonts w:ascii="Times New Roman" w:hAnsi="Times New Roman"/>
                <w:color w:val="000000"/>
              </w:rPr>
            </w:pPr>
            <w:r w:rsidRPr="004F512A">
              <w:rPr>
                <w:rFonts w:ascii="Times New Roman" w:hAnsi="Times New Roman"/>
                <w:color w:val="000000"/>
              </w:rPr>
              <w:t>2)</w:t>
            </w:r>
            <w:r w:rsidR="00ED1308" w:rsidRPr="004F512A">
              <w:rPr>
                <w:rFonts w:ascii="Times New Roman" w:hAnsi="Times New Roman"/>
                <w:color w:val="000000"/>
              </w:rPr>
              <w:t xml:space="preserve"> </w:t>
            </w:r>
            <w:r w:rsidR="00425B18">
              <w:rPr>
                <w:rFonts w:ascii="Times New Roman" w:hAnsi="Times New Roman"/>
                <w:color w:val="000000"/>
              </w:rPr>
              <w:t>s</w:t>
            </w:r>
            <w:r w:rsidRPr="004F512A">
              <w:rPr>
                <w:rFonts w:ascii="Times New Roman" w:hAnsi="Times New Roman"/>
                <w:color w:val="000000"/>
              </w:rPr>
              <w:t xml:space="preserve">kutki pośrednie </w:t>
            </w:r>
            <w:r w:rsidR="00ED1308" w:rsidRPr="004F512A">
              <w:rPr>
                <w:rFonts w:ascii="Times New Roman" w:hAnsi="Times New Roman"/>
                <w:color w:val="000000"/>
              </w:rPr>
              <w:t>–</w:t>
            </w:r>
            <w:r w:rsidRPr="004F512A">
              <w:rPr>
                <w:rFonts w:ascii="Times New Roman" w:hAnsi="Times New Roman"/>
                <w:color w:val="000000"/>
              </w:rPr>
              <w:t xml:space="preserve">szeroko definiowany łańcuch dostaw dla projektów inwestycyjnych (faza inwestycyjna oraz </w:t>
            </w:r>
            <w:r w:rsidR="00ED1308" w:rsidRPr="004F512A">
              <w:rPr>
                <w:rFonts w:ascii="Times New Roman" w:hAnsi="Times New Roman"/>
                <w:color w:val="000000"/>
              </w:rPr>
              <w:t>f</w:t>
            </w:r>
            <w:r w:rsidRPr="004F512A">
              <w:rPr>
                <w:rFonts w:ascii="Times New Roman" w:hAnsi="Times New Roman"/>
                <w:color w:val="000000"/>
              </w:rPr>
              <w:t xml:space="preserve">aza operacyjna). </w:t>
            </w:r>
            <w:r w:rsidR="007C2DDB">
              <w:rPr>
                <w:rFonts w:ascii="Times New Roman" w:hAnsi="Times New Roman"/>
                <w:color w:val="000000"/>
              </w:rPr>
              <w:t>D</w:t>
            </w:r>
            <w:r w:rsidRPr="004F512A">
              <w:rPr>
                <w:rFonts w:ascii="Times New Roman" w:hAnsi="Times New Roman"/>
                <w:color w:val="000000"/>
              </w:rPr>
              <w:t xml:space="preserve">zięki użyciu produktów lub usług pozostałych </w:t>
            </w:r>
            <w:r w:rsidR="00992790">
              <w:rPr>
                <w:rFonts w:ascii="Times New Roman" w:hAnsi="Times New Roman"/>
                <w:color w:val="000000"/>
              </w:rPr>
              <w:t>podmiotów</w:t>
            </w:r>
            <w:r w:rsidRPr="004F512A">
              <w:rPr>
                <w:rFonts w:ascii="Times New Roman" w:hAnsi="Times New Roman"/>
                <w:color w:val="000000"/>
              </w:rPr>
              <w:t xml:space="preserve"> inwestycje objęte analizą będą mieć wpływ na wartość produkcji tych </w:t>
            </w:r>
            <w:r w:rsidR="00992790">
              <w:rPr>
                <w:rFonts w:ascii="Times New Roman" w:hAnsi="Times New Roman"/>
                <w:color w:val="000000"/>
              </w:rPr>
              <w:t>podmiotów</w:t>
            </w:r>
            <w:r w:rsidRPr="004F512A">
              <w:rPr>
                <w:rFonts w:ascii="Times New Roman" w:hAnsi="Times New Roman"/>
                <w:color w:val="000000"/>
              </w:rPr>
              <w:t xml:space="preserve">, a zatem i na ich przychody, liczbę zatrudnionych osób itp. Wśród </w:t>
            </w:r>
            <w:r w:rsidR="00610AC2">
              <w:rPr>
                <w:rFonts w:ascii="Times New Roman" w:hAnsi="Times New Roman"/>
                <w:color w:val="000000"/>
              </w:rPr>
              <w:t>tych przychodów</w:t>
            </w:r>
            <w:r w:rsidR="00ED1308" w:rsidRPr="004F512A">
              <w:rPr>
                <w:rFonts w:ascii="Times New Roman" w:hAnsi="Times New Roman"/>
                <w:color w:val="000000"/>
              </w:rPr>
              <w:t xml:space="preserve"> będą </w:t>
            </w:r>
            <w:r w:rsidRPr="004F512A">
              <w:rPr>
                <w:rFonts w:ascii="Times New Roman" w:hAnsi="Times New Roman"/>
                <w:color w:val="000000"/>
              </w:rPr>
              <w:t>również skutki przyszłych zamówień</w:t>
            </w:r>
            <w:r w:rsidR="00ED1308" w:rsidRPr="004F512A">
              <w:rPr>
                <w:rFonts w:ascii="Times New Roman" w:hAnsi="Times New Roman"/>
                <w:color w:val="000000"/>
              </w:rPr>
              <w:t>.</w:t>
            </w:r>
          </w:p>
          <w:p w14:paraId="45F80B5F" w14:textId="7949C6C9" w:rsidR="00C4187C" w:rsidRPr="004F512A" w:rsidRDefault="00C4187C" w:rsidP="00C4187C">
            <w:pPr>
              <w:spacing w:line="240" w:lineRule="auto"/>
              <w:jc w:val="both"/>
              <w:rPr>
                <w:rFonts w:ascii="Times New Roman" w:hAnsi="Times New Roman"/>
                <w:color w:val="000000"/>
              </w:rPr>
            </w:pPr>
            <w:r w:rsidRPr="004F512A">
              <w:rPr>
                <w:rFonts w:ascii="Times New Roman" w:hAnsi="Times New Roman"/>
                <w:color w:val="000000"/>
              </w:rPr>
              <w:t>3)</w:t>
            </w:r>
            <w:r w:rsidR="00ED1308" w:rsidRPr="004F512A">
              <w:rPr>
                <w:rFonts w:ascii="Times New Roman" w:hAnsi="Times New Roman"/>
                <w:color w:val="000000"/>
              </w:rPr>
              <w:t xml:space="preserve"> </w:t>
            </w:r>
            <w:r w:rsidR="00425B18">
              <w:rPr>
                <w:rFonts w:ascii="Times New Roman" w:hAnsi="Times New Roman"/>
                <w:color w:val="000000"/>
              </w:rPr>
              <w:t>s</w:t>
            </w:r>
            <w:r w:rsidRPr="004F512A">
              <w:rPr>
                <w:rFonts w:ascii="Times New Roman" w:hAnsi="Times New Roman"/>
                <w:color w:val="000000"/>
              </w:rPr>
              <w:t xml:space="preserve">kutki indukowane </w:t>
            </w:r>
            <w:r w:rsidR="007C2DDB" w:rsidRPr="004F512A">
              <w:rPr>
                <w:rFonts w:ascii="Times New Roman" w:hAnsi="Times New Roman"/>
                <w:color w:val="000000"/>
              </w:rPr>
              <w:t>–</w:t>
            </w:r>
            <w:r w:rsidRPr="004F512A">
              <w:rPr>
                <w:rFonts w:ascii="Times New Roman" w:hAnsi="Times New Roman"/>
                <w:color w:val="000000"/>
              </w:rPr>
              <w:t xml:space="preserve"> skutki wygenerowane dzięki wydatkom konsumenckim pracowników, których zatrudnienie jest wynikiem bezpośrednich i pośrednich skutków planowanych inwestycji.</w:t>
            </w:r>
          </w:p>
          <w:p w14:paraId="446C2DA7" w14:textId="1E5C09A1" w:rsidR="00C4187C" w:rsidRDefault="00C4187C" w:rsidP="00C4187C">
            <w:pPr>
              <w:spacing w:line="240" w:lineRule="auto"/>
              <w:jc w:val="both"/>
              <w:rPr>
                <w:rFonts w:ascii="Times New Roman" w:hAnsi="Times New Roman"/>
                <w:color w:val="000000"/>
              </w:rPr>
            </w:pPr>
            <w:r w:rsidRPr="004F512A">
              <w:rPr>
                <w:rFonts w:ascii="Times New Roman" w:hAnsi="Times New Roman"/>
                <w:color w:val="000000"/>
              </w:rPr>
              <w:t xml:space="preserve">Przychody z pracy ujęte w </w:t>
            </w:r>
            <w:r w:rsidR="007C2DDB">
              <w:rPr>
                <w:rFonts w:ascii="Times New Roman" w:hAnsi="Times New Roman"/>
                <w:color w:val="000000"/>
              </w:rPr>
              <w:t xml:space="preserve">ww. </w:t>
            </w:r>
            <w:r w:rsidRPr="004F512A">
              <w:rPr>
                <w:rFonts w:ascii="Times New Roman" w:hAnsi="Times New Roman"/>
                <w:color w:val="000000"/>
              </w:rPr>
              <w:t xml:space="preserve">modelu, po korekcie o podatki, składki na ubezpieczenia społeczne oraz wskaźnik (stopę) oszczędności, </w:t>
            </w:r>
            <w:r w:rsidR="007C2DDB">
              <w:rPr>
                <w:rFonts w:ascii="Times New Roman" w:hAnsi="Times New Roman"/>
                <w:color w:val="000000"/>
              </w:rPr>
              <w:t>będ</w:t>
            </w:r>
            <w:r w:rsidR="007C2DDB" w:rsidRPr="004F512A">
              <w:rPr>
                <w:rFonts w:ascii="Times New Roman" w:hAnsi="Times New Roman"/>
                <w:color w:val="000000"/>
              </w:rPr>
              <w:t xml:space="preserve">ą </w:t>
            </w:r>
            <w:r w:rsidRPr="004F512A">
              <w:rPr>
                <w:rFonts w:ascii="Times New Roman" w:hAnsi="Times New Roman"/>
                <w:color w:val="000000"/>
              </w:rPr>
              <w:t>wydawane w różnych sektorach generując dodatkowe, międzysektorowe przepływy pieniężne przekładające się na wyższą produkcję, dochód oraz następną turę wydatków konsumpcyjnych itp. (skutki indukowane).</w:t>
            </w:r>
          </w:p>
          <w:p w14:paraId="75D42661" w14:textId="6DEDE59A" w:rsidR="00552F9C" w:rsidRDefault="00527002" w:rsidP="004A52AE">
            <w:pPr>
              <w:spacing w:line="240" w:lineRule="auto"/>
              <w:jc w:val="both"/>
              <w:rPr>
                <w:rFonts w:ascii="Times New Roman" w:hAnsi="Times New Roman"/>
                <w:color w:val="000000"/>
              </w:rPr>
            </w:pPr>
            <w:r>
              <w:rPr>
                <w:rFonts w:ascii="Times New Roman" w:hAnsi="Times New Roman"/>
                <w:color w:val="000000"/>
              </w:rPr>
              <w:t>Należy jednak wyraźnie wskazać, że bezpośrednim skutkiem ustawy będzie uproszczenie procedur, mające na celu u</w:t>
            </w:r>
            <w:r w:rsidRPr="00527002">
              <w:rPr>
                <w:rFonts w:ascii="Times New Roman" w:hAnsi="Times New Roman"/>
                <w:color w:val="000000"/>
              </w:rPr>
              <w:t>łatwienie przygotowania i realizacji inwestycji w zakresie</w:t>
            </w:r>
            <w:r w:rsidR="00440AC8">
              <w:rPr>
                <w:rFonts w:ascii="Times New Roman" w:hAnsi="Times New Roman"/>
                <w:color w:val="000000"/>
              </w:rPr>
              <w:t xml:space="preserve"> elektrowni szczytowo-pompowych</w:t>
            </w:r>
            <w:r>
              <w:rPr>
                <w:rFonts w:ascii="Times New Roman" w:hAnsi="Times New Roman"/>
                <w:color w:val="000000"/>
              </w:rPr>
              <w:t xml:space="preserve">. W konsekwencji projektowana regulacja nie będzie powodować bezpośrednich skutków finansowych dla sektora finansów publicznych. </w:t>
            </w:r>
            <w:r w:rsidR="00440AC8">
              <w:rPr>
                <w:rFonts w:ascii="Times New Roman" w:hAnsi="Times New Roman"/>
                <w:color w:val="000000"/>
              </w:rPr>
              <w:t xml:space="preserve">Ewentualne dodatkowe obowiązki administracyjne po stronie </w:t>
            </w:r>
            <w:r w:rsidR="00DE7CDD">
              <w:rPr>
                <w:rFonts w:ascii="Times New Roman" w:hAnsi="Times New Roman"/>
                <w:color w:val="000000"/>
              </w:rPr>
              <w:t>podmiotów sektora finansów publicznych</w:t>
            </w:r>
            <w:r w:rsidR="00BB18AD">
              <w:rPr>
                <w:rFonts w:ascii="Times New Roman" w:hAnsi="Times New Roman"/>
                <w:color w:val="000000"/>
              </w:rPr>
              <w:t xml:space="preserve"> </w:t>
            </w:r>
            <w:r w:rsidR="00BA31BB">
              <w:rPr>
                <w:rFonts w:ascii="Times New Roman" w:hAnsi="Times New Roman"/>
                <w:color w:val="000000"/>
              </w:rPr>
              <w:t>(</w:t>
            </w:r>
            <w:r w:rsidR="00BA31BB" w:rsidRPr="004A52AE">
              <w:rPr>
                <w:rFonts w:ascii="Times New Roman" w:hAnsi="Times New Roman"/>
                <w:color w:val="000000"/>
              </w:rPr>
              <w:t>minist</w:t>
            </w:r>
            <w:r w:rsidR="00BA31BB">
              <w:rPr>
                <w:rFonts w:ascii="Times New Roman" w:hAnsi="Times New Roman"/>
                <w:color w:val="000000"/>
              </w:rPr>
              <w:t>ra</w:t>
            </w:r>
            <w:r w:rsidR="00BA31BB" w:rsidRPr="004A52AE">
              <w:rPr>
                <w:rFonts w:ascii="Times New Roman" w:hAnsi="Times New Roman"/>
                <w:color w:val="000000"/>
              </w:rPr>
              <w:t xml:space="preserve"> właściw</w:t>
            </w:r>
            <w:r w:rsidR="00BA31BB">
              <w:rPr>
                <w:rFonts w:ascii="Times New Roman" w:hAnsi="Times New Roman"/>
                <w:color w:val="000000"/>
              </w:rPr>
              <w:t>ego</w:t>
            </w:r>
            <w:r w:rsidR="00BA31BB" w:rsidRPr="004A52AE">
              <w:rPr>
                <w:rFonts w:ascii="Times New Roman" w:hAnsi="Times New Roman"/>
                <w:color w:val="000000"/>
              </w:rPr>
              <w:t xml:space="preserve"> do spraw budownictwa, planowania i zagospodarowania przestrzennego oraz mieszkalnictwa</w:t>
            </w:r>
            <w:r w:rsidR="00BA31BB">
              <w:rPr>
                <w:rFonts w:ascii="Times New Roman" w:hAnsi="Times New Roman"/>
                <w:color w:val="000000"/>
              </w:rPr>
              <w:t xml:space="preserve">, Generalnego Dyrektora Ochrony Środowiska </w:t>
            </w:r>
            <w:r w:rsidR="007C2DDB">
              <w:rPr>
                <w:rFonts w:ascii="Times New Roman" w:hAnsi="Times New Roman"/>
                <w:color w:val="000000"/>
              </w:rPr>
              <w:t>oraz regionalnych dyrektorów ochrony środowiska</w:t>
            </w:r>
            <w:r w:rsidR="00BA31BB">
              <w:rPr>
                <w:rFonts w:ascii="Times New Roman" w:hAnsi="Times New Roman"/>
                <w:color w:val="000000"/>
              </w:rPr>
              <w:t xml:space="preserve">, </w:t>
            </w:r>
            <w:r w:rsidR="00BA31BB" w:rsidRPr="00F17760">
              <w:rPr>
                <w:rFonts w:ascii="Times New Roman" w:hAnsi="Times New Roman"/>
                <w:color w:val="000000"/>
              </w:rPr>
              <w:t>Prezes</w:t>
            </w:r>
            <w:r w:rsidR="00BA31BB">
              <w:rPr>
                <w:rFonts w:ascii="Times New Roman" w:hAnsi="Times New Roman"/>
                <w:color w:val="000000"/>
              </w:rPr>
              <w:t>a</w:t>
            </w:r>
            <w:r w:rsidR="00BA31BB" w:rsidRPr="00F17760">
              <w:rPr>
                <w:rFonts w:ascii="Times New Roman" w:hAnsi="Times New Roman"/>
                <w:color w:val="000000"/>
              </w:rPr>
              <w:t xml:space="preserve"> Urzędu Regulacji Energetyki, </w:t>
            </w:r>
            <w:r w:rsidR="00BA31BB">
              <w:rPr>
                <w:rFonts w:ascii="Times New Roman" w:hAnsi="Times New Roman"/>
                <w:color w:val="000000"/>
              </w:rPr>
              <w:t xml:space="preserve">wojewodów oraz </w:t>
            </w:r>
            <w:r w:rsidR="007C2DDB">
              <w:rPr>
                <w:rFonts w:ascii="Times New Roman" w:hAnsi="Times New Roman"/>
                <w:color w:val="000000"/>
              </w:rPr>
              <w:t xml:space="preserve">organów </w:t>
            </w:r>
            <w:r w:rsidR="00BA31BB">
              <w:rPr>
                <w:rFonts w:ascii="Times New Roman" w:hAnsi="Times New Roman"/>
                <w:color w:val="000000"/>
              </w:rPr>
              <w:t>gmin)</w:t>
            </w:r>
            <w:r w:rsidR="00DE7CDD">
              <w:rPr>
                <w:rFonts w:ascii="Times New Roman" w:hAnsi="Times New Roman"/>
                <w:color w:val="000000"/>
              </w:rPr>
              <w:t xml:space="preserve"> </w:t>
            </w:r>
            <w:r w:rsidR="00440AC8" w:rsidRPr="00440AC8">
              <w:rPr>
                <w:rFonts w:ascii="Times New Roman" w:hAnsi="Times New Roman"/>
                <w:color w:val="000000"/>
              </w:rPr>
              <w:t xml:space="preserve">związane z procesem inwestycyjnym </w:t>
            </w:r>
            <w:r w:rsidR="00440AC8">
              <w:rPr>
                <w:rFonts w:ascii="Times New Roman" w:hAnsi="Times New Roman"/>
                <w:color w:val="000000"/>
              </w:rPr>
              <w:t xml:space="preserve">będą </w:t>
            </w:r>
            <w:r w:rsidR="004A52AE" w:rsidRPr="004A52AE">
              <w:rPr>
                <w:rFonts w:ascii="Times New Roman" w:hAnsi="Times New Roman"/>
                <w:color w:val="000000"/>
              </w:rPr>
              <w:t xml:space="preserve">pokrywane w ramach </w:t>
            </w:r>
            <w:r w:rsidR="00072A88">
              <w:rPr>
                <w:rFonts w:ascii="Times New Roman" w:hAnsi="Times New Roman"/>
                <w:color w:val="000000"/>
              </w:rPr>
              <w:t xml:space="preserve">posiadanych </w:t>
            </w:r>
            <w:r w:rsidR="00E80088">
              <w:rPr>
                <w:rFonts w:ascii="Times New Roman" w:hAnsi="Times New Roman"/>
                <w:color w:val="000000"/>
              </w:rPr>
              <w:t xml:space="preserve">już </w:t>
            </w:r>
            <w:r w:rsidR="00072A88">
              <w:rPr>
                <w:rFonts w:ascii="Times New Roman" w:hAnsi="Times New Roman"/>
                <w:color w:val="000000"/>
              </w:rPr>
              <w:t>środków</w:t>
            </w:r>
            <w:r w:rsidR="002A4AF3">
              <w:rPr>
                <w:rFonts w:ascii="Times New Roman" w:hAnsi="Times New Roman"/>
                <w:color w:val="000000"/>
              </w:rPr>
              <w:t xml:space="preserve"> z</w:t>
            </w:r>
            <w:r w:rsidR="006841A6">
              <w:rPr>
                <w:rFonts w:ascii="Times New Roman" w:hAnsi="Times New Roman"/>
                <w:color w:val="000000"/>
              </w:rPr>
              <w:t xml:space="preserve"> </w:t>
            </w:r>
            <w:r w:rsidR="004A52AE" w:rsidRPr="004A52AE">
              <w:rPr>
                <w:rFonts w:ascii="Times New Roman" w:hAnsi="Times New Roman"/>
                <w:color w:val="000000"/>
              </w:rPr>
              <w:t>odpowiednich części budżetu państwa</w:t>
            </w:r>
            <w:r w:rsidR="00552F9C">
              <w:rPr>
                <w:rFonts w:ascii="Times New Roman" w:hAnsi="Times New Roman"/>
                <w:color w:val="000000"/>
              </w:rPr>
              <w:t xml:space="preserve"> w częściach </w:t>
            </w:r>
            <w:r w:rsidR="004A52AE" w:rsidRPr="004A52AE">
              <w:rPr>
                <w:rFonts w:ascii="Times New Roman" w:hAnsi="Times New Roman"/>
                <w:color w:val="000000"/>
              </w:rPr>
              <w:t>budżetow</w:t>
            </w:r>
            <w:r w:rsidR="00552F9C">
              <w:rPr>
                <w:rFonts w:ascii="Times New Roman" w:hAnsi="Times New Roman"/>
                <w:color w:val="000000"/>
              </w:rPr>
              <w:t>ych</w:t>
            </w:r>
            <w:r w:rsidR="004A52AE" w:rsidRPr="004A52AE">
              <w:rPr>
                <w:rFonts w:ascii="Times New Roman" w:hAnsi="Times New Roman"/>
                <w:color w:val="000000"/>
              </w:rPr>
              <w:t xml:space="preserve">: </w:t>
            </w:r>
          </w:p>
          <w:p w14:paraId="5ABDF70C" w14:textId="0C7667A0" w:rsidR="004A52AE" w:rsidRDefault="004A52AE" w:rsidP="000C14BA">
            <w:pPr>
              <w:pStyle w:val="Akapitzlist"/>
              <w:numPr>
                <w:ilvl w:val="0"/>
                <w:numId w:val="24"/>
              </w:numPr>
              <w:spacing w:line="240" w:lineRule="auto"/>
              <w:jc w:val="both"/>
              <w:rPr>
                <w:rFonts w:ascii="Times New Roman" w:hAnsi="Times New Roman"/>
                <w:color w:val="000000"/>
              </w:rPr>
            </w:pPr>
            <w:r w:rsidRPr="00F17760">
              <w:rPr>
                <w:rFonts w:ascii="Times New Roman" w:hAnsi="Times New Roman"/>
                <w:color w:val="000000"/>
              </w:rPr>
              <w:t>18 – Budownictwo, gospodarka przestrzenna i mieszkaniowa</w:t>
            </w:r>
            <w:r w:rsidR="00552F9C" w:rsidRPr="00F17760">
              <w:rPr>
                <w:rFonts w:ascii="Times New Roman" w:hAnsi="Times New Roman"/>
                <w:color w:val="000000"/>
              </w:rPr>
              <w:t>;</w:t>
            </w:r>
          </w:p>
          <w:p w14:paraId="53AC232D" w14:textId="2EE7D569" w:rsidR="000C14BA" w:rsidRDefault="005E6034" w:rsidP="000C14BA">
            <w:pPr>
              <w:pStyle w:val="Akapitzlist"/>
              <w:numPr>
                <w:ilvl w:val="0"/>
                <w:numId w:val="24"/>
              </w:numPr>
              <w:spacing w:line="240" w:lineRule="auto"/>
              <w:jc w:val="both"/>
              <w:rPr>
                <w:rFonts w:ascii="Times New Roman" w:hAnsi="Times New Roman"/>
                <w:color w:val="000000"/>
              </w:rPr>
            </w:pPr>
            <w:r w:rsidRPr="00F17760">
              <w:rPr>
                <w:rFonts w:ascii="Times New Roman" w:hAnsi="Times New Roman"/>
                <w:color w:val="000000"/>
              </w:rPr>
              <w:t>41 – Środowisko</w:t>
            </w:r>
            <w:r w:rsidR="00552F9C" w:rsidRPr="00F17760">
              <w:rPr>
                <w:rFonts w:ascii="Times New Roman" w:hAnsi="Times New Roman"/>
                <w:color w:val="000000"/>
              </w:rPr>
              <w:t>;</w:t>
            </w:r>
          </w:p>
          <w:p w14:paraId="49A758E4" w14:textId="5CFAEDAF" w:rsidR="00F17760" w:rsidRPr="00F17760" w:rsidRDefault="00F17760" w:rsidP="00F17760">
            <w:pPr>
              <w:pStyle w:val="Akapitzlist"/>
              <w:numPr>
                <w:ilvl w:val="0"/>
                <w:numId w:val="24"/>
              </w:numPr>
              <w:rPr>
                <w:rFonts w:ascii="Times New Roman" w:hAnsi="Times New Roman"/>
                <w:color w:val="000000"/>
              </w:rPr>
            </w:pPr>
            <w:r w:rsidRPr="00F17760">
              <w:rPr>
                <w:rFonts w:ascii="Times New Roman" w:hAnsi="Times New Roman"/>
                <w:color w:val="000000"/>
              </w:rPr>
              <w:t>50 – Urząd Regulacji Energetyki;</w:t>
            </w:r>
          </w:p>
          <w:p w14:paraId="7CD31083" w14:textId="77777777" w:rsidR="00CA2D71" w:rsidRDefault="00552F9C" w:rsidP="00F17760">
            <w:pPr>
              <w:pStyle w:val="Akapitzlist"/>
              <w:numPr>
                <w:ilvl w:val="0"/>
                <w:numId w:val="24"/>
              </w:numPr>
              <w:spacing w:line="240" w:lineRule="auto"/>
              <w:jc w:val="both"/>
              <w:rPr>
                <w:rFonts w:ascii="Times New Roman" w:hAnsi="Times New Roman"/>
                <w:color w:val="000000"/>
              </w:rPr>
            </w:pPr>
            <w:r w:rsidRPr="00F17760">
              <w:rPr>
                <w:rFonts w:ascii="Times New Roman" w:hAnsi="Times New Roman"/>
                <w:color w:val="000000"/>
              </w:rPr>
              <w:t>85</w:t>
            </w:r>
            <w:r w:rsidR="00224041">
              <w:rPr>
                <w:rFonts w:ascii="Times New Roman" w:hAnsi="Times New Roman"/>
                <w:color w:val="000000"/>
              </w:rPr>
              <w:t>/00</w:t>
            </w:r>
            <w:r w:rsidRPr="00F17760">
              <w:rPr>
                <w:rFonts w:ascii="Times New Roman" w:hAnsi="Times New Roman"/>
                <w:color w:val="000000"/>
              </w:rPr>
              <w:t xml:space="preserve"> </w:t>
            </w:r>
            <w:r w:rsidR="00F17760">
              <w:rPr>
                <w:rFonts w:ascii="Times New Roman" w:hAnsi="Times New Roman"/>
                <w:color w:val="000000"/>
              </w:rPr>
              <w:t>–</w:t>
            </w:r>
            <w:r w:rsidRPr="00F17760">
              <w:rPr>
                <w:rFonts w:ascii="Times New Roman" w:hAnsi="Times New Roman"/>
                <w:color w:val="000000"/>
              </w:rPr>
              <w:t xml:space="preserve"> Wojew</w:t>
            </w:r>
            <w:r w:rsidR="00224041">
              <w:rPr>
                <w:rFonts w:ascii="Times New Roman" w:hAnsi="Times New Roman"/>
                <w:color w:val="000000"/>
              </w:rPr>
              <w:t>ództwa</w:t>
            </w:r>
            <w:r w:rsidR="00CA2D71">
              <w:rPr>
                <w:rFonts w:ascii="Times New Roman" w:hAnsi="Times New Roman"/>
                <w:color w:val="000000"/>
              </w:rPr>
              <w:t>;</w:t>
            </w:r>
          </w:p>
          <w:p w14:paraId="18789EAE" w14:textId="73C03342" w:rsidR="0051629F" w:rsidRDefault="00CA2D71" w:rsidP="0051629F">
            <w:pPr>
              <w:pStyle w:val="Akapitzlist"/>
              <w:numPr>
                <w:ilvl w:val="0"/>
                <w:numId w:val="24"/>
              </w:numPr>
              <w:spacing w:line="240" w:lineRule="auto"/>
              <w:jc w:val="both"/>
              <w:rPr>
                <w:rFonts w:ascii="Times New Roman" w:hAnsi="Times New Roman"/>
                <w:color w:val="000000"/>
              </w:rPr>
            </w:pPr>
            <w:r>
              <w:rPr>
                <w:rFonts w:ascii="Times New Roman" w:hAnsi="Times New Roman"/>
                <w:color w:val="000000"/>
              </w:rPr>
              <w:t>budżety gmin</w:t>
            </w:r>
            <w:r w:rsidR="0051629F">
              <w:rPr>
                <w:rFonts w:ascii="Times New Roman" w:hAnsi="Times New Roman"/>
                <w:color w:val="000000"/>
              </w:rPr>
              <w:t>.</w:t>
            </w:r>
          </w:p>
          <w:p w14:paraId="0086FC9B" w14:textId="0619743A" w:rsidR="00294AFE" w:rsidRDefault="00AA647C" w:rsidP="009C1A96">
            <w:pPr>
              <w:pStyle w:val="Akapitzlist"/>
              <w:spacing w:line="240" w:lineRule="auto"/>
              <w:ind w:left="0"/>
              <w:jc w:val="both"/>
              <w:rPr>
                <w:rFonts w:ascii="Times New Roman" w:hAnsi="Times New Roman"/>
                <w:color w:val="000000"/>
              </w:rPr>
            </w:pPr>
            <w:r>
              <w:rPr>
                <w:rFonts w:ascii="Times New Roman" w:hAnsi="Times New Roman"/>
                <w:color w:val="000000"/>
              </w:rPr>
              <w:t xml:space="preserve">Tym samym wydatki te nie </w:t>
            </w:r>
            <w:r w:rsidR="00BB18AD">
              <w:rPr>
                <w:rFonts w:ascii="Times New Roman" w:hAnsi="Times New Roman"/>
                <w:color w:val="000000"/>
              </w:rPr>
              <w:t xml:space="preserve">będą prowadziły do zwiększenia limitów wydatków we wskazanych częściach budżetowych. </w:t>
            </w:r>
          </w:p>
          <w:p w14:paraId="2469EBD8" w14:textId="05F94D72" w:rsidR="00FD4C39" w:rsidRDefault="00FD4C39" w:rsidP="003C03AD">
            <w:pPr>
              <w:pStyle w:val="Akapitzlist"/>
              <w:spacing w:line="240" w:lineRule="auto"/>
              <w:jc w:val="both"/>
              <w:rPr>
                <w:rFonts w:ascii="Times New Roman" w:hAnsi="Times New Roman"/>
                <w:color w:val="000000"/>
              </w:rPr>
            </w:pPr>
          </w:p>
          <w:p w14:paraId="7FD7EAD4" w14:textId="1F76BE82" w:rsidR="009C1A96" w:rsidRDefault="009C1A96" w:rsidP="003C03AD">
            <w:pPr>
              <w:pStyle w:val="Akapitzlist"/>
              <w:spacing w:line="240" w:lineRule="auto"/>
              <w:jc w:val="both"/>
              <w:rPr>
                <w:rFonts w:ascii="Times New Roman" w:hAnsi="Times New Roman"/>
                <w:color w:val="000000"/>
              </w:rPr>
            </w:pPr>
            <w:r>
              <w:rPr>
                <w:rFonts w:ascii="Times New Roman" w:hAnsi="Times New Roman"/>
                <w:color w:val="000000"/>
              </w:rPr>
              <w:t xml:space="preserve">. </w:t>
            </w:r>
          </w:p>
          <w:p w14:paraId="44C090DF" w14:textId="58E92961" w:rsidR="0051629F" w:rsidRPr="00131435" w:rsidRDefault="0051629F" w:rsidP="00131435">
            <w:pPr>
              <w:pStyle w:val="Akapitzlist"/>
              <w:spacing w:line="240" w:lineRule="auto"/>
              <w:jc w:val="both"/>
              <w:rPr>
                <w:rFonts w:ascii="Times New Roman" w:hAnsi="Times New Roman"/>
                <w:color w:val="000000"/>
              </w:rPr>
            </w:pPr>
          </w:p>
        </w:tc>
      </w:tr>
      <w:tr w:rsidR="006A701A" w:rsidRPr="004F512A" w14:paraId="1297C479" w14:textId="77777777" w:rsidTr="00DE4C3A">
        <w:trPr>
          <w:trHeight w:val="345"/>
        </w:trPr>
        <w:tc>
          <w:tcPr>
            <w:tcW w:w="11086" w:type="dxa"/>
            <w:gridSpan w:val="29"/>
            <w:shd w:val="clear" w:color="auto" w:fill="99CCFF"/>
          </w:tcPr>
          <w:p w14:paraId="6D19D1F0" w14:textId="77777777" w:rsidR="006A701A" w:rsidRPr="004F512A" w:rsidRDefault="006A701A" w:rsidP="0072636A">
            <w:pPr>
              <w:numPr>
                <w:ilvl w:val="0"/>
                <w:numId w:val="3"/>
              </w:numPr>
              <w:spacing w:before="120" w:after="120" w:line="240" w:lineRule="auto"/>
              <w:jc w:val="both"/>
              <w:rPr>
                <w:rFonts w:ascii="Times New Roman" w:hAnsi="Times New Roman"/>
                <w:b/>
                <w:color w:val="000000"/>
                <w:spacing w:val="-2"/>
              </w:rPr>
            </w:pPr>
            <w:r w:rsidRPr="004F512A">
              <w:rPr>
                <w:rFonts w:ascii="Times New Roman" w:hAnsi="Times New Roman"/>
                <w:b/>
                <w:color w:val="000000"/>
                <w:spacing w:val="-2"/>
              </w:rPr>
              <w:lastRenderedPageBreak/>
              <w:t xml:space="preserve">Wpływ na </w:t>
            </w:r>
            <w:r w:rsidR="00563199" w:rsidRPr="004F512A">
              <w:rPr>
                <w:rFonts w:ascii="Times New Roman" w:hAnsi="Times New Roman"/>
                <w:b/>
                <w:color w:val="000000"/>
              </w:rPr>
              <w:t xml:space="preserve">konkurencyjność </w:t>
            </w:r>
            <w:r w:rsidR="005E7371" w:rsidRPr="004F512A">
              <w:rPr>
                <w:rFonts w:ascii="Times New Roman" w:hAnsi="Times New Roman"/>
                <w:b/>
                <w:color w:val="000000"/>
              </w:rPr>
              <w:t>gospodark</w:t>
            </w:r>
            <w:r w:rsidR="00563199" w:rsidRPr="004F512A">
              <w:rPr>
                <w:rFonts w:ascii="Times New Roman" w:hAnsi="Times New Roman"/>
                <w:b/>
                <w:color w:val="000000"/>
              </w:rPr>
              <w:t>i</w:t>
            </w:r>
            <w:r w:rsidR="005E7371" w:rsidRPr="004F512A">
              <w:rPr>
                <w:rFonts w:ascii="Times New Roman" w:hAnsi="Times New Roman"/>
                <w:b/>
                <w:color w:val="000000"/>
              </w:rPr>
              <w:t xml:space="preserve"> </w:t>
            </w:r>
            <w:r w:rsidR="00705A29" w:rsidRPr="004F512A">
              <w:rPr>
                <w:rFonts w:ascii="Times New Roman" w:hAnsi="Times New Roman"/>
                <w:b/>
                <w:color w:val="000000"/>
              </w:rPr>
              <w:t>i</w:t>
            </w:r>
            <w:r w:rsidR="00563199" w:rsidRPr="004F512A">
              <w:rPr>
                <w:rFonts w:ascii="Times New Roman" w:hAnsi="Times New Roman"/>
                <w:b/>
                <w:color w:val="000000"/>
              </w:rPr>
              <w:t xml:space="preserve"> przedsiębiorczość</w:t>
            </w:r>
            <w:r w:rsidR="00472E45" w:rsidRPr="004F512A">
              <w:rPr>
                <w:rFonts w:ascii="Times New Roman" w:hAnsi="Times New Roman"/>
                <w:b/>
                <w:color w:val="000000"/>
              </w:rPr>
              <w:t>,</w:t>
            </w:r>
            <w:r w:rsidR="005E7371" w:rsidRPr="004F512A">
              <w:rPr>
                <w:rFonts w:ascii="Times New Roman" w:hAnsi="Times New Roman"/>
                <w:b/>
                <w:color w:val="000000"/>
              </w:rPr>
              <w:t xml:space="preserve"> </w:t>
            </w:r>
            <w:r w:rsidR="00705A29" w:rsidRPr="004F512A">
              <w:rPr>
                <w:rFonts w:ascii="Times New Roman" w:hAnsi="Times New Roman"/>
                <w:b/>
                <w:color w:val="000000"/>
              </w:rPr>
              <w:t xml:space="preserve">w tym </w:t>
            </w:r>
            <w:r w:rsidR="005E7371" w:rsidRPr="004F512A">
              <w:rPr>
                <w:rFonts w:ascii="Times New Roman" w:hAnsi="Times New Roman"/>
                <w:b/>
                <w:color w:val="000000"/>
              </w:rPr>
              <w:t>funkcjonowanie przedsiębi</w:t>
            </w:r>
            <w:r w:rsidR="00B93834" w:rsidRPr="004F512A">
              <w:rPr>
                <w:rFonts w:ascii="Times New Roman" w:hAnsi="Times New Roman"/>
                <w:b/>
                <w:color w:val="000000"/>
              </w:rPr>
              <w:t>orców</w:t>
            </w:r>
            <w:r w:rsidR="00472E45" w:rsidRPr="004F512A">
              <w:rPr>
                <w:rFonts w:ascii="Times New Roman" w:hAnsi="Times New Roman"/>
                <w:b/>
                <w:color w:val="000000"/>
              </w:rPr>
              <w:t xml:space="preserve"> </w:t>
            </w:r>
            <w:r w:rsidR="00B93834" w:rsidRPr="004F512A">
              <w:rPr>
                <w:rFonts w:ascii="Times New Roman" w:hAnsi="Times New Roman"/>
                <w:b/>
                <w:color w:val="000000"/>
              </w:rPr>
              <w:t xml:space="preserve">oraz na </w:t>
            </w:r>
            <w:r w:rsidR="00BB0DCA" w:rsidRPr="004F512A">
              <w:rPr>
                <w:rFonts w:ascii="Times New Roman" w:hAnsi="Times New Roman"/>
                <w:b/>
                <w:color w:val="000000"/>
              </w:rPr>
              <w:t xml:space="preserve">rodzinę, </w:t>
            </w:r>
            <w:r w:rsidR="00B93834" w:rsidRPr="004F512A">
              <w:rPr>
                <w:rFonts w:ascii="Times New Roman" w:hAnsi="Times New Roman"/>
                <w:b/>
                <w:color w:val="000000"/>
              </w:rPr>
              <w:t xml:space="preserve">obywateli i gospodarstwa domowe </w:t>
            </w:r>
          </w:p>
        </w:tc>
      </w:tr>
      <w:tr w:rsidR="005E7371" w:rsidRPr="004F512A" w14:paraId="6C275DD6" w14:textId="77777777" w:rsidTr="00DE4C3A">
        <w:trPr>
          <w:trHeight w:val="142"/>
        </w:trPr>
        <w:tc>
          <w:tcPr>
            <w:tcW w:w="11086" w:type="dxa"/>
            <w:gridSpan w:val="29"/>
            <w:shd w:val="clear" w:color="auto" w:fill="FFFFFF"/>
          </w:tcPr>
          <w:p w14:paraId="6359192A" w14:textId="77777777" w:rsidR="005E7371" w:rsidRPr="004F512A" w:rsidRDefault="001B3460" w:rsidP="00811D46">
            <w:pPr>
              <w:spacing w:line="240" w:lineRule="auto"/>
              <w:jc w:val="center"/>
              <w:rPr>
                <w:rFonts w:ascii="Times New Roman" w:hAnsi="Times New Roman"/>
                <w:color w:val="000000"/>
                <w:spacing w:val="-2"/>
              </w:rPr>
            </w:pPr>
            <w:r w:rsidRPr="004F512A">
              <w:rPr>
                <w:rFonts w:ascii="Times New Roman" w:hAnsi="Times New Roman"/>
                <w:color w:val="000000"/>
                <w:spacing w:val="-2"/>
              </w:rPr>
              <w:t>Skutki</w:t>
            </w:r>
          </w:p>
        </w:tc>
      </w:tr>
      <w:tr w:rsidR="002E6D63" w:rsidRPr="004F512A" w14:paraId="06333695" w14:textId="77777777" w:rsidTr="00DE4C3A">
        <w:trPr>
          <w:trHeight w:val="142"/>
        </w:trPr>
        <w:tc>
          <w:tcPr>
            <w:tcW w:w="3889" w:type="dxa"/>
            <w:gridSpan w:val="7"/>
            <w:shd w:val="clear" w:color="auto" w:fill="FFFFFF"/>
          </w:tcPr>
          <w:p w14:paraId="3D47C511" w14:textId="77777777" w:rsidR="002E6D63" w:rsidRPr="004F512A" w:rsidRDefault="002E6D63" w:rsidP="00811D46">
            <w:pPr>
              <w:spacing w:line="240" w:lineRule="auto"/>
              <w:rPr>
                <w:rFonts w:ascii="Times New Roman" w:hAnsi="Times New Roman"/>
                <w:color w:val="000000"/>
              </w:rPr>
            </w:pPr>
            <w:r w:rsidRPr="004F512A">
              <w:rPr>
                <w:rFonts w:ascii="Times New Roman" w:hAnsi="Times New Roman"/>
                <w:color w:val="000000"/>
              </w:rPr>
              <w:t>Czas w latach od wejścia w życie zmian</w:t>
            </w:r>
          </w:p>
        </w:tc>
        <w:tc>
          <w:tcPr>
            <w:tcW w:w="937" w:type="dxa"/>
            <w:gridSpan w:val="2"/>
            <w:shd w:val="clear" w:color="auto" w:fill="FFFFFF"/>
          </w:tcPr>
          <w:p w14:paraId="055FED6E" w14:textId="77777777" w:rsidR="002E6D63" w:rsidRPr="004F512A" w:rsidRDefault="002E6D63" w:rsidP="00811D46">
            <w:pPr>
              <w:spacing w:line="240" w:lineRule="auto"/>
              <w:jc w:val="center"/>
              <w:rPr>
                <w:rFonts w:ascii="Times New Roman" w:hAnsi="Times New Roman"/>
                <w:color w:val="000000"/>
              </w:rPr>
            </w:pPr>
            <w:r w:rsidRPr="004F512A">
              <w:rPr>
                <w:rFonts w:ascii="Times New Roman" w:hAnsi="Times New Roman"/>
                <w:color w:val="000000"/>
              </w:rPr>
              <w:t>0</w:t>
            </w:r>
          </w:p>
        </w:tc>
        <w:tc>
          <w:tcPr>
            <w:tcW w:w="938" w:type="dxa"/>
            <w:gridSpan w:val="5"/>
            <w:shd w:val="clear" w:color="auto" w:fill="FFFFFF"/>
          </w:tcPr>
          <w:p w14:paraId="4C2436AE" w14:textId="77777777" w:rsidR="002E6D63" w:rsidRPr="004F512A" w:rsidRDefault="002E6D63" w:rsidP="00811D46">
            <w:pPr>
              <w:spacing w:line="240" w:lineRule="auto"/>
              <w:jc w:val="center"/>
              <w:rPr>
                <w:rFonts w:ascii="Times New Roman" w:hAnsi="Times New Roman"/>
                <w:color w:val="000000"/>
              </w:rPr>
            </w:pPr>
            <w:r w:rsidRPr="004F512A">
              <w:rPr>
                <w:rFonts w:ascii="Times New Roman" w:hAnsi="Times New Roman"/>
                <w:color w:val="000000"/>
              </w:rPr>
              <w:t>1</w:t>
            </w:r>
          </w:p>
        </w:tc>
        <w:tc>
          <w:tcPr>
            <w:tcW w:w="938" w:type="dxa"/>
            <w:gridSpan w:val="4"/>
            <w:shd w:val="clear" w:color="auto" w:fill="FFFFFF"/>
          </w:tcPr>
          <w:p w14:paraId="24528103" w14:textId="77777777" w:rsidR="002E6D63" w:rsidRPr="004F512A" w:rsidRDefault="002E6D63" w:rsidP="00811D46">
            <w:pPr>
              <w:spacing w:line="240" w:lineRule="auto"/>
              <w:jc w:val="center"/>
              <w:rPr>
                <w:rFonts w:ascii="Times New Roman" w:hAnsi="Times New Roman"/>
                <w:color w:val="000000"/>
              </w:rPr>
            </w:pPr>
            <w:r w:rsidRPr="004F512A">
              <w:rPr>
                <w:rFonts w:ascii="Times New Roman" w:hAnsi="Times New Roman"/>
                <w:color w:val="000000"/>
              </w:rPr>
              <w:t>2</w:t>
            </w:r>
          </w:p>
        </w:tc>
        <w:tc>
          <w:tcPr>
            <w:tcW w:w="937" w:type="dxa"/>
            <w:gridSpan w:val="3"/>
            <w:shd w:val="clear" w:color="auto" w:fill="FFFFFF"/>
          </w:tcPr>
          <w:p w14:paraId="0C2C14BA" w14:textId="77777777" w:rsidR="002E6D63" w:rsidRPr="004F512A" w:rsidRDefault="002E6D63" w:rsidP="00811D46">
            <w:pPr>
              <w:spacing w:line="240" w:lineRule="auto"/>
              <w:jc w:val="center"/>
              <w:rPr>
                <w:rFonts w:ascii="Times New Roman" w:hAnsi="Times New Roman"/>
                <w:color w:val="000000"/>
              </w:rPr>
            </w:pPr>
            <w:r w:rsidRPr="004F512A">
              <w:rPr>
                <w:rFonts w:ascii="Times New Roman" w:hAnsi="Times New Roman"/>
                <w:color w:val="000000"/>
              </w:rPr>
              <w:t>3</w:t>
            </w:r>
          </w:p>
        </w:tc>
        <w:tc>
          <w:tcPr>
            <w:tcW w:w="938" w:type="dxa"/>
            <w:gridSpan w:val="4"/>
            <w:shd w:val="clear" w:color="auto" w:fill="FFFFFF"/>
          </w:tcPr>
          <w:p w14:paraId="1223E5BC" w14:textId="77777777" w:rsidR="002E6D63" w:rsidRPr="004F512A" w:rsidRDefault="002E6D63" w:rsidP="00811D46">
            <w:pPr>
              <w:spacing w:line="240" w:lineRule="auto"/>
              <w:jc w:val="center"/>
              <w:rPr>
                <w:rFonts w:ascii="Times New Roman" w:hAnsi="Times New Roman"/>
                <w:color w:val="000000"/>
              </w:rPr>
            </w:pPr>
            <w:r w:rsidRPr="004F512A">
              <w:rPr>
                <w:rFonts w:ascii="Times New Roman" w:hAnsi="Times New Roman"/>
                <w:color w:val="000000"/>
              </w:rPr>
              <w:t>5</w:t>
            </w:r>
          </w:p>
        </w:tc>
        <w:tc>
          <w:tcPr>
            <w:tcW w:w="938" w:type="dxa"/>
            <w:gridSpan w:val="3"/>
            <w:shd w:val="clear" w:color="auto" w:fill="FFFFFF"/>
          </w:tcPr>
          <w:p w14:paraId="06311FB0" w14:textId="77777777" w:rsidR="002E6D63" w:rsidRPr="004F512A" w:rsidRDefault="002E6D63" w:rsidP="00811D46">
            <w:pPr>
              <w:spacing w:line="240" w:lineRule="auto"/>
              <w:jc w:val="center"/>
              <w:rPr>
                <w:rFonts w:ascii="Times New Roman" w:hAnsi="Times New Roman"/>
                <w:color w:val="000000"/>
              </w:rPr>
            </w:pPr>
            <w:r w:rsidRPr="004F512A">
              <w:rPr>
                <w:rFonts w:ascii="Times New Roman" w:hAnsi="Times New Roman"/>
                <w:color w:val="000000"/>
              </w:rPr>
              <w:t>10</w:t>
            </w:r>
          </w:p>
        </w:tc>
        <w:tc>
          <w:tcPr>
            <w:tcW w:w="1571" w:type="dxa"/>
            <w:shd w:val="clear" w:color="auto" w:fill="FFFFFF"/>
          </w:tcPr>
          <w:p w14:paraId="259953DE" w14:textId="77777777" w:rsidR="002E6D63" w:rsidRPr="004F512A" w:rsidRDefault="002E6D63" w:rsidP="00811D46">
            <w:pPr>
              <w:spacing w:line="240" w:lineRule="auto"/>
              <w:jc w:val="center"/>
              <w:rPr>
                <w:rFonts w:ascii="Times New Roman" w:hAnsi="Times New Roman"/>
                <w:i/>
                <w:color w:val="000000"/>
                <w:spacing w:val="-2"/>
              </w:rPr>
            </w:pPr>
            <w:r w:rsidRPr="004F512A">
              <w:rPr>
                <w:rFonts w:ascii="Times New Roman" w:hAnsi="Times New Roman"/>
                <w:i/>
                <w:color w:val="000000"/>
                <w:spacing w:val="-2"/>
              </w:rPr>
              <w:t>Łącznie</w:t>
            </w:r>
            <w:r w:rsidRPr="004F512A" w:rsidDel="0073273A">
              <w:rPr>
                <w:rFonts w:ascii="Times New Roman" w:hAnsi="Times New Roman"/>
                <w:i/>
                <w:color w:val="000000"/>
                <w:spacing w:val="-2"/>
              </w:rPr>
              <w:t xml:space="preserve"> </w:t>
            </w:r>
            <w:r w:rsidR="001B3460" w:rsidRPr="004F512A">
              <w:rPr>
                <w:rFonts w:ascii="Times New Roman" w:hAnsi="Times New Roman"/>
                <w:i/>
                <w:color w:val="000000"/>
                <w:spacing w:val="-2"/>
              </w:rPr>
              <w:t>(0-10)</w:t>
            </w:r>
          </w:p>
        </w:tc>
      </w:tr>
      <w:tr w:rsidR="002E6D63" w:rsidRPr="004F512A" w14:paraId="43B909FE" w14:textId="77777777" w:rsidTr="00DE4C3A">
        <w:trPr>
          <w:trHeight w:val="142"/>
        </w:trPr>
        <w:tc>
          <w:tcPr>
            <w:tcW w:w="1596" w:type="dxa"/>
            <w:vMerge w:val="restart"/>
            <w:shd w:val="clear" w:color="auto" w:fill="FFFFFF"/>
          </w:tcPr>
          <w:p w14:paraId="75C197D1" w14:textId="77777777" w:rsidR="006F78C4" w:rsidRPr="004F512A" w:rsidRDefault="002E6D63" w:rsidP="006F78C4">
            <w:pPr>
              <w:rPr>
                <w:rFonts w:ascii="Times New Roman" w:hAnsi="Times New Roman"/>
                <w:color w:val="000000"/>
              </w:rPr>
            </w:pPr>
            <w:r w:rsidRPr="004F512A">
              <w:rPr>
                <w:rFonts w:ascii="Times New Roman" w:hAnsi="Times New Roman"/>
                <w:color w:val="000000"/>
              </w:rPr>
              <w:t xml:space="preserve">W </w:t>
            </w:r>
            <w:r w:rsidR="001B3460" w:rsidRPr="004F512A">
              <w:rPr>
                <w:rFonts w:ascii="Times New Roman" w:hAnsi="Times New Roman"/>
                <w:color w:val="000000"/>
              </w:rPr>
              <w:t>ujęciu</w:t>
            </w:r>
            <w:r w:rsidRPr="004F512A">
              <w:rPr>
                <w:rFonts w:ascii="Times New Roman" w:hAnsi="Times New Roman"/>
                <w:color w:val="000000"/>
              </w:rPr>
              <w:t xml:space="preserve"> pieniężnym</w:t>
            </w:r>
          </w:p>
          <w:p w14:paraId="1EEA14C7" w14:textId="77777777" w:rsidR="006F78C4" w:rsidRPr="004F512A" w:rsidRDefault="006F78C4" w:rsidP="006F78C4">
            <w:pPr>
              <w:rPr>
                <w:rFonts w:ascii="Times New Roman" w:hAnsi="Times New Roman"/>
                <w:spacing w:val="-2"/>
              </w:rPr>
            </w:pPr>
            <w:r w:rsidRPr="004F512A">
              <w:rPr>
                <w:rFonts w:ascii="Times New Roman" w:hAnsi="Times New Roman"/>
                <w:spacing w:val="-2"/>
              </w:rPr>
              <w:t xml:space="preserve">(w mln zł, </w:t>
            </w:r>
          </w:p>
          <w:p w14:paraId="152BE6D8" w14:textId="77777777" w:rsidR="002E6D63" w:rsidRPr="004F512A" w:rsidRDefault="006F78C4" w:rsidP="006F78C4">
            <w:pPr>
              <w:spacing w:line="240" w:lineRule="auto"/>
              <w:rPr>
                <w:rFonts w:ascii="Times New Roman" w:hAnsi="Times New Roman"/>
                <w:color w:val="000000"/>
              </w:rPr>
            </w:pPr>
            <w:r w:rsidRPr="004F512A">
              <w:rPr>
                <w:rFonts w:ascii="Times New Roman" w:hAnsi="Times New Roman"/>
                <w:spacing w:val="-2"/>
              </w:rPr>
              <w:t xml:space="preserve">ceny </w:t>
            </w:r>
            <w:r w:rsidR="00CF5F4F" w:rsidRPr="004F512A">
              <w:rPr>
                <w:rFonts w:ascii="Times New Roman" w:hAnsi="Times New Roman"/>
                <w:spacing w:val="-2"/>
              </w:rPr>
              <w:t>stałe</w:t>
            </w:r>
            <w:r w:rsidRPr="004F512A">
              <w:rPr>
                <w:rFonts w:ascii="Times New Roman" w:hAnsi="Times New Roman"/>
                <w:spacing w:val="-2"/>
              </w:rPr>
              <w:t xml:space="preserve"> z …… r.)</w:t>
            </w:r>
          </w:p>
        </w:tc>
        <w:tc>
          <w:tcPr>
            <w:tcW w:w="2293" w:type="dxa"/>
            <w:gridSpan w:val="6"/>
            <w:shd w:val="clear" w:color="auto" w:fill="FFFFFF"/>
          </w:tcPr>
          <w:p w14:paraId="5043AA0F" w14:textId="77777777" w:rsidR="002E6D63" w:rsidRPr="004F512A" w:rsidRDefault="009E3C4B" w:rsidP="00811D46">
            <w:pPr>
              <w:spacing w:line="240" w:lineRule="auto"/>
              <w:rPr>
                <w:rFonts w:ascii="Times New Roman" w:hAnsi="Times New Roman"/>
                <w:color w:val="000000"/>
              </w:rPr>
            </w:pPr>
            <w:r w:rsidRPr="004F512A">
              <w:rPr>
                <w:rFonts w:ascii="Times New Roman" w:hAnsi="Times New Roman"/>
                <w:color w:val="000000"/>
              </w:rPr>
              <w:t>duże przedsiębiorstwa</w:t>
            </w:r>
          </w:p>
        </w:tc>
        <w:tc>
          <w:tcPr>
            <w:tcW w:w="937" w:type="dxa"/>
            <w:gridSpan w:val="2"/>
            <w:shd w:val="clear" w:color="auto" w:fill="FFFFFF"/>
          </w:tcPr>
          <w:p w14:paraId="4EDFE720" w14:textId="77777777" w:rsidR="002E6D63" w:rsidRPr="004F512A" w:rsidRDefault="002E6D63" w:rsidP="00811D46">
            <w:pPr>
              <w:spacing w:line="240" w:lineRule="auto"/>
              <w:rPr>
                <w:rFonts w:ascii="Times New Roman" w:hAnsi="Times New Roman"/>
                <w:color w:val="000000"/>
              </w:rPr>
            </w:pPr>
          </w:p>
        </w:tc>
        <w:tc>
          <w:tcPr>
            <w:tcW w:w="938" w:type="dxa"/>
            <w:gridSpan w:val="5"/>
            <w:shd w:val="clear" w:color="auto" w:fill="FFFFFF"/>
          </w:tcPr>
          <w:p w14:paraId="7EB2A31E" w14:textId="77777777" w:rsidR="002E6D63" w:rsidRPr="004F512A" w:rsidRDefault="002E6D63" w:rsidP="00811D46">
            <w:pPr>
              <w:spacing w:line="240" w:lineRule="auto"/>
              <w:rPr>
                <w:rFonts w:ascii="Times New Roman" w:hAnsi="Times New Roman"/>
                <w:color w:val="000000"/>
              </w:rPr>
            </w:pPr>
          </w:p>
        </w:tc>
        <w:tc>
          <w:tcPr>
            <w:tcW w:w="938" w:type="dxa"/>
            <w:gridSpan w:val="4"/>
            <w:shd w:val="clear" w:color="auto" w:fill="FFFFFF"/>
          </w:tcPr>
          <w:p w14:paraId="2628B6B4" w14:textId="77777777" w:rsidR="002E6D63" w:rsidRPr="004F512A" w:rsidRDefault="002E6D63" w:rsidP="00811D46">
            <w:pPr>
              <w:spacing w:line="240" w:lineRule="auto"/>
              <w:rPr>
                <w:rFonts w:ascii="Times New Roman" w:hAnsi="Times New Roman"/>
                <w:color w:val="000000"/>
              </w:rPr>
            </w:pPr>
          </w:p>
        </w:tc>
        <w:tc>
          <w:tcPr>
            <w:tcW w:w="937" w:type="dxa"/>
            <w:gridSpan w:val="3"/>
            <w:shd w:val="clear" w:color="auto" w:fill="FFFFFF"/>
          </w:tcPr>
          <w:p w14:paraId="02F5D429" w14:textId="77777777" w:rsidR="002E6D63" w:rsidRPr="004F512A" w:rsidRDefault="002E6D63" w:rsidP="00811D46">
            <w:pPr>
              <w:spacing w:line="240" w:lineRule="auto"/>
              <w:rPr>
                <w:rFonts w:ascii="Times New Roman" w:hAnsi="Times New Roman"/>
                <w:color w:val="000000"/>
              </w:rPr>
            </w:pPr>
          </w:p>
        </w:tc>
        <w:tc>
          <w:tcPr>
            <w:tcW w:w="938" w:type="dxa"/>
            <w:gridSpan w:val="4"/>
            <w:shd w:val="clear" w:color="auto" w:fill="FFFFFF"/>
          </w:tcPr>
          <w:p w14:paraId="2BD8E849" w14:textId="77777777" w:rsidR="002E6D63" w:rsidRPr="004F512A" w:rsidRDefault="002E6D63" w:rsidP="00811D46">
            <w:pPr>
              <w:spacing w:line="240" w:lineRule="auto"/>
              <w:rPr>
                <w:rFonts w:ascii="Times New Roman" w:hAnsi="Times New Roman"/>
                <w:color w:val="000000"/>
              </w:rPr>
            </w:pPr>
          </w:p>
        </w:tc>
        <w:tc>
          <w:tcPr>
            <w:tcW w:w="938" w:type="dxa"/>
            <w:gridSpan w:val="3"/>
            <w:shd w:val="clear" w:color="auto" w:fill="FFFFFF"/>
          </w:tcPr>
          <w:p w14:paraId="3B5405A0" w14:textId="77777777" w:rsidR="002E6D63" w:rsidRPr="004F512A" w:rsidRDefault="002E6D63" w:rsidP="00811D46">
            <w:pPr>
              <w:spacing w:line="240" w:lineRule="auto"/>
              <w:rPr>
                <w:rFonts w:ascii="Times New Roman" w:hAnsi="Times New Roman"/>
                <w:color w:val="000000"/>
              </w:rPr>
            </w:pPr>
          </w:p>
        </w:tc>
        <w:tc>
          <w:tcPr>
            <w:tcW w:w="1571" w:type="dxa"/>
            <w:shd w:val="clear" w:color="auto" w:fill="FFFFFF"/>
          </w:tcPr>
          <w:p w14:paraId="21689216" w14:textId="77777777" w:rsidR="002E6D63" w:rsidRPr="004F512A" w:rsidRDefault="002E6D63" w:rsidP="00811D46">
            <w:pPr>
              <w:spacing w:line="240" w:lineRule="auto"/>
              <w:rPr>
                <w:rFonts w:ascii="Times New Roman" w:hAnsi="Times New Roman"/>
                <w:color w:val="000000"/>
                <w:spacing w:val="-2"/>
              </w:rPr>
            </w:pPr>
          </w:p>
        </w:tc>
      </w:tr>
      <w:tr w:rsidR="002E6D63" w:rsidRPr="004F512A" w14:paraId="412C8419" w14:textId="77777777" w:rsidTr="00DE4C3A">
        <w:trPr>
          <w:trHeight w:val="142"/>
        </w:trPr>
        <w:tc>
          <w:tcPr>
            <w:tcW w:w="1596" w:type="dxa"/>
            <w:vMerge/>
            <w:shd w:val="clear" w:color="auto" w:fill="FFFFFF"/>
          </w:tcPr>
          <w:p w14:paraId="2CC1315D" w14:textId="77777777" w:rsidR="002E6D63" w:rsidRPr="004F512A" w:rsidRDefault="002E6D63" w:rsidP="00811D46">
            <w:pPr>
              <w:spacing w:line="240" w:lineRule="auto"/>
              <w:rPr>
                <w:rFonts w:ascii="Times New Roman" w:hAnsi="Times New Roman"/>
                <w:color w:val="000000"/>
              </w:rPr>
            </w:pPr>
          </w:p>
        </w:tc>
        <w:tc>
          <w:tcPr>
            <w:tcW w:w="2293" w:type="dxa"/>
            <w:gridSpan w:val="6"/>
            <w:shd w:val="clear" w:color="auto" w:fill="FFFFFF"/>
          </w:tcPr>
          <w:p w14:paraId="0A8F7955" w14:textId="77777777" w:rsidR="002E6D63" w:rsidRPr="004F512A" w:rsidRDefault="00705A29" w:rsidP="00811D46">
            <w:pPr>
              <w:spacing w:line="240" w:lineRule="auto"/>
              <w:rPr>
                <w:rFonts w:ascii="Times New Roman" w:hAnsi="Times New Roman"/>
                <w:color w:val="000000"/>
              </w:rPr>
            </w:pPr>
            <w:r w:rsidRPr="004F512A">
              <w:rPr>
                <w:rFonts w:ascii="Times New Roman" w:hAnsi="Times New Roman"/>
                <w:color w:val="000000"/>
              </w:rPr>
              <w:t>sektor mikro-, małych i średnich przedsiębiorstw</w:t>
            </w:r>
          </w:p>
        </w:tc>
        <w:tc>
          <w:tcPr>
            <w:tcW w:w="937" w:type="dxa"/>
            <w:gridSpan w:val="2"/>
            <w:shd w:val="clear" w:color="auto" w:fill="FFFFFF"/>
          </w:tcPr>
          <w:p w14:paraId="3D2E5C5D" w14:textId="77777777" w:rsidR="002E6D63" w:rsidRPr="004F512A" w:rsidRDefault="002E6D63" w:rsidP="00811D46">
            <w:pPr>
              <w:spacing w:line="240" w:lineRule="auto"/>
              <w:rPr>
                <w:rFonts w:ascii="Times New Roman" w:hAnsi="Times New Roman"/>
                <w:color w:val="000000"/>
              </w:rPr>
            </w:pPr>
          </w:p>
        </w:tc>
        <w:tc>
          <w:tcPr>
            <w:tcW w:w="938" w:type="dxa"/>
            <w:gridSpan w:val="5"/>
            <w:shd w:val="clear" w:color="auto" w:fill="FFFFFF"/>
          </w:tcPr>
          <w:p w14:paraId="369A3540" w14:textId="77777777" w:rsidR="002E6D63" w:rsidRPr="004F512A" w:rsidRDefault="002E6D63" w:rsidP="00811D46">
            <w:pPr>
              <w:spacing w:line="240" w:lineRule="auto"/>
              <w:rPr>
                <w:rFonts w:ascii="Times New Roman" w:hAnsi="Times New Roman"/>
                <w:color w:val="000000"/>
              </w:rPr>
            </w:pPr>
          </w:p>
        </w:tc>
        <w:tc>
          <w:tcPr>
            <w:tcW w:w="938" w:type="dxa"/>
            <w:gridSpan w:val="4"/>
            <w:shd w:val="clear" w:color="auto" w:fill="FFFFFF"/>
          </w:tcPr>
          <w:p w14:paraId="54F9AD71" w14:textId="77777777" w:rsidR="002E6D63" w:rsidRPr="004F512A" w:rsidRDefault="002E6D63" w:rsidP="00811D46">
            <w:pPr>
              <w:spacing w:line="240" w:lineRule="auto"/>
              <w:rPr>
                <w:rFonts w:ascii="Times New Roman" w:hAnsi="Times New Roman"/>
                <w:color w:val="000000"/>
              </w:rPr>
            </w:pPr>
          </w:p>
        </w:tc>
        <w:tc>
          <w:tcPr>
            <w:tcW w:w="937" w:type="dxa"/>
            <w:gridSpan w:val="3"/>
            <w:shd w:val="clear" w:color="auto" w:fill="FFFFFF"/>
          </w:tcPr>
          <w:p w14:paraId="097FB60D" w14:textId="77777777" w:rsidR="002E6D63" w:rsidRPr="004F512A" w:rsidRDefault="002E6D63" w:rsidP="00811D46">
            <w:pPr>
              <w:spacing w:line="240" w:lineRule="auto"/>
              <w:rPr>
                <w:rFonts w:ascii="Times New Roman" w:hAnsi="Times New Roman"/>
                <w:color w:val="000000"/>
              </w:rPr>
            </w:pPr>
          </w:p>
        </w:tc>
        <w:tc>
          <w:tcPr>
            <w:tcW w:w="938" w:type="dxa"/>
            <w:gridSpan w:val="4"/>
            <w:shd w:val="clear" w:color="auto" w:fill="FFFFFF"/>
          </w:tcPr>
          <w:p w14:paraId="0377B6B7" w14:textId="77777777" w:rsidR="002E6D63" w:rsidRPr="004F512A" w:rsidRDefault="002E6D63" w:rsidP="00811D46">
            <w:pPr>
              <w:spacing w:line="240" w:lineRule="auto"/>
              <w:rPr>
                <w:rFonts w:ascii="Times New Roman" w:hAnsi="Times New Roman"/>
                <w:color w:val="000000"/>
              </w:rPr>
            </w:pPr>
          </w:p>
        </w:tc>
        <w:tc>
          <w:tcPr>
            <w:tcW w:w="938" w:type="dxa"/>
            <w:gridSpan w:val="3"/>
            <w:shd w:val="clear" w:color="auto" w:fill="FFFFFF"/>
          </w:tcPr>
          <w:p w14:paraId="22A9417B" w14:textId="77777777" w:rsidR="002E6D63" w:rsidRPr="004F512A" w:rsidRDefault="002E6D63" w:rsidP="00811D46">
            <w:pPr>
              <w:spacing w:line="240" w:lineRule="auto"/>
              <w:rPr>
                <w:rFonts w:ascii="Times New Roman" w:hAnsi="Times New Roman"/>
                <w:color w:val="000000"/>
              </w:rPr>
            </w:pPr>
          </w:p>
        </w:tc>
        <w:tc>
          <w:tcPr>
            <w:tcW w:w="1571" w:type="dxa"/>
            <w:shd w:val="clear" w:color="auto" w:fill="FFFFFF"/>
          </w:tcPr>
          <w:p w14:paraId="5241CB99" w14:textId="77777777" w:rsidR="002E6D63" w:rsidRPr="004F512A" w:rsidRDefault="002E6D63" w:rsidP="00811D46">
            <w:pPr>
              <w:spacing w:line="240" w:lineRule="auto"/>
              <w:rPr>
                <w:rFonts w:ascii="Times New Roman" w:hAnsi="Times New Roman"/>
                <w:color w:val="000000"/>
                <w:spacing w:val="-2"/>
              </w:rPr>
            </w:pPr>
          </w:p>
        </w:tc>
      </w:tr>
      <w:tr w:rsidR="002E6D63" w:rsidRPr="004F512A" w14:paraId="1EC83A4D" w14:textId="77777777" w:rsidTr="00DE4C3A">
        <w:trPr>
          <w:trHeight w:val="142"/>
        </w:trPr>
        <w:tc>
          <w:tcPr>
            <w:tcW w:w="1596" w:type="dxa"/>
            <w:vMerge/>
            <w:shd w:val="clear" w:color="auto" w:fill="FFFFFF"/>
          </w:tcPr>
          <w:p w14:paraId="63D492EA" w14:textId="77777777" w:rsidR="002E6D63" w:rsidRPr="004F512A" w:rsidRDefault="002E6D63" w:rsidP="00811D46">
            <w:pPr>
              <w:spacing w:line="240" w:lineRule="auto"/>
              <w:rPr>
                <w:rFonts w:ascii="Times New Roman" w:hAnsi="Times New Roman"/>
                <w:color w:val="000000"/>
              </w:rPr>
            </w:pPr>
          </w:p>
        </w:tc>
        <w:tc>
          <w:tcPr>
            <w:tcW w:w="2293" w:type="dxa"/>
            <w:gridSpan w:val="6"/>
            <w:shd w:val="clear" w:color="auto" w:fill="FFFFFF"/>
          </w:tcPr>
          <w:p w14:paraId="6D15010F" w14:textId="77777777" w:rsidR="002E6D63" w:rsidRPr="004F512A" w:rsidRDefault="00A92BAF" w:rsidP="00811D46">
            <w:pPr>
              <w:spacing w:line="240" w:lineRule="auto"/>
              <w:rPr>
                <w:rFonts w:ascii="Times New Roman" w:hAnsi="Times New Roman"/>
                <w:color w:val="000000"/>
              </w:rPr>
            </w:pPr>
            <w:r w:rsidRPr="004F512A">
              <w:rPr>
                <w:rFonts w:ascii="Times New Roman" w:hAnsi="Times New Roman"/>
              </w:rPr>
              <w:t xml:space="preserve">rodzina, </w:t>
            </w:r>
            <w:r w:rsidR="009E3C4B" w:rsidRPr="004F512A">
              <w:rPr>
                <w:rFonts w:ascii="Times New Roman" w:hAnsi="Times New Roman"/>
              </w:rPr>
              <w:t>o</w:t>
            </w:r>
            <w:r w:rsidR="002E6D63" w:rsidRPr="004F512A">
              <w:rPr>
                <w:rFonts w:ascii="Times New Roman" w:hAnsi="Times New Roman"/>
              </w:rPr>
              <w:t>bywatele oraz gospodarstwa domowe</w:t>
            </w:r>
          </w:p>
        </w:tc>
        <w:tc>
          <w:tcPr>
            <w:tcW w:w="937" w:type="dxa"/>
            <w:gridSpan w:val="2"/>
            <w:shd w:val="clear" w:color="auto" w:fill="FFFFFF"/>
          </w:tcPr>
          <w:p w14:paraId="59D6856C" w14:textId="77777777" w:rsidR="002E6D63" w:rsidRPr="004F512A" w:rsidRDefault="002E6D63" w:rsidP="00811D46">
            <w:pPr>
              <w:spacing w:line="240" w:lineRule="auto"/>
              <w:rPr>
                <w:rFonts w:ascii="Times New Roman" w:hAnsi="Times New Roman"/>
                <w:color w:val="000000"/>
              </w:rPr>
            </w:pPr>
          </w:p>
        </w:tc>
        <w:tc>
          <w:tcPr>
            <w:tcW w:w="938" w:type="dxa"/>
            <w:gridSpan w:val="5"/>
            <w:shd w:val="clear" w:color="auto" w:fill="FFFFFF"/>
          </w:tcPr>
          <w:p w14:paraId="15C96C82" w14:textId="77777777" w:rsidR="002E6D63" w:rsidRPr="004F512A" w:rsidRDefault="002E6D63" w:rsidP="00811D46">
            <w:pPr>
              <w:spacing w:line="240" w:lineRule="auto"/>
              <w:rPr>
                <w:rFonts w:ascii="Times New Roman" w:hAnsi="Times New Roman"/>
                <w:color w:val="000000"/>
              </w:rPr>
            </w:pPr>
          </w:p>
        </w:tc>
        <w:tc>
          <w:tcPr>
            <w:tcW w:w="938" w:type="dxa"/>
            <w:gridSpan w:val="4"/>
            <w:shd w:val="clear" w:color="auto" w:fill="FFFFFF"/>
          </w:tcPr>
          <w:p w14:paraId="6B547CC2" w14:textId="77777777" w:rsidR="002E6D63" w:rsidRPr="004F512A" w:rsidRDefault="002E6D63" w:rsidP="00811D46">
            <w:pPr>
              <w:spacing w:line="240" w:lineRule="auto"/>
              <w:rPr>
                <w:rFonts w:ascii="Times New Roman" w:hAnsi="Times New Roman"/>
                <w:color w:val="000000"/>
              </w:rPr>
            </w:pPr>
          </w:p>
        </w:tc>
        <w:tc>
          <w:tcPr>
            <w:tcW w:w="937" w:type="dxa"/>
            <w:gridSpan w:val="3"/>
            <w:shd w:val="clear" w:color="auto" w:fill="FFFFFF"/>
          </w:tcPr>
          <w:p w14:paraId="23430DE6" w14:textId="77777777" w:rsidR="002E6D63" w:rsidRPr="004F512A" w:rsidRDefault="002E6D63" w:rsidP="00811D46">
            <w:pPr>
              <w:spacing w:line="240" w:lineRule="auto"/>
              <w:rPr>
                <w:rFonts w:ascii="Times New Roman" w:hAnsi="Times New Roman"/>
                <w:color w:val="000000"/>
              </w:rPr>
            </w:pPr>
          </w:p>
        </w:tc>
        <w:tc>
          <w:tcPr>
            <w:tcW w:w="938" w:type="dxa"/>
            <w:gridSpan w:val="4"/>
            <w:shd w:val="clear" w:color="auto" w:fill="FFFFFF"/>
          </w:tcPr>
          <w:p w14:paraId="5E78E7ED" w14:textId="77777777" w:rsidR="002E6D63" w:rsidRPr="004F512A" w:rsidRDefault="002E6D63" w:rsidP="00811D46">
            <w:pPr>
              <w:spacing w:line="240" w:lineRule="auto"/>
              <w:rPr>
                <w:rFonts w:ascii="Times New Roman" w:hAnsi="Times New Roman"/>
                <w:color w:val="000000"/>
              </w:rPr>
            </w:pPr>
          </w:p>
        </w:tc>
        <w:tc>
          <w:tcPr>
            <w:tcW w:w="938" w:type="dxa"/>
            <w:gridSpan w:val="3"/>
            <w:shd w:val="clear" w:color="auto" w:fill="FFFFFF"/>
          </w:tcPr>
          <w:p w14:paraId="5F6651DA" w14:textId="77777777" w:rsidR="002E6D63" w:rsidRPr="004F512A" w:rsidRDefault="002E6D63" w:rsidP="00811D46">
            <w:pPr>
              <w:spacing w:line="240" w:lineRule="auto"/>
              <w:rPr>
                <w:rFonts w:ascii="Times New Roman" w:hAnsi="Times New Roman"/>
                <w:color w:val="000000"/>
              </w:rPr>
            </w:pPr>
          </w:p>
        </w:tc>
        <w:tc>
          <w:tcPr>
            <w:tcW w:w="1571" w:type="dxa"/>
            <w:shd w:val="clear" w:color="auto" w:fill="FFFFFF"/>
          </w:tcPr>
          <w:p w14:paraId="735F0177" w14:textId="77777777" w:rsidR="002E6D63" w:rsidRPr="004F512A" w:rsidRDefault="002E6D63" w:rsidP="00811D46">
            <w:pPr>
              <w:spacing w:line="240" w:lineRule="auto"/>
              <w:rPr>
                <w:rFonts w:ascii="Times New Roman" w:hAnsi="Times New Roman"/>
                <w:color w:val="000000"/>
                <w:spacing w:val="-2"/>
              </w:rPr>
            </w:pPr>
          </w:p>
        </w:tc>
      </w:tr>
      <w:tr w:rsidR="002E6D63" w:rsidRPr="004F512A" w14:paraId="4C8062B4" w14:textId="77777777" w:rsidTr="00DE4C3A">
        <w:trPr>
          <w:trHeight w:val="142"/>
        </w:trPr>
        <w:tc>
          <w:tcPr>
            <w:tcW w:w="1596" w:type="dxa"/>
            <w:vMerge/>
            <w:shd w:val="clear" w:color="auto" w:fill="FFFFFF"/>
          </w:tcPr>
          <w:p w14:paraId="0271706C" w14:textId="77777777" w:rsidR="002E6D63" w:rsidRPr="004F512A" w:rsidRDefault="002E6D63" w:rsidP="00811D46">
            <w:pPr>
              <w:spacing w:line="240" w:lineRule="auto"/>
              <w:rPr>
                <w:rFonts w:ascii="Times New Roman" w:hAnsi="Times New Roman"/>
                <w:color w:val="000000"/>
              </w:rPr>
            </w:pPr>
          </w:p>
        </w:tc>
        <w:tc>
          <w:tcPr>
            <w:tcW w:w="2293" w:type="dxa"/>
            <w:gridSpan w:val="6"/>
            <w:shd w:val="clear" w:color="auto" w:fill="FFFFFF"/>
          </w:tcPr>
          <w:p w14:paraId="54F2878B" w14:textId="2977365A" w:rsidR="002E6D63" w:rsidRPr="004F512A" w:rsidRDefault="00DF5356" w:rsidP="00811D46">
            <w:pPr>
              <w:spacing w:line="240" w:lineRule="auto"/>
              <w:rPr>
                <w:rFonts w:ascii="Times New Roman" w:hAnsi="Times New Roman"/>
                <w:color w:val="000000"/>
              </w:rPr>
            </w:pPr>
            <w:r>
              <w:rPr>
                <w:rFonts w:ascii="Times New Roman" w:hAnsi="Times New Roman"/>
                <w:color w:val="000000"/>
              </w:rPr>
              <w:t>osoby niepełnosprawne oraz osoby starsz</w:t>
            </w:r>
            <w:r w:rsidR="00A03E83">
              <w:rPr>
                <w:rFonts w:ascii="Times New Roman" w:hAnsi="Times New Roman"/>
                <w:color w:val="000000"/>
              </w:rPr>
              <w:t>e</w:t>
            </w:r>
          </w:p>
        </w:tc>
        <w:tc>
          <w:tcPr>
            <w:tcW w:w="937" w:type="dxa"/>
            <w:gridSpan w:val="2"/>
            <w:shd w:val="clear" w:color="auto" w:fill="FFFFFF"/>
          </w:tcPr>
          <w:p w14:paraId="7746D50F" w14:textId="77777777" w:rsidR="002E6D63" w:rsidRPr="004F512A" w:rsidRDefault="002E6D63" w:rsidP="00811D46">
            <w:pPr>
              <w:spacing w:line="240" w:lineRule="auto"/>
              <w:rPr>
                <w:rFonts w:ascii="Times New Roman" w:hAnsi="Times New Roman"/>
                <w:color w:val="000000"/>
              </w:rPr>
            </w:pPr>
          </w:p>
        </w:tc>
        <w:tc>
          <w:tcPr>
            <w:tcW w:w="938" w:type="dxa"/>
            <w:gridSpan w:val="5"/>
            <w:shd w:val="clear" w:color="auto" w:fill="FFFFFF"/>
          </w:tcPr>
          <w:p w14:paraId="73689110" w14:textId="77777777" w:rsidR="002E6D63" w:rsidRPr="004F512A" w:rsidRDefault="002E6D63" w:rsidP="00811D46">
            <w:pPr>
              <w:spacing w:line="240" w:lineRule="auto"/>
              <w:rPr>
                <w:rFonts w:ascii="Times New Roman" w:hAnsi="Times New Roman"/>
                <w:color w:val="000000"/>
              </w:rPr>
            </w:pPr>
          </w:p>
        </w:tc>
        <w:tc>
          <w:tcPr>
            <w:tcW w:w="938" w:type="dxa"/>
            <w:gridSpan w:val="4"/>
            <w:shd w:val="clear" w:color="auto" w:fill="FFFFFF"/>
          </w:tcPr>
          <w:p w14:paraId="0D921351" w14:textId="77777777" w:rsidR="002E6D63" w:rsidRPr="004F512A" w:rsidRDefault="002E6D63" w:rsidP="00811D46">
            <w:pPr>
              <w:spacing w:line="240" w:lineRule="auto"/>
              <w:rPr>
                <w:rFonts w:ascii="Times New Roman" w:hAnsi="Times New Roman"/>
                <w:color w:val="000000"/>
              </w:rPr>
            </w:pPr>
          </w:p>
        </w:tc>
        <w:tc>
          <w:tcPr>
            <w:tcW w:w="937" w:type="dxa"/>
            <w:gridSpan w:val="3"/>
            <w:shd w:val="clear" w:color="auto" w:fill="FFFFFF"/>
          </w:tcPr>
          <w:p w14:paraId="37FBD1AF" w14:textId="77777777" w:rsidR="002E6D63" w:rsidRPr="004F512A" w:rsidRDefault="002E6D63" w:rsidP="00811D46">
            <w:pPr>
              <w:spacing w:line="240" w:lineRule="auto"/>
              <w:rPr>
                <w:rFonts w:ascii="Times New Roman" w:hAnsi="Times New Roman"/>
                <w:color w:val="000000"/>
              </w:rPr>
            </w:pPr>
          </w:p>
        </w:tc>
        <w:tc>
          <w:tcPr>
            <w:tcW w:w="938" w:type="dxa"/>
            <w:gridSpan w:val="4"/>
            <w:shd w:val="clear" w:color="auto" w:fill="FFFFFF"/>
          </w:tcPr>
          <w:p w14:paraId="52A7F672" w14:textId="77777777" w:rsidR="002E6D63" w:rsidRPr="004F512A" w:rsidRDefault="002E6D63" w:rsidP="00811D46">
            <w:pPr>
              <w:spacing w:line="240" w:lineRule="auto"/>
              <w:rPr>
                <w:rFonts w:ascii="Times New Roman" w:hAnsi="Times New Roman"/>
                <w:color w:val="000000"/>
              </w:rPr>
            </w:pPr>
          </w:p>
        </w:tc>
        <w:tc>
          <w:tcPr>
            <w:tcW w:w="938" w:type="dxa"/>
            <w:gridSpan w:val="3"/>
            <w:shd w:val="clear" w:color="auto" w:fill="FFFFFF"/>
          </w:tcPr>
          <w:p w14:paraId="10A66562" w14:textId="77777777" w:rsidR="002E6D63" w:rsidRPr="004F512A" w:rsidRDefault="002E6D63" w:rsidP="00811D46">
            <w:pPr>
              <w:spacing w:line="240" w:lineRule="auto"/>
              <w:rPr>
                <w:rFonts w:ascii="Times New Roman" w:hAnsi="Times New Roman"/>
                <w:color w:val="000000"/>
              </w:rPr>
            </w:pPr>
          </w:p>
        </w:tc>
        <w:tc>
          <w:tcPr>
            <w:tcW w:w="1571" w:type="dxa"/>
            <w:shd w:val="clear" w:color="auto" w:fill="FFFFFF"/>
          </w:tcPr>
          <w:p w14:paraId="5A8C1EA4" w14:textId="77777777" w:rsidR="002E6D63" w:rsidRPr="004F512A" w:rsidRDefault="002E6D63" w:rsidP="00811D46">
            <w:pPr>
              <w:spacing w:line="240" w:lineRule="auto"/>
              <w:rPr>
                <w:rFonts w:ascii="Times New Roman" w:hAnsi="Times New Roman"/>
                <w:color w:val="000000"/>
                <w:spacing w:val="-2"/>
              </w:rPr>
            </w:pPr>
          </w:p>
        </w:tc>
      </w:tr>
      <w:tr w:rsidR="008A608F" w:rsidRPr="004F512A" w14:paraId="29B6F533" w14:textId="77777777" w:rsidTr="00DE4C3A">
        <w:trPr>
          <w:trHeight w:val="142"/>
        </w:trPr>
        <w:tc>
          <w:tcPr>
            <w:tcW w:w="1596" w:type="dxa"/>
            <w:vMerge w:val="restart"/>
            <w:shd w:val="clear" w:color="auto" w:fill="FFFFFF"/>
          </w:tcPr>
          <w:p w14:paraId="74576728" w14:textId="77777777" w:rsidR="008A608F" w:rsidRPr="004F512A" w:rsidRDefault="008A608F" w:rsidP="00811D46">
            <w:pPr>
              <w:spacing w:line="240" w:lineRule="auto"/>
              <w:rPr>
                <w:rFonts w:ascii="Times New Roman" w:hAnsi="Times New Roman"/>
                <w:color w:val="000000"/>
              </w:rPr>
            </w:pPr>
            <w:r w:rsidRPr="004F512A">
              <w:rPr>
                <w:rFonts w:ascii="Times New Roman" w:hAnsi="Times New Roman"/>
                <w:color w:val="000000"/>
              </w:rPr>
              <w:t xml:space="preserve">W </w:t>
            </w:r>
            <w:r w:rsidR="0097181B" w:rsidRPr="004F512A">
              <w:rPr>
                <w:rFonts w:ascii="Times New Roman" w:hAnsi="Times New Roman"/>
                <w:color w:val="000000"/>
              </w:rPr>
              <w:t xml:space="preserve">ujęciu </w:t>
            </w:r>
            <w:r w:rsidRPr="004F512A">
              <w:rPr>
                <w:rFonts w:ascii="Times New Roman" w:hAnsi="Times New Roman"/>
                <w:color w:val="000000"/>
              </w:rPr>
              <w:t>niepieniężnym</w:t>
            </w:r>
          </w:p>
        </w:tc>
        <w:tc>
          <w:tcPr>
            <w:tcW w:w="2293" w:type="dxa"/>
            <w:gridSpan w:val="6"/>
            <w:shd w:val="clear" w:color="auto" w:fill="FFFFFF"/>
          </w:tcPr>
          <w:p w14:paraId="581D6C94" w14:textId="77777777" w:rsidR="008A608F" w:rsidRPr="004F512A" w:rsidRDefault="009E3C4B" w:rsidP="00811D46">
            <w:pPr>
              <w:spacing w:line="240" w:lineRule="auto"/>
              <w:rPr>
                <w:rFonts w:ascii="Times New Roman" w:hAnsi="Times New Roman"/>
                <w:color w:val="000000"/>
              </w:rPr>
            </w:pPr>
            <w:r w:rsidRPr="004F512A">
              <w:rPr>
                <w:rFonts w:ascii="Times New Roman" w:hAnsi="Times New Roman"/>
                <w:color w:val="000000"/>
              </w:rPr>
              <w:t>duże p</w:t>
            </w:r>
            <w:r w:rsidR="008A608F" w:rsidRPr="004F512A">
              <w:rPr>
                <w:rFonts w:ascii="Times New Roman" w:hAnsi="Times New Roman"/>
                <w:color w:val="000000"/>
              </w:rPr>
              <w:t>rzedsiębiorstwa</w:t>
            </w:r>
          </w:p>
        </w:tc>
        <w:tc>
          <w:tcPr>
            <w:tcW w:w="7197" w:type="dxa"/>
            <w:gridSpan w:val="22"/>
            <w:shd w:val="clear" w:color="auto" w:fill="FFFFFF"/>
          </w:tcPr>
          <w:p w14:paraId="10F3644D" w14:textId="77777777" w:rsidR="009F390E" w:rsidRPr="004F512A" w:rsidRDefault="009F390E" w:rsidP="002B254F">
            <w:pPr>
              <w:spacing w:line="240" w:lineRule="auto"/>
              <w:jc w:val="both"/>
              <w:rPr>
                <w:rFonts w:ascii="Times New Roman" w:hAnsi="Times New Roman"/>
                <w:color w:val="000000"/>
                <w:spacing w:val="-2"/>
              </w:rPr>
            </w:pPr>
          </w:p>
          <w:p w14:paraId="075A0D66" w14:textId="16F46D33" w:rsidR="003046EA" w:rsidRDefault="00BD0E92" w:rsidP="005446C6">
            <w:pPr>
              <w:spacing w:line="240" w:lineRule="auto"/>
              <w:jc w:val="both"/>
              <w:rPr>
                <w:rFonts w:ascii="Times New Roman" w:hAnsi="Times New Roman"/>
                <w:color w:val="000000"/>
                <w:spacing w:val="-2"/>
              </w:rPr>
            </w:pPr>
            <w:r w:rsidRPr="004F512A">
              <w:rPr>
                <w:rFonts w:ascii="Times New Roman" w:hAnsi="Times New Roman"/>
                <w:color w:val="000000"/>
                <w:spacing w:val="-2"/>
              </w:rPr>
              <w:t>Inwestor będzie mógł w sposób sprawny przeprowadzić</w:t>
            </w:r>
            <w:r w:rsidR="005301EE" w:rsidRPr="004F512A">
              <w:rPr>
                <w:rFonts w:ascii="Times New Roman" w:hAnsi="Times New Roman"/>
                <w:color w:val="000000"/>
                <w:spacing w:val="-2"/>
              </w:rPr>
              <w:t xml:space="preserve"> wymagane</w:t>
            </w:r>
            <w:r w:rsidRPr="004F512A">
              <w:rPr>
                <w:rFonts w:ascii="Times New Roman" w:hAnsi="Times New Roman"/>
                <w:color w:val="000000"/>
                <w:spacing w:val="-2"/>
              </w:rPr>
              <w:t xml:space="preserve"> procedury </w:t>
            </w:r>
            <w:r w:rsidR="005301EE" w:rsidRPr="004F512A">
              <w:rPr>
                <w:rFonts w:ascii="Times New Roman" w:hAnsi="Times New Roman"/>
                <w:color w:val="000000"/>
                <w:spacing w:val="-2"/>
              </w:rPr>
              <w:t xml:space="preserve">administracyjne niezbędne do lokalizacji elektrowni szczytowo-pompowej oraz przeprowadzenia budowy takiej elektrowni. </w:t>
            </w:r>
            <w:r w:rsidR="00DD6507">
              <w:rPr>
                <w:rFonts w:ascii="Times New Roman" w:hAnsi="Times New Roman"/>
                <w:color w:val="000000"/>
                <w:spacing w:val="-2"/>
              </w:rPr>
              <w:t xml:space="preserve">Zwiększenie ilości jednostek elektrowni szczytowo-pompowych, dzięki usprawnieniu procesu inwestycyjnego, wpłynie korzystnie na możliwość bilansowania KSE przez operatora systemu przesyłowego elektroenergetycznego. </w:t>
            </w:r>
            <w:r w:rsidR="00020115">
              <w:rPr>
                <w:rFonts w:ascii="Times New Roman" w:hAnsi="Times New Roman"/>
                <w:color w:val="000000"/>
                <w:spacing w:val="-2"/>
              </w:rPr>
              <w:t xml:space="preserve">W szczególności ustawa będzie miała pozytywny wpływ odnośnie bilansowania systemu na operatora systemu przesyłowego elektroenergetycznego odpowiedzialnego za prawidłowe funkcjonowanie KSE. </w:t>
            </w:r>
          </w:p>
          <w:p w14:paraId="614296A4" w14:textId="532D43C5" w:rsidR="003046EA" w:rsidRDefault="00E52872" w:rsidP="005446C6">
            <w:pPr>
              <w:spacing w:line="240" w:lineRule="auto"/>
              <w:jc w:val="both"/>
              <w:rPr>
                <w:rFonts w:ascii="Times New Roman" w:hAnsi="Times New Roman"/>
                <w:color w:val="000000"/>
                <w:spacing w:val="-2"/>
              </w:rPr>
            </w:pPr>
            <w:r>
              <w:rPr>
                <w:rFonts w:ascii="Times New Roman" w:hAnsi="Times New Roman"/>
                <w:color w:val="000000"/>
                <w:spacing w:val="-2"/>
              </w:rPr>
              <w:t>W przypadku d</w:t>
            </w:r>
            <w:r w:rsidR="009F390E" w:rsidRPr="004F512A">
              <w:rPr>
                <w:rFonts w:ascii="Times New Roman" w:hAnsi="Times New Roman"/>
                <w:color w:val="000000"/>
                <w:spacing w:val="-2"/>
              </w:rPr>
              <w:t>uż</w:t>
            </w:r>
            <w:r>
              <w:rPr>
                <w:rFonts w:ascii="Times New Roman" w:hAnsi="Times New Roman"/>
                <w:color w:val="000000"/>
                <w:spacing w:val="-2"/>
              </w:rPr>
              <w:t>ych</w:t>
            </w:r>
            <w:r w:rsidR="00DD6507">
              <w:rPr>
                <w:rFonts w:ascii="Times New Roman" w:hAnsi="Times New Roman"/>
                <w:color w:val="000000"/>
                <w:spacing w:val="-2"/>
              </w:rPr>
              <w:t xml:space="preserve"> przedsiębiorstw energochłonn</w:t>
            </w:r>
            <w:r>
              <w:rPr>
                <w:rFonts w:ascii="Times New Roman" w:hAnsi="Times New Roman"/>
                <w:color w:val="000000"/>
                <w:spacing w:val="-2"/>
              </w:rPr>
              <w:t>ych</w:t>
            </w:r>
            <w:r w:rsidR="00DD6507">
              <w:rPr>
                <w:rFonts w:ascii="Times New Roman" w:hAnsi="Times New Roman"/>
                <w:color w:val="000000"/>
                <w:spacing w:val="-2"/>
              </w:rPr>
              <w:t>, których produkcja uzale</w:t>
            </w:r>
            <w:r w:rsidR="006E2966">
              <w:rPr>
                <w:rFonts w:ascii="Times New Roman" w:hAnsi="Times New Roman"/>
                <w:color w:val="000000"/>
                <w:spacing w:val="-2"/>
              </w:rPr>
              <w:t>ż</w:t>
            </w:r>
            <w:r w:rsidR="00DD6507">
              <w:rPr>
                <w:rFonts w:ascii="Times New Roman" w:hAnsi="Times New Roman"/>
                <w:color w:val="000000"/>
                <w:spacing w:val="-2"/>
              </w:rPr>
              <w:t xml:space="preserve">niona jest od stałego poboru energii elektrycznej, </w:t>
            </w:r>
            <w:r>
              <w:rPr>
                <w:rFonts w:ascii="Times New Roman" w:hAnsi="Times New Roman"/>
                <w:color w:val="000000"/>
                <w:spacing w:val="-2"/>
              </w:rPr>
              <w:t xml:space="preserve">zostanie ograniczone </w:t>
            </w:r>
            <w:r w:rsidR="009F390E" w:rsidRPr="004F512A">
              <w:rPr>
                <w:rFonts w:ascii="Times New Roman" w:hAnsi="Times New Roman"/>
                <w:color w:val="000000"/>
                <w:spacing w:val="-2"/>
              </w:rPr>
              <w:t xml:space="preserve">ryzyko przerw w produkcji i związanych z tym kosztów. </w:t>
            </w:r>
            <w:r>
              <w:rPr>
                <w:rFonts w:ascii="Times New Roman" w:hAnsi="Times New Roman"/>
                <w:color w:val="000000"/>
                <w:spacing w:val="-2"/>
              </w:rPr>
              <w:t>Przykładową metodykę oszacowania kosztów przedstawiono poniżej.</w:t>
            </w:r>
          </w:p>
          <w:p w14:paraId="7BDB5E20" w14:textId="2A0CC1C0" w:rsidR="009F390E" w:rsidRPr="004F512A" w:rsidRDefault="009F390E" w:rsidP="003046EA">
            <w:pPr>
              <w:spacing w:line="240" w:lineRule="auto"/>
              <w:jc w:val="both"/>
              <w:rPr>
                <w:rFonts w:ascii="Times New Roman" w:hAnsi="Times New Roman"/>
                <w:color w:val="000000"/>
                <w:spacing w:val="-2"/>
              </w:rPr>
            </w:pPr>
          </w:p>
        </w:tc>
      </w:tr>
      <w:tr w:rsidR="008A608F" w:rsidRPr="004F512A" w14:paraId="78C7A41E" w14:textId="77777777" w:rsidTr="00DE4C3A">
        <w:trPr>
          <w:trHeight w:val="142"/>
        </w:trPr>
        <w:tc>
          <w:tcPr>
            <w:tcW w:w="1596" w:type="dxa"/>
            <w:vMerge/>
            <w:shd w:val="clear" w:color="auto" w:fill="FFFFFF"/>
          </w:tcPr>
          <w:p w14:paraId="6AE97DDE" w14:textId="77777777" w:rsidR="008A608F" w:rsidRPr="004F512A" w:rsidRDefault="008A608F" w:rsidP="00811D46">
            <w:pPr>
              <w:spacing w:line="240" w:lineRule="auto"/>
              <w:rPr>
                <w:rFonts w:ascii="Times New Roman" w:hAnsi="Times New Roman"/>
                <w:color w:val="000000"/>
              </w:rPr>
            </w:pPr>
          </w:p>
        </w:tc>
        <w:tc>
          <w:tcPr>
            <w:tcW w:w="2293" w:type="dxa"/>
            <w:gridSpan w:val="6"/>
            <w:shd w:val="clear" w:color="auto" w:fill="FFFFFF"/>
          </w:tcPr>
          <w:p w14:paraId="1A8E8D69" w14:textId="77777777" w:rsidR="008A608F" w:rsidRPr="004F512A" w:rsidRDefault="009E3C4B" w:rsidP="00811D46">
            <w:pPr>
              <w:spacing w:line="240" w:lineRule="auto"/>
              <w:rPr>
                <w:rFonts w:ascii="Times New Roman" w:hAnsi="Times New Roman"/>
                <w:color w:val="000000"/>
              </w:rPr>
            </w:pPr>
            <w:r w:rsidRPr="004F512A">
              <w:rPr>
                <w:rFonts w:ascii="Times New Roman" w:hAnsi="Times New Roman"/>
                <w:color w:val="000000"/>
              </w:rPr>
              <w:t>s</w:t>
            </w:r>
            <w:r w:rsidR="008A608F" w:rsidRPr="004F512A">
              <w:rPr>
                <w:rFonts w:ascii="Times New Roman" w:hAnsi="Times New Roman"/>
                <w:color w:val="000000"/>
              </w:rPr>
              <w:t>ektor mikro-, małych i średnich przedsiębiorstw</w:t>
            </w:r>
          </w:p>
        </w:tc>
        <w:tc>
          <w:tcPr>
            <w:tcW w:w="7197" w:type="dxa"/>
            <w:gridSpan w:val="22"/>
            <w:shd w:val="clear" w:color="auto" w:fill="FFFFFF"/>
          </w:tcPr>
          <w:p w14:paraId="2BB093DA" w14:textId="77777777" w:rsidR="009F390E" w:rsidRPr="004F512A" w:rsidRDefault="009F390E" w:rsidP="00974C56">
            <w:pPr>
              <w:spacing w:line="240" w:lineRule="auto"/>
              <w:jc w:val="both"/>
              <w:rPr>
                <w:rFonts w:ascii="Times New Roman" w:hAnsi="Times New Roman"/>
                <w:color w:val="000000"/>
                <w:spacing w:val="-2"/>
              </w:rPr>
            </w:pPr>
          </w:p>
          <w:p w14:paraId="3088075F" w14:textId="199A5260" w:rsidR="008A608F" w:rsidRPr="004F512A" w:rsidRDefault="002B254F" w:rsidP="00974C56">
            <w:p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Włączenie w </w:t>
            </w:r>
            <w:r w:rsidR="00CC20AD">
              <w:rPr>
                <w:rFonts w:ascii="Times New Roman" w:hAnsi="Times New Roman"/>
                <w:color w:val="000000"/>
                <w:spacing w:val="-2"/>
              </w:rPr>
              <w:t>KSE</w:t>
            </w:r>
            <w:r w:rsidRPr="004F512A">
              <w:rPr>
                <w:rFonts w:ascii="Times New Roman" w:hAnsi="Times New Roman"/>
                <w:color w:val="000000"/>
                <w:spacing w:val="-2"/>
              </w:rPr>
              <w:t xml:space="preserve"> </w:t>
            </w:r>
            <w:r w:rsidR="00D02804" w:rsidRPr="004F512A">
              <w:rPr>
                <w:rFonts w:ascii="Times New Roman" w:hAnsi="Times New Roman"/>
                <w:color w:val="000000"/>
                <w:spacing w:val="-2"/>
              </w:rPr>
              <w:t xml:space="preserve">jednostek o tak dużej mocy </w:t>
            </w:r>
            <w:r w:rsidR="00CC20AD">
              <w:rPr>
                <w:rFonts w:ascii="Times New Roman" w:hAnsi="Times New Roman"/>
                <w:color w:val="000000"/>
                <w:spacing w:val="-2"/>
              </w:rPr>
              <w:t xml:space="preserve">jak elektrownie szczytowo-pompowe </w:t>
            </w:r>
            <w:r w:rsidR="00D02804" w:rsidRPr="004F512A">
              <w:rPr>
                <w:rFonts w:ascii="Times New Roman" w:hAnsi="Times New Roman"/>
                <w:color w:val="000000"/>
                <w:spacing w:val="-2"/>
              </w:rPr>
              <w:t xml:space="preserve">pozwalających na natychmiastową </w:t>
            </w:r>
            <w:r w:rsidR="00B96958" w:rsidRPr="004F512A">
              <w:rPr>
                <w:rFonts w:ascii="Times New Roman" w:hAnsi="Times New Roman"/>
                <w:color w:val="000000"/>
                <w:spacing w:val="-2"/>
              </w:rPr>
              <w:t xml:space="preserve">reakcję w przypadku niedoboru mocy </w:t>
            </w:r>
            <w:r w:rsidR="00974C56" w:rsidRPr="004F512A">
              <w:rPr>
                <w:rFonts w:ascii="Times New Roman" w:hAnsi="Times New Roman"/>
                <w:color w:val="000000"/>
                <w:spacing w:val="-2"/>
              </w:rPr>
              <w:t xml:space="preserve">w </w:t>
            </w:r>
            <w:r w:rsidR="00B96958" w:rsidRPr="004F512A">
              <w:rPr>
                <w:rFonts w:ascii="Times New Roman" w:hAnsi="Times New Roman"/>
                <w:color w:val="000000"/>
                <w:spacing w:val="-2"/>
              </w:rPr>
              <w:t xml:space="preserve">systemie albo jej nadpodaży </w:t>
            </w:r>
            <w:r w:rsidR="007C44B2">
              <w:rPr>
                <w:rFonts w:ascii="Times New Roman" w:hAnsi="Times New Roman"/>
                <w:color w:val="000000"/>
                <w:spacing w:val="-2"/>
              </w:rPr>
              <w:t>stworzy przestrzeń do</w:t>
            </w:r>
            <w:r w:rsidR="00B96958" w:rsidRPr="004F512A">
              <w:rPr>
                <w:rFonts w:ascii="Times New Roman" w:hAnsi="Times New Roman"/>
                <w:color w:val="000000"/>
                <w:spacing w:val="-2"/>
              </w:rPr>
              <w:t xml:space="preserve"> integracj</w:t>
            </w:r>
            <w:r w:rsidR="007C44B2">
              <w:rPr>
                <w:rFonts w:ascii="Times New Roman" w:hAnsi="Times New Roman"/>
                <w:color w:val="000000"/>
                <w:spacing w:val="-2"/>
              </w:rPr>
              <w:t>i</w:t>
            </w:r>
            <w:r w:rsidR="00B96958" w:rsidRPr="004F512A">
              <w:rPr>
                <w:rFonts w:ascii="Times New Roman" w:hAnsi="Times New Roman"/>
                <w:color w:val="000000"/>
                <w:spacing w:val="-2"/>
              </w:rPr>
              <w:t xml:space="preserve"> większej </w:t>
            </w:r>
            <w:r w:rsidR="003046EA">
              <w:rPr>
                <w:rFonts w:ascii="Times New Roman" w:hAnsi="Times New Roman"/>
                <w:color w:val="000000"/>
                <w:spacing w:val="-2"/>
              </w:rPr>
              <w:t>liczby</w:t>
            </w:r>
            <w:r w:rsidR="003046EA" w:rsidRPr="004F512A">
              <w:rPr>
                <w:rFonts w:ascii="Times New Roman" w:hAnsi="Times New Roman"/>
                <w:color w:val="000000"/>
                <w:spacing w:val="-2"/>
              </w:rPr>
              <w:t xml:space="preserve"> </w:t>
            </w:r>
            <w:r w:rsidR="00B96958" w:rsidRPr="004F512A">
              <w:rPr>
                <w:rFonts w:ascii="Times New Roman" w:hAnsi="Times New Roman"/>
                <w:color w:val="000000"/>
                <w:spacing w:val="-2"/>
              </w:rPr>
              <w:t>źródeł OZE</w:t>
            </w:r>
            <w:r w:rsidR="00974C56" w:rsidRPr="004F512A">
              <w:rPr>
                <w:rFonts w:ascii="Times New Roman" w:hAnsi="Times New Roman"/>
                <w:color w:val="000000"/>
                <w:spacing w:val="-2"/>
              </w:rPr>
              <w:t>. Tym samym powstaną nowe warunki techniczne dla przyłączania źródeł OZE i rozszerzenie zasięgu działalności gospodarczej</w:t>
            </w:r>
            <w:r w:rsidR="00CC20AD" w:rsidRPr="004F512A">
              <w:rPr>
                <w:rFonts w:ascii="Times New Roman" w:hAnsi="Times New Roman"/>
                <w:color w:val="000000"/>
                <w:spacing w:val="-2"/>
              </w:rPr>
              <w:t xml:space="preserve"> prowadzonej</w:t>
            </w:r>
            <w:r w:rsidR="00CC20AD">
              <w:rPr>
                <w:rFonts w:ascii="Times New Roman" w:hAnsi="Times New Roman"/>
                <w:color w:val="000000"/>
                <w:spacing w:val="-2"/>
              </w:rPr>
              <w:t xml:space="preserve"> przez małe i średnie przedsiębiorstwa</w:t>
            </w:r>
            <w:r w:rsidR="00974C56" w:rsidRPr="004F512A">
              <w:rPr>
                <w:rFonts w:ascii="Times New Roman" w:hAnsi="Times New Roman"/>
                <w:color w:val="000000"/>
                <w:spacing w:val="-2"/>
              </w:rPr>
              <w:t>.</w:t>
            </w:r>
            <w:r w:rsidR="004A7C5F" w:rsidRPr="004F512A">
              <w:rPr>
                <w:rFonts w:ascii="Times New Roman" w:hAnsi="Times New Roman"/>
                <w:color w:val="000000"/>
                <w:spacing w:val="-2"/>
              </w:rPr>
              <w:t xml:space="preserve"> Zgodnie z PEP2040 przewiduje się następującą prognozę produkcji energii elektrycznej z OZE:</w:t>
            </w:r>
          </w:p>
          <w:p w14:paraId="23B14968" w14:textId="77777777" w:rsidR="004A7C5F" w:rsidRPr="004F512A" w:rsidRDefault="004A7C5F" w:rsidP="004A7C5F">
            <w:pPr>
              <w:pStyle w:val="Legenda"/>
              <w:keepNext/>
              <w:rPr>
                <w:rFonts w:ascii="Times New Roman" w:hAnsi="Times New Roman"/>
                <w:sz w:val="22"/>
                <w:szCs w:val="22"/>
              </w:rPr>
            </w:pPr>
            <w:r w:rsidRPr="004F512A">
              <w:rPr>
                <w:rFonts w:ascii="Times New Roman" w:hAnsi="Times New Roman"/>
                <w:sz w:val="22"/>
                <w:szCs w:val="22"/>
              </w:rPr>
              <w:t xml:space="preserve">Tabela </w:t>
            </w:r>
            <w:r w:rsidRPr="004F512A">
              <w:rPr>
                <w:rFonts w:ascii="Times New Roman" w:hAnsi="Times New Roman"/>
                <w:sz w:val="22"/>
                <w:szCs w:val="22"/>
              </w:rPr>
              <w:fldChar w:fldCharType="begin"/>
            </w:r>
            <w:r w:rsidRPr="004F512A">
              <w:rPr>
                <w:rFonts w:ascii="Times New Roman" w:hAnsi="Times New Roman"/>
                <w:sz w:val="22"/>
                <w:szCs w:val="22"/>
              </w:rPr>
              <w:instrText xml:space="preserve"> SEQ Tabela \* ARABIC </w:instrText>
            </w:r>
            <w:r w:rsidRPr="004F512A">
              <w:rPr>
                <w:rFonts w:ascii="Times New Roman" w:hAnsi="Times New Roman"/>
                <w:sz w:val="22"/>
                <w:szCs w:val="22"/>
              </w:rPr>
              <w:fldChar w:fldCharType="separate"/>
            </w:r>
            <w:r w:rsidRPr="004F512A">
              <w:rPr>
                <w:rFonts w:ascii="Times New Roman" w:hAnsi="Times New Roman"/>
                <w:noProof/>
                <w:sz w:val="22"/>
                <w:szCs w:val="22"/>
              </w:rPr>
              <w:t>38</w:t>
            </w:r>
            <w:r w:rsidRPr="004F512A">
              <w:rPr>
                <w:rFonts w:ascii="Times New Roman" w:hAnsi="Times New Roman"/>
                <w:noProof/>
                <w:sz w:val="22"/>
                <w:szCs w:val="22"/>
              </w:rPr>
              <w:fldChar w:fldCharType="end"/>
            </w:r>
            <w:r w:rsidRPr="004F512A">
              <w:rPr>
                <w:rFonts w:ascii="Times New Roman" w:hAnsi="Times New Roman"/>
                <w:sz w:val="22"/>
                <w:szCs w:val="22"/>
              </w:rPr>
              <w:t>. Prognoza produkcji energii elektrycznej netto [</w:t>
            </w:r>
            <w:proofErr w:type="spellStart"/>
            <w:r w:rsidRPr="004F512A">
              <w:rPr>
                <w:rFonts w:ascii="Times New Roman" w:hAnsi="Times New Roman"/>
                <w:sz w:val="22"/>
                <w:szCs w:val="22"/>
              </w:rPr>
              <w:t>TWh</w:t>
            </w:r>
            <w:proofErr w:type="spellEnd"/>
            <w:r w:rsidRPr="004F512A">
              <w:rPr>
                <w:rFonts w:ascii="Times New Roman" w:hAnsi="Times New Roman"/>
                <w:sz w:val="22"/>
                <w:szCs w:val="22"/>
              </w:rPr>
              <w:t>]</w:t>
            </w:r>
          </w:p>
          <w:tbl>
            <w:tblPr>
              <w:tblStyle w:val="Tabela-Siatka"/>
              <w:tblW w:w="8104" w:type="dxa"/>
              <w:tblLayout w:type="fixed"/>
              <w:tblLook w:val="04A0" w:firstRow="1" w:lastRow="0" w:firstColumn="1" w:lastColumn="0" w:noHBand="0" w:noVBand="1"/>
            </w:tblPr>
            <w:tblGrid>
              <w:gridCol w:w="4200"/>
              <w:gridCol w:w="976"/>
              <w:gridCol w:w="976"/>
              <w:gridCol w:w="976"/>
              <w:gridCol w:w="976"/>
            </w:tblGrid>
            <w:tr w:rsidR="004A7C5F" w:rsidRPr="004F512A" w14:paraId="5C6CE7D5" w14:textId="77777777" w:rsidTr="00446A15">
              <w:trPr>
                <w:trHeight w:val="300"/>
              </w:trPr>
              <w:tc>
                <w:tcPr>
                  <w:tcW w:w="4200" w:type="dxa"/>
                  <w:vAlign w:val="center"/>
                  <w:hideMark/>
                </w:tcPr>
                <w:p w14:paraId="6359EA81" w14:textId="77777777" w:rsidR="004A7C5F" w:rsidRPr="004F512A" w:rsidRDefault="004A7C5F" w:rsidP="004A7C5F">
                  <w:pPr>
                    <w:pStyle w:val="Tabela"/>
                    <w:jc w:val="both"/>
                    <w:rPr>
                      <w:rFonts w:ascii="Times New Roman" w:hAnsi="Times New Roman"/>
                      <w:sz w:val="22"/>
                      <w:szCs w:val="22"/>
                    </w:rPr>
                  </w:pPr>
                </w:p>
              </w:tc>
              <w:tc>
                <w:tcPr>
                  <w:tcW w:w="976" w:type="dxa"/>
                  <w:noWrap/>
                  <w:vAlign w:val="center"/>
                  <w:hideMark/>
                </w:tcPr>
                <w:p w14:paraId="0B863AE5" w14:textId="77777777" w:rsidR="004A7C5F" w:rsidRPr="004F512A" w:rsidRDefault="004A7C5F" w:rsidP="004A7C5F">
                  <w:pPr>
                    <w:pStyle w:val="Tabela"/>
                    <w:jc w:val="both"/>
                    <w:rPr>
                      <w:rFonts w:ascii="Times New Roman" w:hAnsi="Times New Roman"/>
                      <w:b/>
                      <w:sz w:val="22"/>
                      <w:szCs w:val="22"/>
                    </w:rPr>
                  </w:pPr>
                  <w:r w:rsidRPr="004F512A">
                    <w:rPr>
                      <w:rFonts w:ascii="Times New Roman" w:hAnsi="Times New Roman"/>
                      <w:b/>
                      <w:sz w:val="22"/>
                      <w:szCs w:val="22"/>
                    </w:rPr>
                    <w:t>2025</w:t>
                  </w:r>
                </w:p>
              </w:tc>
              <w:tc>
                <w:tcPr>
                  <w:tcW w:w="976" w:type="dxa"/>
                  <w:noWrap/>
                  <w:vAlign w:val="center"/>
                  <w:hideMark/>
                </w:tcPr>
                <w:p w14:paraId="378E297A" w14:textId="77777777" w:rsidR="004A7C5F" w:rsidRPr="004F512A" w:rsidRDefault="004A7C5F" w:rsidP="004A7C5F">
                  <w:pPr>
                    <w:pStyle w:val="Tabela"/>
                    <w:jc w:val="both"/>
                    <w:rPr>
                      <w:rFonts w:ascii="Times New Roman" w:hAnsi="Times New Roman"/>
                      <w:b/>
                      <w:sz w:val="22"/>
                      <w:szCs w:val="22"/>
                    </w:rPr>
                  </w:pPr>
                  <w:r w:rsidRPr="004F512A">
                    <w:rPr>
                      <w:rFonts w:ascii="Times New Roman" w:hAnsi="Times New Roman"/>
                      <w:b/>
                      <w:sz w:val="22"/>
                      <w:szCs w:val="22"/>
                    </w:rPr>
                    <w:t>2030</w:t>
                  </w:r>
                </w:p>
              </w:tc>
              <w:tc>
                <w:tcPr>
                  <w:tcW w:w="976" w:type="dxa"/>
                  <w:noWrap/>
                  <w:vAlign w:val="center"/>
                  <w:hideMark/>
                </w:tcPr>
                <w:p w14:paraId="63D9EF55" w14:textId="77777777" w:rsidR="004A7C5F" w:rsidRPr="004F512A" w:rsidRDefault="004A7C5F" w:rsidP="004A7C5F">
                  <w:pPr>
                    <w:pStyle w:val="Tabela"/>
                    <w:jc w:val="both"/>
                    <w:rPr>
                      <w:rFonts w:ascii="Times New Roman" w:hAnsi="Times New Roman"/>
                      <w:b/>
                      <w:sz w:val="22"/>
                      <w:szCs w:val="22"/>
                    </w:rPr>
                  </w:pPr>
                  <w:r w:rsidRPr="004F512A">
                    <w:rPr>
                      <w:rFonts w:ascii="Times New Roman" w:hAnsi="Times New Roman"/>
                      <w:b/>
                      <w:sz w:val="22"/>
                      <w:szCs w:val="22"/>
                    </w:rPr>
                    <w:t>2035</w:t>
                  </w:r>
                </w:p>
              </w:tc>
              <w:tc>
                <w:tcPr>
                  <w:tcW w:w="976" w:type="dxa"/>
                  <w:noWrap/>
                  <w:vAlign w:val="center"/>
                  <w:hideMark/>
                </w:tcPr>
                <w:p w14:paraId="3ABF6AB1" w14:textId="77777777" w:rsidR="004A7C5F" w:rsidRPr="004F512A" w:rsidRDefault="004A7C5F" w:rsidP="004A7C5F">
                  <w:pPr>
                    <w:pStyle w:val="Tabela"/>
                    <w:jc w:val="both"/>
                    <w:rPr>
                      <w:rFonts w:ascii="Times New Roman" w:hAnsi="Times New Roman"/>
                      <w:b/>
                      <w:sz w:val="22"/>
                      <w:szCs w:val="22"/>
                    </w:rPr>
                  </w:pPr>
                  <w:r w:rsidRPr="004F512A">
                    <w:rPr>
                      <w:rFonts w:ascii="Times New Roman" w:hAnsi="Times New Roman"/>
                      <w:b/>
                      <w:sz w:val="22"/>
                      <w:szCs w:val="22"/>
                    </w:rPr>
                    <w:t>2040</w:t>
                  </w:r>
                </w:p>
              </w:tc>
            </w:tr>
            <w:tr w:rsidR="004A7C5F" w:rsidRPr="004F512A" w14:paraId="610F6980" w14:textId="77777777" w:rsidTr="00446A15">
              <w:trPr>
                <w:trHeight w:val="300"/>
              </w:trPr>
              <w:tc>
                <w:tcPr>
                  <w:tcW w:w="4200" w:type="dxa"/>
                  <w:noWrap/>
                  <w:vAlign w:val="center"/>
                  <w:hideMark/>
                </w:tcPr>
                <w:p w14:paraId="5906C6EC"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sz w:val="22"/>
                      <w:szCs w:val="22"/>
                    </w:rPr>
                    <w:t>biomasa i biogaz</w:t>
                  </w:r>
                </w:p>
              </w:tc>
              <w:tc>
                <w:tcPr>
                  <w:tcW w:w="976" w:type="dxa"/>
                  <w:noWrap/>
                  <w:vAlign w:val="center"/>
                  <w:hideMark/>
                </w:tcPr>
                <w:p w14:paraId="740A1ED4"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sz w:val="22"/>
                      <w:szCs w:val="22"/>
                    </w:rPr>
                    <w:t>6,6</w:t>
                  </w:r>
                </w:p>
              </w:tc>
              <w:tc>
                <w:tcPr>
                  <w:tcW w:w="976" w:type="dxa"/>
                  <w:noWrap/>
                  <w:vAlign w:val="center"/>
                  <w:hideMark/>
                </w:tcPr>
                <w:p w14:paraId="434D95B7"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sz w:val="22"/>
                      <w:szCs w:val="22"/>
                    </w:rPr>
                    <w:t>7,4</w:t>
                  </w:r>
                </w:p>
              </w:tc>
              <w:tc>
                <w:tcPr>
                  <w:tcW w:w="976" w:type="dxa"/>
                  <w:noWrap/>
                  <w:vAlign w:val="center"/>
                  <w:hideMark/>
                </w:tcPr>
                <w:p w14:paraId="12755A23"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sz w:val="22"/>
                      <w:szCs w:val="22"/>
                    </w:rPr>
                    <w:t>8,0</w:t>
                  </w:r>
                </w:p>
              </w:tc>
              <w:tc>
                <w:tcPr>
                  <w:tcW w:w="976" w:type="dxa"/>
                  <w:noWrap/>
                  <w:vAlign w:val="center"/>
                  <w:hideMark/>
                </w:tcPr>
                <w:p w14:paraId="3B0F9D39"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sz w:val="22"/>
                      <w:szCs w:val="22"/>
                    </w:rPr>
                    <w:t>7,5</w:t>
                  </w:r>
                </w:p>
              </w:tc>
            </w:tr>
            <w:tr w:rsidR="004A7C5F" w:rsidRPr="004F512A" w14:paraId="1FAAF206" w14:textId="77777777" w:rsidTr="00446A15">
              <w:trPr>
                <w:trHeight w:val="300"/>
              </w:trPr>
              <w:tc>
                <w:tcPr>
                  <w:tcW w:w="4200" w:type="dxa"/>
                  <w:noWrap/>
                  <w:vAlign w:val="center"/>
                  <w:hideMark/>
                </w:tcPr>
                <w:p w14:paraId="2BC90772"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sz w:val="22"/>
                      <w:szCs w:val="22"/>
                    </w:rPr>
                    <w:t>energia wodna</w:t>
                  </w:r>
                </w:p>
              </w:tc>
              <w:tc>
                <w:tcPr>
                  <w:tcW w:w="976" w:type="dxa"/>
                  <w:noWrap/>
                  <w:vAlign w:val="center"/>
                  <w:hideMark/>
                </w:tcPr>
                <w:p w14:paraId="5A2F5E14" w14:textId="77777777" w:rsidR="004A7C5F" w:rsidRPr="004F512A" w:rsidRDefault="004A7C5F" w:rsidP="004A7C5F">
                  <w:pPr>
                    <w:pStyle w:val="Tabela"/>
                    <w:jc w:val="both"/>
                    <w:rPr>
                      <w:rFonts w:ascii="Times New Roman" w:hAnsi="Times New Roman"/>
                      <w:color w:val="FF0000"/>
                      <w:sz w:val="22"/>
                      <w:szCs w:val="22"/>
                    </w:rPr>
                  </w:pPr>
                  <w:r w:rsidRPr="004F512A">
                    <w:rPr>
                      <w:rFonts w:ascii="Times New Roman" w:hAnsi="Times New Roman"/>
                      <w:sz w:val="22"/>
                      <w:szCs w:val="22"/>
                    </w:rPr>
                    <w:t>1,8</w:t>
                  </w:r>
                </w:p>
              </w:tc>
              <w:tc>
                <w:tcPr>
                  <w:tcW w:w="976" w:type="dxa"/>
                  <w:noWrap/>
                  <w:vAlign w:val="center"/>
                  <w:hideMark/>
                </w:tcPr>
                <w:p w14:paraId="663911E9" w14:textId="77777777" w:rsidR="004A7C5F" w:rsidRPr="004F512A" w:rsidRDefault="004A7C5F" w:rsidP="004A7C5F">
                  <w:pPr>
                    <w:pStyle w:val="Tabela"/>
                    <w:jc w:val="both"/>
                    <w:rPr>
                      <w:rFonts w:ascii="Times New Roman" w:hAnsi="Times New Roman"/>
                      <w:color w:val="FF0000"/>
                      <w:sz w:val="22"/>
                      <w:szCs w:val="22"/>
                    </w:rPr>
                  </w:pPr>
                  <w:r w:rsidRPr="004F512A">
                    <w:rPr>
                      <w:rFonts w:ascii="Times New Roman" w:hAnsi="Times New Roman"/>
                      <w:sz w:val="22"/>
                      <w:szCs w:val="22"/>
                    </w:rPr>
                    <w:t>1,8</w:t>
                  </w:r>
                </w:p>
              </w:tc>
              <w:tc>
                <w:tcPr>
                  <w:tcW w:w="976" w:type="dxa"/>
                  <w:noWrap/>
                  <w:vAlign w:val="center"/>
                  <w:hideMark/>
                </w:tcPr>
                <w:p w14:paraId="36710005" w14:textId="77777777" w:rsidR="004A7C5F" w:rsidRPr="004F512A" w:rsidRDefault="004A7C5F" w:rsidP="004A7C5F">
                  <w:pPr>
                    <w:pStyle w:val="Tabela"/>
                    <w:jc w:val="both"/>
                    <w:rPr>
                      <w:rFonts w:ascii="Times New Roman" w:hAnsi="Times New Roman"/>
                      <w:color w:val="FF0000"/>
                      <w:sz w:val="22"/>
                      <w:szCs w:val="22"/>
                    </w:rPr>
                  </w:pPr>
                  <w:r w:rsidRPr="004F512A">
                    <w:rPr>
                      <w:rFonts w:ascii="Times New Roman" w:hAnsi="Times New Roman"/>
                      <w:sz w:val="22"/>
                      <w:szCs w:val="22"/>
                    </w:rPr>
                    <w:t>1,9</w:t>
                  </w:r>
                </w:p>
              </w:tc>
              <w:tc>
                <w:tcPr>
                  <w:tcW w:w="976" w:type="dxa"/>
                  <w:noWrap/>
                  <w:vAlign w:val="center"/>
                  <w:hideMark/>
                </w:tcPr>
                <w:p w14:paraId="281A9AA2" w14:textId="77777777" w:rsidR="004A7C5F" w:rsidRPr="004F512A" w:rsidRDefault="004A7C5F" w:rsidP="004A7C5F">
                  <w:pPr>
                    <w:pStyle w:val="Tabela"/>
                    <w:jc w:val="both"/>
                    <w:rPr>
                      <w:rFonts w:ascii="Times New Roman" w:hAnsi="Times New Roman"/>
                      <w:color w:val="FF0000"/>
                      <w:sz w:val="22"/>
                      <w:szCs w:val="22"/>
                    </w:rPr>
                  </w:pPr>
                  <w:r w:rsidRPr="004F512A">
                    <w:rPr>
                      <w:rFonts w:ascii="Times New Roman" w:hAnsi="Times New Roman"/>
                      <w:sz w:val="22"/>
                      <w:szCs w:val="22"/>
                    </w:rPr>
                    <w:t>1,8</w:t>
                  </w:r>
                </w:p>
              </w:tc>
            </w:tr>
            <w:tr w:rsidR="004A7C5F" w:rsidRPr="004F512A" w14:paraId="68A1B863" w14:textId="77777777" w:rsidTr="00446A15">
              <w:trPr>
                <w:trHeight w:val="300"/>
              </w:trPr>
              <w:tc>
                <w:tcPr>
                  <w:tcW w:w="4200" w:type="dxa"/>
                  <w:noWrap/>
                  <w:vAlign w:val="center"/>
                </w:tcPr>
                <w:p w14:paraId="7C139A5B"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sz w:val="22"/>
                      <w:szCs w:val="22"/>
                    </w:rPr>
                    <w:t>energia wiatrowa, lądowa</w:t>
                  </w:r>
                </w:p>
              </w:tc>
              <w:tc>
                <w:tcPr>
                  <w:tcW w:w="976" w:type="dxa"/>
                  <w:noWrap/>
                  <w:vAlign w:val="center"/>
                </w:tcPr>
                <w:p w14:paraId="17158E85" w14:textId="77777777" w:rsidR="004A7C5F" w:rsidRPr="004F512A" w:rsidRDefault="004A7C5F" w:rsidP="004A7C5F">
                  <w:pPr>
                    <w:pStyle w:val="Tabela"/>
                    <w:jc w:val="both"/>
                    <w:rPr>
                      <w:rFonts w:ascii="Times New Roman" w:hAnsi="Times New Roman"/>
                      <w:color w:val="FF0000"/>
                      <w:sz w:val="22"/>
                      <w:szCs w:val="22"/>
                    </w:rPr>
                  </w:pPr>
                  <w:r w:rsidRPr="004F512A">
                    <w:rPr>
                      <w:rFonts w:ascii="Times New Roman" w:hAnsi="Times New Roman"/>
                      <w:sz w:val="22"/>
                      <w:szCs w:val="22"/>
                    </w:rPr>
                    <w:t>25,4</w:t>
                  </w:r>
                </w:p>
              </w:tc>
              <w:tc>
                <w:tcPr>
                  <w:tcW w:w="976" w:type="dxa"/>
                  <w:noWrap/>
                  <w:vAlign w:val="center"/>
                </w:tcPr>
                <w:p w14:paraId="310948BA" w14:textId="77777777" w:rsidR="004A7C5F" w:rsidRPr="004F512A" w:rsidRDefault="004A7C5F" w:rsidP="004A7C5F">
                  <w:pPr>
                    <w:pStyle w:val="Tabela"/>
                    <w:jc w:val="both"/>
                    <w:rPr>
                      <w:rFonts w:ascii="Times New Roman" w:hAnsi="Times New Roman"/>
                      <w:color w:val="FF0000"/>
                      <w:sz w:val="22"/>
                      <w:szCs w:val="22"/>
                    </w:rPr>
                  </w:pPr>
                  <w:r w:rsidRPr="004F512A">
                    <w:rPr>
                      <w:rFonts w:ascii="Times New Roman" w:hAnsi="Times New Roman"/>
                      <w:sz w:val="22"/>
                      <w:szCs w:val="22"/>
                    </w:rPr>
                    <w:t>23,1</w:t>
                  </w:r>
                </w:p>
              </w:tc>
              <w:tc>
                <w:tcPr>
                  <w:tcW w:w="976" w:type="dxa"/>
                  <w:noWrap/>
                  <w:vAlign w:val="center"/>
                </w:tcPr>
                <w:p w14:paraId="4C37DB31" w14:textId="77777777" w:rsidR="004A7C5F" w:rsidRPr="004F512A" w:rsidRDefault="004A7C5F" w:rsidP="004A7C5F">
                  <w:pPr>
                    <w:pStyle w:val="Tabela"/>
                    <w:jc w:val="both"/>
                    <w:rPr>
                      <w:rFonts w:ascii="Times New Roman" w:hAnsi="Times New Roman"/>
                      <w:color w:val="FF0000"/>
                      <w:sz w:val="22"/>
                      <w:szCs w:val="22"/>
                    </w:rPr>
                  </w:pPr>
                  <w:r w:rsidRPr="004F512A">
                    <w:rPr>
                      <w:rFonts w:ascii="Times New Roman" w:hAnsi="Times New Roman"/>
                      <w:sz w:val="22"/>
                      <w:szCs w:val="22"/>
                    </w:rPr>
                    <w:t>14,5</w:t>
                  </w:r>
                </w:p>
              </w:tc>
              <w:tc>
                <w:tcPr>
                  <w:tcW w:w="976" w:type="dxa"/>
                  <w:noWrap/>
                  <w:vAlign w:val="center"/>
                </w:tcPr>
                <w:p w14:paraId="15E0B58E" w14:textId="77777777" w:rsidR="004A7C5F" w:rsidRPr="004F512A" w:rsidRDefault="004A7C5F" w:rsidP="004A7C5F">
                  <w:pPr>
                    <w:pStyle w:val="Tabela"/>
                    <w:jc w:val="both"/>
                    <w:rPr>
                      <w:rFonts w:ascii="Times New Roman" w:hAnsi="Times New Roman"/>
                      <w:color w:val="FF0000"/>
                      <w:sz w:val="22"/>
                      <w:szCs w:val="22"/>
                    </w:rPr>
                  </w:pPr>
                  <w:r w:rsidRPr="004F512A">
                    <w:rPr>
                      <w:rFonts w:ascii="Times New Roman" w:hAnsi="Times New Roman"/>
                      <w:sz w:val="22"/>
                      <w:szCs w:val="22"/>
                    </w:rPr>
                    <w:t>22,1</w:t>
                  </w:r>
                </w:p>
              </w:tc>
            </w:tr>
            <w:tr w:rsidR="004A7C5F" w:rsidRPr="004F512A" w14:paraId="31C29E3E" w14:textId="77777777" w:rsidTr="00446A15">
              <w:trPr>
                <w:trHeight w:val="300"/>
              </w:trPr>
              <w:tc>
                <w:tcPr>
                  <w:tcW w:w="4200" w:type="dxa"/>
                  <w:noWrap/>
                  <w:vAlign w:val="center"/>
                  <w:hideMark/>
                </w:tcPr>
                <w:p w14:paraId="1F2BA9D3"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sz w:val="22"/>
                      <w:szCs w:val="22"/>
                    </w:rPr>
                    <w:t>energia wiatrowa, morska</w:t>
                  </w:r>
                </w:p>
              </w:tc>
              <w:tc>
                <w:tcPr>
                  <w:tcW w:w="976" w:type="dxa"/>
                  <w:noWrap/>
                  <w:vAlign w:val="center"/>
                  <w:hideMark/>
                </w:tcPr>
                <w:p w14:paraId="691EC0CB"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sz w:val="22"/>
                      <w:szCs w:val="22"/>
                    </w:rPr>
                    <w:t>0,0</w:t>
                  </w:r>
                </w:p>
              </w:tc>
              <w:tc>
                <w:tcPr>
                  <w:tcW w:w="976" w:type="dxa"/>
                  <w:noWrap/>
                  <w:vAlign w:val="center"/>
                  <w:hideMark/>
                </w:tcPr>
                <w:p w14:paraId="5BD70DFA"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sz w:val="22"/>
                      <w:szCs w:val="22"/>
                    </w:rPr>
                    <w:t>24,0</w:t>
                  </w:r>
                </w:p>
              </w:tc>
              <w:tc>
                <w:tcPr>
                  <w:tcW w:w="976" w:type="dxa"/>
                  <w:noWrap/>
                  <w:vAlign w:val="center"/>
                  <w:hideMark/>
                </w:tcPr>
                <w:p w14:paraId="64400EAD"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sz w:val="22"/>
                      <w:szCs w:val="22"/>
                    </w:rPr>
                    <w:t>39,2</w:t>
                  </w:r>
                </w:p>
              </w:tc>
              <w:tc>
                <w:tcPr>
                  <w:tcW w:w="976" w:type="dxa"/>
                  <w:noWrap/>
                  <w:vAlign w:val="center"/>
                  <w:hideMark/>
                </w:tcPr>
                <w:p w14:paraId="08800168"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sz w:val="22"/>
                      <w:szCs w:val="22"/>
                    </w:rPr>
                    <w:t>39,4</w:t>
                  </w:r>
                </w:p>
              </w:tc>
            </w:tr>
            <w:tr w:rsidR="004A7C5F" w:rsidRPr="004F512A" w14:paraId="3588942A" w14:textId="77777777" w:rsidTr="00446A15">
              <w:trPr>
                <w:trHeight w:val="300"/>
              </w:trPr>
              <w:tc>
                <w:tcPr>
                  <w:tcW w:w="4200" w:type="dxa"/>
                  <w:noWrap/>
                  <w:vAlign w:val="center"/>
                  <w:hideMark/>
                </w:tcPr>
                <w:p w14:paraId="123D717D"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sz w:val="22"/>
                      <w:szCs w:val="22"/>
                    </w:rPr>
                    <w:t>energia słoneczna</w:t>
                  </w:r>
                </w:p>
              </w:tc>
              <w:tc>
                <w:tcPr>
                  <w:tcW w:w="976" w:type="dxa"/>
                  <w:noWrap/>
                  <w:vAlign w:val="center"/>
                  <w:hideMark/>
                </w:tcPr>
                <w:p w14:paraId="5A378E64"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sz w:val="22"/>
                      <w:szCs w:val="22"/>
                    </w:rPr>
                    <w:t>4,6</w:t>
                  </w:r>
                </w:p>
              </w:tc>
              <w:tc>
                <w:tcPr>
                  <w:tcW w:w="976" w:type="dxa"/>
                  <w:noWrap/>
                  <w:vAlign w:val="center"/>
                  <w:hideMark/>
                </w:tcPr>
                <w:p w14:paraId="205E8532"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sz w:val="22"/>
                      <w:szCs w:val="22"/>
                    </w:rPr>
                    <w:t>4,4</w:t>
                  </w:r>
                </w:p>
              </w:tc>
              <w:tc>
                <w:tcPr>
                  <w:tcW w:w="976" w:type="dxa"/>
                  <w:noWrap/>
                  <w:vAlign w:val="center"/>
                  <w:hideMark/>
                </w:tcPr>
                <w:p w14:paraId="65289419"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sz w:val="22"/>
                      <w:szCs w:val="22"/>
                    </w:rPr>
                    <w:t>4,3</w:t>
                  </w:r>
                </w:p>
              </w:tc>
              <w:tc>
                <w:tcPr>
                  <w:tcW w:w="976" w:type="dxa"/>
                  <w:noWrap/>
                  <w:vAlign w:val="center"/>
                  <w:hideMark/>
                </w:tcPr>
                <w:p w14:paraId="60C6611E"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sz w:val="22"/>
                      <w:szCs w:val="22"/>
                    </w:rPr>
                    <w:t>9,6</w:t>
                  </w:r>
                </w:p>
              </w:tc>
            </w:tr>
            <w:tr w:rsidR="004A7C5F" w:rsidRPr="004F512A" w14:paraId="2E507476" w14:textId="77777777" w:rsidTr="00446A15">
              <w:trPr>
                <w:trHeight w:val="300"/>
              </w:trPr>
              <w:tc>
                <w:tcPr>
                  <w:tcW w:w="4200" w:type="dxa"/>
                  <w:noWrap/>
                  <w:vAlign w:val="center"/>
                  <w:hideMark/>
                </w:tcPr>
                <w:p w14:paraId="53A8E80C"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b/>
                      <w:sz w:val="22"/>
                      <w:szCs w:val="22"/>
                    </w:rPr>
                    <w:t>razem</w:t>
                  </w:r>
                </w:p>
              </w:tc>
              <w:tc>
                <w:tcPr>
                  <w:tcW w:w="976" w:type="dxa"/>
                  <w:noWrap/>
                  <w:vAlign w:val="center"/>
                  <w:hideMark/>
                </w:tcPr>
                <w:p w14:paraId="11DAF791"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b/>
                      <w:sz w:val="22"/>
                      <w:szCs w:val="22"/>
                    </w:rPr>
                    <w:t>170,1</w:t>
                  </w:r>
                </w:p>
              </w:tc>
              <w:tc>
                <w:tcPr>
                  <w:tcW w:w="976" w:type="dxa"/>
                  <w:noWrap/>
                  <w:vAlign w:val="center"/>
                  <w:hideMark/>
                </w:tcPr>
                <w:p w14:paraId="18583C09"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b/>
                      <w:sz w:val="22"/>
                      <w:szCs w:val="22"/>
                    </w:rPr>
                    <w:t>181,1</w:t>
                  </w:r>
                </w:p>
              </w:tc>
              <w:tc>
                <w:tcPr>
                  <w:tcW w:w="976" w:type="dxa"/>
                  <w:noWrap/>
                  <w:vAlign w:val="center"/>
                  <w:hideMark/>
                </w:tcPr>
                <w:p w14:paraId="0C03EE41"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b/>
                      <w:sz w:val="22"/>
                      <w:szCs w:val="22"/>
                    </w:rPr>
                    <w:t>191,9</w:t>
                  </w:r>
                </w:p>
              </w:tc>
              <w:tc>
                <w:tcPr>
                  <w:tcW w:w="976" w:type="dxa"/>
                  <w:noWrap/>
                  <w:vAlign w:val="center"/>
                  <w:hideMark/>
                </w:tcPr>
                <w:p w14:paraId="0DD7E3F2" w14:textId="77777777" w:rsidR="004A7C5F" w:rsidRPr="004F512A" w:rsidRDefault="004A7C5F" w:rsidP="004A7C5F">
                  <w:pPr>
                    <w:pStyle w:val="Tabela"/>
                    <w:jc w:val="both"/>
                    <w:rPr>
                      <w:rFonts w:ascii="Times New Roman" w:hAnsi="Times New Roman"/>
                      <w:sz w:val="22"/>
                      <w:szCs w:val="22"/>
                    </w:rPr>
                  </w:pPr>
                  <w:r w:rsidRPr="004F512A">
                    <w:rPr>
                      <w:rFonts w:ascii="Times New Roman" w:hAnsi="Times New Roman"/>
                      <w:b/>
                      <w:sz w:val="22"/>
                      <w:szCs w:val="22"/>
                    </w:rPr>
                    <w:t>204,2</w:t>
                  </w:r>
                </w:p>
              </w:tc>
            </w:tr>
          </w:tbl>
          <w:p w14:paraId="495E8E88" w14:textId="77777777" w:rsidR="004A7C5F" w:rsidRPr="004F512A" w:rsidRDefault="004A7C5F" w:rsidP="004A7C5F">
            <w:pPr>
              <w:spacing w:before="120"/>
              <w:jc w:val="both"/>
              <w:rPr>
                <w:rFonts w:ascii="Times New Roman" w:hAnsi="Times New Roman"/>
              </w:rPr>
            </w:pPr>
            <w:r w:rsidRPr="004F512A">
              <w:rPr>
                <w:rFonts w:ascii="Times New Roman" w:hAnsi="Times New Roman"/>
                <w:i/>
                <w:iCs/>
              </w:rPr>
              <w:t>Źródło: Ministerstwo Klimatu i Środowiska, we współpracy z Biurem Obsługi Pełnomocnika Rządu do spraw Strategicznej Infrastruktury Energetycznej oraz Operatorem Systemu Przesyłowego PSE S.A</w:t>
            </w:r>
          </w:p>
          <w:p w14:paraId="38DD7A80" w14:textId="1A96D18C" w:rsidR="004A7C5F" w:rsidRPr="004F512A" w:rsidRDefault="009F390E" w:rsidP="00974C56">
            <w:p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Oznacza to znaczny przyrost nowych instalacji OZE, dla stabilizacji których warunkiem koniecznym są elektrownie szczytowo-pompowe. </w:t>
            </w:r>
          </w:p>
          <w:p w14:paraId="69D3AE03" w14:textId="614BD7AE" w:rsidR="004A7C5F" w:rsidRPr="004F512A" w:rsidRDefault="004C06C6" w:rsidP="00974C56">
            <w:pPr>
              <w:spacing w:line="240" w:lineRule="auto"/>
              <w:jc w:val="both"/>
              <w:rPr>
                <w:rFonts w:ascii="Times New Roman" w:hAnsi="Times New Roman"/>
                <w:color w:val="000000"/>
                <w:spacing w:val="-2"/>
              </w:rPr>
            </w:pPr>
            <w:r>
              <w:rPr>
                <w:rFonts w:ascii="Times New Roman" w:hAnsi="Times New Roman"/>
                <w:color w:val="000000"/>
                <w:spacing w:val="-2"/>
              </w:rPr>
              <w:t xml:space="preserve">Wpływ </w:t>
            </w:r>
            <w:r w:rsidR="005C05D2">
              <w:rPr>
                <w:rFonts w:ascii="Times New Roman" w:hAnsi="Times New Roman"/>
                <w:color w:val="000000"/>
                <w:spacing w:val="-2"/>
              </w:rPr>
              <w:t xml:space="preserve">ustawy </w:t>
            </w:r>
            <w:r>
              <w:rPr>
                <w:rFonts w:ascii="Times New Roman" w:hAnsi="Times New Roman"/>
                <w:color w:val="000000"/>
                <w:spacing w:val="-2"/>
              </w:rPr>
              <w:t xml:space="preserve">na </w:t>
            </w:r>
            <w:r w:rsidRPr="004C06C6">
              <w:rPr>
                <w:rFonts w:ascii="Times New Roman" w:hAnsi="Times New Roman"/>
                <w:color w:val="000000"/>
                <w:spacing w:val="-2"/>
              </w:rPr>
              <w:t>sektor mikro-, małych i średnich przedsiębiorstw</w:t>
            </w:r>
            <w:r>
              <w:rPr>
                <w:rFonts w:ascii="Times New Roman" w:hAnsi="Times New Roman"/>
                <w:color w:val="000000"/>
                <w:spacing w:val="-2"/>
              </w:rPr>
              <w:t xml:space="preserve"> będzie </w:t>
            </w:r>
            <w:r w:rsidR="00571321">
              <w:rPr>
                <w:rFonts w:ascii="Times New Roman" w:hAnsi="Times New Roman"/>
                <w:color w:val="000000"/>
                <w:spacing w:val="-2"/>
              </w:rPr>
              <w:t>miał charakter</w:t>
            </w:r>
            <w:r>
              <w:rPr>
                <w:rFonts w:ascii="Times New Roman" w:hAnsi="Times New Roman"/>
                <w:color w:val="000000"/>
                <w:spacing w:val="-2"/>
              </w:rPr>
              <w:t xml:space="preserve"> po</w:t>
            </w:r>
            <w:r w:rsidR="00BA696E">
              <w:rPr>
                <w:rFonts w:ascii="Times New Roman" w:hAnsi="Times New Roman"/>
                <w:color w:val="000000"/>
                <w:spacing w:val="-2"/>
              </w:rPr>
              <w:t>średni</w:t>
            </w:r>
            <w:r w:rsidR="00571321">
              <w:rPr>
                <w:rFonts w:ascii="Times New Roman" w:hAnsi="Times New Roman"/>
                <w:color w:val="000000"/>
                <w:spacing w:val="-2"/>
              </w:rPr>
              <w:t>,</w:t>
            </w:r>
            <w:r w:rsidR="00BA696E">
              <w:rPr>
                <w:rFonts w:ascii="Times New Roman" w:hAnsi="Times New Roman"/>
                <w:color w:val="000000"/>
                <w:spacing w:val="-2"/>
              </w:rPr>
              <w:t xml:space="preserve"> </w:t>
            </w:r>
            <w:r w:rsidR="00571321">
              <w:rPr>
                <w:rFonts w:ascii="Times New Roman" w:hAnsi="Times New Roman"/>
                <w:color w:val="000000"/>
                <w:spacing w:val="-2"/>
              </w:rPr>
              <w:t>zmaterializuje się</w:t>
            </w:r>
            <w:r w:rsidR="005C05D2">
              <w:rPr>
                <w:rFonts w:ascii="Times New Roman" w:hAnsi="Times New Roman"/>
                <w:color w:val="000000"/>
                <w:spacing w:val="-2"/>
              </w:rPr>
              <w:t xml:space="preserve"> </w:t>
            </w:r>
            <w:r w:rsidR="00BA696E">
              <w:rPr>
                <w:rFonts w:ascii="Times New Roman" w:hAnsi="Times New Roman"/>
                <w:color w:val="000000"/>
                <w:spacing w:val="-2"/>
              </w:rPr>
              <w:t>w przypadku realizacji inwestycji w zakresie elektrowni szczytowo-pompowej</w:t>
            </w:r>
            <w:r w:rsidR="00571321">
              <w:rPr>
                <w:rFonts w:ascii="Times New Roman" w:hAnsi="Times New Roman"/>
                <w:color w:val="000000"/>
                <w:spacing w:val="-2"/>
              </w:rPr>
              <w:t>, a jego skala uzależniona będzie od liczby i skali zrealizowanych inwestycji</w:t>
            </w:r>
            <w:r w:rsidR="00BA696E">
              <w:rPr>
                <w:rFonts w:ascii="Times New Roman" w:hAnsi="Times New Roman"/>
                <w:color w:val="000000"/>
                <w:spacing w:val="-2"/>
              </w:rPr>
              <w:t xml:space="preserve">. </w:t>
            </w:r>
          </w:p>
        </w:tc>
      </w:tr>
      <w:tr w:rsidR="009E3C4B" w:rsidRPr="004F512A" w14:paraId="0C3F0F5D" w14:textId="77777777" w:rsidTr="00DE4C3A">
        <w:trPr>
          <w:trHeight w:val="596"/>
        </w:trPr>
        <w:tc>
          <w:tcPr>
            <w:tcW w:w="1596" w:type="dxa"/>
            <w:vMerge/>
            <w:shd w:val="clear" w:color="auto" w:fill="FFFFFF"/>
          </w:tcPr>
          <w:p w14:paraId="1DF01CD8" w14:textId="77777777" w:rsidR="009E3C4B" w:rsidRPr="004F512A" w:rsidRDefault="009E3C4B" w:rsidP="00811D46">
            <w:pPr>
              <w:spacing w:line="240" w:lineRule="auto"/>
              <w:rPr>
                <w:rFonts w:ascii="Times New Roman" w:hAnsi="Times New Roman"/>
                <w:color w:val="000000"/>
              </w:rPr>
            </w:pPr>
          </w:p>
        </w:tc>
        <w:tc>
          <w:tcPr>
            <w:tcW w:w="2293" w:type="dxa"/>
            <w:gridSpan w:val="6"/>
            <w:shd w:val="clear" w:color="auto" w:fill="FFFFFF"/>
          </w:tcPr>
          <w:p w14:paraId="1F8F4D62" w14:textId="77777777" w:rsidR="009E3C4B" w:rsidRPr="004F512A" w:rsidRDefault="00A92BAF" w:rsidP="00955774">
            <w:pPr>
              <w:tabs>
                <w:tab w:val="right" w:pos="1936"/>
              </w:tabs>
              <w:spacing w:line="240" w:lineRule="auto"/>
              <w:rPr>
                <w:rFonts w:ascii="Times New Roman" w:hAnsi="Times New Roman"/>
                <w:color w:val="000000"/>
              </w:rPr>
            </w:pPr>
            <w:r w:rsidRPr="004F512A">
              <w:rPr>
                <w:rFonts w:ascii="Times New Roman" w:hAnsi="Times New Roman"/>
              </w:rPr>
              <w:t xml:space="preserve">rodzina, </w:t>
            </w:r>
            <w:r w:rsidR="009E3C4B" w:rsidRPr="004F512A">
              <w:rPr>
                <w:rFonts w:ascii="Times New Roman" w:hAnsi="Times New Roman"/>
              </w:rPr>
              <w:t>obywatele oraz gospodarstwa domowe</w:t>
            </w:r>
            <w:r w:rsidR="009E3C4B" w:rsidRPr="004F512A">
              <w:rPr>
                <w:rFonts w:ascii="Times New Roman" w:hAnsi="Times New Roman"/>
                <w:color w:val="000000"/>
              </w:rPr>
              <w:t xml:space="preserve"> </w:t>
            </w:r>
          </w:p>
        </w:tc>
        <w:tc>
          <w:tcPr>
            <w:tcW w:w="7197" w:type="dxa"/>
            <w:gridSpan w:val="22"/>
            <w:shd w:val="clear" w:color="auto" w:fill="FFFFFF"/>
          </w:tcPr>
          <w:p w14:paraId="5E79058A" w14:textId="77777777" w:rsidR="009F390E" w:rsidRPr="004F512A" w:rsidRDefault="009F390E" w:rsidP="00B576E0">
            <w:pPr>
              <w:spacing w:line="240" w:lineRule="auto"/>
              <w:jc w:val="both"/>
              <w:rPr>
                <w:rFonts w:ascii="Times New Roman" w:hAnsi="Times New Roman"/>
                <w:color w:val="000000"/>
                <w:spacing w:val="-2"/>
              </w:rPr>
            </w:pPr>
          </w:p>
          <w:p w14:paraId="579863F2" w14:textId="64E349D8" w:rsidR="009F390E" w:rsidRPr="004F512A" w:rsidRDefault="00974C56" w:rsidP="005446C6">
            <w:p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Odbiorcy energii elektrycznej w gospodarstwach domowych </w:t>
            </w:r>
            <w:r w:rsidR="00B576E0" w:rsidRPr="004F512A">
              <w:rPr>
                <w:rFonts w:ascii="Times New Roman" w:hAnsi="Times New Roman"/>
                <w:color w:val="000000"/>
                <w:spacing w:val="-2"/>
              </w:rPr>
              <w:t xml:space="preserve">uzyskają zapewnienie ciągłości dostaw energii elektrycznej w sytuacji jej niedoboru oraz </w:t>
            </w:r>
            <w:r w:rsidR="009F390E" w:rsidRPr="004F512A">
              <w:rPr>
                <w:rFonts w:ascii="Times New Roman" w:hAnsi="Times New Roman"/>
                <w:color w:val="000000"/>
                <w:spacing w:val="-2"/>
              </w:rPr>
              <w:t xml:space="preserve">w obliczu </w:t>
            </w:r>
            <w:r w:rsidR="00B576E0" w:rsidRPr="004F512A">
              <w:rPr>
                <w:rFonts w:ascii="Times New Roman" w:hAnsi="Times New Roman"/>
                <w:color w:val="000000"/>
                <w:spacing w:val="-2"/>
              </w:rPr>
              <w:t xml:space="preserve">znacznych fluktuacji </w:t>
            </w:r>
            <w:r w:rsidR="007C44B2">
              <w:rPr>
                <w:rFonts w:ascii="Times New Roman" w:hAnsi="Times New Roman"/>
                <w:color w:val="000000"/>
                <w:spacing w:val="-2"/>
              </w:rPr>
              <w:t xml:space="preserve">produkcji ze </w:t>
            </w:r>
            <w:r w:rsidR="00B576E0" w:rsidRPr="004F512A">
              <w:rPr>
                <w:rFonts w:ascii="Times New Roman" w:hAnsi="Times New Roman"/>
                <w:color w:val="000000"/>
                <w:spacing w:val="-2"/>
              </w:rPr>
              <w:t xml:space="preserve">źródeł OZE. Aktywni odbiorcy – </w:t>
            </w:r>
            <w:r w:rsidR="00B576E0" w:rsidRPr="004F512A">
              <w:rPr>
                <w:rFonts w:ascii="Times New Roman" w:hAnsi="Times New Roman"/>
                <w:color w:val="000000"/>
                <w:spacing w:val="-2"/>
              </w:rPr>
              <w:lastRenderedPageBreak/>
              <w:t xml:space="preserve">potencjalni prosumenci będą mogli </w:t>
            </w:r>
            <w:r w:rsidR="000D2F8F" w:rsidRPr="004F512A">
              <w:rPr>
                <w:rFonts w:ascii="Times New Roman" w:hAnsi="Times New Roman"/>
                <w:color w:val="000000"/>
                <w:spacing w:val="-2"/>
              </w:rPr>
              <w:t>w sprawniejszy sposób przeprowadzić procedurę inwestycyjną poprzez przyczynienie się nowych mocy magazynowych</w:t>
            </w:r>
            <w:r w:rsidR="00954FBD" w:rsidRPr="004F512A">
              <w:rPr>
                <w:rFonts w:ascii="Times New Roman" w:hAnsi="Times New Roman"/>
                <w:color w:val="000000"/>
                <w:spacing w:val="-2"/>
              </w:rPr>
              <w:t xml:space="preserve"> do stabilizacji systemu elektroenergetycznego</w:t>
            </w:r>
            <w:r w:rsidR="007C44B2">
              <w:rPr>
                <w:rFonts w:ascii="Times New Roman" w:hAnsi="Times New Roman"/>
                <w:color w:val="000000"/>
                <w:spacing w:val="-2"/>
              </w:rPr>
              <w:t>,</w:t>
            </w:r>
            <w:r w:rsidR="00954FBD" w:rsidRPr="004F512A">
              <w:rPr>
                <w:rFonts w:ascii="Times New Roman" w:hAnsi="Times New Roman"/>
                <w:color w:val="000000"/>
                <w:spacing w:val="-2"/>
              </w:rPr>
              <w:t xml:space="preserve"> a tym samym większą chłonność nowych źródeł OZE przez ten system. </w:t>
            </w:r>
            <w:r w:rsidR="005446C6" w:rsidRPr="005446C6">
              <w:rPr>
                <w:rFonts w:ascii="Times New Roman" w:hAnsi="Times New Roman"/>
                <w:color w:val="000000"/>
                <w:spacing w:val="-2"/>
              </w:rPr>
              <w:t xml:space="preserve">Rozwój OZE w Europie i na </w:t>
            </w:r>
            <w:r w:rsidR="007C44B2">
              <w:rPr>
                <w:rFonts w:ascii="Times New Roman" w:hAnsi="Times New Roman"/>
                <w:color w:val="000000"/>
                <w:spacing w:val="-2"/>
              </w:rPr>
              <w:t>ś</w:t>
            </w:r>
            <w:r w:rsidR="005446C6" w:rsidRPr="005446C6">
              <w:rPr>
                <w:rFonts w:ascii="Times New Roman" w:hAnsi="Times New Roman"/>
                <w:color w:val="000000"/>
                <w:spacing w:val="-2"/>
              </w:rPr>
              <w:t xml:space="preserve">wiecie idzie coraz częściej w parze z magazynami energii pozwalającymi na </w:t>
            </w:r>
            <w:proofErr w:type="spellStart"/>
            <w:r w:rsidR="005446C6" w:rsidRPr="005446C6">
              <w:rPr>
                <w:rFonts w:ascii="Times New Roman" w:hAnsi="Times New Roman"/>
                <w:color w:val="000000"/>
                <w:spacing w:val="-2"/>
              </w:rPr>
              <w:t>samobilansowanie</w:t>
            </w:r>
            <w:proofErr w:type="spellEnd"/>
            <w:r w:rsidR="005446C6" w:rsidRPr="005446C6">
              <w:rPr>
                <w:rFonts w:ascii="Times New Roman" w:hAnsi="Times New Roman"/>
                <w:color w:val="000000"/>
                <w:spacing w:val="-2"/>
              </w:rPr>
              <w:t xml:space="preserve"> się w dużej mierze społeczności energetycznych czy wytwórców. </w:t>
            </w:r>
          </w:p>
        </w:tc>
      </w:tr>
      <w:tr w:rsidR="008A608F" w:rsidRPr="004F512A" w14:paraId="349154B3" w14:textId="77777777" w:rsidTr="00DE4C3A">
        <w:trPr>
          <w:trHeight w:val="240"/>
        </w:trPr>
        <w:tc>
          <w:tcPr>
            <w:tcW w:w="1596" w:type="dxa"/>
            <w:vMerge/>
            <w:shd w:val="clear" w:color="auto" w:fill="FFFFFF"/>
          </w:tcPr>
          <w:p w14:paraId="6A3D0B18" w14:textId="77777777" w:rsidR="008A608F" w:rsidRPr="004F512A" w:rsidRDefault="008A608F" w:rsidP="00811D46">
            <w:pPr>
              <w:spacing w:line="240" w:lineRule="auto"/>
              <w:rPr>
                <w:rFonts w:ascii="Times New Roman" w:hAnsi="Times New Roman"/>
                <w:color w:val="000000"/>
              </w:rPr>
            </w:pPr>
          </w:p>
        </w:tc>
        <w:tc>
          <w:tcPr>
            <w:tcW w:w="2293" w:type="dxa"/>
            <w:gridSpan w:val="6"/>
            <w:shd w:val="clear" w:color="auto" w:fill="FFFFFF"/>
          </w:tcPr>
          <w:p w14:paraId="42DF8D48" w14:textId="5056D975" w:rsidR="008A608F" w:rsidRPr="004F512A" w:rsidRDefault="00DF5356" w:rsidP="00811D46">
            <w:pPr>
              <w:tabs>
                <w:tab w:val="right" w:pos="1936"/>
              </w:tabs>
              <w:rPr>
                <w:rFonts w:ascii="Times New Roman" w:hAnsi="Times New Roman"/>
              </w:rPr>
            </w:pPr>
            <w:r>
              <w:rPr>
                <w:rFonts w:ascii="Times New Roman" w:hAnsi="Times New Roman"/>
                <w:color w:val="000000"/>
              </w:rPr>
              <w:t>osoby niepełnosprawne oraz osoby starsze</w:t>
            </w:r>
          </w:p>
        </w:tc>
        <w:tc>
          <w:tcPr>
            <w:tcW w:w="7197" w:type="dxa"/>
            <w:gridSpan w:val="22"/>
            <w:shd w:val="clear" w:color="auto" w:fill="FFFFFF"/>
          </w:tcPr>
          <w:p w14:paraId="153BDCC6" w14:textId="77777777" w:rsidR="008A608F" w:rsidRPr="004F512A" w:rsidRDefault="008A608F" w:rsidP="00811D46">
            <w:pPr>
              <w:tabs>
                <w:tab w:val="left" w:pos="3000"/>
              </w:tabs>
              <w:rPr>
                <w:rFonts w:ascii="Times New Roman" w:hAnsi="Times New Roman"/>
                <w:color w:val="000000"/>
                <w:spacing w:val="-2"/>
              </w:rPr>
            </w:pPr>
          </w:p>
        </w:tc>
      </w:tr>
      <w:tr w:rsidR="005E7371" w:rsidRPr="004F512A" w14:paraId="1732085D" w14:textId="77777777" w:rsidTr="00DE4C3A">
        <w:trPr>
          <w:trHeight w:val="142"/>
        </w:trPr>
        <w:tc>
          <w:tcPr>
            <w:tcW w:w="1596" w:type="dxa"/>
            <w:vMerge w:val="restart"/>
            <w:shd w:val="clear" w:color="auto" w:fill="FFFFFF"/>
          </w:tcPr>
          <w:p w14:paraId="466B166B" w14:textId="77777777" w:rsidR="005E7371" w:rsidRPr="004F512A" w:rsidRDefault="005E7371" w:rsidP="00811D46">
            <w:pPr>
              <w:spacing w:line="240" w:lineRule="auto"/>
              <w:rPr>
                <w:rFonts w:ascii="Times New Roman" w:hAnsi="Times New Roman"/>
                <w:color w:val="000000"/>
              </w:rPr>
            </w:pPr>
            <w:r w:rsidRPr="004F512A">
              <w:rPr>
                <w:rFonts w:ascii="Times New Roman" w:hAnsi="Times New Roman"/>
                <w:color w:val="000000"/>
              </w:rPr>
              <w:t>Niemierzalne</w:t>
            </w:r>
          </w:p>
        </w:tc>
        <w:tc>
          <w:tcPr>
            <w:tcW w:w="2293" w:type="dxa"/>
            <w:gridSpan w:val="6"/>
            <w:shd w:val="clear" w:color="auto" w:fill="FFFFFF"/>
          </w:tcPr>
          <w:p w14:paraId="1547D3FA" w14:textId="77777777" w:rsidR="005E7371" w:rsidRPr="004F512A" w:rsidRDefault="005E7371" w:rsidP="00811D46">
            <w:pPr>
              <w:spacing w:line="240" w:lineRule="auto"/>
              <w:rPr>
                <w:rFonts w:ascii="Times New Roman" w:hAnsi="Times New Roman"/>
                <w:color w:val="000000"/>
              </w:rPr>
            </w:pPr>
            <w:r w:rsidRPr="004F512A">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4F512A">
              <w:rPr>
                <w:rFonts w:ascii="Times New Roman" w:hAnsi="Times New Roman"/>
                <w:color w:val="000000"/>
              </w:rPr>
              <w:instrText xml:space="preserve"> FORMTEXT </w:instrText>
            </w:r>
            <w:r w:rsidRPr="004F512A">
              <w:rPr>
                <w:rFonts w:ascii="Times New Roman" w:hAnsi="Times New Roman"/>
                <w:color w:val="000000"/>
              </w:rPr>
            </w:r>
            <w:r w:rsidRPr="004F512A">
              <w:rPr>
                <w:rFonts w:ascii="Times New Roman" w:hAnsi="Times New Roman"/>
                <w:color w:val="000000"/>
              </w:rPr>
              <w:fldChar w:fldCharType="separate"/>
            </w:r>
            <w:r w:rsidRPr="004F512A">
              <w:rPr>
                <w:rFonts w:ascii="Times New Roman" w:hAnsi="Times New Roman"/>
                <w:noProof/>
                <w:color w:val="000000"/>
              </w:rPr>
              <w:t>(dodaj/usuń)</w:t>
            </w:r>
            <w:r w:rsidRPr="004F512A">
              <w:rPr>
                <w:rFonts w:ascii="Times New Roman" w:hAnsi="Times New Roman"/>
                <w:color w:val="000000"/>
              </w:rPr>
              <w:fldChar w:fldCharType="end"/>
            </w:r>
          </w:p>
        </w:tc>
        <w:tc>
          <w:tcPr>
            <w:tcW w:w="7197" w:type="dxa"/>
            <w:gridSpan w:val="22"/>
            <w:shd w:val="clear" w:color="auto" w:fill="FFFFFF"/>
          </w:tcPr>
          <w:p w14:paraId="7F9BCDC5" w14:textId="77777777" w:rsidR="005E7371" w:rsidRPr="004F512A" w:rsidRDefault="005E7371" w:rsidP="00811D46">
            <w:pPr>
              <w:spacing w:line="240" w:lineRule="auto"/>
              <w:rPr>
                <w:rFonts w:ascii="Times New Roman" w:hAnsi="Times New Roman"/>
                <w:color w:val="000000"/>
                <w:spacing w:val="-2"/>
              </w:rPr>
            </w:pPr>
          </w:p>
        </w:tc>
      </w:tr>
      <w:tr w:rsidR="005E7371" w:rsidRPr="004F512A" w14:paraId="34844FB5" w14:textId="77777777" w:rsidTr="00DE4C3A">
        <w:trPr>
          <w:trHeight w:val="142"/>
        </w:trPr>
        <w:tc>
          <w:tcPr>
            <w:tcW w:w="1596" w:type="dxa"/>
            <w:vMerge/>
            <w:shd w:val="clear" w:color="auto" w:fill="FFFFFF"/>
          </w:tcPr>
          <w:p w14:paraId="75778CC2" w14:textId="77777777" w:rsidR="005E7371" w:rsidRPr="004F512A" w:rsidRDefault="005E7371" w:rsidP="00811D46">
            <w:pPr>
              <w:spacing w:line="240" w:lineRule="auto"/>
              <w:rPr>
                <w:rFonts w:ascii="Times New Roman" w:hAnsi="Times New Roman"/>
                <w:color w:val="000000"/>
              </w:rPr>
            </w:pPr>
          </w:p>
        </w:tc>
        <w:tc>
          <w:tcPr>
            <w:tcW w:w="2293" w:type="dxa"/>
            <w:gridSpan w:val="6"/>
            <w:shd w:val="clear" w:color="auto" w:fill="FFFFFF"/>
          </w:tcPr>
          <w:p w14:paraId="065FD86E" w14:textId="77777777" w:rsidR="005E7371" w:rsidRPr="004F512A" w:rsidRDefault="005E7371" w:rsidP="00811D46">
            <w:pPr>
              <w:spacing w:line="240" w:lineRule="auto"/>
              <w:rPr>
                <w:rFonts w:ascii="Times New Roman" w:hAnsi="Times New Roman"/>
                <w:color w:val="000000"/>
              </w:rPr>
            </w:pPr>
            <w:r w:rsidRPr="004F512A">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4F512A">
              <w:rPr>
                <w:rFonts w:ascii="Times New Roman" w:hAnsi="Times New Roman"/>
                <w:color w:val="000000"/>
              </w:rPr>
              <w:instrText xml:space="preserve"> FORMTEXT </w:instrText>
            </w:r>
            <w:r w:rsidRPr="004F512A">
              <w:rPr>
                <w:rFonts w:ascii="Times New Roman" w:hAnsi="Times New Roman"/>
                <w:color w:val="000000"/>
              </w:rPr>
            </w:r>
            <w:r w:rsidRPr="004F512A">
              <w:rPr>
                <w:rFonts w:ascii="Times New Roman" w:hAnsi="Times New Roman"/>
                <w:color w:val="000000"/>
              </w:rPr>
              <w:fldChar w:fldCharType="separate"/>
            </w:r>
            <w:r w:rsidRPr="004F512A">
              <w:rPr>
                <w:rFonts w:ascii="Times New Roman" w:hAnsi="Times New Roman"/>
                <w:noProof/>
                <w:color w:val="000000"/>
              </w:rPr>
              <w:t>(dodaj/usuń)</w:t>
            </w:r>
            <w:r w:rsidRPr="004F512A">
              <w:rPr>
                <w:rFonts w:ascii="Times New Roman" w:hAnsi="Times New Roman"/>
                <w:color w:val="000000"/>
              </w:rPr>
              <w:fldChar w:fldCharType="end"/>
            </w:r>
          </w:p>
        </w:tc>
        <w:tc>
          <w:tcPr>
            <w:tcW w:w="7197" w:type="dxa"/>
            <w:gridSpan w:val="22"/>
            <w:shd w:val="clear" w:color="auto" w:fill="FFFFFF"/>
          </w:tcPr>
          <w:p w14:paraId="25FEA172" w14:textId="77777777" w:rsidR="005E7371" w:rsidRPr="004F512A" w:rsidRDefault="005E7371" w:rsidP="00811D46">
            <w:pPr>
              <w:spacing w:line="240" w:lineRule="auto"/>
              <w:rPr>
                <w:rFonts w:ascii="Times New Roman" w:hAnsi="Times New Roman"/>
                <w:color w:val="000000"/>
                <w:spacing w:val="-2"/>
              </w:rPr>
            </w:pPr>
          </w:p>
        </w:tc>
      </w:tr>
      <w:tr w:rsidR="00E24BD7" w:rsidRPr="004F512A" w14:paraId="1956D5BD" w14:textId="77777777" w:rsidTr="00DE4C3A">
        <w:trPr>
          <w:trHeight w:val="1643"/>
        </w:trPr>
        <w:tc>
          <w:tcPr>
            <w:tcW w:w="2243" w:type="dxa"/>
            <w:gridSpan w:val="2"/>
            <w:shd w:val="clear" w:color="auto" w:fill="FFFFFF"/>
          </w:tcPr>
          <w:p w14:paraId="52F29C8F" w14:textId="77777777" w:rsidR="00E24BD7" w:rsidRPr="004F512A" w:rsidRDefault="00E24BD7" w:rsidP="00821717">
            <w:pPr>
              <w:spacing w:line="240" w:lineRule="auto"/>
              <w:rPr>
                <w:rFonts w:ascii="Times New Roman" w:hAnsi="Times New Roman"/>
                <w:color w:val="000000"/>
              </w:rPr>
            </w:pPr>
            <w:r w:rsidRPr="004F512A">
              <w:rPr>
                <w:rFonts w:ascii="Times New Roman" w:hAnsi="Times New Roman"/>
                <w:color w:val="000000"/>
              </w:rPr>
              <w:t xml:space="preserve">Dodatkowe informacje, w tym wskazanie źródeł danych i przyjętych do obliczeń założeń </w:t>
            </w:r>
          </w:p>
        </w:tc>
        <w:tc>
          <w:tcPr>
            <w:tcW w:w="8843" w:type="dxa"/>
            <w:gridSpan w:val="27"/>
            <w:shd w:val="clear" w:color="auto" w:fill="FFFFFF"/>
            <w:vAlign w:val="center"/>
          </w:tcPr>
          <w:p w14:paraId="406CF091" w14:textId="77777777" w:rsidR="00E24BD7" w:rsidRPr="004F512A" w:rsidRDefault="00E24BD7" w:rsidP="00B37C80">
            <w:pPr>
              <w:spacing w:line="240" w:lineRule="auto"/>
              <w:jc w:val="both"/>
              <w:rPr>
                <w:rFonts w:ascii="Times New Roman" w:hAnsi="Times New Roman"/>
                <w:color w:val="000000"/>
              </w:rPr>
            </w:pPr>
          </w:p>
          <w:p w14:paraId="6D380F5F" w14:textId="77777777" w:rsidR="00440AC8" w:rsidRPr="007A2367" w:rsidRDefault="00440AC8" w:rsidP="007A2367">
            <w:pPr>
              <w:pStyle w:val="PGEdata"/>
            </w:pPr>
            <w:r w:rsidRPr="007A2367">
              <w:t>Koszty kapitałowe (CAPEX), koszty operacyjne (OPEX) i żywotność dla elektrowni szczytowo-pompowych przedstawia się następująco:</w:t>
            </w:r>
          </w:p>
          <w:tbl>
            <w:tblPr>
              <w:tblW w:w="9062" w:type="dxa"/>
              <w:tblLayout w:type="fixed"/>
              <w:tblLook w:val="04A0" w:firstRow="1" w:lastRow="0" w:firstColumn="1" w:lastColumn="0" w:noHBand="0" w:noVBand="1"/>
            </w:tblPr>
            <w:tblGrid>
              <w:gridCol w:w="1372"/>
              <w:gridCol w:w="1789"/>
              <w:gridCol w:w="747"/>
              <w:gridCol w:w="769"/>
              <w:gridCol w:w="1102"/>
              <w:gridCol w:w="804"/>
              <w:gridCol w:w="1023"/>
              <w:gridCol w:w="1456"/>
            </w:tblGrid>
            <w:tr w:rsidR="00440AC8" w:rsidRPr="007A2367" w14:paraId="04647D71" w14:textId="77777777" w:rsidTr="00000263">
              <w:tc>
                <w:tcPr>
                  <w:tcW w:w="1372" w:type="dxa"/>
                  <w:vMerge w:val="restart"/>
                  <w:shd w:val="clear" w:color="auto" w:fill="D9D9D9" w:themeFill="background1" w:themeFillShade="D9"/>
                </w:tcPr>
                <w:p w14:paraId="1AB29E68" w14:textId="77777777" w:rsidR="00440AC8" w:rsidRPr="007A2367" w:rsidRDefault="00440AC8" w:rsidP="007A2367">
                  <w:pPr>
                    <w:pStyle w:val="PGEdata"/>
                  </w:pPr>
                  <w:r w:rsidRPr="007A2367">
                    <w:t>TYP</w:t>
                  </w:r>
                </w:p>
              </w:tc>
              <w:tc>
                <w:tcPr>
                  <w:tcW w:w="1789" w:type="dxa"/>
                  <w:vMerge w:val="restart"/>
                  <w:shd w:val="clear" w:color="auto" w:fill="D9D9D9" w:themeFill="background1" w:themeFillShade="D9"/>
                </w:tcPr>
                <w:p w14:paraId="5173CF07" w14:textId="77777777" w:rsidR="00440AC8" w:rsidRPr="007A2367" w:rsidRDefault="00440AC8" w:rsidP="007A2367">
                  <w:pPr>
                    <w:pStyle w:val="PGEdata"/>
                  </w:pPr>
                  <w:r w:rsidRPr="007A2367">
                    <w:t>MOC/POJEMNOŚĆ</w:t>
                  </w:r>
                </w:p>
              </w:tc>
              <w:tc>
                <w:tcPr>
                  <w:tcW w:w="1516" w:type="dxa"/>
                  <w:gridSpan w:val="2"/>
                  <w:tcBorders>
                    <w:right w:val="single" w:sz="4" w:space="0" w:color="FFFFFF" w:themeColor="background1"/>
                  </w:tcBorders>
                  <w:shd w:val="clear" w:color="auto" w:fill="D9D9D9" w:themeFill="background1" w:themeFillShade="D9"/>
                </w:tcPr>
                <w:p w14:paraId="62DA11D0" w14:textId="77777777" w:rsidR="00440AC8" w:rsidRPr="007A2367" w:rsidRDefault="00440AC8" w:rsidP="007A2367">
                  <w:pPr>
                    <w:pStyle w:val="PGEdata"/>
                  </w:pPr>
                  <w:r w:rsidRPr="007A2367">
                    <w:t>CAPEX</w:t>
                  </w:r>
                </w:p>
              </w:tc>
              <w:tc>
                <w:tcPr>
                  <w:tcW w:w="1906" w:type="dxa"/>
                  <w:gridSpan w:val="2"/>
                  <w:tcBorders>
                    <w:left w:val="single" w:sz="4" w:space="0" w:color="FFFFFF" w:themeColor="background1"/>
                    <w:right w:val="single" w:sz="4" w:space="0" w:color="FFFFFF" w:themeColor="background1"/>
                  </w:tcBorders>
                  <w:shd w:val="clear" w:color="auto" w:fill="D9D9D9" w:themeFill="background1" w:themeFillShade="D9"/>
                </w:tcPr>
                <w:p w14:paraId="62EA4355" w14:textId="77777777" w:rsidR="00440AC8" w:rsidRPr="007A2367" w:rsidRDefault="00440AC8" w:rsidP="007A2367">
                  <w:pPr>
                    <w:pStyle w:val="PGEdata"/>
                  </w:pPr>
                  <w:r w:rsidRPr="007A2367">
                    <w:t>OPEX</w:t>
                  </w:r>
                </w:p>
              </w:tc>
              <w:tc>
                <w:tcPr>
                  <w:tcW w:w="1023" w:type="dxa"/>
                  <w:tcBorders>
                    <w:left w:val="single" w:sz="4" w:space="0" w:color="FFFFFF" w:themeColor="background1"/>
                    <w:right w:val="single" w:sz="4" w:space="0" w:color="FFFFFF" w:themeColor="background1"/>
                  </w:tcBorders>
                  <w:shd w:val="clear" w:color="auto" w:fill="D9D9D9" w:themeFill="background1" w:themeFillShade="D9"/>
                </w:tcPr>
                <w:p w14:paraId="50260DDD" w14:textId="77777777" w:rsidR="00440AC8" w:rsidRPr="007A2367" w:rsidRDefault="00440AC8" w:rsidP="007A2367">
                  <w:pPr>
                    <w:pStyle w:val="PGEdata"/>
                  </w:pPr>
                  <w:r w:rsidRPr="007A2367">
                    <w:t xml:space="preserve">Żywotność </w:t>
                  </w:r>
                </w:p>
              </w:tc>
              <w:tc>
                <w:tcPr>
                  <w:tcW w:w="1456" w:type="dxa"/>
                  <w:tcBorders>
                    <w:left w:val="single" w:sz="4" w:space="0" w:color="FFFFFF" w:themeColor="background1"/>
                  </w:tcBorders>
                  <w:shd w:val="clear" w:color="auto" w:fill="D9D9D9" w:themeFill="background1" w:themeFillShade="D9"/>
                </w:tcPr>
                <w:p w14:paraId="5EEEA609" w14:textId="77777777" w:rsidR="00440AC8" w:rsidRPr="007A2367" w:rsidRDefault="00440AC8" w:rsidP="007A2367">
                  <w:pPr>
                    <w:pStyle w:val="PGEdata"/>
                  </w:pPr>
                  <w:r w:rsidRPr="007A2367">
                    <w:t xml:space="preserve">Żywotność </w:t>
                  </w:r>
                </w:p>
              </w:tc>
            </w:tr>
            <w:tr w:rsidR="00440AC8" w:rsidRPr="007A2367" w14:paraId="3FFBDC0E" w14:textId="77777777" w:rsidTr="00000263">
              <w:tc>
                <w:tcPr>
                  <w:tcW w:w="1372" w:type="dxa"/>
                  <w:vMerge/>
                  <w:tcBorders>
                    <w:bottom w:val="single" w:sz="4" w:space="0" w:color="FFFFFF" w:themeColor="background1"/>
                  </w:tcBorders>
                </w:tcPr>
                <w:p w14:paraId="1E2D072F" w14:textId="77777777" w:rsidR="00440AC8" w:rsidRPr="007A2367" w:rsidRDefault="00440AC8" w:rsidP="007A2367">
                  <w:pPr>
                    <w:pStyle w:val="PGEdata"/>
                  </w:pPr>
                </w:p>
              </w:tc>
              <w:tc>
                <w:tcPr>
                  <w:tcW w:w="1789" w:type="dxa"/>
                  <w:vMerge/>
                </w:tcPr>
                <w:p w14:paraId="40795337" w14:textId="77777777" w:rsidR="00440AC8" w:rsidRPr="007A2367" w:rsidRDefault="00440AC8" w:rsidP="007A2367">
                  <w:pPr>
                    <w:pStyle w:val="PGEdata"/>
                  </w:pPr>
                </w:p>
              </w:tc>
              <w:tc>
                <w:tcPr>
                  <w:tcW w:w="747" w:type="dxa"/>
                  <w:shd w:val="clear" w:color="auto" w:fill="F2F2F2" w:themeFill="background1" w:themeFillShade="F2"/>
                </w:tcPr>
                <w:p w14:paraId="097A4737" w14:textId="77777777" w:rsidR="00440AC8" w:rsidRPr="007A2367" w:rsidRDefault="00440AC8" w:rsidP="007A2367">
                  <w:pPr>
                    <w:pStyle w:val="PGEdata"/>
                  </w:pPr>
                  <w:r w:rsidRPr="007A2367">
                    <w:t>$/kW</w:t>
                  </w:r>
                </w:p>
              </w:tc>
              <w:tc>
                <w:tcPr>
                  <w:tcW w:w="769" w:type="dxa"/>
                  <w:shd w:val="clear" w:color="auto" w:fill="F2F2F2" w:themeFill="background1" w:themeFillShade="F2"/>
                </w:tcPr>
                <w:p w14:paraId="330AC17A" w14:textId="77777777" w:rsidR="00440AC8" w:rsidRPr="007A2367" w:rsidRDefault="00440AC8" w:rsidP="007A2367">
                  <w:pPr>
                    <w:pStyle w:val="PGEdata"/>
                  </w:pPr>
                  <w:r w:rsidRPr="007A2367">
                    <w:t>$/kWh (pojemności)</w:t>
                  </w:r>
                </w:p>
              </w:tc>
              <w:tc>
                <w:tcPr>
                  <w:tcW w:w="1102" w:type="dxa"/>
                  <w:shd w:val="clear" w:color="auto" w:fill="F2F2F2" w:themeFill="background1" w:themeFillShade="F2"/>
                </w:tcPr>
                <w:p w14:paraId="3EAD3D83" w14:textId="77777777" w:rsidR="00440AC8" w:rsidRPr="007A2367" w:rsidRDefault="00440AC8" w:rsidP="007A2367">
                  <w:pPr>
                    <w:pStyle w:val="PGEdata"/>
                  </w:pPr>
                  <w:r w:rsidRPr="007A2367">
                    <w:t>$/kW - rok</w:t>
                  </w:r>
                </w:p>
              </w:tc>
              <w:tc>
                <w:tcPr>
                  <w:tcW w:w="804" w:type="dxa"/>
                  <w:shd w:val="clear" w:color="auto" w:fill="F2F2F2" w:themeFill="background1" w:themeFillShade="F2"/>
                </w:tcPr>
                <w:p w14:paraId="171D9C6A" w14:textId="77777777" w:rsidR="00440AC8" w:rsidRPr="007A2367" w:rsidRDefault="00440AC8" w:rsidP="007A2367">
                  <w:pPr>
                    <w:pStyle w:val="PGEdata"/>
                  </w:pPr>
                  <w:r w:rsidRPr="007A2367">
                    <w:t>$/kWh - rok</w:t>
                  </w:r>
                </w:p>
              </w:tc>
              <w:tc>
                <w:tcPr>
                  <w:tcW w:w="1023" w:type="dxa"/>
                  <w:tcBorders>
                    <w:bottom w:val="single" w:sz="4" w:space="0" w:color="FFFFFF" w:themeColor="background1"/>
                  </w:tcBorders>
                  <w:shd w:val="clear" w:color="auto" w:fill="F2F2F2" w:themeFill="background1" w:themeFillShade="F2"/>
                </w:tcPr>
                <w:p w14:paraId="66064F78" w14:textId="77777777" w:rsidR="00440AC8" w:rsidRPr="007A2367" w:rsidRDefault="00440AC8" w:rsidP="007A2367">
                  <w:pPr>
                    <w:pStyle w:val="PGEdata"/>
                  </w:pPr>
                  <w:r w:rsidRPr="007A2367">
                    <w:t>Liczba cykli przy 80% głębokości rozładowania</w:t>
                  </w:r>
                </w:p>
              </w:tc>
              <w:tc>
                <w:tcPr>
                  <w:tcW w:w="1456" w:type="dxa"/>
                  <w:tcBorders>
                    <w:bottom w:val="single" w:sz="4" w:space="0" w:color="FFFFFF" w:themeColor="background1"/>
                  </w:tcBorders>
                  <w:shd w:val="clear" w:color="auto" w:fill="F2F2F2" w:themeFill="background1" w:themeFillShade="F2"/>
                </w:tcPr>
                <w:p w14:paraId="1B239AF1" w14:textId="77777777" w:rsidR="00440AC8" w:rsidRPr="007A2367" w:rsidRDefault="00440AC8" w:rsidP="007A2367">
                  <w:pPr>
                    <w:pStyle w:val="PGEdata"/>
                    <w:rPr>
                      <w:lang w:val="en-GB"/>
                    </w:rPr>
                  </w:pPr>
                  <w:r w:rsidRPr="007A2367">
                    <w:rPr>
                      <w:lang w:val="en-GB"/>
                    </w:rPr>
                    <w:t>Lata</w:t>
                  </w:r>
                </w:p>
              </w:tc>
            </w:tr>
            <w:tr w:rsidR="00000263" w:rsidRPr="007A2367" w14:paraId="76F703B1" w14:textId="77777777" w:rsidTr="00000263">
              <w:tc>
                <w:tcPr>
                  <w:tcW w:w="1372" w:type="dxa"/>
                  <w:vMerge w:val="restart"/>
                  <w:tcBorders>
                    <w:top w:val="single" w:sz="4" w:space="0" w:color="FFFFFF" w:themeColor="background1"/>
                  </w:tcBorders>
                  <w:shd w:val="clear" w:color="auto" w:fill="D9D9D9" w:themeFill="background1" w:themeFillShade="D9"/>
                </w:tcPr>
                <w:p w14:paraId="3C35CA05" w14:textId="77777777" w:rsidR="00440AC8" w:rsidRPr="007A2367" w:rsidRDefault="00440AC8" w:rsidP="007A2367">
                  <w:pPr>
                    <w:pStyle w:val="PGEdata"/>
                    <w:rPr>
                      <w:lang w:val="en-GB"/>
                    </w:rPr>
                  </w:pPr>
                  <w:proofErr w:type="spellStart"/>
                  <w:r w:rsidRPr="007A2367">
                    <w:rPr>
                      <w:lang w:val="en-GB"/>
                    </w:rPr>
                    <w:t>Elektrownie</w:t>
                  </w:r>
                  <w:proofErr w:type="spellEnd"/>
                  <w:r w:rsidRPr="007A2367">
                    <w:rPr>
                      <w:lang w:val="en-GB"/>
                    </w:rPr>
                    <w:t xml:space="preserve"> </w:t>
                  </w:r>
                  <w:proofErr w:type="spellStart"/>
                  <w:r w:rsidRPr="007A2367">
                    <w:rPr>
                      <w:lang w:val="en-GB"/>
                    </w:rPr>
                    <w:t>szczytowo-pompowe</w:t>
                  </w:r>
                  <w:proofErr w:type="spellEnd"/>
                </w:p>
              </w:tc>
              <w:tc>
                <w:tcPr>
                  <w:tcW w:w="1789" w:type="dxa"/>
                  <w:shd w:val="clear" w:color="auto" w:fill="FFFFFF" w:themeFill="background1"/>
                </w:tcPr>
                <w:p w14:paraId="7693FFD9" w14:textId="77777777" w:rsidR="00440AC8" w:rsidRPr="007A2367" w:rsidRDefault="00440AC8" w:rsidP="007A2367">
                  <w:pPr>
                    <w:pStyle w:val="PGEdata"/>
                    <w:rPr>
                      <w:lang w:val="en-GB"/>
                    </w:rPr>
                  </w:pPr>
                  <w:r w:rsidRPr="007A2367">
                    <w:rPr>
                      <w:lang w:val="en-GB"/>
                    </w:rPr>
                    <w:t>100MW/ 1000MWh</w:t>
                  </w:r>
                </w:p>
              </w:tc>
              <w:tc>
                <w:tcPr>
                  <w:tcW w:w="747" w:type="dxa"/>
                  <w:shd w:val="clear" w:color="auto" w:fill="FFFFFF" w:themeFill="background1"/>
                  <w:vAlign w:val="center"/>
                </w:tcPr>
                <w:p w14:paraId="26CB2676" w14:textId="77777777" w:rsidR="00440AC8" w:rsidRPr="007A2367" w:rsidRDefault="00440AC8" w:rsidP="007A2367">
                  <w:pPr>
                    <w:pStyle w:val="PGEdata"/>
                    <w:rPr>
                      <w:lang w:val="en-GB"/>
                    </w:rPr>
                  </w:pPr>
                  <w:r w:rsidRPr="007A2367">
                    <w:rPr>
                      <w:lang w:val="en-GB"/>
                    </w:rPr>
                    <w:t>1 190</w:t>
                  </w:r>
                </w:p>
              </w:tc>
              <w:tc>
                <w:tcPr>
                  <w:tcW w:w="769" w:type="dxa"/>
                  <w:shd w:val="clear" w:color="auto" w:fill="FFFFFF" w:themeFill="background1"/>
                  <w:vAlign w:val="center"/>
                </w:tcPr>
                <w:p w14:paraId="5A8F55CE" w14:textId="77777777" w:rsidR="00440AC8" w:rsidRPr="007A2367" w:rsidRDefault="00440AC8" w:rsidP="007A2367">
                  <w:pPr>
                    <w:pStyle w:val="PGEdata"/>
                    <w:rPr>
                      <w:lang w:val="en-GB"/>
                    </w:rPr>
                  </w:pPr>
                  <w:r w:rsidRPr="007A2367">
                    <w:rPr>
                      <w:lang w:val="en-GB"/>
                    </w:rPr>
                    <w:t>119</w:t>
                  </w:r>
                </w:p>
              </w:tc>
              <w:tc>
                <w:tcPr>
                  <w:tcW w:w="1102" w:type="dxa"/>
                  <w:shd w:val="clear" w:color="auto" w:fill="FFFFFF" w:themeFill="background1"/>
                  <w:vAlign w:val="center"/>
                </w:tcPr>
                <w:p w14:paraId="47DBB0FA" w14:textId="77777777" w:rsidR="00440AC8" w:rsidRPr="007A2367" w:rsidRDefault="00440AC8" w:rsidP="007A2367">
                  <w:pPr>
                    <w:pStyle w:val="PGEdata"/>
                    <w:rPr>
                      <w:lang w:val="en-GB"/>
                    </w:rPr>
                  </w:pPr>
                  <w:r w:rsidRPr="007A2367">
                    <w:rPr>
                      <w:lang w:val="en-GB"/>
                    </w:rPr>
                    <w:t>16,12</w:t>
                  </w:r>
                </w:p>
              </w:tc>
              <w:tc>
                <w:tcPr>
                  <w:tcW w:w="804" w:type="dxa"/>
                  <w:tcBorders>
                    <w:right w:val="single" w:sz="4" w:space="0" w:color="FFFFFF" w:themeColor="background1"/>
                  </w:tcBorders>
                  <w:shd w:val="clear" w:color="auto" w:fill="FFFFFF" w:themeFill="background1"/>
                  <w:vAlign w:val="center"/>
                </w:tcPr>
                <w:p w14:paraId="52214B4C" w14:textId="77777777" w:rsidR="00440AC8" w:rsidRPr="007A2367" w:rsidRDefault="00440AC8" w:rsidP="007A2367">
                  <w:pPr>
                    <w:pStyle w:val="PGEdata"/>
                    <w:rPr>
                      <w:lang w:val="en-GB"/>
                    </w:rPr>
                  </w:pPr>
                  <w:r w:rsidRPr="007A2367">
                    <w:rPr>
                      <w:lang w:val="en-GB"/>
                    </w:rPr>
                    <w:t>1,61</w:t>
                  </w:r>
                </w:p>
              </w:tc>
              <w:tc>
                <w:tcPr>
                  <w:tcW w:w="1023"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5292B3" w14:textId="77777777" w:rsidR="00440AC8" w:rsidRPr="007A2367" w:rsidRDefault="00440AC8" w:rsidP="007A2367">
                  <w:pPr>
                    <w:pStyle w:val="PGEdata"/>
                    <w:rPr>
                      <w:lang w:val="en-GB"/>
                    </w:rPr>
                  </w:pPr>
                  <w:r w:rsidRPr="007A2367">
                    <w:rPr>
                      <w:lang w:val="en-GB"/>
                    </w:rPr>
                    <w:t>15 000</w:t>
                  </w:r>
                </w:p>
              </w:tc>
              <w:tc>
                <w:tcPr>
                  <w:tcW w:w="1456"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4D2D30B" w14:textId="77777777" w:rsidR="00440AC8" w:rsidRPr="007A2367" w:rsidRDefault="00440AC8" w:rsidP="007A2367">
                  <w:pPr>
                    <w:pStyle w:val="PGEdata"/>
                    <w:rPr>
                      <w:lang w:val="en-GB"/>
                    </w:rPr>
                  </w:pPr>
                  <w:r w:rsidRPr="007A2367">
                    <w:rPr>
                      <w:lang w:val="en-GB"/>
                    </w:rPr>
                    <w:t>40</w:t>
                  </w:r>
                </w:p>
              </w:tc>
            </w:tr>
            <w:tr w:rsidR="00440AC8" w:rsidRPr="007A2367" w14:paraId="0A042D48" w14:textId="77777777" w:rsidTr="00000263">
              <w:tc>
                <w:tcPr>
                  <w:tcW w:w="1372" w:type="dxa"/>
                  <w:vMerge/>
                  <w:shd w:val="clear" w:color="auto" w:fill="D9D9D9" w:themeFill="background1" w:themeFillShade="D9"/>
                </w:tcPr>
                <w:p w14:paraId="7D558E10" w14:textId="77777777" w:rsidR="00440AC8" w:rsidRPr="007A2367" w:rsidRDefault="00440AC8" w:rsidP="007A2367">
                  <w:pPr>
                    <w:pStyle w:val="PGEdata"/>
                    <w:rPr>
                      <w:lang w:val="en-GB"/>
                    </w:rPr>
                  </w:pPr>
                </w:p>
              </w:tc>
              <w:tc>
                <w:tcPr>
                  <w:tcW w:w="1789" w:type="dxa"/>
                  <w:shd w:val="clear" w:color="auto" w:fill="F2F2F2" w:themeFill="background1" w:themeFillShade="F2"/>
                </w:tcPr>
                <w:p w14:paraId="56380A40" w14:textId="77777777" w:rsidR="00440AC8" w:rsidRPr="007A2367" w:rsidRDefault="00440AC8" w:rsidP="007A2367">
                  <w:pPr>
                    <w:pStyle w:val="PGEdata"/>
                    <w:rPr>
                      <w:lang w:val="en-GB"/>
                    </w:rPr>
                  </w:pPr>
                  <w:r w:rsidRPr="007A2367">
                    <w:rPr>
                      <w:lang w:val="en-GB"/>
                    </w:rPr>
                    <w:t>1000MW/ 4000MWh</w:t>
                  </w:r>
                </w:p>
              </w:tc>
              <w:tc>
                <w:tcPr>
                  <w:tcW w:w="747" w:type="dxa"/>
                  <w:shd w:val="clear" w:color="auto" w:fill="F2F2F2" w:themeFill="background1" w:themeFillShade="F2"/>
                  <w:vAlign w:val="center"/>
                </w:tcPr>
                <w:p w14:paraId="3EEE1EA1" w14:textId="77777777" w:rsidR="00440AC8" w:rsidRPr="007A2367" w:rsidRDefault="00440AC8" w:rsidP="007A2367">
                  <w:pPr>
                    <w:pStyle w:val="PGEdata"/>
                    <w:rPr>
                      <w:lang w:val="en-GB"/>
                    </w:rPr>
                  </w:pPr>
                  <w:r w:rsidRPr="007A2367">
                    <w:rPr>
                      <w:lang w:val="en-GB"/>
                    </w:rPr>
                    <w:t>1 074</w:t>
                  </w:r>
                </w:p>
              </w:tc>
              <w:tc>
                <w:tcPr>
                  <w:tcW w:w="769" w:type="dxa"/>
                  <w:shd w:val="clear" w:color="auto" w:fill="F2F2F2" w:themeFill="background1" w:themeFillShade="F2"/>
                  <w:vAlign w:val="center"/>
                </w:tcPr>
                <w:p w14:paraId="5019D71C" w14:textId="77777777" w:rsidR="00440AC8" w:rsidRPr="007A2367" w:rsidRDefault="00440AC8" w:rsidP="007A2367">
                  <w:pPr>
                    <w:pStyle w:val="PGEdata"/>
                    <w:rPr>
                      <w:lang w:val="en-GB"/>
                    </w:rPr>
                  </w:pPr>
                  <w:r w:rsidRPr="007A2367">
                    <w:rPr>
                      <w:lang w:val="en-GB"/>
                    </w:rPr>
                    <w:t>269</w:t>
                  </w:r>
                </w:p>
              </w:tc>
              <w:tc>
                <w:tcPr>
                  <w:tcW w:w="1102" w:type="dxa"/>
                  <w:shd w:val="clear" w:color="auto" w:fill="F2F2F2" w:themeFill="background1" w:themeFillShade="F2"/>
                  <w:vAlign w:val="center"/>
                </w:tcPr>
                <w:p w14:paraId="0A5E3819" w14:textId="77777777" w:rsidR="00440AC8" w:rsidRPr="007A2367" w:rsidRDefault="00440AC8" w:rsidP="007A2367">
                  <w:pPr>
                    <w:pStyle w:val="PGEdata"/>
                    <w:rPr>
                      <w:lang w:val="en-GB"/>
                    </w:rPr>
                  </w:pPr>
                  <w:r w:rsidRPr="007A2367">
                    <w:rPr>
                      <w:lang w:val="en-GB"/>
                    </w:rPr>
                    <w:t>9,82</w:t>
                  </w:r>
                </w:p>
              </w:tc>
              <w:tc>
                <w:tcPr>
                  <w:tcW w:w="804" w:type="dxa"/>
                  <w:tcBorders>
                    <w:right w:val="single" w:sz="4" w:space="0" w:color="FFFFFF" w:themeColor="background1"/>
                  </w:tcBorders>
                  <w:shd w:val="clear" w:color="auto" w:fill="F2F2F2" w:themeFill="background1" w:themeFillShade="F2"/>
                  <w:vAlign w:val="center"/>
                </w:tcPr>
                <w:p w14:paraId="5B9AD246" w14:textId="77777777" w:rsidR="00440AC8" w:rsidRPr="007A2367" w:rsidRDefault="00440AC8" w:rsidP="007A2367">
                  <w:pPr>
                    <w:pStyle w:val="PGEdata"/>
                    <w:rPr>
                      <w:lang w:val="en-GB"/>
                    </w:rPr>
                  </w:pPr>
                  <w:r w:rsidRPr="007A2367">
                    <w:rPr>
                      <w:lang w:val="en-GB"/>
                    </w:rPr>
                    <w:t>2,46</w:t>
                  </w:r>
                </w:p>
              </w:tc>
              <w:tc>
                <w:tcPr>
                  <w:tcW w:w="1023" w:type="dxa"/>
                  <w:vMerge/>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81B44D" w14:textId="77777777" w:rsidR="00440AC8" w:rsidRPr="007A2367" w:rsidRDefault="00440AC8" w:rsidP="007A2367">
                  <w:pPr>
                    <w:pStyle w:val="PGEdata"/>
                    <w:rPr>
                      <w:lang w:val="en-GB"/>
                    </w:rPr>
                  </w:pPr>
                </w:p>
              </w:tc>
              <w:tc>
                <w:tcPr>
                  <w:tcW w:w="1456" w:type="dxa"/>
                  <w:vMerge/>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EEC4E3" w14:textId="77777777" w:rsidR="00440AC8" w:rsidRPr="007A2367" w:rsidRDefault="00440AC8" w:rsidP="007A2367">
                  <w:pPr>
                    <w:pStyle w:val="PGEdata"/>
                    <w:rPr>
                      <w:lang w:val="en-GB"/>
                    </w:rPr>
                  </w:pPr>
                </w:p>
              </w:tc>
            </w:tr>
            <w:tr w:rsidR="00440AC8" w:rsidRPr="007A2367" w14:paraId="4BEB1FE9" w14:textId="77777777" w:rsidTr="00000263">
              <w:tc>
                <w:tcPr>
                  <w:tcW w:w="1372" w:type="dxa"/>
                  <w:vMerge/>
                  <w:shd w:val="clear" w:color="auto" w:fill="D9D9D9" w:themeFill="background1" w:themeFillShade="D9"/>
                </w:tcPr>
                <w:p w14:paraId="5D49DD73" w14:textId="77777777" w:rsidR="00440AC8" w:rsidRPr="007A2367" w:rsidRDefault="00440AC8" w:rsidP="007A2367">
                  <w:pPr>
                    <w:pStyle w:val="PGEdata"/>
                    <w:rPr>
                      <w:lang w:val="en-GB"/>
                    </w:rPr>
                  </w:pPr>
                </w:p>
              </w:tc>
              <w:tc>
                <w:tcPr>
                  <w:tcW w:w="1789" w:type="dxa"/>
                  <w:shd w:val="clear" w:color="auto" w:fill="FFFFFF" w:themeFill="background1"/>
                </w:tcPr>
                <w:p w14:paraId="75C16AC0" w14:textId="77777777" w:rsidR="00440AC8" w:rsidRPr="007A2367" w:rsidRDefault="00440AC8" w:rsidP="007A2367">
                  <w:pPr>
                    <w:pStyle w:val="PGEdata"/>
                    <w:rPr>
                      <w:lang w:val="en-GB"/>
                    </w:rPr>
                  </w:pPr>
                  <w:r w:rsidRPr="007A2367">
                    <w:rPr>
                      <w:lang w:val="en-GB"/>
                    </w:rPr>
                    <w:t>1000MW/ 4000MWh</w:t>
                  </w:r>
                </w:p>
              </w:tc>
              <w:tc>
                <w:tcPr>
                  <w:tcW w:w="747" w:type="dxa"/>
                  <w:shd w:val="clear" w:color="auto" w:fill="FFFFFF" w:themeFill="background1"/>
                  <w:vAlign w:val="center"/>
                </w:tcPr>
                <w:p w14:paraId="1829501F" w14:textId="77777777" w:rsidR="00440AC8" w:rsidRPr="007A2367" w:rsidRDefault="00440AC8" w:rsidP="007A2367">
                  <w:pPr>
                    <w:pStyle w:val="PGEdata"/>
                    <w:rPr>
                      <w:lang w:val="en-GB"/>
                    </w:rPr>
                  </w:pPr>
                  <w:r w:rsidRPr="007A2367">
                    <w:rPr>
                      <w:lang w:val="en-GB"/>
                    </w:rPr>
                    <w:t>1 288</w:t>
                  </w:r>
                </w:p>
              </w:tc>
              <w:tc>
                <w:tcPr>
                  <w:tcW w:w="769" w:type="dxa"/>
                  <w:shd w:val="clear" w:color="auto" w:fill="FFFFFF" w:themeFill="background1"/>
                  <w:vAlign w:val="center"/>
                </w:tcPr>
                <w:p w14:paraId="03F37F38" w14:textId="77777777" w:rsidR="00440AC8" w:rsidRPr="007A2367" w:rsidRDefault="00440AC8" w:rsidP="007A2367">
                  <w:pPr>
                    <w:pStyle w:val="PGEdata"/>
                    <w:rPr>
                      <w:lang w:val="en-GB"/>
                    </w:rPr>
                  </w:pPr>
                  <w:r w:rsidRPr="007A2367">
                    <w:rPr>
                      <w:lang w:val="en-GB"/>
                    </w:rPr>
                    <w:t>322</w:t>
                  </w:r>
                </w:p>
              </w:tc>
              <w:tc>
                <w:tcPr>
                  <w:tcW w:w="1102" w:type="dxa"/>
                  <w:shd w:val="clear" w:color="auto" w:fill="FFFFFF" w:themeFill="background1"/>
                  <w:vAlign w:val="center"/>
                </w:tcPr>
                <w:p w14:paraId="2F644589" w14:textId="77777777" w:rsidR="00440AC8" w:rsidRPr="007A2367" w:rsidRDefault="00440AC8" w:rsidP="007A2367">
                  <w:pPr>
                    <w:pStyle w:val="PGEdata"/>
                    <w:rPr>
                      <w:lang w:val="en-GB"/>
                    </w:rPr>
                  </w:pPr>
                  <w:r w:rsidRPr="007A2367">
                    <w:rPr>
                      <w:lang w:val="en-GB"/>
                    </w:rPr>
                    <w:t>17,8</w:t>
                  </w:r>
                </w:p>
              </w:tc>
              <w:tc>
                <w:tcPr>
                  <w:tcW w:w="804" w:type="dxa"/>
                  <w:tcBorders>
                    <w:right w:val="single" w:sz="4" w:space="0" w:color="FFFFFF" w:themeColor="background1"/>
                  </w:tcBorders>
                  <w:shd w:val="clear" w:color="auto" w:fill="FFFFFF" w:themeFill="background1"/>
                  <w:vAlign w:val="center"/>
                </w:tcPr>
                <w:p w14:paraId="34CC6978" w14:textId="77777777" w:rsidR="00440AC8" w:rsidRPr="007A2367" w:rsidRDefault="00440AC8" w:rsidP="007A2367">
                  <w:pPr>
                    <w:pStyle w:val="PGEdata"/>
                    <w:rPr>
                      <w:lang w:val="en-GB"/>
                    </w:rPr>
                  </w:pPr>
                  <w:r w:rsidRPr="007A2367">
                    <w:rPr>
                      <w:lang w:val="en-GB"/>
                    </w:rPr>
                    <w:t>4,45</w:t>
                  </w:r>
                </w:p>
              </w:tc>
              <w:tc>
                <w:tcPr>
                  <w:tcW w:w="1023" w:type="dxa"/>
                  <w:vMerge/>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0F6EC20" w14:textId="77777777" w:rsidR="00440AC8" w:rsidRPr="007A2367" w:rsidRDefault="00440AC8" w:rsidP="007A2367">
                  <w:pPr>
                    <w:pStyle w:val="PGEdata"/>
                    <w:rPr>
                      <w:lang w:val="en-GB"/>
                    </w:rPr>
                  </w:pPr>
                </w:p>
              </w:tc>
              <w:tc>
                <w:tcPr>
                  <w:tcW w:w="1456" w:type="dxa"/>
                  <w:vMerge/>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BCD3EB3" w14:textId="77777777" w:rsidR="00440AC8" w:rsidRPr="007A2367" w:rsidRDefault="00440AC8" w:rsidP="007A2367">
                  <w:pPr>
                    <w:pStyle w:val="PGEdata"/>
                    <w:rPr>
                      <w:lang w:val="en-GB"/>
                    </w:rPr>
                  </w:pPr>
                </w:p>
              </w:tc>
            </w:tr>
            <w:tr w:rsidR="00440AC8" w:rsidRPr="007A2367" w14:paraId="39FAE6F2" w14:textId="77777777" w:rsidTr="00000263">
              <w:tc>
                <w:tcPr>
                  <w:tcW w:w="1372" w:type="dxa"/>
                  <w:vMerge/>
                  <w:shd w:val="clear" w:color="auto" w:fill="D9D9D9" w:themeFill="background1" w:themeFillShade="D9"/>
                </w:tcPr>
                <w:p w14:paraId="1634010B" w14:textId="77777777" w:rsidR="00440AC8" w:rsidRPr="007A2367" w:rsidRDefault="00440AC8" w:rsidP="007A2367">
                  <w:pPr>
                    <w:pStyle w:val="PGEdata"/>
                    <w:rPr>
                      <w:lang w:val="en-GB"/>
                    </w:rPr>
                  </w:pPr>
                </w:p>
              </w:tc>
              <w:tc>
                <w:tcPr>
                  <w:tcW w:w="1789" w:type="dxa"/>
                  <w:shd w:val="clear" w:color="auto" w:fill="F2F2F2" w:themeFill="background1" w:themeFillShade="F2"/>
                </w:tcPr>
                <w:p w14:paraId="6418BCD7" w14:textId="77777777" w:rsidR="00440AC8" w:rsidRPr="007A2367" w:rsidRDefault="00440AC8" w:rsidP="007A2367">
                  <w:pPr>
                    <w:pStyle w:val="PGEdata"/>
                    <w:rPr>
                      <w:lang w:val="en-GB"/>
                    </w:rPr>
                  </w:pPr>
                  <w:r w:rsidRPr="007A2367">
                    <w:rPr>
                      <w:lang w:val="en-GB"/>
                    </w:rPr>
                    <w:t>1000MW/ 10000MWh</w:t>
                  </w:r>
                </w:p>
              </w:tc>
              <w:tc>
                <w:tcPr>
                  <w:tcW w:w="747" w:type="dxa"/>
                  <w:shd w:val="clear" w:color="auto" w:fill="F2F2F2" w:themeFill="background1" w:themeFillShade="F2"/>
                  <w:vAlign w:val="center"/>
                </w:tcPr>
                <w:p w14:paraId="241166A3" w14:textId="77777777" w:rsidR="00440AC8" w:rsidRPr="007A2367" w:rsidRDefault="00440AC8" w:rsidP="007A2367">
                  <w:pPr>
                    <w:pStyle w:val="PGEdata"/>
                    <w:rPr>
                      <w:lang w:val="en-GB"/>
                    </w:rPr>
                  </w:pPr>
                  <w:r w:rsidRPr="007A2367">
                    <w:rPr>
                      <w:lang w:val="en-GB"/>
                    </w:rPr>
                    <w:t>1 651</w:t>
                  </w:r>
                </w:p>
              </w:tc>
              <w:tc>
                <w:tcPr>
                  <w:tcW w:w="769" w:type="dxa"/>
                  <w:shd w:val="clear" w:color="auto" w:fill="F2F2F2" w:themeFill="background1" w:themeFillShade="F2"/>
                  <w:vAlign w:val="center"/>
                </w:tcPr>
                <w:p w14:paraId="4A9B4F95" w14:textId="77777777" w:rsidR="00440AC8" w:rsidRPr="007A2367" w:rsidRDefault="00440AC8" w:rsidP="007A2367">
                  <w:pPr>
                    <w:pStyle w:val="PGEdata"/>
                    <w:rPr>
                      <w:lang w:val="en-GB"/>
                    </w:rPr>
                  </w:pPr>
                  <w:r w:rsidRPr="007A2367">
                    <w:rPr>
                      <w:lang w:val="en-GB"/>
                    </w:rPr>
                    <w:t>165</w:t>
                  </w:r>
                </w:p>
              </w:tc>
              <w:tc>
                <w:tcPr>
                  <w:tcW w:w="1102" w:type="dxa"/>
                  <w:shd w:val="clear" w:color="auto" w:fill="F2F2F2" w:themeFill="background1" w:themeFillShade="F2"/>
                  <w:vAlign w:val="center"/>
                </w:tcPr>
                <w:p w14:paraId="4348F533" w14:textId="77777777" w:rsidR="00440AC8" w:rsidRPr="007A2367" w:rsidRDefault="00440AC8" w:rsidP="007A2367">
                  <w:pPr>
                    <w:pStyle w:val="PGEdata"/>
                    <w:rPr>
                      <w:lang w:val="en-GB"/>
                    </w:rPr>
                  </w:pPr>
                  <w:r w:rsidRPr="007A2367">
                    <w:rPr>
                      <w:lang w:val="en-GB"/>
                    </w:rPr>
                    <w:t>17,8</w:t>
                  </w:r>
                </w:p>
              </w:tc>
              <w:tc>
                <w:tcPr>
                  <w:tcW w:w="804" w:type="dxa"/>
                  <w:tcBorders>
                    <w:right w:val="single" w:sz="4" w:space="0" w:color="FFFFFF" w:themeColor="background1"/>
                  </w:tcBorders>
                  <w:shd w:val="clear" w:color="auto" w:fill="F2F2F2" w:themeFill="background1" w:themeFillShade="F2"/>
                  <w:vAlign w:val="center"/>
                </w:tcPr>
                <w:p w14:paraId="60F378D9" w14:textId="77777777" w:rsidR="00440AC8" w:rsidRPr="007A2367" w:rsidRDefault="00440AC8" w:rsidP="007A2367">
                  <w:pPr>
                    <w:pStyle w:val="PGEdata"/>
                    <w:rPr>
                      <w:lang w:val="en-GB"/>
                    </w:rPr>
                  </w:pPr>
                  <w:r w:rsidRPr="007A2367">
                    <w:rPr>
                      <w:lang w:val="en-GB"/>
                    </w:rPr>
                    <w:t>1,78</w:t>
                  </w:r>
                </w:p>
              </w:tc>
              <w:tc>
                <w:tcPr>
                  <w:tcW w:w="1023" w:type="dxa"/>
                  <w:vMerge/>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6FF612" w14:textId="77777777" w:rsidR="00440AC8" w:rsidRPr="007A2367" w:rsidRDefault="00440AC8" w:rsidP="007A2367">
                  <w:pPr>
                    <w:pStyle w:val="PGEdata"/>
                    <w:rPr>
                      <w:lang w:val="en-GB"/>
                    </w:rPr>
                  </w:pPr>
                </w:p>
              </w:tc>
              <w:tc>
                <w:tcPr>
                  <w:tcW w:w="1456" w:type="dxa"/>
                  <w:vMerge/>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D3FF731" w14:textId="77777777" w:rsidR="00440AC8" w:rsidRPr="007A2367" w:rsidRDefault="00440AC8" w:rsidP="007A2367">
                  <w:pPr>
                    <w:pStyle w:val="PGEdata"/>
                    <w:rPr>
                      <w:lang w:val="en-GB"/>
                    </w:rPr>
                  </w:pPr>
                </w:p>
              </w:tc>
            </w:tr>
          </w:tbl>
          <w:p w14:paraId="697AAB14" w14:textId="77777777" w:rsidR="00440AC8" w:rsidRPr="007A2367" w:rsidRDefault="00440AC8" w:rsidP="00440AC8">
            <w:pPr>
              <w:pStyle w:val="Akapitzlist"/>
              <w:spacing w:line="240" w:lineRule="auto"/>
              <w:jc w:val="both"/>
              <w:rPr>
                <w:rFonts w:ascii="Times New Roman" w:hAnsi="Times New Roman"/>
                <w:i/>
                <w:iCs/>
                <w:color w:val="000000"/>
                <w:sz w:val="18"/>
                <w:szCs w:val="18"/>
                <w:lang w:val="en-GB"/>
              </w:rPr>
            </w:pPr>
            <w:proofErr w:type="spellStart"/>
            <w:r w:rsidRPr="007A2367">
              <w:rPr>
                <w:rFonts w:ascii="Times New Roman" w:hAnsi="Times New Roman"/>
                <w:i/>
                <w:iCs/>
                <w:sz w:val="18"/>
                <w:szCs w:val="18"/>
                <w:lang w:val="en-GB"/>
              </w:rPr>
              <w:t>Źródło</w:t>
            </w:r>
            <w:proofErr w:type="spellEnd"/>
            <w:r w:rsidRPr="007A2367">
              <w:rPr>
                <w:rFonts w:ascii="Times New Roman" w:hAnsi="Times New Roman"/>
                <w:i/>
                <w:iCs/>
                <w:sz w:val="18"/>
                <w:szCs w:val="18"/>
                <w:lang w:val="en-GB"/>
              </w:rPr>
              <w:t>: Energy Storage Grand Challenge Cost and Performance Assessment 2020, U.S. Department of Energy</w:t>
            </w:r>
          </w:p>
          <w:p w14:paraId="2201FDF4" w14:textId="77777777" w:rsidR="00440AC8" w:rsidRPr="007A2367" w:rsidRDefault="00440AC8" w:rsidP="00440AC8">
            <w:pPr>
              <w:pStyle w:val="Akapitzlist"/>
              <w:spacing w:line="240" w:lineRule="auto"/>
              <w:jc w:val="both"/>
              <w:rPr>
                <w:rFonts w:ascii="Times New Roman" w:hAnsi="Times New Roman"/>
                <w:color w:val="000000"/>
                <w:lang w:val="en-GB"/>
              </w:rPr>
            </w:pPr>
          </w:p>
          <w:p w14:paraId="41782B65" w14:textId="77777777" w:rsidR="00440AC8" w:rsidRPr="00000263" w:rsidRDefault="00440AC8" w:rsidP="00000263">
            <w:pPr>
              <w:spacing w:line="240" w:lineRule="auto"/>
              <w:jc w:val="both"/>
              <w:rPr>
                <w:rFonts w:ascii="Times New Roman" w:hAnsi="Times New Roman"/>
                <w:color w:val="000000"/>
              </w:rPr>
            </w:pPr>
            <w:r w:rsidRPr="00000263">
              <w:rPr>
                <w:rFonts w:ascii="Times New Roman" w:hAnsi="Times New Roman"/>
                <w:color w:val="000000"/>
              </w:rPr>
              <w:t xml:space="preserve">Dodatkowo należy wskazać, że średni jednostkowy koszt budowy 1 km nowej napowietrznej linii 400 </w:t>
            </w:r>
            <w:proofErr w:type="spellStart"/>
            <w:r w:rsidRPr="00000263">
              <w:rPr>
                <w:rFonts w:ascii="Times New Roman" w:hAnsi="Times New Roman"/>
                <w:color w:val="000000"/>
              </w:rPr>
              <w:t>kV</w:t>
            </w:r>
            <w:proofErr w:type="spellEnd"/>
            <w:r w:rsidRPr="00000263">
              <w:rPr>
                <w:rFonts w:ascii="Times New Roman" w:hAnsi="Times New Roman"/>
                <w:color w:val="000000"/>
              </w:rPr>
              <w:t xml:space="preserve"> wynosi  od 3,3 do 4 mln zł w przypadku linii jednotorowej oraz od 3,4 do 4,4 mln zł w przypadku linii dwutorowej. Koszt budowy stacji najwyższych napięć zależy od jej wielkości i waha się od 150 mln zł do 500 mln zł. </w:t>
            </w:r>
          </w:p>
          <w:p w14:paraId="3A258C8C" w14:textId="77777777" w:rsidR="00440AC8" w:rsidRPr="00000263" w:rsidRDefault="00440AC8" w:rsidP="00000263">
            <w:pPr>
              <w:spacing w:line="240" w:lineRule="auto"/>
              <w:jc w:val="both"/>
              <w:rPr>
                <w:rFonts w:ascii="Times New Roman" w:hAnsi="Times New Roman"/>
                <w:color w:val="000000"/>
              </w:rPr>
            </w:pPr>
            <w:r w:rsidRPr="00000263">
              <w:rPr>
                <w:rFonts w:ascii="Times New Roman" w:hAnsi="Times New Roman"/>
                <w:color w:val="000000"/>
              </w:rPr>
              <w:t>Znaczne rozpiętości wspomnianych kosztów wynikają z szeregu czynników determinujących lokalizację elektrowni szczytowo-pompowej, w tym ukształtowania terenu, a także zakres, przeznaczenie sieci, itd. Do czynników wpływających na łączny koszt inwestycji towarzyszących należy zaliczyć uwarunkowania ekonomiczne i aktualną sytuację gospodarczą.</w:t>
            </w:r>
          </w:p>
          <w:p w14:paraId="2B3E4F2E" w14:textId="2E31F5A2" w:rsidR="00E24BD7" w:rsidRPr="004F512A" w:rsidRDefault="003736AD" w:rsidP="00401825">
            <w:pPr>
              <w:spacing w:line="240" w:lineRule="auto"/>
              <w:jc w:val="both"/>
              <w:rPr>
                <w:rFonts w:ascii="Times New Roman" w:hAnsi="Times New Roman"/>
                <w:color w:val="000000"/>
              </w:rPr>
            </w:pPr>
            <w:r>
              <w:rPr>
                <w:rFonts w:ascii="Times New Roman" w:hAnsi="Times New Roman"/>
                <w:color w:val="000000"/>
              </w:rPr>
              <w:t>Oprócz korzyści związanych z samym procesem inwestycyjnym w zakresie elektrowni szczytowo-pompowych, istotn</w:t>
            </w:r>
            <w:r w:rsidR="007C44B2">
              <w:rPr>
                <w:rFonts w:ascii="Times New Roman" w:hAnsi="Times New Roman"/>
                <w:color w:val="000000"/>
              </w:rPr>
              <w:t>e</w:t>
            </w:r>
            <w:r>
              <w:rPr>
                <w:rFonts w:ascii="Times New Roman" w:hAnsi="Times New Roman"/>
                <w:color w:val="000000"/>
              </w:rPr>
              <w:t xml:space="preserve"> jest ograniczenie </w:t>
            </w:r>
            <w:r w:rsidR="007C44B2">
              <w:rPr>
                <w:rFonts w:ascii="Times New Roman" w:hAnsi="Times New Roman"/>
                <w:color w:val="000000"/>
              </w:rPr>
              <w:t xml:space="preserve">ryzyka </w:t>
            </w:r>
            <w:r w:rsidR="00652106">
              <w:rPr>
                <w:rFonts w:ascii="Times New Roman" w:hAnsi="Times New Roman"/>
                <w:color w:val="000000"/>
              </w:rPr>
              <w:t xml:space="preserve">przerw </w:t>
            </w:r>
            <w:r w:rsidR="009B0E89">
              <w:rPr>
                <w:rFonts w:ascii="Times New Roman" w:hAnsi="Times New Roman"/>
                <w:color w:val="000000"/>
              </w:rPr>
              <w:t xml:space="preserve">w </w:t>
            </w:r>
            <w:r w:rsidR="00652106">
              <w:rPr>
                <w:rFonts w:ascii="Times New Roman" w:hAnsi="Times New Roman"/>
                <w:color w:val="000000"/>
              </w:rPr>
              <w:t>dostawach energii elektrycznej</w:t>
            </w:r>
            <w:r w:rsidR="007C44B2">
              <w:rPr>
                <w:rFonts w:ascii="Times New Roman" w:hAnsi="Times New Roman"/>
                <w:color w:val="000000"/>
              </w:rPr>
              <w:t xml:space="preserve"> dzięki zwiększeniu dostępnych mocy wytwórczych w systemie</w:t>
            </w:r>
            <w:r>
              <w:rPr>
                <w:rFonts w:ascii="Times New Roman" w:hAnsi="Times New Roman"/>
                <w:color w:val="000000"/>
              </w:rPr>
              <w:t>.</w:t>
            </w:r>
            <w:r w:rsidR="00652106" w:rsidRPr="00652106">
              <w:rPr>
                <w:rFonts w:ascii="Times New Roman" w:hAnsi="Times New Roman"/>
                <w:color w:val="000000"/>
              </w:rPr>
              <w:t xml:space="preserve"> </w:t>
            </w:r>
          </w:p>
          <w:p w14:paraId="67AC18C2" w14:textId="2E192355"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Istnieje szereg opracowań zawierających szacunki w przełożeniu na wartości pieniężne oraz elementy kosztów spowodowanych przerwami w dostawach energii elektrycznej</w:t>
            </w:r>
            <w:r w:rsidR="00401825">
              <w:rPr>
                <w:rFonts w:ascii="Times New Roman" w:hAnsi="Times New Roman"/>
                <w:color w:val="000000"/>
              </w:rPr>
              <w:t>, gdy już przerwy takie mają miejsce</w:t>
            </w:r>
            <w:r w:rsidRPr="00653E7B">
              <w:rPr>
                <w:rFonts w:ascii="Times New Roman" w:hAnsi="Times New Roman"/>
                <w:color w:val="000000"/>
              </w:rPr>
              <w:t xml:space="preserve">. Przykładowo, w opracowaniu Uniwersytetu Szczecińskiego, Załącznik nr 18. I. METODYKA SZACOWANIA KOSZTÓW (Z UWZGLĘDNIENIEM DOŚWIADCZEŃ AMERYKAŃSKICH) [prof. zw. dr hab. Stanisław Flejterski, prof. </w:t>
            </w:r>
            <w:proofErr w:type="spellStart"/>
            <w:r w:rsidRPr="00653E7B">
              <w:rPr>
                <w:rFonts w:ascii="Times New Roman" w:hAnsi="Times New Roman"/>
                <w:color w:val="000000"/>
              </w:rPr>
              <w:t>nzw</w:t>
            </w:r>
            <w:proofErr w:type="spellEnd"/>
            <w:r w:rsidRPr="00653E7B">
              <w:rPr>
                <w:rFonts w:ascii="Times New Roman" w:hAnsi="Times New Roman"/>
                <w:color w:val="000000"/>
              </w:rPr>
              <w:t>. dr hab. Dariusz Zarzecki, dr hab. Marek Dylewski] wskazuje się na:</w:t>
            </w:r>
          </w:p>
          <w:p w14:paraId="0F6EBAE0" w14:textId="2EE13A44"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1. Konsekwencje ekonomiczne (możliwe do zmierzenia w pieniądzu straty, koszty i</w:t>
            </w:r>
            <w:r w:rsidR="00B6326E">
              <w:rPr>
                <w:rFonts w:ascii="Times New Roman" w:hAnsi="Times New Roman"/>
                <w:color w:val="000000"/>
              </w:rPr>
              <w:t xml:space="preserve"> </w:t>
            </w:r>
            <w:r w:rsidRPr="00653E7B">
              <w:rPr>
                <w:rFonts w:ascii="Times New Roman" w:hAnsi="Times New Roman"/>
                <w:color w:val="000000"/>
              </w:rPr>
              <w:t>utracone korzyści);</w:t>
            </w:r>
          </w:p>
          <w:p w14:paraId="7D532F7C" w14:textId="1185179A"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2. Konsekwencje społeczne (odnoszące się do przerwanego wypoczynku i zakłóceń w</w:t>
            </w:r>
            <w:r w:rsidR="00B6326E">
              <w:rPr>
                <w:rFonts w:ascii="Times New Roman" w:hAnsi="Times New Roman"/>
                <w:color w:val="000000"/>
              </w:rPr>
              <w:t xml:space="preserve"> </w:t>
            </w:r>
            <w:r w:rsidRPr="00653E7B">
              <w:rPr>
                <w:rFonts w:ascii="Times New Roman" w:hAnsi="Times New Roman"/>
                <w:color w:val="000000"/>
              </w:rPr>
              <w:t>działalności zawodowej);</w:t>
            </w:r>
          </w:p>
          <w:p w14:paraId="04044FC8" w14:textId="39E71AB4"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3. Konsekwencje organizacyjne (organizacyjne, proceduralne i inne zmiany jako</w:t>
            </w:r>
            <w:r w:rsidR="00B6326E">
              <w:rPr>
                <w:rFonts w:ascii="Times New Roman" w:hAnsi="Times New Roman"/>
                <w:color w:val="000000"/>
              </w:rPr>
              <w:t xml:space="preserve"> </w:t>
            </w:r>
            <w:r w:rsidRPr="00653E7B">
              <w:rPr>
                <w:rFonts w:ascii="Times New Roman" w:hAnsi="Times New Roman"/>
                <w:color w:val="000000"/>
              </w:rPr>
              <w:t>reakcja na awarię).</w:t>
            </w:r>
          </w:p>
          <w:p w14:paraId="34755518" w14:textId="36CA2C81"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lastRenderedPageBreak/>
              <w:t xml:space="preserve">Konsekwencje te mogą dotyczyć różnego kręgu podmiotów (sektor przemysłu, usług, gospodarstwa domowe, gospodarstwa rolne, </w:t>
            </w:r>
            <w:r w:rsidR="005C5C89">
              <w:rPr>
                <w:rFonts w:ascii="Times New Roman" w:hAnsi="Times New Roman"/>
                <w:color w:val="000000"/>
              </w:rPr>
              <w:t>i</w:t>
            </w:r>
            <w:r w:rsidRPr="00653E7B">
              <w:rPr>
                <w:rFonts w:ascii="Times New Roman" w:hAnsi="Times New Roman"/>
                <w:color w:val="000000"/>
              </w:rPr>
              <w:t>td.). W odniesieniu do sektora przemysłu:</w:t>
            </w:r>
          </w:p>
          <w:p w14:paraId="144E3E5B" w14:textId="77777777"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I. Wśród strat i kosztów bezpośrednich wymienia się m.in.:</w:t>
            </w:r>
          </w:p>
          <w:p w14:paraId="18BAEB39" w14:textId="77777777"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1. Koszty uszkodzonego sprzętu, instalacji, maszyn</w:t>
            </w:r>
          </w:p>
          <w:p w14:paraId="55DEAC18" w14:textId="77777777"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2. Koszty uszkodzonych materiałów (produktów, półproduktów i towarów)</w:t>
            </w:r>
          </w:p>
          <w:p w14:paraId="40625DDE" w14:textId="5CF7B4EE"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3. Dodatkowe koszty poniesione przez służby techniczne w związku z</w:t>
            </w:r>
            <w:r w:rsidR="00B6326E">
              <w:rPr>
                <w:rFonts w:ascii="Times New Roman" w:hAnsi="Times New Roman"/>
                <w:color w:val="000000"/>
              </w:rPr>
              <w:t xml:space="preserve"> </w:t>
            </w:r>
            <w:r w:rsidRPr="00653E7B">
              <w:rPr>
                <w:rFonts w:ascii="Times New Roman" w:hAnsi="Times New Roman"/>
                <w:color w:val="000000"/>
              </w:rPr>
              <w:t>usuwaniem skutków awarii (dodatkowe wynagrodzenia, koszty zużytych</w:t>
            </w:r>
            <w:r w:rsidR="00B6326E">
              <w:rPr>
                <w:rFonts w:ascii="Times New Roman" w:hAnsi="Times New Roman"/>
                <w:color w:val="000000"/>
              </w:rPr>
              <w:t xml:space="preserve"> </w:t>
            </w:r>
            <w:r w:rsidRPr="00653E7B">
              <w:rPr>
                <w:rFonts w:ascii="Times New Roman" w:hAnsi="Times New Roman"/>
                <w:color w:val="000000"/>
              </w:rPr>
              <w:t>materiałów, paliwa, sprzętu itp.)</w:t>
            </w:r>
          </w:p>
          <w:p w14:paraId="18B7F580" w14:textId="77777777"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4. Koszty ponownego uruchomienia działalności</w:t>
            </w:r>
          </w:p>
          <w:p w14:paraId="6451FFE5" w14:textId="77777777"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II. Jeśli chodzi o utracone korzyści z reguły są to:</w:t>
            </w:r>
          </w:p>
          <w:p w14:paraId="38D2F093" w14:textId="77777777"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1. Wynagrodzenia pracowników podczas awarii (bez dodatkowych wynagrodzeń służb technicznych wymienionych w pkt I.3 i ewentualnego wynagrodzenia za nadgodziny wymienione w pkt II.2)</w:t>
            </w:r>
          </w:p>
          <w:p w14:paraId="0F63FEF6" w14:textId="77777777"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2. Koszty nadgodzin dla pracowników potrzebnych do ewentualnego „nadrobienia” straconej produkcji (dotyczy tylko sytuacji, gdy „nadrobienie” straconej produkcji jest możliwe i wymaga wypłaty wynagrodzenia z tytułu nadgodzin)</w:t>
            </w:r>
          </w:p>
          <w:p w14:paraId="0A38E8C1" w14:textId="77777777"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3. Niezrealizowana sprzedaż</w:t>
            </w:r>
          </w:p>
          <w:p w14:paraId="4445EF3B" w14:textId="77777777"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4. Utracony zysk (rozumiany jako różnica pomiędzy niezrealizowaną sprzedażą a kosztami zmiennymi</w:t>
            </w:r>
          </w:p>
          <w:p w14:paraId="49F79056" w14:textId="77777777"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III. Inne koszty są to:</w:t>
            </w:r>
          </w:p>
          <w:p w14:paraId="39690E48" w14:textId="77777777"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1. Kary umowne</w:t>
            </w:r>
          </w:p>
          <w:p w14:paraId="0E55AE3C" w14:textId="77777777"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2. Odszkodowania</w:t>
            </w:r>
          </w:p>
          <w:p w14:paraId="0809F19E" w14:textId="77777777"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3. Utracone nowe kontrakty</w:t>
            </w:r>
          </w:p>
          <w:p w14:paraId="0086E842" w14:textId="77777777"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4. Opis i oszacowanie ewentualnych konsekwencji długofalowych.</w:t>
            </w:r>
          </w:p>
          <w:p w14:paraId="5288E5BF" w14:textId="77777777" w:rsidR="00653E7B" w:rsidRP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 xml:space="preserve">Koszty te są zróżnicowane w oparciu o branżę sektora przemysłu czy usług. </w:t>
            </w:r>
          </w:p>
          <w:p w14:paraId="22ACFC02" w14:textId="58FD28E9" w:rsidR="00653E7B" w:rsidRDefault="00653E7B" w:rsidP="00653E7B">
            <w:pPr>
              <w:spacing w:line="240" w:lineRule="auto"/>
              <w:jc w:val="both"/>
              <w:rPr>
                <w:rFonts w:ascii="Times New Roman" w:hAnsi="Times New Roman"/>
                <w:color w:val="000000"/>
              </w:rPr>
            </w:pPr>
            <w:r w:rsidRPr="00653E7B">
              <w:rPr>
                <w:rFonts w:ascii="Times New Roman" w:hAnsi="Times New Roman"/>
                <w:color w:val="000000"/>
              </w:rPr>
              <w:t>Również w opracowaniu Józefa P</w:t>
            </w:r>
            <w:r w:rsidR="005111AD">
              <w:rPr>
                <w:rFonts w:ascii="Times New Roman" w:hAnsi="Times New Roman"/>
                <w:color w:val="000000"/>
              </w:rPr>
              <w:t>aski</w:t>
            </w:r>
            <w:r w:rsidRPr="00653E7B">
              <w:rPr>
                <w:rFonts w:ascii="Times New Roman" w:hAnsi="Times New Roman"/>
                <w:color w:val="000000"/>
              </w:rPr>
              <w:t xml:space="preserve">, Piotra </w:t>
            </w:r>
            <w:proofErr w:type="spellStart"/>
            <w:r w:rsidR="005111AD">
              <w:rPr>
                <w:rFonts w:ascii="Times New Roman" w:hAnsi="Times New Roman"/>
                <w:color w:val="000000"/>
              </w:rPr>
              <w:t>Marchela</w:t>
            </w:r>
            <w:proofErr w:type="spellEnd"/>
            <w:r w:rsidRPr="00653E7B">
              <w:rPr>
                <w:rFonts w:ascii="Times New Roman" w:hAnsi="Times New Roman"/>
                <w:color w:val="000000"/>
              </w:rPr>
              <w:t xml:space="preserve">, Łukasza </w:t>
            </w:r>
            <w:r w:rsidR="005111AD">
              <w:rPr>
                <w:rFonts w:ascii="Times New Roman" w:hAnsi="Times New Roman"/>
                <w:color w:val="000000"/>
              </w:rPr>
              <w:t>Michalskiego</w:t>
            </w:r>
            <w:r w:rsidRPr="00653E7B">
              <w:rPr>
                <w:rFonts w:ascii="Times New Roman" w:hAnsi="Times New Roman"/>
                <w:color w:val="000000"/>
              </w:rPr>
              <w:t xml:space="preserve"> z Politechniki Warszawskiej (Instytutu Elektroenergetyki, Zakładu Elektrowni i Gospodarki Elektroenergetycznej) pt. Koszty przerw i ograniczeń w zasilaniu energią elektryczną i ich Wyznaczanie, [doi:10.15199/48.2019.10.18] zaproponowano metodologię wyznaczania tych kosztów.</w:t>
            </w:r>
          </w:p>
          <w:p w14:paraId="5F019C3C" w14:textId="77777777" w:rsidR="00C402A0" w:rsidRPr="00C402A0" w:rsidRDefault="00C402A0" w:rsidP="00C402A0">
            <w:pPr>
              <w:spacing w:line="240" w:lineRule="auto"/>
              <w:jc w:val="both"/>
              <w:rPr>
                <w:rFonts w:ascii="Times New Roman" w:hAnsi="Times New Roman"/>
                <w:color w:val="000000"/>
              </w:rPr>
            </w:pPr>
            <w:r w:rsidRPr="00C402A0">
              <w:rPr>
                <w:rFonts w:ascii="Times New Roman" w:hAnsi="Times New Roman"/>
                <w:color w:val="000000"/>
              </w:rPr>
              <w:t>Inne korzyści wynikające z realizacji inwestycji w zakresie elektrowni szczytowo-pompowej:</w:t>
            </w:r>
          </w:p>
          <w:p w14:paraId="5BD390EF" w14:textId="1492C5FC" w:rsidR="00C402A0" w:rsidRPr="00C402A0" w:rsidRDefault="00C402A0" w:rsidP="00C402A0">
            <w:pPr>
              <w:spacing w:line="240" w:lineRule="auto"/>
              <w:jc w:val="both"/>
              <w:rPr>
                <w:rFonts w:ascii="Times New Roman" w:hAnsi="Times New Roman"/>
                <w:color w:val="000000"/>
              </w:rPr>
            </w:pPr>
            <w:r w:rsidRPr="00C402A0">
              <w:rPr>
                <w:rFonts w:ascii="Times New Roman" w:hAnsi="Times New Roman"/>
                <w:color w:val="000000"/>
              </w:rPr>
              <w:t>1)</w:t>
            </w:r>
            <w:r>
              <w:rPr>
                <w:rFonts w:ascii="Times New Roman" w:hAnsi="Times New Roman"/>
                <w:color w:val="000000"/>
              </w:rPr>
              <w:t xml:space="preserve"> </w:t>
            </w:r>
            <w:r w:rsidRPr="00C402A0">
              <w:rPr>
                <w:rFonts w:ascii="Times New Roman" w:hAnsi="Times New Roman"/>
                <w:color w:val="000000"/>
              </w:rPr>
              <w:t>Wzrost zapotrzebowania na usługi elastyczności systemu elektroenergetycznego stosownie do planowanego w PEP2040 rozwoju odnawialnych źródeł energii;</w:t>
            </w:r>
          </w:p>
          <w:p w14:paraId="5E6C0EF8" w14:textId="25E502FA" w:rsidR="00C402A0" w:rsidRPr="00C402A0" w:rsidRDefault="00C402A0" w:rsidP="00C402A0">
            <w:pPr>
              <w:spacing w:line="240" w:lineRule="auto"/>
              <w:jc w:val="both"/>
              <w:rPr>
                <w:rFonts w:ascii="Times New Roman" w:hAnsi="Times New Roman"/>
                <w:color w:val="000000"/>
              </w:rPr>
            </w:pPr>
            <w:r w:rsidRPr="00C402A0">
              <w:rPr>
                <w:rFonts w:ascii="Times New Roman" w:hAnsi="Times New Roman"/>
                <w:color w:val="000000"/>
              </w:rPr>
              <w:t>2)</w:t>
            </w:r>
            <w:r>
              <w:rPr>
                <w:rFonts w:ascii="Times New Roman" w:hAnsi="Times New Roman"/>
                <w:color w:val="000000"/>
              </w:rPr>
              <w:t xml:space="preserve"> </w:t>
            </w:r>
            <w:r w:rsidRPr="00C402A0">
              <w:rPr>
                <w:rFonts w:ascii="Times New Roman" w:hAnsi="Times New Roman"/>
                <w:color w:val="000000"/>
              </w:rPr>
              <w:t xml:space="preserve">Pojawienie się w </w:t>
            </w:r>
            <w:r w:rsidR="00E452E8">
              <w:rPr>
                <w:rFonts w:ascii="Times New Roman" w:hAnsi="Times New Roman"/>
                <w:color w:val="000000"/>
              </w:rPr>
              <w:t>KSE</w:t>
            </w:r>
            <w:r w:rsidRPr="00C402A0">
              <w:rPr>
                <w:rFonts w:ascii="Times New Roman" w:hAnsi="Times New Roman"/>
                <w:color w:val="000000"/>
              </w:rPr>
              <w:t xml:space="preserve"> jednostek wytwórczych o mocach rzędu 1 GW;</w:t>
            </w:r>
          </w:p>
          <w:p w14:paraId="72871A61" w14:textId="32C509D3" w:rsidR="00C402A0" w:rsidRPr="00C402A0" w:rsidRDefault="00C402A0" w:rsidP="00C402A0">
            <w:pPr>
              <w:spacing w:line="240" w:lineRule="auto"/>
              <w:jc w:val="both"/>
              <w:rPr>
                <w:rFonts w:ascii="Times New Roman" w:hAnsi="Times New Roman"/>
                <w:color w:val="000000"/>
              </w:rPr>
            </w:pPr>
            <w:r w:rsidRPr="00C402A0">
              <w:rPr>
                <w:rFonts w:ascii="Times New Roman" w:hAnsi="Times New Roman"/>
                <w:color w:val="000000"/>
              </w:rPr>
              <w:t>3)</w:t>
            </w:r>
            <w:r>
              <w:rPr>
                <w:rFonts w:ascii="Times New Roman" w:hAnsi="Times New Roman"/>
                <w:color w:val="000000"/>
              </w:rPr>
              <w:t xml:space="preserve"> </w:t>
            </w:r>
            <w:r w:rsidRPr="00C402A0">
              <w:rPr>
                <w:rFonts w:ascii="Times New Roman" w:hAnsi="Times New Roman"/>
                <w:color w:val="000000"/>
              </w:rPr>
              <w:t>Nowe mechanizmy (RB, usługi bilansujące) podnoszące opłacalność budowy elektrowni szczytowo-pompowych, które mogą wspomóc system elektroenergetyczny w niedoborach mocy;</w:t>
            </w:r>
          </w:p>
          <w:p w14:paraId="440BF6B8" w14:textId="478F60F7" w:rsidR="00C402A0" w:rsidRPr="00C402A0" w:rsidRDefault="00C402A0" w:rsidP="00C402A0">
            <w:pPr>
              <w:spacing w:line="240" w:lineRule="auto"/>
              <w:jc w:val="both"/>
              <w:rPr>
                <w:rFonts w:ascii="Times New Roman" w:hAnsi="Times New Roman"/>
                <w:color w:val="000000"/>
              </w:rPr>
            </w:pPr>
            <w:r w:rsidRPr="00C402A0">
              <w:rPr>
                <w:rFonts w:ascii="Times New Roman" w:hAnsi="Times New Roman"/>
                <w:color w:val="000000"/>
              </w:rPr>
              <w:t>4)</w:t>
            </w:r>
            <w:r>
              <w:rPr>
                <w:rFonts w:ascii="Times New Roman" w:hAnsi="Times New Roman"/>
                <w:color w:val="000000"/>
              </w:rPr>
              <w:t xml:space="preserve"> </w:t>
            </w:r>
            <w:r w:rsidRPr="00C402A0">
              <w:rPr>
                <w:rFonts w:ascii="Times New Roman" w:hAnsi="Times New Roman"/>
                <w:color w:val="000000"/>
              </w:rPr>
              <w:t>Możliwości świadczenia usług systemowych na rzecz operatorów zagranicznych systemów sąsiadujących na wspólnym rynku energii;</w:t>
            </w:r>
          </w:p>
          <w:p w14:paraId="1A04D7DF" w14:textId="7E255D56" w:rsidR="00C402A0" w:rsidRPr="00C402A0" w:rsidRDefault="00C402A0" w:rsidP="00C402A0">
            <w:pPr>
              <w:spacing w:line="240" w:lineRule="auto"/>
              <w:jc w:val="both"/>
              <w:rPr>
                <w:rFonts w:ascii="Times New Roman" w:hAnsi="Times New Roman"/>
                <w:color w:val="000000"/>
              </w:rPr>
            </w:pPr>
            <w:r w:rsidRPr="00C402A0">
              <w:rPr>
                <w:rFonts w:ascii="Times New Roman" w:hAnsi="Times New Roman"/>
                <w:color w:val="000000"/>
              </w:rPr>
              <w:t>5)</w:t>
            </w:r>
            <w:r>
              <w:rPr>
                <w:rFonts w:ascii="Times New Roman" w:hAnsi="Times New Roman"/>
                <w:color w:val="000000"/>
              </w:rPr>
              <w:t xml:space="preserve"> </w:t>
            </w:r>
            <w:r w:rsidRPr="00C402A0">
              <w:rPr>
                <w:rFonts w:ascii="Times New Roman" w:hAnsi="Times New Roman"/>
                <w:color w:val="000000"/>
              </w:rPr>
              <w:t>Pojawienie się na rynku nowych technologii elektrowni szczytowo-pompowych posiadających potencjał wzrostu wartości dodanej w porównaniu do posiadanych obecnie przez te elektrownie;</w:t>
            </w:r>
          </w:p>
          <w:p w14:paraId="031769B6" w14:textId="11376C06" w:rsidR="00C402A0" w:rsidRPr="004F512A" w:rsidRDefault="00C402A0" w:rsidP="00C402A0">
            <w:pPr>
              <w:spacing w:line="240" w:lineRule="auto"/>
              <w:jc w:val="both"/>
              <w:rPr>
                <w:rFonts w:ascii="Times New Roman" w:hAnsi="Times New Roman"/>
                <w:color w:val="000000"/>
              </w:rPr>
            </w:pPr>
            <w:r w:rsidRPr="00C402A0">
              <w:rPr>
                <w:rFonts w:ascii="Times New Roman" w:hAnsi="Times New Roman"/>
                <w:color w:val="000000"/>
              </w:rPr>
              <w:t>6)</w:t>
            </w:r>
            <w:r>
              <w:rPr>
                <w:rFonts w:ascii="Times New Roman" w:hAnsi="Times New Roman"/>
                <w:color w:val="000000"/>
              </w:rPr>
              <w:t xml:space="preserve"> </w:t>
            </w:r>
            <w:r w:rsidRPr="00C402A0">
              <w:rPr>
                <w:rFonts w:ascii="Times New Roman" w:hAnsi="Times New Roman"/>
                <w:color w:val="000000"/>
              </w:rPr>
              <w:t xml:space="preserve">Zdarzenia w systemie elektroenergetycznym, które miały miejsce w latach 2020-2021, potwierdzają rosnące zapotrzebowanie na usługi elastyczności. W dniu 12.05.2021 deficyt mocy w KSE wynosił ok. 3,9 GW, a łączna moc elektrowni szczytowo-pompowych w Polsce wynosi 1,8 GW. 05.04.2021 operator systemu przesyłowego elektroenergetycznego w celu równoważenia dostaw energii elektrycznej z zapotrzebowaniem na tę energię i zapewnienia bezpieczeństwa pracy sieci elektroenergetycznej dokonał nierynkowego </w:t>
            </w:r>
            <w:proofErr w:type="spellStart"/>
            <w:r w:rsidRPr="00C402A0">
              <w:rPr>
                <w:rFonts w:ascii="Times New Roman" w:hAnsi="Times New Roman"/>
                <w:color w:val="000000"/>
              </w:rPr>
              <w:t>redysponowania</w:t>
            </w:r>
            <w:proofErr w:type="spellEnd"/>
            <w:r w:rsidRPr="00C402A0">
              <w:rPr>
                <w:rFonts w:ascii="Times New Roman" w:hAnsi="Times New Roman"/>
                <w:color w:val="000000"/>
              </w:rPr>
              <w:t xml:space="preserve"> mocy wytwórczych poprzez wydanie polecenia zaniżenia mocy lub odstawienia farm wiatrowych.</w:t>
            </w:r>
          </w:p>
          <w:p w14:paraId="43E8DEED" w14:textId="77777777" w:rsidR="00FD4C39" w:rsidRPr="00131435" w:rsidRDefault="00FD4C39" w:rsidP="00131435">
            <w:pPr>
              <w:spacing w:line="240" w:lineRule="auto"/>
              <w:jc w:val="both"/>
              <w:rPr>
                <w:rFonts w:ascii="Times New Roman" w:hAnsi="Times New Roman"/>
                <w:bCs/>
              </w:rPr>
            </w:pPr>
          </w:p>
          <w:p w14:paraId="7FE1ED3A" w14:textId="7C281DD2" w:rsidR="00E24BD7" w:rsidRPr="00131435" w:rsidRDefault="00FD4C39" w:rsidP="00131435">
            <w:pPr>
              <w:spacing w:after="120" w:line="240" w:lineRule="auto"/>
              <w:jc w:val="both"/>
              <w:rPr>
                <w:rFonts w:cstheme="minorHAnsi"/>
                <w:b/>
                <w:highlight w:val="red"/>
              </w:rPr>
            </w:pPr>
            <w:r w:rsidRPr="00131435">
              <w:rPr>
                <w:rFonts w:ascii="Times New Roman" w:hAnsi="Times New Roman"/>
                <w:bCs/>
              </w:rPr>
              <w:t xml:space="preserve">Podsumowując, z uwagi na złożoność projektów elektrowni szczytowo-pompowych, każda inwestycja wymaga indywidualnego podejścia w wyszukaniu uwarunkowań ekonomicznych. Czynniki takie jak ukształtowanie terenu, geologia lokalizacji, uwarunkowania techniczne oraz wodne mają silny wpływ na kształtowanie się nakładów inwestycyjnych danego projektu. </w:t>
            </w:r>
          </w:p>
        </w:tc>
      </w:tr>
      <w:tr w:rsidR="006A701A" w:rsidRPr="004F512A" w14:paraId="7E9E551A" w14:textId="77777777" w:rsidTr="00DE4C3A">
        <w:trPr>
          <w:trHeight w:val="342"/>
        </w:trPr>
        <w:tc>
          <w:tcPr>
            <w:tcW w:w="11086" w:type="dxa"/>
            <w:gridSpan w:val="29"/>
            <w:shd w:val="clear" w:color="auto" w:fill="99CCFF"/>
            <w:vAlign w:val="center"/>
          </w:tcPr>
          <w:p w14:paraId="33527D51" w14:textId="77777777" w:rsidR="006A701A" w:rsidRPr="004F512A" w:rsidRDefault="006A701A" w:rsidP="004F4E17">
            <w:pPr>
              <w:numPr>
                <w:ilvl w:val="0"/>
                <w:numId w:val="3"/>
              </w:numPr>
              <w:spacing w:before="60" w:after="60" w:line="240" w:lineRule="auto"/>
              <w:ind w:left="318" w:hanging="284"/>
              <w:jc w:val="both"/>
              <w:rPr>
                <w:rFonts w:ascii="Times New Roman" w:hAnsi="Times New Roman"/>
                <w:b/>
                <w:color w:val="000000"/>
              </w:rPr>
            </w:pPr>
            <w:r w:rsidRPr="004F512A">
              <w:rPr>
                <w:rFonts w:ascii="Times New Roman" w:hAnsi="Times New Roman"/>
                <w:b/>
                <w:color w:val="000000"/>
              </w:rPr>
              <w:lastRenderedPageBreak/>
              <w:t xml:space="preserve"> </w:t>
            </w:r>
            <w:r w:rsidR="00FA117A" w:rsidRPr="004F512A">
              <w:rPr>
                <w:rFonts w:ascii="Times New Roman" w:hAnsi="Times New Roman"/>
                <w:b/>
                <w:color w:val="000000"/>
              </w:rPr>
              <w:t>Zmiana o</w:t>
            </w:r>
            <w:r w:rsidRPr="004F512A">
              <w:rPr>
                <w:rFonts w:ascii="Times New Roman" w:hAnsi="Times New Roman"/>
                <w:b/>
                <w:color w:val="000000"/>
              </w:rPr>
              <w:t>bciąże</w:t>
            </w:r>
            <w:r w:rsidR="00FA117A" w:rsidRPr="004F512A">
              <w:rPr>
                <w:rFonts w:ascii="Times New Roman" w:hAnsi="Times New Roman"/>
                <w:b/>
                <w:color w:val="000000"/>
              </w:rPr>
              <w:t>ń</w:t>
            </w:r>
            <w:r w:rsidRPr="004F512A">
              <w:rPr>
                <w:rFonts w:ascii="Times New Roman" w:hAnsi="Times New Roman"/>
                <w:b/>
                <w:color w:val="000000"/>
              </w:rPr>
              <w:t xml:space="preserve"> regulacyjn</w:t>
            </w:r>
            <w:r w:rsidR="00FA117A" w:rsidRPr="004F512A">
              <w:rPr>
                <w:rFonts w:ascii="Times New Roman" w:hAnsi="Times New Roman"/>
                <w:b/>
                <w:color w:val="000000"/>
              </w:rPr>
              <w:t>ych</w:t>
            </w:r>
            <w:r w:rsidR="00653688" w:rsidRPr="004F512A">
              <w:rPr>
                <w:rFonts w:ascii="Times New Roman" w:hAnsi="Times New Roman"/>
                <w:b/>
                <w:color w:val="000000"/>
              </w:rPr>
              <w:t xml:space="preserve"> (w tym obowiązk</w:t>
            </w:r>
            <w:r w:rsidR="00FA117A" w:rsidRPr="004F512A">
              <w:rPr>
                <w:rFonts w:ascii="Times New Roman" w:hAnsi="Times New Roman"/>
                <w:b/>
                <w:color w:val="000000"/>
              </w:rPr>
              <w:t xml:space="preserve">ów </w:t>
            </w:r>
            <w:r w:rsidR="00653688" w:rsidRPr="004F512A">
              <w:rPr>
                <w:rFonts w:ascii="Times New Roman" w:hAnsi="Times New Roman"/>
                <w:b/>
                <w:color w:val="000000"/>
              </w:rPr>
              <w:t>informacyjn</w:t>
            </w:r>
            <w:r w:rsidR="00FA117A" w:rsidRPr="004F512A">
              <w:rPr>
                <w:rFonts w:ascii="Times New Roman" w:hAnsi="Times New Roman"/>
                <w:b/>
                <w:color w:val="000000"/>
              </w:rPr>
              <w:t>ych</w:t>
            </w:r>
            <w:r w:rsidR="00653688" w:rsidRPr="004F512A">
              <w:rPr>
                <w:rFonts w:ascii="Times New Roman" w:hAnsi="Times New Roman"/>
                <w:b/>
                <w:color w:val="000000"/>
              </w:rPr>
              <w:t>)</w:t>
            </w:r>
            <w:r w:rsidRPr="004F512A">
              <w:rPr>
                <w:rFonts w:ascii="Times New Roman" w:hAnsi="Times New Roman"/>
                <w:b/>
                <w:color w:val="000000"/>
              </w:rPr>
              <w:t xml:space="preserve"> wynikając</w:t>
            </w:r>
            <w:r w:rsidR="00FA117A" w:rsidRPr="004F512A">
              <w:rPr>
                <w:rFonts w:ascii="Times New Roman" w:hAnsi="Times New Roman"/>
                <w:b/>
                <w:color w:val="000000"/>
              </w:rPr>
              <w:t>ych</w:t>
            </w:r>
            <w:r w:rsidRPr="004F512A">
              <w:rPr>
                <w:rFonts w:ascii="Times New Roman" w:hAnsi="Times New Roman"/>
                <w:b/>
                <w:color w:val="000000"/>
              </w:rPr>
              <w:t xml:space="preserve"> z projektu</w:t>
            </w:r>
          </w:p>
        </w:tc>
      </w:tr>
      <w:tr w:rsidR="00D86AFF" w:rsidRPr="004F512A" w14:paraId="2D725361" w14:textId="77777777" w:rsidTr="00DE4C3A">
        <w:trPr>
          <w:trHeight w:val="151"/>
        </w:trPr>
        <w:tc>
          <w:tcPr>
            <w:tcW w:w="11086" w:type="dxa"/>
            <w:gridSpan w:val="29"/>
            <w:shd w:val="clear" w:color="auto" w:fill="FFFFFF"/>
          </w:tcPr>
          <w:p w14:paraId="1B33CDFE" w14:textId="77777777" w:rsidR="00D86AFF" w:rsidRPr="004F512A" w:rsidRDefault="00000000" w:rsidP="004F4E17">
            <w:pPr>
              <w:spacing w:line="240" w:lineRule="auto"/>
              <w:rPr>
                <w:rFonts w:ascii="Times New Roman" w:hAnsi="Times New Roman"/>
                <w:color w:val="000000"/>
              </w:rPr>
            </w:pPr>
            <w:sdt>
              <w:sdtPr>
                <w:rPr>
                  <w:rFonts w:ascii="Times New Roman" w:hAnsi="Times New Roman"/>
                  <w:color w:val="000000"/>
                  <w:spacing w:val="-2"/>
                </w:rPr>
                <w:id w:val="1930998347"/>
                <w14:checkbox>
                  <w14:checked w14:val="0"/>
                  <w14:checkedState w14:val="2612" w14:font="MS Gothic"/>
                  <w14:uncheckedState w14:val="2610" w14:font="MS Gothic"/>
                </w14:checkbox>
              </w:sdtPr>
              <w:sdtContent>
                <w:r w:rsidR="009A0658" w:rsidRPr="004F512A">
                  <w:rPr>
                    <w:rFonts w:ascii="Segoe UI Symbol" w:eastAsia="MS Gothic" w:hAnsi="Segoe UI Symbol" w:cs="Segoe UI Symbol"/>
                    <w:color w:val="000000"/>
                    <w:spacing w:val="-2"/>
                  </w:rPr>
                  <w:t>☐</w:t>
                </w:r>
              </w:sdtContent>
            </w:sdt>
            <w:r w:rsidR="007415D0" w:rsidRPr="004F512A">
              <w:rPr>
                <w:rFonts w:ascii="Times New Roman" w:hAnsi="Times New Roman"/>
                <w:color w:val="000000"/>
                <w:spacing w:val="-2"/>
              </w:rPr>
              <w:t xml:space="preserve"> </w:t>
            </w:r>
            <w:r w:rsidR="00D86AFF" w:rsidRPr="004F512A">
              <w:rPr>
                <w:rFonts w:ascii="Times New Roman" w:hAnsi="Times New Roman"/>
                <w:color w:val="000000"/>
                <w:spacing w:val="-2"/>
              </w:rPr>
              <w:t>nie dotyczy</w:t>
            </w:r>
          </w:p>
        </w:tc>
      </w:tr>
      <w:tr w:rsidR="00D86AFF" w:rsidRPr="004F512A" w14:paraId="47DE2093" w14:textId="77777777" w:rsidTr="00DE4C3A">
        <w:trPr>
          <w:trHeight w:val="946"/>
        </w:trPr>
        <w:tc>
          <w:tcPr>
            <w:tcW w:w="5111" w:type="dxa"/>
            <w:gridSpan w:val="12"/>
            <w:shd w:val="clear" w:color="auto" w:fill="FFFFFF"/>
          </w:tcPr>
          <w:p w14:paraId="15F57C5E" w14:textId="77777777" w:rsidR="00D86AFF" w:rsidRPr="004F512A" w:rsidRDefault="00D86AFF" w:rsidP="001B3460">
            <w:pPr>
              <w:rPr>
                <w:rFonts w:ascii="Times New Roman" w:hAnsi="Times New Roman"/>
                <w:color w:val="000000"/>
                <w:spacing w:val="-2"/>
              </w:rPr>
            </w:pPr>
            <w:r w:rsidRPr="004F512A">
              <w:rPr>
                <w:rFonts w:ascii="Times New Roman" w:hAnsi="Times New Roman"/>
                <w:color w:val="000000"/>
                <w:spacing w:val="-2"/>
              </w:rPr>
              <w:t xml:space="preserve">Wprowadzane są obciążenia poza bezwzględnie wymaganymi przez UE </w:t>
            </w:r>
            <w:r w:rsidRPr="004F512A">
              <w:rPr>
                <w:rFonts w:ascii="Times New Roman" w:hAnsi="Times New Roman"/>
                <w:color w:val="000000"/>
              </w:rPr>
              <w:t>(szczegóły w odwróconej tabeli zgodności).</w:t>
            </w:r>
          </w:p>
        </w:tc>
        <w:tc>
          <w:tcPr>
            <w:tcW w:w="5975" w:type="dxa"/>
            <w:gridSpan w:val="17"/>
            <w:shd w:val="clear" w:color="auto" w:fill="FFFFFF"/>
          </w:tcPr>
          <w:p w14:paraId="05B0EA9C" w14:textId="77777777" w:rsidR="00D86AFF" w:rsidRPr="004F512A" w:rsidRDefault="00000000" w:rsidP="004F4E17">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Content>
                <w:r w:rsidR="007415D0" w:rsidRPr="004F512A">
                  <w:rPr>
                    <w:rFonts w:ascii="Segoe UI Symbol" w:eastAsia="MS Gothic" w:hAnsi="Segoe UI Symbol" w:cs="Segoe UI Symbol"/>
                    <w:color w:val="000000"/>
                  </w:rPr>
                  <w:t>☐</w:t>
                </w:r>
              </w:sdtContent>
            </w:sdt>
            <w:r w:rsidR="007415D0" w:rsidRPr="004F512A">
              <w:rPr>
                <w:rFonts w:ascii="Times New Roman" w:hAnsi="Times New Roman"/>
                <w:color w:val="000000"/>
              </w:rPr>
              <w:t xml:space="preserve"> </w:t>
            </w:r>
            <w:r w:rsidR="00D86AFF" w:rsidRPr="004F512A">
              <w:rPr>
                <w:rFonts w:ascii="Times New Roman" w:hAnsi="Times New Roman"/>
                <w:color w:val="000000"/>
              </w:rPr>
              <w:t>tak</w:t>
            </w:r>
          </w:p>
          <w:p w14:paraId="6F250895" w14:textId="4C32B044" w:rsidR="00D86AFF" w:rsidRPr="004F512A" w:rsidRDefault="00000000" w:rsidP="004F4E17">
            <w:pPr>
              <w:spacing w:line="240" w:lineRule="auto"/>
              <w:rPr>
                <w:rFonts w:ascii="Times New Roman" w:hAnsi="Times New Roman"/>
                <w:color w:val="000000"/>
              </w:rPr>
            </w:pPr>
            <w:sdt>
              <w:sdtPr>
                <w:rPr>
                  <w:rFonts w:ascii="Times New Roman" w:hAnsi="Times New Roman"/>
                  <w:color w:val="000000"/>
                </w:rPr>
                <w:id w:val="-1774005171"/>
                <w14:checkbox>
                  <w14:checked w14:val="1"/>
                  <w14:checkedState w14:val="2612" w14:font="MS Gothic"/>
                  <w14:uncheckedState w14:val="2610" w14:font="MS Gothic"/>
                </w14:checkbox>
              </w:sdtPr>
              <w:sdtContent>
                <w:r w:rsidR="009A7620" w:rsidRPr="004F512A">
                  <w:rPr>
                    <w:rFonts w:ascii="Segoe UI Symbol" w:eastAsia="MS Gothic" w:hAnsi="Segoe UI Symbol" w:cs="Segoe UI Symbol"/>
                    <w:color w:val="000000"/>
                  </w:rPr>
                  <w:t>☒</w:t>
                </w:r>
              </w:sdtContent>
            </w:sdt>
            <w:r w:rsidR="007415D0" w:rsidRPr="004F512A">
              <w:rPr>
                <w:rFonts w:ascii="Times New Roman" w:hAnsi="Times New Roman"/>
                <w:color w:val="000000"/>
              </w:rPr>
              <w:t xml:space="preserve"> </w:t>
            </w:r>
            <w:r w:rsidR="00D86AFF" w:rsidRPr="004F512A">
              <w:rPr>
                <w:rFonts w:ascii="Times New Roman" w:hAnsi="Times New Roman"/>
                <w:color w:val="000000"/>
              </w:rPr>
              <w:t>nie</w:t>
            </w:r>
          </w:p>
          <w:p w14:paraId="7AC738E2" w14:textId="77777777" w:rsidR="00D86AFF" w:rsidRPr="004F512A" w:rsidRDefault="00000000" w:rsidP="004F4E17">
            <w:pPr>
              <w:rPr>
                <w:rFonts w:ascii="Times New Roman" w:hAnsi="Times New Roman"/>
                <w:color w:val="000000"/>
              </w:rPr>
            </w:pPr>
            <w:sdt>
              <w:sdtPr>
                <w:rPr>
                  <w:rFonts w:ascii="Times New Roman" w:hAnsi="Times New Roman"/>
                  <w:color w:val="000000"/>
                </w:rPr>
                <w:id w:val="351533669"/>
                <w14:checkbox>
                  <w14:checked w14:val="0"/>
                  <w14:checkedState w14:val="2612" w14:font="MS Gothic"/>
                  <w14:uncheckedState w14:val="2610" w14:font="MS Gothic"/>
                </w14:checkbox>
              </w:sdtPr>
              <w:sdtContent>
                <w:r w:rsidR="007415D0" w:rsidRPr="004F512A">
                  <w:rPr>
                    <w:rFonts w:ascii="Segoe UI Symbol" w:eastAsia="MS Gothic" w:hAnsi="Segoe UI Symbol" w:cs="Segoe UI Symbol"/>
                    <w:color w:val="000000"/>
                  </w:rPr>
                  <w:t>☐</w:t>
                </w:r>
              </w:sdtContent>
            </w:sdt>
            <w:r w:rsidR="007415D0" w:rsidRPr="004F512A">
              <w:rPr>
                <w:rFonts w:ascii="Times New Roman" w:hAnsi="Times New Roman"/>
                <w:color w:val="000000"/>
              </w:rPr>
              <w:t xml:space="preserve"> </w:t>
            </w:r>
            <w:r w:rsidR="00D86AFF" w:rsidRPr="004F512A">
              <w:rPr>
                <w:rFonts w:ascii="Times New Roman" w:hAnsi="Times New Roman"/>
                <w:color w:val="000000"/>
              </w:rPr>
              <w:t>nie dotyczy</w:t>
            </w:r>
          </w:p>
        </w:tc>
      </w:tr>
      <w:tr w:rsidR="001B3460" w:rsidRPr="004F512A" w14:paraId="4A706DF4" w14:textId="77777777" w:rsidTr="00DE4C3A">
        <w:trPr>
          <w:trHeight w:val="1245"/>
        </w:trPr>
        <w:tc>
          <w:tcPr>
            <w:tcW w:w="5111" w:type="dxa"/>
            <w:gridSpan w:val="12"/>
            <w:shd w:val="clear" w:color="auto" w:fill="FFFFFF"/>
          </w:tcPr>
          <w:p w14:paraId="2F948597" w14:textId="6D22FEE4" w:rsidR="001B3460" w:rsidRPr="004F512A" w:rsidRDefault="00000000" w:rsidP="00AE6CF8">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1"/>
                  <w14:checkedState w14:val="2612" w14:font="MS Gothic"/>
                  <w14:uncheckedState w14:val="2610" w14:font="MS Gothic"/>
                </w14:checkbox>
              </w:sdtPr>
              <w:sdtContent>
                <w:r w:rsidR="009A7620" w:rsidRPr="004F512A">
                  <w:rPr>
                    <w:rFonts w:ascii="Segoe UI Symbol" w:eastAsia="MS Gothic" w:hAnsi="Segoe UI Symbol" w:cs="Segoe UI Symbol"/>
                    <w:color w:val="000000"/>
                    <w:spacing w:val="-2"/>
                  </w:rPr>
                  <w:t>☒</w:t>
                </w:r>
              </w:sdtContent>
            </w:sdt>
            <w:r w:rsidR="007415D0" w:rsidRPr="004F512A">
              <w:rPr>
                <w:rFonts w:ascii="Times New Roman" w:hAnsi="Times New Roman"/>
                <w:color w:val="000000"/>
                <w:spacing w:val="-2"/>
              </w:rPr>
              <w:t xml:space="preserve"> </w:t>
            </w:r>
            <w:r w:rsidR="001B3460" w:rsidRPr="004F512A">
              <w:rPr>
                <w:rFonts w:ascii="Times New Roman" w:hAnsi="Times New Roman"/>
                <w:color w:val="000000"/>
                <w:spacing w:val="-2"/>
              </w:rPr>
              <w:t xml:space="preserve">zmniejszenie liczby dokumentów </w:t>
            </w:r>
          </w:p>
          <w:p w14:paraId="6FD5B1B1" w14:textId="011F6DDA" w:rsidR="001B3460" w:rsidRPr="004F512A" w:rsidRDefault="00000000" w:rsidP="00AE6CF8">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1"/>
                  <w14:checkedState w14:val="2612" w14:font="MS Gothic"/>
                  <w14:uncheckedState w14:val="2610" w14:font="MS Gothic"/>
                </w14:checkbox>
              </w:sdtPr>
              <w:sdtContent>
                <w:r w:rsidR="009A7620" w:rsidRPr="004F512A">
                  <w:rPr>
                    <w:rFonts w:ascii="Segoe UI Symbol" w:eastAsia="MS Gothic" w:hAnsi="Segoe UI Symbol" w:cs="Segoe UI Symbol"/>
                    <w:color w:val="000000"/>
                    <w:spacing w:val="-2"/>
                  </w:rPr>
                  <w:t>☒</w:t>
                </w:r>
              </w:sdtContent>
            </w:sdt>
            <w:r w:rsidR="007415D0" w:rsidRPr="004F512A">
              <w:rPr>
                <w:rFonts w:ascii="Times New Roman" w:hAnsi="Times New Roman"/>
                <w:color w:val="000000"/>
                <w:spacing w:val="-2"/>
              </w:rPr>
              <w:t xml:space="preserve"> </w:t>
            </w:r>
            <w:r w:rsidR="001B3460" w:rsidRPr="004F512A">
              <w:rPr>
                <w:rFonts w:ascii="Times New Roman" w:hAnsi="Times New Roman"/>
                <w:color w:val="000000"/>
                <w:spacing w:val="-2"/>
              </w:rPr>
              <w:t>zmniejszenie liczby procedur</w:t>
            </w:r>
          </w:p>
          <w:p w14:paraId="740ECA36" w14:textId="1C5FAE51" w:rsidR="001B3460" w:rsidRPr="004F512A" w:rsidRDefault="00000000" w:rsidP="00AE6CF8">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1"/>
                  <w14:checkedState w14:val="2612" w14:font="MS Gothic"/>
                  <w14:uncheckedState w14:val="2610" w14:font="MS Gothic"/>
                </w14:checkbox>
              </w:sdtPr>
              <w:sdtContent>
                <w:r w:rsidR="009A7620" w:rsidRPr="004F512A">
                  <w:rPr>
                    <w:rFonts w:ascii="Segoe UI Symbol" w:eastAsia="MS Gothic" w:hAnsi="Segoe UI Symbol" w:cs="Segoe UI Symbol"/>
                    <w:color w:val="000000"/>
                    <w:spacing w:val="-2"/>
                  </w:rPr>
                  <w:t>☒</w:t>
                </w:r>
              </w:sdtContent>
            </w:sdt>
            <w:r w:rsidR="007415D0" w:rsidRPr="004F512A">
              <w:rPr>
                <w:rFonts w:ascii="Times New Roman" w:hAnsi="Times New Roman"/>
                <w:color w:val="000000"/>
                <w:spacing w:val="-2"/>
              </w:rPr>
              <w:t xml:space="preserve"> </w:t>
            </w:r>
            <w:r w:rsidR="001B3460" w:rsidRPr="004F512A">
              <w:rPr>
                <w:rFonts w:ascii="Times New Roman" w:hAnsi="Times New Roman"/>
                <w:color w:val="000000"/>
                <w:spacing w:val="-2"/>
              </w:rPr>
              <w:t>skrócenie czasu</w:t>
            </w:r>
            <w:r w:rsidR="00CF5F4F" w:rsidRPr="004F512A">
              <w:rPr>
                <w:rFonts w:ascii="Times New Roman" w:hAnsi="Times New Roman"/>
                <w:color w:val="000000"/>
                <w:spacing w:val="-2"/>
              </w:rPr>
              <w:t xml:space="preserve"> na załatwienie sprawy</w:t>
            </w:r>
          </w:p>
          <w:p w14:paraId="76705DA5" w14:textId="77777777" w:rsidR="001B3460" w:rsidRPr="004F512A" w:rsidRDefault="00000000" w:rsidP="007415D0">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Content>
                <w:r w:rsidR="007415D0" w:rsidRPr="004F512A">
                  <w:rPr>
                    <w:rFonts w:ascii="Segoe UI Symbol" w:eastAsia="MS Gothic" w:hAnsi="Segoe UI Symbol" w:cs="Segoe UI Symbol"/>
                    <w:color w:val="000000"/>
                    <w:spacing w:val="-2"/>
                  </w:rPr>
                  <w:t>☐</w:t>
                </w:r>
              </w:sdtContent>
            </w:sdt>
            <w:r w:rsidR="007415D0" w:rsidRPr="004F512A">
              <w:rPr>
                <w:rFonts w:ascii="Times New Roman" w:hAnsi="Times New Roman"/>
                <w:color w:val="000000"/>
                <w:spacing w:val="-2"/>
              </w:rPr>
              <w:t xml:space="preserve"> </w:t>
            </w:r>
            <w:r w:rsidR="001B3460" w:rsidRPr="004F512A">
              <w:rPr>
                <w:rFonts w:ascii="Times New Roman" w:hAnsi="Times New Roman"/>
                <w:color w:val="000000"/>
                <w:spacing w:val="-2"/>
              </w:rPr>
              <w:t>inne:</w:t>
            </w:r>
            <w:r w:rsidR="001B3460" w:rsidRPr="004F512A">
              <w:rPr>
                <w:rFonts w:ascii="Times New Roman" w:hAnsi="Times New Roman"/>
                <w:color w:val="000000"/>
              </w:rPr>
              <w:t xml:space="preserve"> </w:t>
            </w:r>
            <w:r w:rsidR="007415D0" w:rsidRPr="004F512A">
              <w:rPr>
                <w:rFonts w:ascii="Times New Roman" w:hAnsi="Times New Roman"/>
                <w:color w:val="000000"/>
              </w:rPr>
              <w:t>…</w:t>
            </w:r>
          </w:p>
        </w:tc>
        <w:tc>
          <w:tcPr>
            <w:tcW w:w="5975" w:type="dxa"/>
            <w:gridSpan w:val="17"/>
            <w:shd w:val="clear" w:color="auto" w:fill="FFFFFF"/>
          </w:tcPr>
          <w:p w14:paraId="4FC56FA9" w14:textId="77777777" w:rsidR="001B3460" w:rsidRPr="004F512A" w:rsidRDefault="00000000" w:rsidP="00AE6CF8">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0"/>
                  <w14:checkedState w14:val="2612" w14:font="MS Gothic"/>
                  <w14:uncheckedState w14:val="2610" w14:font="MS Gothic"/>
                </w14:checkbox>
              </w:sdtPr>
              <w:sdtContent>
                <w:r w:rsidR="007415D0" w:rsidRPr="004F512A">
                  <w:rPr>
                    <w:rFonts w:ascii="Segoe UI Symbol" w:eastAsia="MS Gothic" w:hAnsi="Segoe UI Symbol" w:cs="Segoe UI Symbol"/>
                    <w:color w:val="000000"/>
                    <w:spacing w:val="-2"/>
                  </w:rPr>
                  <w:t>☐</w:t>
                </w:r>
              </w:sdtContent>
            </w:sdt>
            <w:r w:rsidR="007415D0" w:rsidRPr="004F512A">
              <w:rPr>
                <w:rFonts w:ascii="Times New Roman" w:hAnsi="Times New Roman"/>
                <w:color w:val="000000"/>
                <w:spacing w:val="-2"/>
              </w:rPr>
              <w:t xml:space="preserve"> </w:t>
            </w:r>
            <w:r w:rsidR="001B3460" w:rsidRPr="004F512A">
              <w:rPr>
                <w:rFonts w:ascii="Times New Roman" w:hAnsi="Times New Roman"/>
                <w:color w:val="000000"/>
                <w:spacing w:val="-2"/>
              </w:rPr>
              <w:t>zwiększenie liczby dokumentów</w:t>
            </w:r>
          </w:p>
          <w:p w14:paraId="645995D0" w14:textId="77777777" w:rsidR="001B3460" w:rsidRPr="004F512A" w:rsidRDefault="00000000" w:rsidP="00AE6CF8">
            <w:pPr>
              <w:spacing w:line="240" w:lineRule="auto"/>
              <w:rPr>
                <w:rFonts w:ascii="Times New Roman" w:hAnsi="Times New Roman"/>
                <w:color w:val="000000"/>
                <w:spacing w:val="-2"/>
              </w:rPr>
            </w:pPr>
            <w:sdt>
              <w:sdtPr>
                <w:rPr>
                  <w:rFonts w:ascii="Times New Roman" w:hAnsi="Times New Roman"/>
                  <w:color w:val="000000"/>
                </w:rPr>
                <w:id w:val="762415844"/>
                <w14:checkbox>
                  <w14:checked w14:val="0"/>
                  <w14:checkedState w14:val="2612" w14:font="MS Gothic"/>
                  <w14:uncheckedState w14:val="2610" w14:font="MS Gothic"/>
                </w14:checkbox>
              </w:sdtPr>
              <w:sdtContent>
                <w:r w:rsidR="007415D0" w:rsidRPr="004F512A">
                  <w:rPr>
                    <w:rFonts w:ascii="Segoe UI Symbol" w:eastAsia="MS Gothic" w:hAnsi="Segoe UI Symbol" w:cs="Segoe UI Symbol"/>
                    <w:color w:val="000000"/>
                  </w:rPr>
                  <w:t>☐</w:t>
                </w:r>
              </w:sdtContent>
            </w:sdt>
            <w:r w:rsidR="007415D0" w:rsidRPr="004F512A">
              <w:rPr>
                <w:rFonts w:ascii="Times New Roman" w:hAnsi="Times New Roman"/>
                <w:color w:val="000000"/>
              </w:rPr>
              <w:t xml:space="preserve"> </w:t>
            </w:r>
            <w:r w:rsidR="001B3460" w:rsidRPr="004F512A">
              <w:rPr>
                <w:rFonts w:ascii="Times New Roman" w:hAnsi="Times New Roman"/>
                <w:color w:val="000000"/>
                <w:spacing w:val="-2"/>
              </w:rPr>
              <w:t>zwiększenie liczby procedur</w:t>
            </w:r>
          </w:p>
          <w:p w14:paraId="5BD52A39" w14:textId="77777777" w:rsidR="001B3460" w:rsidRPr="004F512A" w:rsidRDefault="00000000" w:rsidP="00AE6CF8">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Content>
                <w:r w:rsidR="007415D0" w:rsidRPr="004F512A">
                  <w:rPr>
                    <w:rFonts w:ascii="Segoe UI Symbol" w:eastAsia="MS Gothic" w:hAnsi="Segoe UI Symbol" w:cs="Segoe UI Symbol"/>
                    <w:color w:val="000000"/>
                    <w:spacing w:val="-2"/>
                  </w:rPr>
                  <w:t>☐</w:t>
                </w:r>
              </w:sdtContent>
            </w:sdt>
            <w:r w:rsidR="007415D0" w:rsidRPr="004F512A">
              <w:rPr>
                <w:rFonts w:ascii="Times New Roman" w:hAnsi="Times New Roman"/>
                <w:color w:val="000000"/>
                <w:spacing w:val="-2"/>
              </w:rPr>
              <w:t xml:space="preserve"> </w:t>
            </w:r>
            <w:r w:rsidR="001B3460" w:rsidRPr="004F512A">
              <w:rPr>
                <w:rFonts w:ascii="Times New Roman" w:hAnsi="Times New Roman"/>
                <w:color w:val="000000"/>
                <w:spacing w:val="-2"/>
              </w:rPr>
              <w:t>wydłużenie czasu</w:t>
            </w:r>
            <w:r w:rsidR="00CF5F4F" w:rsidRPr="004F512A">
              <w:rPr>
                <w:rFonts w:ascii="Times New Roman" w:hAnsi="Times New Roman"/>
                <w:color w:val="000000"/>
                <w:spacing w:val="-2"/>
              </w:rPr>
              <w:t xml:space="preserve"> na załatwienie sprawy</w:t>
            </w:r>
          </w:p>
          <w:p w14:paraId="1BC1A87F" w14:textId="77777777" w:rsidR="001B3460" w:rsidRPr="004F512A" w:rsidRDefault="00000000" w:rsidP="00AE6CF8">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Content>
                <w:r w:rsidR="007415D0" w:rsidRPr="004F512A">
                  <w:rPr>
                    <w:rFonts w:ascii="Segoe UI Symbol" w:eastAsia="MS Gothic" w:hAnsi="Segoe UI Symbol" w:cs="Segoe UI Symbol"/>
                    <w:color w:val="000000"/>
                    <w:spacing w:val="-2"/>
                  </w:rPr>
                  <w:t>☐</w:t>
                </w:r>
              </w:sdtContent>
            </w:sdt>
            <w:r w:rsidR="007415D0" w:rsidRPr="004F512A">
              <w:rPr>
                <w:rFonts w:ascii="Times New Roman" w:hAnsi="Times New Roman"/>
                <w:color w:val="000000"/>
                <w:spacing w:val="-2"/>
              </w:rPr>
              <w:t xml:space="preserve"> </w:t>
            </w:r>
            <w:r w:rsidR="001B3460" w:rsidRPr="004F512A">
              <w:rPr>
                <w:rFonts w:ascii="Times New Roman" w:hAnsi="Times New Roman"/>
                <w:color w:val="000000"/>
                <w:spacing w:val="-2"/>
              </w:rPr>
              <w:t>inne:</w:t>
            </w:r>
            <w:r w:rsidR="001B3460" w:rsidRPr="004F512A">
              <w:rPr>
                <w:rFonts w:ascii="Times New Roman" w:hAnsi="Times New Roman"/>
                <w:color w:val="000000"/>
              </w:rPr>
              <w:t xml:space="preserve"> </w:t>
            </w:r>
            <w:r w:rsidR="007415D0" w:rsidRPr="004F512A">
              <w:rPr>
                <w:rFonts w:ascii="Times New Roman" w:hAnsi="Times New Roman"/>
                <w:color w:val="000000"/>
              </w:rPr>
              <w:t>…</w:t>
            </w:r>
          </w:p>
          <w:p w14:paraId="6F69D72B" w14:textId="77777777" w:rsidR="001B3460" w:rsidRPr="004F512A" w:rsidRDefault="001B3460" w:rsidP="00AE6CF8">
            <w:pPr>
              <w:spacing w:line="240" w:lineRule="auto"/>
              <w:rPr>
                <w:rFonts w:ascii="Times New Roman" w:hAnsi="Times New Roman"/>
                <w:color w:val="000000"/>
              </w:rPr>
            </w:pPr>
          </w:p>
        </w:tc>
      </w:tr>
      <w:tr w:rsidR="00BF0DA2" w:rsidRPr="004F512A" w14:paraId="63DC3C1F" w14:textId="77777777" w:rsidTr="00DE4C3A">
        <w:trPr>
          <w:trHeight w:val="870"/>
        </w:trPr>
        <w:tc>
          <w:tcPr>
            <w:tcW w:w="5111" w:type="dxa"/>
            <w:gridSpan w:val="12"/>
            <w:shd w:val="clear" w:color="auto" w:fill="FFFFFF"/>
          </w:tcPr>
          <w:p w14:paraId="563701AE" w14:textId="77777777" w:rsidR="00BF0DA2" w:rsidRPr="004F512A" w:rsidRDefault="00BF0DA2" w:rsidP="004F4E17">
            <w:pPr>
              <w:spacing w:line="240" w:lineRule="auto"/>
              <w:rPr>
                <w:rFonts w:ascii="Times New Roman" w:hAnsi="Times New Roman"/>
                <w:color w:val="000000"/>
              </w:rPr>
            </w:pPr>
            <w:r w:rsidRPr="004F512A">
              <w:rPr>
                <w:rFonts w:ascii="Times New Roman" w:hAnsi="Times New Roman"/>
                <w:color w:val="000000"/>
                <w:spacing w:val="-2"/>
              </w:rPr>
              <w:t xml:space="preserve">Wprowadzane obciążenia są przystosowane do ich elektronizacji. </w:t>
            </w:r>
          </w:p>
        </w:tc>
        <w:tc>
          <w:tcPr>
            <w:tcW w:w="5975" w:type="dxa"/>
            <w:gridSpan w:val="17"/>
            <w:shd w:val="clear" w:color="auto" w:fill="FFFFFF"/>
          </w:tcPr>
          <w:p w14:paraId="17485A76" w14:textId="77777777" w:rsidR="00BF0DA2" w:rsidRPr="004F512A" w:rsidRDefault="00000000" w:rsidP="00BF0DA2">
            <w:pPr>
              <w:spacing w:line="240" w:lineRule="auto"/>
              <w:rPr>
                <w:rFonts w:ascii="Times New Roman" w:hAnsi="Times New Roman"/>
                <w:color w:val="000000"/>
              </w:rPr>
            </w:pPr>
            <w:sdt>
              <w:sdtPr>
                <w:rPr>
                  <w:rFonts w:ascii="Times New Roman" w:hAnsi="Times New Roman"/>
                  <w:color w:val="000000"/>
                </w:rPr>
                <w:id w:val="297268939"/>
                <w14:checkbox>
                  <w14:checked w14:val="0"/>
                  <w14:checkedState w14:val="2612" w14:font="MS Gothic"/>
                  <w14:uncheckedState w14:val="2610" w14:font="MS Gothic"/>
                </w14:checkbox>
              </w:sdtPr>
              <w:sdtContent>
                <w:r w:rsidR="007415D0" w:rsidRPr="004F512A">
                  <w:rPr>
                    <w:rFonts w:ascii="Segoe UI Symbol" w:eastAsia="MS Gothic" w:hAnsi="Segoe UI Symbol" w:cs="Segoe UI Symbol"/>
                    <w:color w:val="000000"/>
                  </w:rPr>
                  <w:t>☐</w:t>
                </w:r>
              </w:sdtContent>
            </w:sdt>
            <w:r w:rsidR="007415D0" w:rsidRPr="004F512A">
              <w:rPr>
                <w:rFonts w:ascii="Times New Roman" w:hAnsi="Times New Roman"/>
                <w:color w:val="000000"/>
              </w:rPr>
              <w:t xml:space="preserve"> </w:t>
            </w:r>
            <w:r w:rsidR="00BF0DA2" w:rsidRPr="004F512A">
              <w:rPr>
                <w:rFonts w:ascii="Times New Roman" w:hAnsi="Times New Roman"/>
                <w:color w:val="000000"/>
              </w:rPr>
              <w:t>tak</w:t>
            </w:r>
          </w:p>
          <w:p w14:paraId="4DC32A12" w14:textId="77777777" w:rsidR="00BF0DA2" w:rsidRPr="004F512A" w:rsidRDefault="00000000" w:rsidP="00BF0DA2">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Content>
                <w:r w:rsidR="007415D0" w:rsidRPr="004F512A">
                  <w:rPr>
                    <w:rFonts w:ascii="Segoe UI Symbol" w:eastAsia="MS Gothic" w:hAnsi="Segoe UI Symbol" w:cs="Segoe UI Symbol"/>
                    <w:color w:val="000000"/>
                  </w:rPr>
                  <w:t>☐</w:t>
                </w:r>
              </w:sdtContent>
            </w:sdt>
            <w:r w:rsidR="007415D0" w:rsidRPr="004F512A">
              <w:rPr>
                <w:rFonts w:ascii="Times New Roman" w:hAnsi="Times New Roman"/>
                <w:color w:val="000000"/>
              </w:rPr>
              <w:t xml:space="preserve"> </w:t>
            </w:r>
            <w:r w:rsidR="00BF0DA2" w:rsidRPr="004F512A">
              <w:rPr>
                <w:rFonts w:ascii="Times New Roman" w:hAnsi="Times New Roman"/>
                <w:color w:val="000000"/>
              </w:rPr>
              <w:t>nie</w:t>
            </w:r>
          </w:p>
          <w:p w14:paraId="5331E023" w14:textId="646CE386" w:rsidR="00BF0DA2" w:rsidRPr="004F512A" w:rsidRDefault="00000000" w:rsidP="00BF0DA2">
            <w:pPr>
              <w:spacing w:line="240" w:lineRule="auto"/>
              <w:rPr>
                <w:rFonts w:ascii="Times New Roman" w:hAnsi="Times New Roman"/>
                <w:color w:val="000000"/>
              </w:rPr>
            </w:pPr>
            <w:sdt>
              <w:sdtPr>
                <w:rPr>
                  <w:rFonts w:ascii="Times New Roman" w:hAnsi="Times New Roman"/>
                  <w:color w:val="000000"/>
                </w:rPr>
                <w:id w:val="1904862519"/>
                <w14:checkbox>
                  <w14:checked w14:val="1"/>
                  <w14:checkedState w14:val="2612" w14:font="MS Gothic"/>
                  <w14:uncheckedState w14:val="2610" w14:font="MS Gothic"/>
                </w14:checkbox>
              </w:sdtPr>
              <w:sdtContent>
                <w:r w:rsidR="009A7620" w:rsidRPr="004F512A">
                  <w:rPr>
                    <w:rFonts w:ascii="Segoe UI Symbol" w:eastAsia="MS Gothic" w:hAnsi="Segoe UI Symbol" w:cs="Segoe UI Symbol"/>
                    <w:color w:val="000000"/>
                  </w:rPr>
                  <w:t>☒</w:t>
                </w:r>
              </w:sdtContent>
            </w:sdt>
            <w:r w:rsidR="007415D0" w:rsidRPr="004F512A">
              <w:rPr>
                <w:rFonts w:ascii="Times New Roman" w:hAnsi="Times New Roman"/>
                <w:color w:val="000000"/>
              </w:rPr>
              <w:t xml:space="preserve"> </w:t>
            </w:r>
            <w:r w:rsidR="00BF0DA2" w:rsidRPr="004F512A">
              <w:rPr>
                <w:rFonts w:ascii="Times New Roman" w:hAnsi="Times New Roman"/>
                <w:color w:val="000000"/>
              </w:rPr>
              <w:t>nie dotyczy</w:t>
            </w:r>
          </w:p>
          <w:p w14:paraId="3B707243" w14:textId="77777777" w:rsidR="00117017" w:rsidRPr="004F512A" w:rsidRDefault="00117017" w:rsidP="00BF0DA2">
            <w:pPr>
              <w:spacing w:line="240" w:lineRule="auto"/>
              <w:rPr>
                <w:rFonts w:ascii="Times New Roman" w:hAnsi="Times New Roman"/>
                <w:color w:val="000000"/>
              </w:rPr>
            </w:pPr>
          </w:p>
        </w:tc>
      </w:tr>
      <w:tr w:rsidR="00117017" w:rsidRPr="004F512A" w14:paraId="53392583" w14:textId="77777777" w:rsidTr="00DE4C3A">
        <w:trPr>
          <w:trHeight w:val="630"/>
        </w:trPr>
        <w:tc>
          <w:tcPr>
            <w:tcW w:w="11086" w:type="dxa"/>
            <w:gridSpan w:val="29"/>
            <w:shd w:val="clear" w:color="auto" w:fill="FFFFFF"/>
          </w:tcPr>
          <w:p w14:paraId="12FB4B8E" w14:textId="77777777" w:rsidR="00117017" w:rsidRPr="004F512A" w:rsidRDefault="00117017" w:rsidP="00B37C80">
            <w:pPr>
              <w:spacing w:line="240" w:lineRule="auto"/>
              <w:jc w:val="both"/>
              <w:rPr>
                <w:rFonts w:ascii="Times New Roman" w:hAnsi="Times New Roman"/>
                <w:color w:val="000000"/>
              </w:rPr>
            </w:pPr>
            <w:r w:rsidRPr="004F512A">
              <w:rPr>
                <w:rFonts w:ascii="Times New Roman" w:hAnsi="Times New Roman"/>
                <w:color w:val="000000"/>
              </w:rPr>
              <w:t>Komentarz:</w:t>
            </w:r>
          </w:p>
          <w:p w14:paraId="4D8E3557" w14:textId="22B5D4FA" w:rsidR="00117017" w:rsidRDefault="009A7620" w:rsidP="002C7B8A">
            <w:pPr>
              <w:spacing w:line="240" w:lineRule="auto"/>
              <w:jc w:val="both"/>
              <w:rPr>
                <w:rFonts w:ascii="Times New Roman" w:hAnsi="Times New Roman"/>
                <w:color w:val="000000"/>
              </w:rPr>
            </w:pPr>
            <w:r w:rsidRPr="004F512A">
              <w:rPr>
                <w:rFonts w:ascii="Times New Roman" w:hAnsi="Times New Roman"/>
                <w:color w:val="000000"/>
              </w:rPr>
              <w:t>Podstawowym celem projektu ustawy jest uproszczenie i skrócenie procedur administracyjnych</w:t>
            </w:r>
            <w:r w:rsidR="00FF7721" w:rsidRPr="004F512A">
              <w:rPr>
                <w:rFonts w:ascii="Times New Roman" w:hAnsi="Times New Roman"/>
                <w:color w:val="000000"/>
              </w:rPr>
              <w:t xml:space="preserve"> dzięki zastosowaniu instrumentu decyzji </w:t>
            </w:r>
            <w:r w:rsidR="00E52872" w:rsidRPr="00E52872">
              <w:rPr>
                <w:rFonts w:ascii="Times New Roman" w:hAnsi="Times New Roman"/>
                <w:color w:val="000000"/>
              </w:rPr>
              <w:t>o ustaleniu lokalizacji inwestycji w zakresie elektrowni szczytowo-pompowej</w:t>
            </w:r>
            <w:r w:rsidR="00FF7721" w:rsidRPr="004F512A">
              <w:rPr>
                <w:rFonts w:ascii="Times New Roman" w:hAnsi="Times New Roman"/>
                <w:color w:val="000000"/>
              </w:rPr>
              <w:t xml:space="preserve">, zaliczeniu inwestycji z zakresie elektrowni szczytowo-pompowych do inwestycji celu publicznego, </w:t>
            </w:r>
            <w:r w:rsidR="003C7D7C" w:rsidRPr="004F512A">
              <w:rPr>
                <w:rFonts w:ascii="Times New Roman" w:hAnsi="Times New Roman"/>
                <w:color w:val="000000"/>
              </w:rPr>
              <w:t>skróceniu terminów środków odwoławczych wynikających z K</w:t>
            </w:r>
            <w:r w:rsidR="00B6326E">
              <w:rPr>
                <w:rFonts w:ascii="Times New Roman" w:hAnsi="Times New Roman"/>
                <w:color w:val="000000"/>
              </w:rPr>
              <w:t>odeksu postępowania administracyjnego</w:t>
            </w:r>
            <w:r w:rsidR="00A51B46" w:rsidRPr="004F512A">
              <w:rPr>
                <w:rFonts w:ascii="Times New Roman" w:hAnsi="Times New Roman"/>
                <w:color w:val="000000"/>
              </w:rPr>
              <w:t>, uregulowanie kwestii nabywania tytułu prawnego do nieruchomości</w:t>
            </w:r>
            <w:r w:rsidR="002C7B8A" w:rsidRPr="004F512A">
              <w:rPr>
                <w:rFonts w:ascii="Times New Roman" w:hAnsi="Times New Roman"/>
                <w:color w:val="000000"/>
              </w:rPr>
              <w:t>, odpowiednie skrócenie terminów wydania decyzji administracyjnych w stosunku do terminów obowiązujących, nadanie rygorów natychmiastowej wykonalności decyzjom wydawanym w procesie inwestycyjnym, wprowadzenie kar pieniężnych nakładanych na organy właściwe do wydania decyzji w razie przekroczenia tych terminów</w:t>
            </w:r>
            <w:r w:rsidR="00B70D35" w:rsidRPr="004F512A">
              <w:rPr>
                <w:rFonts w:ascii="Times New Roman" w:hAnsi="Times New Roman"/>
                <w:color w:val="000000"/>
              </w:rPr>
              <w:t xml:space="preserve">, </w:t>
            </w:r>
            <w:r w:rsidR="002C7B8A" w:rsidRPr="004F512A">
              <w:rPr>
                <w:rFonts w:ascii="Times New Roman" w:hAnsi="Times New Roman"/>
                <w:color w:val="000000"/>
              </w:rPr>
              <w:t xml:space="preserve">uniezależnienie wydania pozwolenia wodnoprawnego od uprzedniego uzyskania decyzji </w:t>
            </w:r>
            <w:r w:rsidR="00E52872" w:rsidRPr="00E52872">
              <w:rPr>
                <w:rFonts w:ascii="Times New Roman" w:hAnsi="Times New Roman"/>
                <w:color w:val="000000"/>
              </w:rPr>
              <w:t xml:space="preserve">o ustaleniu lokalizacji inwestycji w zakresie elektrowni szczytowo-pompowej </w:t>
            </w:r>
            <w:r w:rsidR="002C7B8A" w:rsidRPr="004F512A">
              <w:rPr>
                <w:rFonts w:ascii="Times New Roman" w:hAnsi="Times New Roman"/>
                <w:color w:val="000000"/>
              </w:rPr>
              <w:t>(tak by procesy te mogły toczyć się niezależnie).</w:t>
            </w:r>
            <w:r w:rsidR="00B70D35" w:rsidRPr="004F512A">
              <w:rPr>
                <w:rFonts w:ascii="Times New Roman" w:hAnsi="Times New Roman"/>
                <w:color w:val="000000"/>
              </w:rPr>
              <w:t xml:space="preserve"> </w:t>
            </w:r>
            <w:r w:rsidR="002C7B8A" w:rsidRPr="004F512A">
              <w:rPr>
                <w:rFonts w:ascii="Times New Roman" w:hAnsi="Times New Roman"/>
                <w:color w:val="000000"/>
              </w:rPr>
              <w:t>Nie bez znaczeni</w:t>
            </w:r>
            <w:r w:rsidR="008231CB">
              <w:rPr>
                <w:rFonts w:ascii="Times New Roman" w:hAnsi="Times New Roman"/>
                <w:color w:val="000000"/>
              </w:rPr>
              <w:t>a</w:t>
            </w:r>
            <w:r w:rsidR="002C7B8A" w:rsidRPr="004F512A">
              <w:rPr>
                <w:rFonts w:ascii="Times New Roman" w:hAnsi="Times New Roman"/>
                <w:color w:val="000000"/>
              </w:rPr>
              <w:t xml:space="preserve"> jest uzyskanie przez inwestycje w zakresie elektrowni szczytowo-pompowej statusu inwestycji celu publicznego. </w:t>
            </w:r>
            <w:r w:rsidR="00B70D35" w:rsidRPr="004F512A">
              <w:rPr>
                <w:rFonts w:ascii="Times New Roman" w:hAnsi="Times New Roman"/>
                <w:color w:val="000000"/>
              </w:rPr>
              <w:t xml:space="preserve">Zgodnie z art. 50 ust. 1 ustawy z dnia 27 marca 2003 r. o planowaniu i zagospodarowaniu przestrzennym inwestycja celu publicznego jest lokalizowana na podstawie </w:t>
            </w:r>
            <w:r w:rsidR="00174859">
              <w:rPr>
                <w:rFonts w:ascii="Times New Roman" w:hAnsi="Times New Roman"/>
                <w:color w:val="000000"/>
              </w:rPr>
              <w:t>miejscowego planu zagospodarowania przestrzennego</w:t>
            </w:r>
            <w:r w:rsidR="00B70D35" w:rsidRPr="004F512A">
              <w:rPr>
                <w:rFonts w:ascii="Times New Roman" w:hAnsi="Times New Roman"/>
                <w:color w:val="000000"/>
              </w:rPr>
              <w:t xml:space="preserve">, a w przypadku jego braku - w drodze decyzji o ustaleniu lokalizacji inwestycji celu publicznego. </w:t>
            </w:r>
            <w:r w:rsidR="00174859">
              <w:rPr>
                <w:rFonts w:ascii="Times New Roman" w:hAnsi="Times New Roman"/>
                <w:color w:val="000000"/>
              </w:rPr>
              <w:t>Przepis a</w:t>
            </w:r>
            <w:r w:rsidR="00174859" w:rsidRPr="004F512A">
              <w:rPr>
                <w:rFonts w:ascii="Times New Roman" w:hAnsi="Times New Roman"/>
                <w:color w:val="000000"/>
              </w:rPr>
              <w:t>rt</w:t>
            </w:r>
            <w:r w:rsidR="00B70D35" w:rsidRPr="004F512A">
              <w:rPr>
                <w:rFonts w:ascii="Times New Roman" w:hAnsi="Times New Roman"/>
                <w:color w:val="000000"/>
              </w:rPr>
              <w:t xml:space="preserve">. 51 tej ustawy przewiduje 65 dni na wydanie decyzji lokalizacyjnej pod rygorem kary administracyjnej dla organu pozostającego w zwłoce, zaś zgodnie z art. 55 i art. 56 </w:t>
            </w:r>
            <w:r w:rsidR="00174859">
              <w:rPr>
                <w:rFonts w:ascii="Times New Roman" w:hAnsi="Times New Roman"/>
                <w:color w:val="000000"/>
              </w:rPr>
              <w:t xml:space="preserve">ww. ustawy </w:t>
            </w:r>
            <w:r w:rsidR="00B70D35" w:rsidRPr="004F512A">
              <w:rPr>
                <w:rFonts w:ascii="Times New Roman" w:hAnsi="Times New Roman"/>
                <w:color w:val="000000"/>
              </w:rPr>
              <w:t>decyzja o ustaleniu lokalizacji inwestycji celu publicznego wiąże organ wydający decyzję o pozwoleniu na budowę oraz nie można odmówić ustalenia lokalizacji inwestycji celu publicznego, jeżeli zamierzenie inwestycyjne jest zgodne z przepisami odrębnymi. Powyższych usprawnień nie przewiduje tryb wydawania decyzji o warunkach zabudowy i zagospodarowania terenu, która określa ramy dopuszczalnej inwestycji w przypadku braku miejscowego planu zagospodarowania przestrzennego.</w:t>
            </w:r>
          </w:p>
          <w:p w14:paraId="24AC6D91" w14:textId="1F6D22F1" w:rsidR="00924883" w:rsidRPr="00924883" w:rsidRDefault="00924883" w:rsidP="00924883">
            <w:pPr>
              <w:spacing w:line="240" w:lineRule="auto"/>
              <w:jc w:val="both"/>
              <w:rPr>
                <w:rFonts w:ascii="Times New Roman" w:hAnsi="Times New Roman"/>
                <w:color w:val="000000"/>
              </w:rPr>
            </w:pPr>
            <w:r w:rsidRPr="00924883">
              <w:rPr>
                <w:rFonts w:ascii="Times New Roman" w:hAnsi="Times New Roman"/>
                <w:color w:val="000000"/>
              </w:rPr>
              <w:t xml:space="preserve">Do przykładowych terminów należą: </w:t>
            </w:r>
            <w:r w:rsidR="00174859">
              <w:rPr>
                <w:rFonts w:ascii="Times New Roman" w:hAnsi="Times New Roman"/>
                <w:color w:val="000000"/>
              </w:rPr>
              <w:t xml:space="preserve">na wniesienie </w:t>
            </w:r>
            <w:r w:rsidR="00174859" w:rsidRPr="00924883">
              <w:rPr>
                <w:rFonts w:ascii="Times New Roman" w:hAnsi="Times New Roman"/>
                <w:color w:val="000000"/>
              </w:rPr>
              <w:t>odwołani</w:t>
            </w:r>
            <w:r w:rsidR="00174859">
              <w:rPr>
                <w:rFonts w:ascii="Times New Roman" w:hAnsi="Times New Roman"/>
                <w:color w:val="000000"/>
              </w:rPr>
              <w:t>a</w:t>
            </w:r>
            <w:r w:rsidR="00174859" w:rsidRPr="00924883">
              <w:rPr>
                <w:rFonts w:ascii="Times New Roman" w:hAnsi="Times New Roman"/>
                <w:color w:val="000000"/>
              </w:rPr>
              <w:t xml:space="preserve"> </w:t>
            </w:r>
            <w:r w:rsidRPr="00924883">
              <w:rPr>
                <w:rFonts w:ascii="Times New Roman" w:hAnsi="Times New Roman"/>
                <w:color w:val="000000"/>
              </w:rPr>
              <w:t xml:space="preserve">od decyzji administracyjnych termin (7 dni od dnia ich doręczenia stronie albo 14 dni od dnia, w którym zawiadomienie o ich wydaniu w drodze obwieszczenia uważa się za dokonane), na przekazanie akt i odpowiedzi na skargę (15 dni), rozpatrzenia skargi (30 dni), </w:t>
            </w:r>
            <w:r w:rsidR="00174859">
              <w:rPr>
                <w:rFonts w:ascii="Times New Roman" w:hAnsi="Times New Roman"/>
                <w:color w:val="000000"/>
              </w:rPr>
              <w:t>na wniesienie wniosku o stwierdzenie</w:t>
            </w:r>
            <w:r w:rsidRPr="00924883">
              <w:rPr>
                <w:rFonts w:ascii="Times New Roman" w:hAnsi="Times New Roman"/>
                <w:color w:val="000000"/>
              </w:rPr>
              <w:t xml:space="preserve"> nieważności decyzji o ustaleniu lokalizacji inwestycji w zakresie elektrowni szczytowo-pompowej (60 dni), </w:t>
            </w:r>
            <w:r w:rsidR="00174859">
              <w:rPr>
                <w:rFonts w:ascii="Times New Roman" w:hAnsi="Times New Roman"/>
                <w:color w:val="000000"/>
              </w:rPr>
              <w:t xml:space="preserve">czy na </w:t>
            </w:r>
            <w:r w:rsidRPr="00924883">
              <w:rPr>
                <w:rFonts w:ascii="Times New Roman" w:hAnsi="Times New Roman"/>
                <w:color w:val="000000"/>
              </w:rPr>
              <w:t>rozpatrzenie skargi kasacyjnej (60 dni)</w:t>
            </w:r>
            <w:r w:rsidR="008F0861">
              <w:rPr>
                <w:rFonts w:ascii="Times New Roman" w:hAnsi="Times New Roman"/>
                <w:color w:val="000000"/>
              </w:rPr>
              <w:t>.</w:t>
            </w:r>
            <w:r w:rsidRPr="00924883">
              <w:rPr>
                <w:rFonts w:ascii="Times New Roman" w:hAnsi="Times New Roman"/>
                <w:color w:val="000000"/>
              </w:rPr>
              <w:t xml:space="preserve"> </w:t>
            </w:r>
          </w:p>
          <w:p w14:paraId="63CF8EAE" w14:textId="38E23285" w:rsidR="00924883" w:rsidRPr="004F512A" w:rsidRDefault="00924883" w:rsidP="00924883">
            <w:pPr>
              <w:spacing w:line="240" w:lineRule="auto"/>
              <w:jc w:val="both"/>
              <w:rPr>
                <w:rFonts w:ascii="Times New Roman" w:hAnsi="Times New Roman"/>
                <w:color w:val="000000"/>
              </w:rPr>
            </w:pPr>
            <w:r w:rsidRPr="00924883">
              <w:rPr>
                <w:rFonts w:ascii="Times New Roman" w:hAnsi="Times New Roman"/>
                <w:color w:val="000000"/>
              </w:rPr>
              <w:t xml:space="preserve">Decyzje administracyjne będą podlegały natychmiastowemu wykonaniu. Przewidziano krótkie (z reguły 7-dniowe) terminy </w:t>
            </w:r>
            <w:r w:rsidR="00174859">
              <w:rPr>
                <w:rFonts w:ascii="Times New Roman" w:hAnsi="Times New Roman"/>
                <w:color w:val="000000"/>
              </w:rPr>
              <w:t>dla</w:t>
            </w:r>
            <w:r w:rsidRPr="00924883">
              <w:rPr>
                <w:rFonts w:ascii="Times New Roman" w:hAnsi="Times New Roman"/>
                <w:color w:val="000000"/>
              </w:rPr>
              <w:t xml:space="preserve"> wojewody</w:t>
            </w:r>
            <w:r w:rsidR="00174859">
              <w:rPr>
                <w:rFonts w:ascii="Times New Roman" w:hAnsi="Times New Roman"/>
                <w:color w:val="000000"/>
              </w:rPr>
              <w:t xml:space="preserve"> </w:t>
            </w:r>
            <w:r w:rsidR="00C16032">
              <w:rPr>
                <w:rFonts w:ascii="Times New Roman" w:hAnsi="Times New Roman"/>
                <w:color w:val="000000"/>
              </w:rPr>
              <w:t>ma realizację obowiązków ustawowych</w:t>
            </w:r>
            <w:r w:rsidRPr="00924883">
              <w:rPr>
                <w:rFonts w:ascii="Times New Roman" w:hAnsi="Times New Roman"/>
                <w:color w:val="000000"/>
              </w:rPr>
              <w:t>.</w:t>
            </w:r>
          </w:p>
          <w:p w14:paraId="42B92123" w14:textId="38C9DF04" w:rsidR="0073705C" w:rsidRPr="004F512A" w:rsidRDefault="00BA696E" w:rsidP="00B37C80">
            <w:pPr>
              <w:jc w:val="both"/>
              <w:rPr>
                <w:rFonts w:ascii="Times New Roman" w:hAnsi="Times New Roman"/>
                <w:color w:val="000000"/>
              </w:rPr>
            </w:pPr>
            <w:r>
              <w:rPr>
                <w:rFonts w:ascii="Times New Roman" w:hAnsi="Times New Roman"/>
                <w:color w:val="000000"/>
              </w:rPr>
              <w:t>Szacuje się, że w wyniku wprowadz</w:t>
            </w:r>
            <w:r w:rsidR="00571321">
              <w:rPr>
                <w:rFonts w:ascii="Times New Roman" w:hAnsi="Times New Roman"/>
                <w:color w:val="000000"/>
              </w:rPr>
              <w:t>enia proponowanych</w:t>
            </w:r>
            <w:r>
              <w:rPr>
                <w:rFonts w:ascii="Times New Roman" w:hAnsi="Times New Roman"/>
                <w:color w:val="000000"/>
              </w:rPr>
              <w:t xml:space="preserve"> instrumentów </w:t>
            </w:r>
            <w:r w:rsidR="00F2014F">
              <w:rPr>
                <w:rFonts w:ascii="Times New Roman" w:hAnsi="Times New Roman"/>
                <w:color w:val="000000"/>
              </w:rPr>
              <w:t>nastąpi skrócenie czasu realizacji inwestycji, w tym przeprowadzenia procedur administracyjnych od kilku</w:t>
            </w:r>
            <w:r w:rsidR="00C16032">
              <w:rPr>
                <w:rFonts w:ascii="Times New Roman" w:hAnsi="Times New Roman"/>
                <w:color w:val="000000"/>
              </w:rPr>
              <w:t xml:space="preserve"> </w:t>
            </w:r>
            <w:r w:rsidR="00F2014F">
              <w:rPr>
                <w:rFonts w:ascii="Times New Roman" w:hAnsi="Times New Roman"/>
                <w:color w:val="000000"/>
              </w:rPr>
              <w:t>/</w:t>
            </w:r>
            <w:r w:rsidR="00C16032">
              <w:rPr>
                <w:rFonts w:ascii="Times New Roman" w:hAnsi="Times New Roman"/>
                <w:color w:val="000000"/>
              </w:rPr>
              <w:t xml:space="preserve"> </w:t>
            </w:r>
            <w:r w:rsidR="00F2014F">
              <w:rPr>
                <w:rFonts w:ascii="Times New Roman" w:hAnsi="Times New Roman"/>
                <w:color w:val="000000"/>
              </w:rPr>
              <w:t>kilkunastu miesięcy nawet do kilku lat, w zależności od tego</w:t>
            </w:r>
            <w:r w:rsidR="00571321">
              <w:rPr>
                <w:rFonts w:ascii="Times New Roman" w:hAnsi="Times New Roman"/>
                <w:color w:val="000000"/>
              </w:rPr>
              <w:t>,</w:t>
            </w:r>
            <w:r w:rsidR="00F2014F">
              <w:rPr>
                <w:rFonts w:ascii="Times New Roman" w:hAnsi="Times New Roman"/>
                <w:color w:val="000000"/>
              </w:rPr>
              <w:t xml:space="preserve"> czy decyzje związane z inwestycją </w:t>
            </w:r>
            <w:r w:rsidR="00C16032">
              <w:rPr>
                <w:rFonts w:ascii="Times New Roman" w:hAnsi="Times New Roman"/>
                <w:color w:val="000000"/>
              </w:rPr>
              <w:t xml:space="preserve">zostałyby </w:t>
            </w:r>
            <w:r w:rsidR="00F2014F">
              <w:rPr>
                <w:rFonts w:ascii="Times New Roman" w:hAnsi="Times New Roman"/>
                <w:color w:val="000000"/>
              </w:rPr>
              <w:t>zaskarżone, konieczne byłoby przeprowadzenie sądowej procedury wywłaszczeniowej</w:t>
            </w:r>
            <w:r w:rsidR="00C16032">
              <w:rPr>
                <w:rFonts w:ascii="Times New Roman" w:hAnsi="Times New Roman"/>
                <w:color w:val="000000"/>
              </w:rPr>
              <w:t>, czy też</w:t>
            </w:r>
            <w:r w:rsidR="00F2014F">
              <w:rPr>
                <w:rFonts w:ascii="Times New Roman" w:hAnsi="Times New Roman"/>
                <w:color w:val="000000"/>
              </w:rPr>
              <w:t xml:space="preserve"> ujęcie </w:t>
            </w:r>
            <w:r w:rsidR="00E52872">
              <w:rPr>
                <w:rFonts w:ascii="Times New Roman" w:hAnsi="Times New Roman"/>
                <w:color w:val="000000"/>
              </w:rPr>
              <w:t xml:space="preserve">inwestycji w zakresie elektrowni szczytowo-pompowej </w:t>
            </w:r>
            <w:r w:rsidR="00F2014F">
              <w:rPr>
                <w:rFonts w:ascii="Times New Roman" w:hAnsi="Times New Roman"/>
                <w:color w:val="000000"/>
              </w:rPr>
              <w:t xml:space="preserve">w miejscowym planie zagospodarowania przestrzennego. </w:t>
            </w:r>
          </w:p>
        </w:tc>
      </w:tr>
      <w:tr w:rsidR="001B3460" w:rsidRPr="004F512A" w14:paraId="6E186A13" w14:textId="77777777" w:rsidTr="00DE4C3A">
        <w:trPr>
          <w:trHeight w:val="142"/>
        </w:trPr>
        <w:tc>
          <w:tcPr>
            <w:tcW w:w="11086" w:type="dxa"/>
            <w:gridSpan w:val="29"/>
            <w:shd w:val="clear" w:color="auto" w:fill="99CCFF"/>
          </w:tcPr>
          <w:p w14:paraId="5260FEB6" w14:textId="77777777" w:rsidR="001B3460" w:rsidRPr="004F512A" w:rsidRDefault="001B3460" w:rsidP="00BF109C">
            <w:pPr>
              <w:numPr>
                <w:ilvl w:val="0"/>
                <w:numId w:val="3"/>
              </w:numPr>
              <w:spacing w:before="60" w:after="60" w:line="240" w:lineRule="auto"/>
              <w:jc w:val="both"/>
              <w:rPr>
                <w:rFonts w:ascii="Times New Roman" w:hAnsi="Times New Roman"/>
                <w:b/>
                <w:color w:val="000000"/>
              </w:rPr>
            </w:pPr>
            <w:r w:rsidRPr="004F512A">
              <w:rPr>
                <w:rFonts w:ascii="Times New Roman" w:hAnsi="Times New Roman"/>
                <w:b/>
                <w:color w:val="000000"/>
              </w:rPr>
              <w:t xml:space="preserve">Wpływ na rynek pracy </w:t>
            </w:r>
          </w:p>
        </w:tc>
      </w:tr>
      <w:tr w:rsidR="001B3460" w:rsidRPr="004F512A" w14:paraId="6B6B2D08" w14:textId="77777777" w:rsidTr="00DE4C3A">
        <w:trPr>
          <w:trHeight w:val="142"/>
        </w:trPr>
        <w:tc>
          <w:tcPr>
            <w:tcW w:w="11086" w:type="dxa"/>
            <w:gridSpan w:val="29"/>
            <w:shd w:val="clear" w:color="auto" w:fill="auto"/>
          </w:tcPr>
          <w:p w14:paraId="39AA5290" w14:textId="77777777" w:rsidR="001B3460" w:rsidRPr="004F512A" w:rsidRDefault="001B3460" w:rsidP="00B37C80">
            <w:pPr>
              <w:spacing w:line="240" w:lineRule="auto"/>
              <w:jc w:val="both"/>
              <w:rPr>
                <w:rFonts w:ascii="Times New Roman" w:hAnsi="Times New Roman"/>
                <w:color w:val="000000"/>
              </w:rPr>
            </w:pPr>
          </w:p>
          <w:p w14:paraId="339D1276" w14:textId="69CBF8BB" w:rsidR="00A51B46" w:rsidRPr="004F512A" w:rsidRDefault="0075481B" w:rsidP="00713749">
            <w:pPr>
              <w:spacing w:line="240" w:lineRule="auto"/>
              <w:jc w:val="both"/>
              <w:rPr>
                <w:rFonts w:ascii="Times New Roman" w:hAnsi="Times New Roman"/>
                <w:color w:val="000000"/>
              </w:rPr>
            </w:pPr>
            <w:r w:rsidRPr="004F512A">
              <w:rPr>
                <w:rFonts w:ascii="Times New Roman" w:hAnsi="Times New Roman"/>
                <w:color w:val="000000"/>
              </w:rPr>
              <w:t>Ustawa będzie miała pozytywny wpływ na rynek pracy. Z dostępnych danych wynika, że</w:t>
            </w:r>
            <w:r w:rsidR="003A5426" w:rsidRPr="004F512A">
              <w:rPr>
                <w:rFonts w:ascii="Times New Roman" w:hAnsi="Times New Roman"/>
                <w:color w:val="000000"/>
              </w:rPr>
              <w:t xml:space="preserve"> funkcjonowanie </w:t>
            </w:r>
            <w:r w:rsidR="005D60D2">
              <w:rPr>
                <w:rFonts w:ascii="Times New Roman" w:hAnsi="Times New Roman"/>
                <w:color w:val="000000"/>
              </w:rPr>
              <w:t xml:space="preserve">jednej </w:t>
            </w:r>
            <w:r w:rsidR="003A5426" w:rsidRPr="004F512A">
              <w:rPr>
                <w:rFonts w:ascii="Times New Roman" w:hAnsi="Times New Roman"/>
                <w:color w:val="000000"/>
              </w:rPr>
              <w:t xml:space="preserve">elektrowni szczytowo-pompowej wiąże się z zatrudnieniem od ok. kilkudziesięciu do kilkuset osób. Przykładowo największa w Polsce elektrownia szczytowo-pompowa Żarnowiec zatrudnia przeszło 1000 osób. </w:t>
            </w:r>
          </w:p>
          <w:p w14:paraId="2260EA64" w14:textId="56A64768" w:rsidR="00713749" w:rsidRPr="004F512A" w:rsidRDefault="003A5426" w:rsidP="00713749">
            <w:pPr>
              <w:spacing w:line="240" w:lineRule="auto"/>
              <w:jc w:val="both"/>
              <w:rPr>
                <w:rFonts w:ascii="Times New Roman" w:hAnsi="Times New Roman"/>
                <w:color w:val="000000"/>
              </w:rPr>
            </w:pPr>
            <w:r w:rsidRPr="004F512A">
              <w:rPr>
                <w:rFonts w:ascii="Times New Roman" w:hAnsi="Times New Roman"/>
                <w:color w:val="000000"/>
              </w:rPr>
              <w:t xml:space="preserve">Oprócz stałego zatrudnienia, należy również uwzględnić zatrudnienie związane z </w:t>
            </w:r>
            <w:r w:rsidR="007A63C5" w:rsidRPr="004F512A">
              <w:rPr>
                <w:rFonts w:ascii="Times New Roman" w:hAnsi="Times New Roman"/>
                <w:color w:val="000000"/>
              </w:rPr>
              <w:t xml:space="preserve">procesem inwestycyjnym. Zwykle </w:t>
            </w:r>
            <w:r w:rsidR="005D60D2">
              <w:rPr>
                <w:rFonts w:ascii="Times New Roman" w:hAnsi="Times New Roman"/>
                <w:color w:val="000000"/>
              </w:rPr>
              <w:t>liczba</w:t>
            </w:r>
            <w:r w:rsidR="005D60D2" w:rsidRPr="004F512A">
              <w:rPr>
                <w:rFonts w:ascii="Times New Roman" w:hAnsi="Times New Roman"/>
                <w:color w:val="000000"/>
              </w:rPr>
              <w:t xml:space="preserve"> </w:t>
            </w:r>
            <w:r w:rsidR="007A63C5" w:rsidRPr="004F512A">
              <w:rPr>
                <w:rFonts w:ascii="Times New Roman" w:hAnsi="Times New Roman"/>
                <w:color w:val="000000"/>
              </w:rPr>
              <w:t xml:space="preserve">osób zatrudnionych przy budowie elektrowni, w tym elektrowni szczytowo-pompowej przewyższa (nawet kilkukrotnie) </w:t>
            </w:r>
            <w:r w:rsidR="005D60D2">
              <w:rPr>
                <w:rFonts w:ascii="Times New Roman" w:hAnsi="Times New Roman"/>
                <w:color w:val="000000"/>
              </w:rPr>
              <w:t>liczbę</w:t>
            </w:r>
            <w:r w:rsidR="005D60D2" w:rsidRPr="004F512A">
              <w:rPr>
                <w:rFonts w:ascii="Times New Roman" w:hAnsi="Times New Roman"/>
                <w:color w:val="000000"/>
              </w:rPr>
              <w:t xml:space="preserve"> </w:t>
            </w:r>
            <w:r w:rsidR="007A63C5" w:rsidRPr="004F512A">
              <w:rPr>
                <w:rFonts w:ascii="Times New Roman" w:hAnsi="Times New Roman"/>
                <w:color w:val="000000"/>
              </w:rPr>
              <w:t xml:space="preserve">osób zatrudnionych później w tej elektrowni. Stąd można założyć, że na placu budowy znajdzie zatrudnienie od kilkuset do nawet kilku tysięcy osób. Skala zatrudnienia zależna będzie jednak od </w:t>
            </w:r>
            <w:r w:rsidR="005D60D2">
              <w:rPr>
                <w:rFonts w:ascii="Times New Roman" w:hAnsi="Times New Roman"/>
                <w:color w:val="000000"/>
              </w:rPr>
              <w:t>zakładanej</w:t>
            </w:r>
            <w:r w:rsidR="004B643D" w:rsidRPr="004F512A">
              <w:rPr>
                <w:rFonts w:ascii="Times New Roman" w:hAnsi="Times New Roman"/>
                <w:color w:val="000000"/>
              </w:rPr>
              <w:t xml:space="preserve"> mocy danej elektrowni szczytowo-pompowej</w:t>
            </w:r>
            <w:r w:rsidR="00E76C60">
              <w:rPr>
                <w:rFonts w:ascii="Times New Roman" w:hAnsi="Times New Roman"/>
                <w:color w:val="000000"/>
              </w:rPr>
              <w:t>,</w:t>
            </w:r>
            <w:r w:rsidR="00713749" w:rsidRPr="004F512A">
              <w:rPr>
                <w:rFonts w:ascii="Times New Roman" w:hAnsi="Times New Roman"/>
                <w:color w:val="000000"/>
              </w:rPr>
              <w:t xml:space="preserve"> jak i związanego z nią stopnia rozwoju lokalnego łańcucha dostaw.</w:t>
            </w:r>
          </w:p>
          <w:p w14:paraId="7B0CCE93" w14:textId="26ABF831" w:rsidR="00713749" w:rsidRPr="004F512A" w:rsidRDefault="00713749" w:rsidP="00713749">
            <w:pPr>
              <w:spacing w:line="240" w:lineRule="auto"/>
              <w:jc w:val="both"/>
              <w:rPr>
                <w:rFonts w:ascii="Times New Roman" w:hAnsi="Times New Roman"/>
                <w:color w:val="000000"/>
              </w:rPr>
            </w:pPr>
            <w:r w:rsidRPr="004F512A">
              <w:rPr>
                <w:rFonts w:ascii="Times New Roman" w:hAnsi="Times New Roman"/>
                <w:color w:val="000000"/>
              </w:rPr>
              <w:t>Powstanie nowych jednostek zajmujących się wytwarzaniem i magazynowaniem energii elektrycznej będzie wymuszać przepływy pracowników pomiędzy poszczególnymi gałęziami gospodarki, niemniej jednak ich tempo oraz skala będzie uwarunkowane tempem inwestycji w nowe moce wytwórcze.</w:t>
            </w:r>
          </w:p>
          <w:p w14:paraId="479CF4E1" w14:textId="77777777" w:rsidR="001B3460" w:rsidRPr="004F512A" w:rsidRDefault="001B3460" w:rsidP="00A51B46">
            <w:pPr>
              <w:spacing w:line="240" w:lineRule="auto"/>
              <w:jc w:val="both"/>
              <w:rPr>
                <w:rFonts w:ascii="Times New Roman" w:hAnsi="Times New Roman"/>
                <w:color w:val="000000"/>
              </w:rPr>
            </w:pPr>
          </w:p>
        </w:tc>
      </w:tr>
      <w:tr w:rsidR="001B3460" w:rsidRPr="004F512A" w14:paraId="15A0BA8B" w14:textId="77777777" w:rsidTr="00DE4C3A">
        <w:trPr>
          <w:trHeight w:val="142"/>
        </w:trPr>
        <w:tc>
          <w:tcPr>
            <w:tcW w:w="11086" w:type="dxa"/>
            <w:gridSpan w:val="29"/>
            <w:shd w:val="clear" w:color="auto" w:fill="99CCFF"/>
          </w:tcPr>
          <w:p w14:paraId="09AB8F2F" w14:textId="77777777" w:rsidR="001B3460" w:rsidRPr="004F512A" w:rsidRDefault="001B3460" w:rsidP="00BF109C">
            <w:pPr>
              <w:numPr>
                <w:ilvl w:val="0"/>
                <w:numId w:val="3"/>
              </w:numPr>
              <w:spacing w:before="60" w:after="60" w:line="240" w:lineRule="auto"/>
              <w:jc w:val="both"/>
              <w:rPr>
                <w:rFonts w:ascii="Times New Roman" w:hAnsi="Times New Roman"/>
                <w:b/>
                <w:color w:val="000000"/>
              </w:rPr>
            </w:pPr>
            <w:r w:rsidRPr="004F512A">
              <w:rPr>
                <w:rFonts w:ascii="Times New Roman" w:hAnsi="Times New Roman"/>
                <w:b/>
                <w:color w:val="000000"/>
              </w:rPr>
              <w:t>Wpływ na pozostałe obszary</w:t>
            </w:r>
          </w:p>
        </w:tc>
      </w:tr>
      <w:tr w:rsidR="001B3460" w:rsidRPr="004F512A" w14:paraId="2BAF41CE" w14:textId="77777777" w:rsidTr="00DE4C3A">
        <w:trPr>
          <w:trHeight w:val="1031"/>
        </w:trPr>
        <w:tc>
          <w:tcPr>
            <w:tcW w:w="3547" w:type="dxa"/>
            <w:gridSpan w:val="5"/>
            <w:shd w:val="clear" w:color="auto" w:fill="FFFFFF"/>
          </w:tcPr>
          <w:p w14:paraId="52213060" w14:textId="77777777" w:rsidR="001B3460" w:rsidRPr="004F512A" w:rsidRDefault="001B3460" w:rsidP="00254DED">
            <w:pPr>
              <w:spacing w:line="240" w:lineRule="auto"/>
              <w:rPr>
                <w:rFonts w:ascii="Times New Roman" w:hAnsi="Times New Roman"/>
                <w:color w:val="000000"/>
              </w:rPr>
            </w:pPr>
          </w:p>
          <w:p w14:paraId="5E49B075" w14:textId="11A65A1F" w:rsidR="001B3460" w:rsidRPr="004F512A" w:rsidRDefault="00000000" w:rsidP="00254DED">
            <w:pPr>
              <w:spacing w:line="240" w:lineRule="auto"/>
              <w:rPr>
                <w:rFonts w:ascii="Times New Roman" w:hAnsi="Times New Roman"/>
                <w:color w:val="000000"/>
                <w:spacing w:val="-2"/>
              </w:rPr>
            </w:pPr>
            <w:sdt>
              <w:sdtPr>
                <w:rPr>
                  <w:rFonts w:ascii="Times New Roman" w:hAnsi="Times New Roman"/>
                  <w:color w:val="000000"/>
                </w:rPr>
                <w:id w:val="365952688"/>
                <w14:checkbox>
                  <w14:checked w14:val="1"/>
                  <w14:checkedState w14:val="2612" w14:font="MS Gothic"/>
                  <w14:uncheckedState w14:val="2610" w14:font="MS Gothic"/>
                </w14:checkbox>
              </w:sdtPr>
              <w:sdtContent>
                <w:r w:rsidR="00E452E8">
                  <w:rPr>
                    <w:rFonts w:ascii="MS Gothic" w:eastAsia="MS Gothic" w:hAnsi="MS Gothic" w:hint="eastAsia"/>
                    <w:color w:val="000000"/>
                  </w:rPr>
                  <w:t>☒</w:t>
                </w:r>
              </w:sdtContent>
            </w:sdt>
            <w:r w:rsidR="007415D0" w:rsidRPr="004F512A">
              <w:rPr>
                <w:rFonts w:ascii="Times New Roman" w:hAnsi="Times New Roman"/>
                <w:color w:val="000000"/>
              </w:rPr>
              <w:t xml:space="preserve"> </w:t>
            </w:r>
            <w:r w:rsidR="001B3460" w:rsidRPr="004F512A">
              <w:rPr>
                <w:rFonts w:ascii="Times New Roman" w:hAnsi="Times New Roman"/>
                <w:color w:val="000000"/>
                <w:spacing w:val="-2"/>
              </w:rPr>
              <w:t>środowisko naturalne</w:t>
            </w:r>
          </w:p>
          <w:p w14:paraId="4C0373B0" w14:textId="2C47B4BD" w:rsidR="001B3460" w:rsidRDefault="00000000" w:rsidP="006A701A">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Content>
                <w:r w:rsidR="007415D0" w:rsidRPr="004F512A">
                  <w:rPr>
                    <w:rFonts w:ascii="Segoe UI Symbol" w:eastAsia="MS Gothic" w:hAnsi="Segoe UI Symbol" w:cs="Segoe UI Symbol"/>
                    <w:color w:val="000000"/>
                  </w:rPr>
                  <w:t>☐</w:t>
                </w:r>
              </w:sdtContent>
            </w:sdt>
            <w:r w:rsidR="007415D0" w:rsidRPr="004F512A">
              <w:rPr>
                <w:rFonts w:ascii="Times New Roman" w:hAnsi="Times New Roman"/>
                <w:color w:val="000000"/>
              </w:rPr>
              <w:t xml:space="preserve"> </w:t>
            </w:r>
            <w:r w:rsidR="001B3460" w:rsidRPr="004F512A">
              <w:rPr>
                <w:rFonts w:ascii="Times New Roman" w:hAnsi="Times New Roman"/>
                <w:color w:val="000000"/>
              </w:rPr>
              <w:t>sytuacja i rozwój regionalny</w:t>
            </w:r>
          </w:p>
          <w:p w14:paraId="55ED8D93" w14:textId="2EE22A40" w:rsidR="00E452E8" w:rsidRPr="004F512A" w:rsidRDefault="00E452E8" w:rsidP="006A701A">
            <w:pPr>
              <w:spacing w:line="240" w:lineRule="auto"/>
              <w:rPr>
                <w:rFonts w:ascii="Times New Roman" w:hAnsi="Times New Roman"/>
                <w:color w:val="000000"/>
              </w:rPr>
            </w:pPr>
            <w:r>
              <w:rPr>
                <w:rFonts w:ascii="MS Gothic" w:eastAsia="MS Gothic" w:hAnsi="MS Gothic" w:cs="Segoe UI Symbol" w:hint="eastAsia"/>
                <w:color w:val="000000"/>
              </w:rPr>
              <w:t>☐</w:t>
            </w:r>
            <w:r>
              <w:rPr>
                <w:rFonts w:ascii="Times New Roman" w:hAnsi="Times New Roman"/>
                <w:color w:val="000000"/>
                <w:spacing w:val="-2"/>
              </w:rPr>
              <w:t>sądy powszechne, administracyjne lub wojskowe</w:t>
            </w:r>
          </w:p>
          <w:p w14:paraId="3B79F217" w14:textId="227FF412" w:rsidR="001B3460" w:rsidRPr="004F512A" w:rsidRDefault="001B3460" w:rsidP="007415D0">
            <w:pPr>
              <w:spacing w:line="240" w:lineRule="auto"/>
              <w:rPr>
                <w:rFonts w:ascii="Times New Roman" w:hAnsi="Times New Roman"/>
                <w:color w:val="000000"/>
                <w:spacing w:val="-2"/>
              </w:rPr>
            </w:pPr>
          </w:p>
        </w:tc>
        <w:tc>
          <w:tcPr>
            <w:tcW w:w="3687" w:type="dxa"/>
            <w:gridSpan w:val="15"/>
            <w:shd w:val="clear" w:color="auto" w:fill="FFFFFF"/>
          </w:tcPr>
          <w:p w14:paraId="50493D50" w14:textId="77777777" w:rsidR="001B3460" w:rsidRPr="004F512A" w:rsidRDefault="001B3460" w:rsidP="00254DED">
            <w:pPr>
              <w:spacing w:line="240" w:lineRule="auto"/>
              <w:rPr>
                <w:rFonts w:ascii="Times New Roman" w:hAnsi="Times New Roman"/>
                <w:color w:val="000000"/>
              </w:rPr>
            </w:pPr>
          </w:p>
          <w:p w14:paraId="24C2018D" w14:textId="77777777" w:rsidR="001B3460" w:rsidRPr="004F512A" w:rsidRDefault="00000000" w:rsidP="00254DED">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Content>
                <w:r w:rsidR="007415D0" w:rsidRPr="004F512A">
                  <w:rPr>
                    <w:rFonts w:ascii="Segoe UI Symbol" w:eastAsia="MS Gothic" w:hAnsi="Segoe UI Symbol" w:cs="Segoe UI Symbol"/>
                    <w:color w:val="000000"/>
                    <w:spacing w:val="-2"/>
                  </w:rPr>
                  <w:t>☐</w:t>
                </w:r>
              </w:sdtContent>
            </w:sdt>
            <w:r w:rsidR="007415D0" w:rsidRPr="004F512A">
              <w:rPr>
                <w:rFonts w:ascii="Times New Roman" w:hAnsi="Times New Roman"/>
                <w:color w:val="000000"/>
                <w:spacing w:val="-2"/>
              </w:rPr>
              <w:t xml:space="preserve"> </w:t>
            </w:r>
            <w:r w:rsidR="001B3460" w:rsidRPr="004F512A">
              <w:rPr>
                <w:rFonts w:ascii="Times New Roman" w:hAnsi="Times New Roman"/>
                <w:color w:val="000000"/>
                <w:spacing w:val="-2"/>
              </w:rPr>
              <w:t>demografia</w:t>
            </w:r>
          </w:p>
          <w:p w14:paraId="58D071A3" w14:textId="77777777" w:rsidR="001B3460" w:rsidRDefault="00000000" w:rsidP="006A701A">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Content>
                <w:r w:rsidR="007415D0" w:rsidRPr="004F512A">
                  <w:rPr>
                    <w:rFonts w:ascii="Segoe UI Symbol" w:eastAsia="MS Gothic" w:hAnsi="Segoe UI Symbol" w:cs="Segoe UI Symbol"/>
                    <w:color w:val="000000"/>
                  </w:rPr>
                  <w:t>☐</w:t>
                </w:r>
              </w:sdtContent>
            </w:sdt>
            <w:r w:rsidR="007415D0" w:rsidRPr="004F512A">
              <w:rPr>
                <w:rFonts w:ascii="Times New Roman" w:hAnsi="Times New Roman"/>
                <w:color w:val="000000"/>
              </w:rPr>
              <w:t xml:space="preserve"> </w:t>
            </w:r>
            <w:r w:rsidR="001B3460" w:rsidRPr="004F512A">
              <w:rPr>
                <w:rFonts w:ascii="Times New Roman" w:hAnsi="Times New Roman"/>
                <w:color w:val="000000"/>
              </w:rPr>
              <w:t>mienie państwowe</w:t>
            </w:r>
          </w:p>
          <w:p w14:paraId="41C24FBF" w14:textId="12F2400E" w:rsidR="00E452E8" w:rsidRPr="004F512A" w:rsidRDefault="00000000" w:rsidP="006A701A">
            <w:pPr>
              <w:spacing w:line="240" w:lineRule="auto"/>
              <w:rPr>
                <w:rFonts w:ascii="Times New Roman" w:hAnsi="Times New Roman"/>
                <w:color w:val="000000"/>
              </w:rPr>
            </w:pPr>
            <w:sdt>
              <w:sdtPr>
                <w:rPr>
                  <w:rFonts w:ascii="Times New Roman" w:hAnsi="Times New Roman"/>
                  <w:color w:val="000000"/>
                  <w:spacing w:val="-2"/>
                </w:rPr>
                <w:id w:val="1764335089"/>
                <w14:checkbox>
                  <w14:checked w14:val="1"/>
                  <w14:checkedState w14:val="2612" w14:font="MS Gothic"/>
                  <w14:uncheckedState w14:val="2610" w14:font="MS Gothic"/>
                </w14:checkbox>
              </w:sdtPr>
              <w:sdtContent>
                <w:r w:rsidR="00E452E8">
                  <w:rPr>
                    <w:rFonts w:ascii="MS Gothic" w:eastAsia="MS Gothic" w:hAnsi="MS Gothic" w:hint="eastAsia"/>
                    <w:color w:val="000000"/>
                    <w:spacing w:val="-2"/>
                  </w:rPr>
                  <w:t>☒</w:t>
                </w:r>
              </w:sdtContent>
            </w:sdt>
            <w:r w:rsidR="00E452E8" w:rsidRPr="004F512A">
              <w:rPr>
                <w:rFonts w:ascii="Times New Roman" w:hAnsi="Times New Roman"/>
                <w:color w:val="000000"/>
                <w:spacing w:val="-2"/>
              </w:rPr>
              <w:t xml:space="preserve"> inne: </w:t>
            </w:r>
            <w:r w:rsidR="00E452E8" w:rsidRPr="004F512A">
              <w:rPr>
                <w:rFonts w:ascii="Times New Roman" w:hAnsi="Times New Roman"/>
                <w:color w:val="000000"/>
              </w:rPr>
              <w:t>bezpieczeństwo energetyczne i rozwój OZE</w:t>
            </w:r>
          </w:p>
        </w:tc>
        <w:tc>
          <w:tcPr>
            <w:tcW w:w="3852" w:type="dxa"/>
            <w:gridSpan w:val="9"/>
            <w:shd w:val="clear" w:color="auto" w:fill="FFFFFF"/>
          </w:tcPr>
          <w:p w14:paraId="567A1DD7" w14:textId="77777777" w:rsidR="001B3460" w:rsidRPr="004F512A" w:rsidRDefault="001B3460" w:rsidP="006A701A">
            <w:pPr>
              <w:spacing w:line="240" w:lineRule="auto"/>
              <w:rPr>
                <w:rFonts w:ascii="Times New Roman" w:hAnsi="Times New Roman"/>
                <w:color w:val="000000"/>
              </w:rPr>
            </w:pPr>
          </w:p>
          <w:p w14:paraId="25D79793" w14:textId="77777777" w:rsidR="001B3460" w:rsidRPr="004F512A" w:rsidRDefault="00000000" w:rsidP="006A701A">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Content>
                <w:r w:rsidR="007415D0" w:rsidRPr="004F512A">
                  <w:rPr>
                    <w:rFonts w:ascii="Segoe UI Symbol" w:eastAsia="MS Gothic" w:hAnsi="Segoe UI Symbol" w:cs="Segoe UI Symbol"/>
                    <w:color w:val="000000"/>
                    <w:spacing w:val="-2"/>
                  </w:rPr>
                  <w:t>☐</w:t>
                </w:r>
              </w:sdtContent>
            </w:sdt>
            <w:r w:rsidR="007415D0" w:rsidRPr="004F512A">
              <w:rPr>
                <w:rFonts w:ascii="Times New Roman" w:hAnsi="Times New Roman"/>
                <w:color w:val="000000"/>
                <w:spacing w:val="-2"/>
              </w:rPr>
              <w:t xml:space="preserve"> </w:t>
            </w:r>
            <w:r w:rsidR="001B3460" w:rsidRPr="004F512A">
              <w:rPr>
                <w:rFonts w:ascii="Times New Roman" w:hAnsi="Times New Roman"/>
                <w:color w:val="000000"/>
                <w:spacing w:val="-2"/>
              </w:rPr>
              <w:t>informatyzacja</w:t>
            </w:r>
          </w:p>
          <w:p w14:paraId="5ADEAD67" w14:textId="77777777" w:rsidR="001B3460" w:rsidRPr="004F512A" w:rsidRDefault="00000000" w:rsidP="006A701A">
            <w:pPr>
              <w:spacing w:line="240" w:lineRule="auto"/>
              <w:rPr>
                <w:rFonts w:ascii="Times New Roman" w:hAnsi="Times New Roman"/>
                <w:color w:val="000000"/>
              </w:rPr>
            </w:pPr>
            <w:sdt>
              <w:sdtPr>
                <w:rPr>
                  <w:rFonts w:ascii="Times New Roman" w:hAnsi="Times New Roman"/>
                  <w:color w:val="000000"/>
                  <w:spacing w:val="-2"/>
                </w:rPr>
                <w:id w:val="-170105530"/>
                <w14:checkbox>
                  <w14:checked w14:val="0"/>
                  <w14:checkedState w14:val="2612" w14:font="MS Gothic"/>
                  <w14:uncheckedState w14:val="2610" w14:font="MS Gothic"/>
                </w14:checkbox>
              </w:sdtPr>
              <w:sdtContent>
                <w:r w:rsidR="007415D0" w:rsidRPr="004F512A">
                  <w:rPr>
                    <w:rFonts w:ascii="Segoe UI Symbol" w:eastAsia="MS Gothic" w:hAnsi="Segoe UI Symbol" w:cs="Segoe UI Symbol"/>
                    <w:color w:val="000000"/>
                    <w:spacing w:val="-2"/>
                  </w:rPr>
                  <w:t>☐</w:t>
                </w:r>
              </w:sdtContent>
            </w:sdt>
            <w:r w:rsidR="007415D0" w:rsidRPr="004F512A">
              <w:rPr>
                <w:rFonts w:ascii="Times New Roman" w:hAnsi="Times New Roman"/>
                <w:color w:val="000000"/>
                <w:spacing w:val="-2"/>
              </w:rPr>
              <w:t xml:space="preserve"> </w:t>
            </w:r>
            <w:r w:rsidR="001B3460" w:rsidRPr="004F512A">
              <w:rPr>
                <w:rFonts w:ascii="Times New Roman" w:hAnsi="Times New Roman"/>
                <w:color w:val="000000"/>
                <w:spacing w:val="-2"/>
              </w:rPr>
              <w:t>zdrowie</w:t>
            </w:r>
          </w:p>
        </w:tc>
      </w:tr>
      <w:tr w:rsidR="001B3460" w:rsidRPr="004F512A" w14:paraId="0FC5A220" w14:textId="77777777" w:rsidTr="00DE4C3A">
        <w:trPr>
          <w:trHeight w:val="712"/>
        </w:trPr>
        <w:tc>
          <w:tcPr>
            <w:tcW w:w="2243" w:type="dxa"/>
            <w:gridSpan w:val="2"/>
            <w:shd w:val="clear" w:color="auto" w:fill="FFFFFF"/>
            <w:vAlign w:val="center"/>
          </w:tcPr>
          <w:p w14:paraId="7D7C3933" w14:textId="77777777" w:rsidR="001B3460" w:rsidRPr="004F512A" w:rsidRDefault="001B3460" w:rsidP="00254DED">
            <w:pPr>
              <w:spacing w:line="240" w:lineRule="auto"/>
              <w:rPr>
                <w:rFonts w:ascii="Times New Roman" w:hAnsi="Times New Roman"/>
                <w:color w:val="000000"/>
              </w:rPr>
            </w:pPr>
            <w:r w:rsidRPr="004F512A">
              <w:rPr>
                <w:rFonts w:ascii="Times New Roman" w:hAnsi="Times New Roman"/>
                <w:color w:val="000000"/>
              </w:rPr>
              <w:t>Omówienie wpływu</w:t>
            </w:r>
          </w:p>
        </w:tc>
        <w:tc>
          <w:tcPr>
            <w:tcW w:w="8843" w:type="dxa"/>
            <w:gridSpan w:val="27"/>
            <w:shd w:val="clear" w:color="auto" w:fill="FFFFFF"/>
            <w:vAlign w:val="center"/>
          </w:tcPr>
          <w:p w14:paraId="21AB50AA" w14:textId="77777777" w:rsidR="001B3460" w:rsidRPr="004F512A" w:rsidRDefault="001B3460" w:rsidP="00B37C80">
            <w:pPr>
              <w:spacing w:line="240" w:lineRule="auto"/>
              <w:jc w:val="both"/>
              <w:rPr>
                <w:rFonts w:ascii="Times New Roman" w:hAnsi="Times New Roman"/>
                <w:color w:val="000000"/>
                <w:spacing w:val="-2"/>
              </w:rPr>
            </w:pPr>
          </w:p>
          <w:p w14:paraId="4846BD0A" w14:textId="7E88C6C7" w:rsidR="001B3460" w:rsidRDefault="00B70D35" w:rsidP="00B37C80">
            <w:p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Nowe obiekty szczytowo-pompowe mają zasadnicze znaczenie dla integracji OZE i ich rozwoju. Pełnią one również kluczową rolę w zapewnieniu ciągłości dostaw energii elektrycznej i konieczności natychmiastowego zasilenia KSE dużą ilością energii elektrycznej. </w:t>
            </w:r>
            <w:r w:rsidR="007C3397" w:rsidRPr="004F512A">
              <w:rPr>
                <w:rFonts w:ascii="Times New Roman" w:hAnsi="Times New Roman"/>
                <w:color w:val="000000"/>
                <w:spacing w:val="-2"/>
              </w:rPr>
              <w:t>Jednostki te mogą przysłużyć się również do łagodzenia krótkookresowych, silnych wahań cen energii elektrycznej związanych np. z nadprodukcją energii elektrycznej wytworzonej w OZE.</w:t>
            </w:r>
          </w:p>
          <w:p w14:paraId="603EB4A8" w14:textId="31E1395E" w:rsidR="00F558EF" w:rsidRDefault="00F558EF" w:rsidP="00B13D7F">
            <w:pPr>
              <w:widowControl w:val="0"/>
              <w:autoSpaceDE w:val="0"/>
              <w:autoSpaceDN w:val="0"/>
              <w:adjustRightInd w:val="0"/>
              <w:spacing w:after="120"/>
              <w:jc w:val="both"/>
              <w:rPr>
                <w:rFonts w:ascii="Times New Roman" w:eastAsiaTheme="minorEastAsia" w:hAnsi="Times New Roman"/>
                <w:bCs/>
                <w:i/>
                <w:iCs/>
                <w:szCs w:val="20"/>
              </w:rPr>
            </w:pPr>
            <w:r w:rsidRPr="00131435">
              <w:rPr>
                <w:rFonts w:ascii="Times New Roman" w:eastAsiaTheme="minorEastAsia" w:hAnsi="Times New Roman"/>
                <w:bCs/>
                <w:szCs w:val="20"/>
              </w:rPr>
              <w:t xml:space="preserve">Jak wskazuje się w raporcie </w:t>
            </w:r>
            <w:r w:rsidR="00992790">
              <w:t xml:space="preserve"> </w:t>
            </w:r>
            <w:r w:rsidRPr="00131435">
              <w:rPr>
                <w:rFonts w:ascii="Times New Roman" w:eastAsiaTheme="minorEastAsia" w:hAnsi="Times New Roman"/>
                <w:bCs/>
                <w:szCs w:val="20"/>
              </w:rPr>
              <w:t xml:space="preserve">pt. </w:t>
            </w:r>
            <w:r w:rsidR="00E933D7">
              <w:rPr>
                <w:rFonts w:ascii="Times New Roman" w:eastAsiaTheme="minorEastAsia" w:hAnsi="Times New Roman"/>
                <w:bCs/>
                <w:szCs w:val="20"/>
              </w:rPr>
              <w:t>„</w:t>
            </w:r>
            <w:r w:rsidRPr="00131435">
              <w:rPr>
                <w:rFonts w:ascii="Times New Roman" w:eastAsiaTheme="minorEastAsia" w:hAnsi="Times New Roman"/>
                <w:bCs/>
                <w:szCs w:val="20"/>
              </w:rPr>
              <w:t>Rola elektrowni szczytowo-pompowych w Krajowym Systemie Elektroenergetycznym: uwarunkowania i kierunki rozwoju</w:t>
            </w:r>
            <w:r w:rsidR="00E933D7">
              <w:rPr>
                <w:rFonts w:ascii="Times New Roman" w:eastAsiaTheme="minorEastAsia" w:hAnsi="Times New Roman"/>
                <w:bCs/>
                <w:szCs w:val="20"/>
              </w:rPr>
              <w:t>”</w:t>
            </w:r>
            <w:r w:rsidRPr="00131435">
              <w:rPr>
                <w:rFonts w:ascii="Times New Roman" w:eastAsiaTheme="minorEastAsia" w:hAnsi="Times New Roman"/>
                <w:bCs/>
                <w:szCs w:val="20"/>
              </w:rPr>
              <w:t xml:space="preserve">, </w:t>
            </w:r>
            <w:r w:rsidRPr="00131435">
              <w:rPr>
                <w:rFonts w:ascii="Times New Roman" w:eastAsiaTheme="minorEastAsia" w:hAnsi="Times New Roman"/>
                <w:bCs/>
                <w:i/>
                <w:iCs/>
                <w:szCs w:val="20"/>
              </w:rPr>
              <w:t xml:space="preserve">z przyczyn technicznych elektrownie wodne często są skoncentrowane na obszarach górskich, ale ma to poważne dalekosiężne konsekwencje dla dużych i małych rzek oraz jezior we wszystkich innych regionach. W przypadku mniejszych rzek nawet niewielkie ograniczenie przepływu lub zakłócenie naturalnych warunków ekologicznych może mieć poważne negatywne konsekwencje dla rzeki. Zakres wpływu elektrowni szczytowo-pompowych na ekosystem słodkowodny i gatunki chronione w ich sąsiedztwie należy rozpatrywać indywidualnie. Wpływ może wystąpić na każdym etapie cyklu życia elektrowni, od jej powstawania po rozbiórkę. W ocenie kumulatywnego oddziaływania należy przyjrzeć się wszystkim elektrowniom wodnym i innym zmianom w zlewni. Jedno przedsięwzięcie w zakresie energii wodnej, oceniane indywidualnie, może nie mieć istotnego wpływu, ale jeżeli wpływ ten skumuluje się z wpływem innych istniejących już działań lub przyjętych przedsięwzięć, ich połączone oddziaływanie może stać się znaczące.  Europejska Agencja Środowiska (EEA) w swoim sprawozdaniu dotyczącym stanu środowiska, podkreśla że większość rzek europejskich jest obecnie zdegradowana i osiągnęła punkt nasycenia. Należy zatem zwrócić szczególną uwagę na ocenianie potencjalnego kumulatywnego oddziaływania na rzeki wszelkich nowych działań, w tym dotyczących elektrowni wodnych w szczególności na obszarach Natura 2000. Ocena kumulatywnego oddziaływania jest szczególnie ważna w przypadku rzek zbliżonych do naturalnych, zwłaszcza małych rzek, które są podatne na wszelkie zmiany ich </w:t>
            </w:r>
            <w:proofErr w:type="spellStart"/>
            <w:r w:rsidRPr="00131435">
              <w:rPr>
                <w:rFonts w:ascii="Times New Roman" w:eastAsiaTheme="minorEastAsia" w:hAnsi="Times New Roman"/>
                <w:bCs/>
                <w:i/>
                <w:iCs/>
                <w:szCs w:val="20"/>
              </w:rPr>
              <w:t>hydromorfologii</w:t>
            </w:r>
            <w:proofErr w:type="spellEnd"/>
            <w:r w:rsidRPr="00131435">
              <w:rPr>
                <w:rFonts w:ascii="Times New Roman" w:eastAsiaTheme="minorEastAsia" w:hAnsi="Times New Roman"/>
                <w:bCs/>
                <w:i/>
                <w:iCs/>
                <w:szCs w:val="20"/>
              </w:rPr>
              <w:t>. Nawet jedna lub dwie małe instalacje mogą wywołać zbyt poważne skutki, które są niezgodne z wymaganiami prawnymi ramowej dyrektywy wodnej oraz dyrektywy ptasiej i siedliskowej.</w:t>
            </w:r>
          </w:p>
          <w:p w14:paraId="4DA41401" w14:textId="480145C2" w:rsidR="00992790" w:rsidRPr="00992790" w:rsidRDefault="00992790" w:rsidP="00992790">
            <w:pPr>
              <w:widowControl w:val="0"/>
              <w:autoSpaceDE w:val="0"/>
              <w:autoSpaceDN w:val="0"/>
              <w:adjustRightInd w:val="0"/>
              <w:spacing w:after="120"/>
              <w:jc w:val="both"/>
              <w:rPr>
                <w:rFonts w:ascii="Times New Roman" w:eastAsiaTheme="minorEastAsia" w:hAnsi="Times New Roman"/>
                <w:bCs/>
                <w:szCs w:val="20"/>
              </w:rPr>
            </w:pPr>
            <w:r>
              <w:rPr>
                <w:rFonts w:ascii="Times New Roman" w:eastAsiaTheme="minorEastAsia" w:hAnsi="Times New Roman"/>
                <w:bCs/>
                <w:szCs w:val="20"/>
              </w:rPr>
              <w:t xml:space="preserve">Ww. raport został </w:t>
            </w:r>
            <w:r w:rsidRPr="00992790">
              <w:rPr>
                <w:rFonts w:ascii="Times New Roman" w:eastAsiaTheme="minorEastAsia" w:hAnsi="Times New Roman"/>
                <w:bCs/>
                <w:szCs w:val="20"/>
              </w:rPr>
              <w:t>opracowany przez Zespół Ekspercki do spraw Budowy Elektrowni Szczytowo-Pompowych, będący organem pomocniczym Prezesa Rady Ministrów, który został utworzony Zarządzeniem Nr 351 Prezesa Rady Ministrów z dnia 28 grudnia 2021 r. w sprawie Zespołu Eksperckiego do spraw Budowy Elektrowni Szczytowo Pompowych (M.P. z 2022 r., poz. 6), w którego pracach brali udział:</w:t>
            </w:r>
          </w:p>
          <w:p w14:paraId="2AA04780" w14:textId="77777777" w:rsidR="00992790" w:rsidRPr="00992790" w:rsidRDefault="00992790" w:rsidP="007A2367">
            <w:pPr>
              <w:widowControl w:val="0"/>
              <w:autoSpaceDE w:val="0"/>
              <w:autoSpaceDN w:val="0"/>
              <w:adjustRightInd w:val="0"/>
              <w:spacing w:line="240" w:lineRule="auto"/>
              <w:jc w:val="both"/>
              <w:rPr>
                <w:rFonts w:ascii="Times New Roman" w:eastAsiaTheme="minorEastAsia" w:hAnsi="Times New Roman"/>
                <w:bCs/>
                <w:szCs w:val="20"/>
              </w:rPr>
            </w:pPr>
            <w:r w:rsidRPr="00992790">
              <w:rPr>
                <w:rFonts w:ascii="Times New Roman" w:eastAsiaTheme="minorEastAsia" w:hAnsi="Times New Roman"/>
                <w:bCs/>
                <w:szCs w:val="20"/>
              </w:rPr>
              <w:t>•</w:t>
            </w:r>
            <w:r w:rsidRPr="00992790">
              <w:rPr>
                <w:rFonts w:ascii="Times New Roman" w:eastAsiaTheme="minorEastAsia" w:hAnsi="Times New Roman"/>
                <w:bCs/>
                <w:szCs w:val="20"/>
              </w:rPr>
              <w:tab/>
              <w:t>ENERGA OZE S.A.</w:t>
            </w:r>
          </w:p>
          <w:p w14:paraId="61E3CADF" w14:textId="77777777" w:rsidR="00992790" w:rsidRPr="00992790" w:rsidRDefault="00992790" w:rsidP="007A2367">
            <w:pPr>
              <w:widowControl w:val="0"/>
              <w:autoSpaceDE w:val="0"/>
              <w:autoSpaceDN w:val="0"/>
              <w:adjustRightInd w:val="0"/>
              <w:spacing w:line="240" w:lineRule="auto"/>
              <w:jc w:val="both"/>
              <w:rPr>
                <w:rFonts w:ascii="Times New Roman" w:eastAsiaTheme="minorEastAsia" w:hAnsi="Times New Roman"/>
                <w:bCs/>
                <w:szCs w:val="20"/>
              </w:rPr>
            </w:pPr>
            <w:r w:rsidRPr="00992790">
              <w:rPr>
                <w:rFonts w:ascii="Times New Roman" w:eastAsiaTheme="minorEastAsia" w:hAnsi="Times New Roman"/>
                <w:bCs/>
                <w:szCs w:val="20"/>
              </w:rPr>
              <w:t>•</w:t>
            </w:r>
            <w:r w:rsidRPr="00992790">
              <w:rPr>
                <w:rFonts w:ascii="Times New Roman" w:eastAsiaTheme="minorEastAsia" w:hAnsi="Times New Roman"/>
                <w:bCs/>
                <w:szCs w:val="20"/>
              </w:rPr>
              <w:tab/>
              <w:t>Ministerstwo Klimatu i Środowiska</w:t>
            </w:r>
          </w:p>
          <w:p w14:paraId="7AEAB0E3" w14:textId="77777777" w:rsidR="00992790" w:rsidRPr="00992790" w:rsidRDefault="00992790" w:rsidP="007A2367">
            <w:pPr>
              <w:widowControl w:val="0"/>
              <w:autoSpaceDE w:val="0"/>
              <w:autoSpaceDN w:val="0"/>
              <w:adjustRightInd w:val="0"/>
              <w:spacing w:line="240" w:lineRule="auto"/>
              <w:jc w:val="both"/>
              <w:rPr>
                <w:rFonts w:ascii="Times New Roman" w:eastAsiaTheme="minorEastAsia" w:hAnsi="Times New Roman"/>
                <w:bCs/>
                <w:szCs w:val="20"/>
              </w:rPr>
            </w:pPr>
            <w:r w:rsidRPr="00992790">
              <w:rPr>
                <w:rFonts w:ascii="Times New Roman" w:eastAsiaTheme="minorEastAsia" w:hAnsi="Times New Roman"/>
                <w:bCs/>
                <w:szCs w:val="20"/>
              </w:rPr>
              <w:t>•</w:t>
            </w:r>
            <w:r w:rsidRPr="00992790">
              <w:rPr>
                <w:rFonts w:ascii="Times New Roman" w:eastAsiaTheme="minorEastAsia" w:hAnsi="Times New Roman"/>
                <w:bCs/>
                <w:szCs w:val="20"/>
              </w:rPr>
              <w:tab/>
              <w:t>Narodowy Fundusz Ochrony Środowiska i Gospodarki Wodnej</w:t>
            </w:r>
          </w:p>
          <w:p w14:paraId="1890F98A" w14:textId="77777777" w:rsidR="00992790" w:rsidRPr="00992790" w:rsidRDefault="00992790" w:rsidP="007A2367">
            <w:pPr>
              <w:widowControl w:val="0"/>
              <w:autoSpaceDE w:val="0"/>
              <w:autoSpaceDN w:val="0"/>
              <w:adjustRightInd w:val="0"/>
              <w:spacing w:line="240" w:lineRule="auto"/>
              <w:jc w:val="both"/>
              <w:rPr>
                <w:rFonts w:ascii="Times New Roman" w:eastAsiaTheme="minorEastAsia" w:hAnsi="Times New Roman"/>
                <w:bCs/>
                <w:szCs w:val="20"/>
              </w:rPr>
            </w:pPr>
            <w:r w:rsidRPr="00992790">
              <w:rPr>
                <w:rFonts w:ascii="Times New Roman" w:eastAsiaTheme="minorEastAsia" w:hAnsi="Times New Roman"/>
                <w:bCs/>
                <w:szCs w:val="20"/>
              </w:rPr>
              <w:t>•</w:t>
            </w:r>
            <w:r w:rsidRPr="00992790">
              <w:rPr>
                <w:rFonts w:ascii="Times New Roman" w:eastAsiaTheme="minorEastAsia" w:hAnsi="Times New Roman"/>
                <w:bCs/>
                <w:szCs w:val="20"/>
              </w:rPr>
              <w:tab/>
              <w:t>PGE Polska Grupa Energetyczna S.A.</w:t>
            </w:r>
          </w:p>
          <w:p w14:paraId="0CC1ED64" w14:textId="77777777" w:rsidR="00992790" w:rsidRPr="00992790" w:rsidRDefault="00992790" w:rsidP="007A2367">
            <w:pPr>
              <w:widowControl w:val="0"/>
              <w:autoSpaceDE w:val="0"/>
              <w:autoSpaceDN w:val="0"/>
              <w:adjustRightInd w:val="0"/>
              <w:spacing w:line="240" w:lineRule="auto"/>
              <w:jc w:val="both"/>
              <w:rPr>
                <w:rFonts w:ascii="Times New Roman" w:eastAsiaTheme="minorEastAsia" w:hAnsi="Times New Roman"/>
                <w:bCs/>
                <w:szCs w:val="20"/>
              </w:rPr>
            </w:pPr>
            <w:r w:rsidRPr="00992790">
              <w:rPr>
                <w:rFonts w:ascii="Times New Roman" w:eastAsiaTheme="minorEastAsia" w:hAnsi="Times New Roman"/>
                <w:bCs/>
                <w:szCs w:val="20"/>
              </w:rPr>
              <w:t>•</w:t>
            </w:r>
            <w:r w:rsidRPr="00992790">
              <w:rPr>
                <w:rFonts w:ascii="Times New Roman" w:eastAsiaTheme="minorEastAsia" w:hAnsi="Times New Roman"/>
                <w:bCs/>
                <w:szCs w:val="20"/>
              </w:rPr>
              <w:tab/>
              <w:t>Polskie Sieci Elektroenergetyczne S.A.</w:t>
            </w:r>
          </w:p>
          <w:p w14:paraId="06BCC908" w14:textId="77777777" w:rsidR="00992790" w:rsidRPr="00992790" w:rsidRDefault="00992790" w:rsidP="007A2367">
            <w:pPr>
              <w:widowControl w:val="0"/>
              <w:autoSpaceDE w:val="0"/>
              <w:autoSpaceDN w:val="0"/>
              <w:adjustRightInd w:val="0"/>
              <w:spacing w:line="240" w:lineRule="auto"/>
              <w:jc w:val="both"/>
              <w:rPr>
                <w:rFonts w:ascii="Times New Roman" w:eastAsiaTheme="minorEastAsia" w:hAnsi="Times New Roman"/>
                <w:bCs/>
                <w:szCs w:val="20"/>
              </w:rPr>
            </w:pPr>
            <w:r w:rsidRPr="00992790">
              <w:rPr>
                <w:rFonts w:ascii="Times New Roman" w:eastAsiaTheme="minorEastAsia" w:hAnsi="Times New Roman"/>
                <w:bCs/>
                <w:szCs w:val="20"/>
              </w:rPr>
              <w:t>•</w:t>
            </w:r>
            <w:r w:rsidRPr="00992790">
              <w:rPr>
                <w:rFonts w:ascii="Times New Roman" w:eastAsiaTheme="minorEastAsia" w:hAnsi="Times New Roman"/>
                <w:bCs/>
                <w:szCs w:val="20"/>
              </w:rPr>
              <w:tab/>
              <w:t>TAURON Polska Energia S.A.</w:t>
            </w:r>
          </w:p>
          <w:p w14:paraId="28628645" w14:textId="1378F81F" w:rsidR="00992790" w:rsidRPr="00000263" w:rsidRDefault="00992790" w:rsidP="00000263">
            <w:pPr>
              <w:widowControl w:val="0"/>
              <w:autoSpaceDE w:val="0"/>
              <w:autoSpaceDN w:val="0"/>
              <w:adjustRightInd w:val="0"/>
              <w:spacing w:after="120" w:line="240" w:lineRule="auto"/>
              <w:jc w:val="both"/>
              <w:rPr>
                <w:rFonts w:ascii="Times New Roman" w:eastAsiaTheme="minorEastAsia" w:hAnsi="Times New Roman"/>
                <w:bCs/>
                <w:szCs w:val="20"/>
              </w:rPr>
            </w:pPr>
            <w:r w:rsidRPr="00992790">
              <w:rPr>
                <w:rFonts w:ascii="Times New Roman" w:eastAsiaTheme="minorEastAsia" w:hAnsi="Times New Roman"/>
                <w:bCs/>
                <w:szCs w:val="20"/>
              </w:rPr>
              <w:t>•</w:t>
            </w:r>
            <w:r w:rsidRPr="00992790">
              <w:rPr>
                <w:rFonts w:ascii="Times New Roman" w:eastAsiaTheme="minorEastAsia" w:hAnsi="Times New Roman"/>
                <w:bCs/>
                <w:szCs w:val="20"/>
              </w:rPr>
              <w:tab/>
              <w:t>Urząd Regulacji Energetyki.</w:t>
            </w:r>
          </w:p>
          <w:p w14:paraId="24C700C5" w14:textId="1C54D632" w:rsidR="00B13D7F" w:rsidRPr="00B13D7F" w:rsidRDefault="00606AA4" w:rsidP="00992790">
            <w:pPr>
              <w:widowControl w:val="0"/>
              <w:autoSpaceDE w:val="0"/>
              <w:autoSpaceDN w:val="0"/>
              <w:adjustRightInd w:val="0"/>
              <w:spacing w:after="120"/>
              <w:jc w:val="both"/>
              <w:rPr>
                <w:rFonts w:ascii="Times New Roman" w:eastAsiaTheme="minorEastAsia" w:hAnsi="Times New Roman"/>
                <w:bCs/>
                <w:szCs w:val="20"/>
              </w:rPr>
            </w:pPr>
            <w:r>
              <w:rPr>
                <w:rFonts w:ascii="Times New Roman" w:eastAsiaTheme="minorEastAsia" w:hAnsi="Times New Roman"/>
                <w:bCs/>
                <w:szCs w:val="20"/>
              </w:rPr>
              <w:t xml:space="preserve">Przepisy </w:t>
            </w:r>
            <w:r w:rsidR="00E452E8">
              <w:rPr>
                <w:rFonts w:ascii="Times New Roman" w:eastAsiaTheme="minorEastAsia" w:hAnsi="Times New Roman"/>
                <w:bCs/>
                <w:szCs w:val="20"/>
              </w:rPr>
              <w:t>dotyczącej</w:t>
            </w:r>
            <w:r w:rsidRPr="00606AA4">
              <w:rPr>
                <w:rFonts w:ascii="Times New Roman" w:eastAsiaTheme="minorEastAsia" w:hAnsi="Times New Roman"/>
                <w:bCs/>
                <w:szCs w:val="20"/>
              </w:rPr>
              <w:t xml:space="preserve"> decyzji o środowiskowych uwarunkowaniach</w:t>
            </w:r>
            <w:r w:rsidR="00E452E8">
              <w:rPr>
                <w:rFonts w:ascii="Times New Roman" w:eastAsiaTheme="minorEastAsia" w:hAnsi="Times New Roman"/>
                <w:bCs/>
                <w:szCs w:val="20"/>
              </w:rPr>
              <w:t xml:space="preserve"> zawarte</w:t>
            </w:r>
            <w:r>
              <w:rPr>
                <w:rFonts w:ascii="Times New Roman" w:eastAsiaTheme="minorEastAsia" w:hAnsi="Times New Roman"/>
                <w:bCs/>
                <w:szCs w:val="20"/>
              </w:rPr>
              <w:t xml:space="preserve"> w </w:t>
            </w:r>
            <w:r w:rsidRPr="00606AA4">
              <w:rPr>
                <w:rFonts w:ascii="Times New Roman" w:eastAsiaTheme="minorEastAsia" w:hAnsi="Times New Roman"/>
                <w:bCs/>
                <w:szCs w:val="20"/>
              </w:rPr>
              <w:t>ustaw</w:t>
            </w:r>
            <w:r>
              <w:rPr>
                <w:rFonts w:ascii="Times New Roman" w:eastAsiaTheme="minorEastAsia" w:hAnsi="Times New Roman"/>
                <w:bCs/>
                <w:szCs w:val="20"/>
              </w:rPr>
              <w:t>ie</w:t>
            </w:r>
            <w:r w:rsidRPr="00606AA4">
              <w:rPr>
                <w:rFonts w:ascii="Times New Roman" w:eastAsiaTheme="minorEastAsia" w:hAnsi="Times New Roman"/>
                <w:bCs/>
                <w:szCs w:val="20"/>
              </w:rPr>
              <w:t xml:space="preserve"> z dnia 3 października 2008 r. o udostępnianiu informacji o środowisku i jego ochronie, udziale społeczeństwa w ochronie środowiska oraz o ocenach oddziaływania na środowisko</w:t>
            </w:r>
            <w:r w:rsidR="00E452E8">
              <w:rPr>
                <w:rFonts w:ascii="Times New Roman" w:eastAsiaTheme="minorEastAsia" w:hAnsi="Times New Roman"/>
                <w:bCs/>
                <w:szCs w:val="20"/>
              </w:rPr>
              <w:t xml:space="preserve"> (Dz. U.</w:t>
            </w:r>
            <w:r w:rsidR="00992790" w:rsidRPr="00992790">
              <w:rPr>
                <w:rFonts w:ascii="Times New Roman" w:eastAsiaTheme="minorEastAsia" w:hAnsi="Times New Roman"/>
                <w:bCs/>
                <w:szCs w:val="20"/>
              </w:rPr>
              <w:t xml:space="preserve"> z 2022 r.</w:t>
            </w:r>
            <w:r w:rsidR="00992790">
              <w:rPr>
                <w:rFonts w:ascii="Times New Roman" w:eastAsiaTheme="minorEastAsia" w:hAnsi="Times New Roman"/>
                <w:bCs/>
                <w:szCs w:val="20"/>
              </w:rPr>
              <w:t xml:space="preserve"> </w:t>
            </w:r>
            <w:r w:rsidR="00992790" w:rsidRPr="00992790">
              <w:rPr>
                <w:rFonts w:ascii="Times New Roman" w:eastAsiaTheme="minorEastAsia" w:hAnsi="Times New Roman"/>
                <w:bCs/>
                <w:szCs w:val="20"/>
              </w:rPr>
              <w:t>poz. 1029, 1260,</w:t>
            </w:r>
            <w:r w:rsidR="00992790">
              <w:rPr>
                <w:rFonts w:ascii="Times New Roman" w:eastAsiaTheme="minorEastAsia" w:hAnsi="Times New Roman"/>
                <w:bCs/>
                <w:szCs w:val="20"/>
              </w:rPr>
              <w:t xml:space="preserve"> </w:t>
            </w:r>
            <w:r w:rsidR="00992790" w:rsidRPr="00992790">
              <w:rPr>
                <w:rFonts w:ascii="Times New Roman" w:eastAsiaTheme="minorEastAsia" w:hAnsi="Times New Roman"/>
                <w:bCs/>
                <w:szCs w:val="20"/>
              </w:rPr>
              <w:t>1261, 1783</w:t>
            </w:r>
            <w:r w:rsidR="00992790">
              <w:rPr>
                <w:rFonts w:ascii="Times New Roman" w:eastAsiaTheme="minorEastAsia" w:hAnsi="Times New Roman"/>
                <w:bCs/>
                <w:szCs w:val="20"/>
              </w:rPr>
              <w:t xml:space="preserve"> i </w:t>
            </w:r>
            <w:r w:rsidR="00992790" w:rsidRPr="00992790">
              <w:rPr>
                <w:rFonts w:ascii="Times New Roman" w:eastAsiaTheme="minorEastAsia" w:hAnsi="Times New Roman"/>
                <w:bCs/>
                <w:szCs w:val="20"/>
              </w:rPr>
              <w:t>1846</w:t>
            </w:r>
            <w:r w:rsidR="00E452E8">
              <w:rPr>
                <w:rFonts w:ascii="Times New Roman" w:eastAsiaTheme="minorEastAsia" w:hAnsi="Times New Roman"/>
                <w:bCs/>
                <w:szCs w:val="20"/>
              </w:rPr>
              <w:t>)</w:t>
            </w:r>
            <w:r>
              <w:rPr>
                <w:rFonts w:ascii="Times New Roman" w:eastAsiaTheme="minorEastAsia" w:hAnsi="Times New Roman"/>
                <w:bCs/>
                <w:szCs w:val="20"/>
              </w:rPr>
              <w:t xml:space="preserve"> </w:t>
            </w:r>
            <w:r w:rsidR="00F53BE7">
              <w:rPr>
                <w:rFonts w:ascii="Times New Roman" w:eastAsiaTheme="minorEastAsia" w:hAnsi="Times New Roman"/>
                <w:bCs/>
                <w:szCs w:val="20"/>
              </w:rPr>
              <w:t xml:space="preserve">odpowiednio </w:t>
            </w:r>
            <w:r>
              <w:rPr>
                <w:rFonts w:ascii="Times New Roman" w:eastAsiaTheme="minorEastAsia" w:hAnsi="Times New Roman"/>
                <w:bCs/>
                <w:szCs w:val="20"/>
              </w:rPr>
              <w:t xml:space="preserve">dostosowano </w:t>
            </w:r>
            <w:r w:rsidR="00F53BE7">
              <w:rPr>
                <w:rFonts w:ascii="Times New Roman" w:eastAsiaTheme="minorEastAsia" w:hAnsi="Times New Roman"/>
                <w:bCs/>
                <w:szCs w:val="20"/>
              </w:rPr>
              <w:t xml:space="preserve">w celu zapewnienia zgodności z prawem UE, na wzór innych specustaw zmienionych ustawą </w:t>
            </w:r>
            <w:r w:rsidR="00F53BE7" w:rsidRPr="00F53BE7">
              <w:rPr>
                <w:rFonts w:ascii="Times New Roman" w:eastAsiaTheme="minorEastAsia" w:hAnsi="Times New Roman"/>
                <w:bCs/>
                <w:szCs w:val="20"/>
              </w:rPr>
              <w:t>z dnia 30 marca 2021 r.</w:t>
            </w:r>
            <w:r w:rsidR="00F53BE7">
              <w:rPr>
                <w:rFonts w:ascii="Times New Roman" w:eastAsiaTheme="minorEastAsia" w:hAnsi="Times New Roman"/>
                <w:bCs/>
                <w:szCs w:val="20"/>
              </w:rPr>
              <w:t xml:space="preserve"> </w:t>
            </w:r>
            <w:r w:rsidR="00F53BE7" w:rsidRPr="00F53BE7">
              <w:rPr>
                <w:rFonts w:ascii="Times New Roman" w:eastAsiaTheme="minorEastAsia" w:hAnsi="Times New Roman"/>
                <w:bCs/>
                <w:szCs w:val="20"/>
              </w:rPr>
              <w:t>o zmianie ustawy o udostępnianiu informacji o środowisku i jego ochronie, udziale społeczeństwa w ochronie środowiska oraz o ocenach oddziaływania na środowisko oraz niektórych innych ustaw</w:t>
            </w:r>
            <w:r w:rsidR="00F53BE7">
              <w:rPr>
                <w:rFonts w:ascii="Times New Roman" w:eastAsiaTheme="minorEastAsia" w:hAnsi="Times New Roman"/>
                <w:bCs/>
                <w:szCs w:val="20"/>
              </w:rPr>
              <w:t xml:space="preserve"> (Dz. U. poz. 784). </w:t>
            </w:r>
            <w:r w:rsidR="00842304">
              <w:rPr>
                <w:rFonts w:ascii="Times New Roman" w:eastAsiaTheme="minorEastAsia" w:hAnsi="Times New Roman"/>
                <w:bCs/>
                <w:szCs w:val="20"/>
              </w:rPr>
              <w:t>Tym samym uwzględniono w przepisach ww. ustawy inwestycje w zakresie elektrowni szczytowo-pompowej.</w:t>
            </w:r>
            <w:r w:rsidR="00B13D7F">
              <w:rPr>
                <w:rFonts w:ascii="Times New Roman" w:eastAsiaTheme="minorEastAsia" w:hAnsi="Times New Roman"/>
                <w:bCs/>
                <w:szCs w:val="20"/>
              </w:rPr>
              <w:t xml:space="preserve"> </w:t>
            </w:r>
            <w:r w:rsidR="00E933D7">
              <w:rPr>
                <w:rFonts w:ascii="Times New Roman" w:eastAsiaTheme="minorEastAsia" w:hAnsi="Times New Roman"/>
                <w:bCs/>
                <w:szCs w:val="20"/>
              </w:rPr>
              <w:t>S</w:t>
            </w:r>
            <w:r w:rsidR="00B13D7F">
              <w:rPr>
                <w:rFonts w:ascii="Times New Roman" w:eastAsiaTheme="minorEastAsia" w:hAnsi="Times New Roman"/>
                <w:bCs/>
                <w:szCs w:val="20"/>
              </w:rPr>
              <w:t>tosowanie p</w:t>
            </w:r>
            <w:r w:rsidR="00B13D7F" w:rsidRPr="00B13D7F">
              <w:rPr>
                <w:rFonts w:ascii="Times New Roman" w:eastAsiaTheme="minorEastAsia" w:hAnsi="Times New Roman"/>
                <w:bCs/>
                <w:szCs w:val="20"/>
              </w:rPr>
              <w:t xml:space="preserve">rzepisów określających termin, po upływie którego nie będzie </w:t>
            </w:r>
            <w:r w:rsidR="00B13D7F" w:rsidRPr="00B13D7F">
              <w:rPr>
                <w:rFonts w:ascii="Times New Roman" w:eastAsiaTheme="minorEastAsia" w:hAnsi="Times New Roman"/>
                <w:bCs/>
                <w:szCs w:val="20"/>
              </w:rPr>
              <w:lastRenderedPageBreak/>
              <w:t xml:space="preserve">możliwe stwierdzenie nieważności </w:t>
            </w:r>
            <w:r w:rsidR="00E933D7">
              <w:rPr>
                <w:rFonts w:ascii="Times New Roman" w:eastAsiaTheme="minorEastAsia" w:hAnsi="Times New Roman"/>
                <w:bCs/>
                <w:szCs w:val="20"/>
              </w:rPr>
              <w:t xml:space="preserve">decyzji o pozwoleniu na budowę </w:t>
            </w:r>
            <w:r w:rsidR="00E933D7" w:rsidRPr="00B13D7F">
              <w:rPr>
                <w:rFonts w:ascii="Times New Roman" w:eastAsiaTheme="minorEastAsia" w:hAnsi="Times New Roman"/>
                <w:bCs/>
                <w:szCs w:val="20"/>
              </w:rPr>
              <w:t xml:space="preserve">elektrowni szczytowo-pompowej </w:t>
            </w:r>
            <w:r w:rsidR="00B13D7F">
              <w:rPr>
                <w:rFonts w:ascii="Times New Roman" w:eastAsiaTheme="minorEastAsia" w:hAnsi="Times New Roman"/>
                <w:bCs/>
                <w:szCs w:val="20"/>
              </w:rPr>
              <w:t xml:space="preserve">zostało wyłączone </w:t>
            </w:r>
            <w:r w:rsidR="00B13D7F" w:rsidRPr="00B13D7F">
              <w:rPr>
                <w:rFonts w:ascii="Times New Roman" w:eastAsiaTheme="minorEastAsia" w:hAnsi="Times New Roman"/>
                <w:bCs/>
                <w:szCs w:val="20"/>
              </w:rPr>
              <w:t xml:space="preserve">w przypadku niezgodności </w:t>
            </w:r>
            <w:r w:rsidR="00E933D7">
              <w:rPr>
                <w:rFonts w:ascii="Times New Roman" w:eastAsiaTheme="minorEastAsia" w:hAnsi="Times New Roman"/>
                <w:bCs/>
                <w:szCs w:val="20"/>
              </w:rPr>
              <w:t xml:space="preserve">tej </w:t>
            </w:r>
            <w:r w:rsidR="00B13D7F" w:rsidRPr="00B13D7F">
              <w:rPr>
                <w:rFonts w:ascii="Times New Roman" w:eastAsiaTheme="minorEastAsia" w:hAnsi="Times New Roman"/>
                <w:bCs/>
                <w:szCs w:val="20"/>
              </w:rPr>
              <w:t>decyzji z:</w:t>
            </w:r>
          </w:p>
          <w:p w14:paraId="0175446F" w14:textId="77777777" w:rsidR="00B13D7F" w:rsidRPr="00B13D7F" w:rsidRDefault="00B13D7F" w:rsidP="00B13D7F">
            <w:pPr>
              <w:widowControl w:val="0"/>
              <w:autoSpaceDE w:val="0"/>
              <w:autoSpaceDN w:val="0"/>
              <w:adjustRightInd w:val="0"/>
              <w:spacing w:after="120"/>
              <w:jc w:val="both"/>
              <w:rPr>
                <w:rFonts w:ascii="Times New Roman" w:eastAsiaTheme="minorEastAsia" w:hAnsi="Times New Roman"/>
                <w:bCs/>
                <w:szCs w:val="20"/>
              </w:rPr>
            </w:pPr>
            <w:r w:rsidRPr="00B13D7F">
              <w:rPr>
                <w:rFonts w:ascii="Times New Roman" w:eastAsiaTheme="minorEastAsia" w:hAnsi="Times New Roman"/>
                <w:bCs/>
                <w:szCs w:val="20"/>
              </w:rPr>
              <w:t>1)</w:t>
            </w:r>
            <w:r w:rsidRPr="00B13D7F">
              <w:rPr>
                <w:rFonts w:ascii="Times New Roman" w:eastAsiaTheme="minorEastAsia" w:hAnsi="Times New Roman"/>
                <w:bCs/>
                <w:szCs w:val="20"/>
              </w:rPr>
              <w:tab/>
              <w:t>decyzją o środowiskowych uwarunkowaniach lub</w:t>
            </w:r>
          </w:p>
          <w:p w14:paraId="2E9D90F5" w14:textId="0ACF1904" w:rsidR="00842304" w:rsidRDefault="00B13D7F" w:rsidP="00B13D7F">
            <w:pPr>
              <w:widowControl w:val="0"/>
              <w:autoSpaceDE w:val="0"/>
              <w:autoSpaceDN w:val="0"/>
              <w:adjustRightInd w:val="0"/>
              <w:spacing w:after="120"/>
              <w:jc w:val="both"/>
              <w:rPr>
                <w:rFonts w:ascii="Times New Roman" w:eastAsiaTheme="minorEastAsia" w:hAnsi="Times New Roman"/>
                <w:bCs/>
                <w:szCs w:val="20"/>
              </w:rPr>
            </w:pPr>
            <w:r w:rsidRPr="00B13D7F">
              <w:rPr>
                <w:rFonts w:ascii="Times New Roman" w:eastAsiaTheme="minorEastAsia" w:hAnsi="Times New Roman"/>
                <w:bCs/>
                <w:szCs w:val="20"/>
              </w:rPr>
              <w:t>2)</w:t>
            </w:r>
            <w:r w:rsidRPr="00B13D7F">
              <w:rPr>
                <w:rFonts w:ascii="Times New Roman" w:eastAsiaTheme="minorEastAsia" w:hAnsi="Times New Roman"/>
                <w:bCs/>
                <w:szCs w:val="20"/>
              </w:rPr>
              <w:tab/>
              <w:t>postanowieniem, o którym mowa w art. 90 ust. 1 ustawy z dnia 3 października 2008 r. o udostępnianiu informacji o środowisku i jego ochronie, udziale społeczeństwa w ochronie środowiska oraz o ocenach oddziaływania na środowisko.</w:t>
            </w:r>
          </w:p>
          <w:p w14:paraId="633BFF7F" w14:textId="7DA9F568" w:rsidR="004F512A" w:rsidRPr="004F512A" w:rsidRDefault="009B4572" w:rsidP="00131435">
            <w:pPr>
              <w:widowControl w:val="0"/>
              <w:autoSpaceDE w:val="0"/>
              <w:autoSpaceDN w:val="0"/>
              <w:adjustRightInd w:val="0"/>
              <w:spacing w:after="120"/>
              <w:jc w:val="both"/>
              <w:rPr>
                <w:rFonts w:ascii="Times New Roman" w:hAnsi="Times New Roman"/>
                <w:color w:val="000000"/>
                <w:spacing w:val="-2"/>
              </w:rPr>
            </w:pPr>
            <w:r>
              <w:rPr>
                <w:rFonts w:ascii="Times New Roman" w:eastAsiaTheme="minorEastAsia" w:hAnsi="Times New Roman"/>
                <w:bCs/>
                <w:szCs w:val="20"/>
              </w:rPr>
              <w:t>Ponadto, w celu usprawnienia post</w:t>
            </w:r>
            <w:r w:rsidR="008F0861">
              <w:rPr>
                <w:rFonts w:ascii="Times New Roman" w:eastAsiaTheme="minorEastAsia" w:hAnsi="Times New Roman"/>
                <w:bCs/>
                <w:szCs w:val="20"/>
              </w:rPr>
              <w:t>ę</w:t>
            </w:r>
            <w:r>
              <w:rPr>
                <w:rFonts w:ascii="Times New Roman" w:eastAsiaTheme="minorEastAsia" w:hAnsi="Times New Roman"/>
                <w:bCs/>
                <w:szCs w:val="20"/>
              </w:rPr>
              <w:t>powania, o</w:t>
            </w:r>
            <w:r w:rsidRPr="009B4572">
              <w:rPr>
                <w:rFonts w:ascii="Times New Roman" w:eastAsiaTheme="minorEastAsia" w:hAnsi="Times New Roman"/>
                <w:bCs/>
                <w:szCs w:val="20"/>
              </w:rPr>
              <w:t xml:space="preserve">rgan właściwy do wydania decyzji o środowiskowych uwarunkowaniach realizacji inwestycji w zakresie elektrowni szczytowo-pompowej </w:t>
            </w:r>
            <w:r>
              <w:rPr>
                <w:rFonts w:ascii="Times New Roman" w:eastAsiaTheme="minorEastAsia" w:hAnsi="Times New Roman"/>
                <w:bCs/>
                <w:szCs w:val="20"/>
              </w:rPr>
              <w:t xml:space="preserve">będzie </w:t>
            </w:r>
            <w:r w:rsidRPr="009B4572">
              <w:rPr>
                <w:rFonts w:ascii="Times New Roman" w:eastAsiaTheme="minorEastAsia" w:hAnsi="Times New Roman"/>
                <w:bCs/>
                <w:szCs w:val="20"/>
              </w:rPr>
              <w:t>zawiadamia</w:t>
            </w:r>
            <w:r>
              <w:rPr>
                <w:rFonts w:ascii="Times New Roman" w:eastAsiaTheme="minorEastAsia" w:hAnsi="Times New Roman"/>
                <w:bCs/>
                <w:szCs w:val="20"/>
              </w:rPr>
              <w:t>ł</w:t>
            </w:r>
            <w:r w:rsidRPr="009B4572">
              <w:rPr>
                <w:rFonts w:ascii="Times New Roman" w:eastAsiaTheme="minorEastAsia" w:hAnsi="Times New Roman"/>
                <w:bCs/>
                <w:szCs w:val="20"/>
              </w:rPr>
              <w:t xml:space="preserve"> organ wyższego stopnia o złożeniu wniosku o wydanie decyzji o środowiskowych uwarunkowaniach oraz o wydaniu takiej decyzji, w terminie 7 dni od złożenia wniosku lub wydania decyzji.</w:t>
            </w:r>
            <w:r>
              <w:rPr>
                <w:rFonts w:ascii="Times New Roman" w:eastAsiaTheme="minorEastAsia" w:hAnsi="Times New Roman"/>
                <w:bCs/>
                <w:szCs w:val="20"/>
              </w:rPr>
              <w:t xml:space="preserve"> </w:t>
            </w:r>
            <w:r w:rsidRPr="009B4572">
              <w:rPr>
                <w:rFonts w:ascii="Times New Roman" w:eastAsiaTheme="minorEastAsia" w:hAnsi="Times New Roman"/>
                <w:bCs/>
                <w:szCs w:val="20"/>
              </w:rPr>
              <w:t xml:space="preserve">Termin wydania </w:t>
            </w:r>
            <w:r>
              <w:rPr>
                <w:rFonts w:ascii="Times New Roman" w:eastAsiaTheme="minorEastAsia" w:hAnsi="Times New Roman"/>
                <w:bCs/>
                <w:szCs w:val="20"/>
              </w:rPr>
              <w:t xml:space="preserve">ww. </w:t>
            </w:r>
            <w:r w:rsidRPr="009B4572">
              <w:rPr>
                <w:rFonts w:ascii="Times New Roman" w:eastAsiaTheme="minorEastAsia" w:hAnsi="Times New Roman"/>
                <w:bCs/>
                <w:szCs w:val="20"/>
              </w:rPr>
              <w:t>decyzji</w:t>
            </w:r>
            <w:r>
              <w:rPr>
                <w:rFonts w:ascii="Times New Roman" w:eastAsiaTheme="minorEastAsia" w:hAnsi="Times New Roman"/>
                <w:bCs/>
                <w:szCs w:val="20"/>
              </w:rPr>
              <w:t xml:space="preserve"> będzie wynosił </w:t>
            </w:r>
            <w:r w:rsidRPr="009B4572">
              <w:rPr>
                <w:rFonts w:ascii="Times New Roman" w:eastAsiaTheme="minorEastAsia" w:hAnsi="Times New Roman"/>
                <w:bCs/>
                <w:szCs w:val="20"/>
              </w:rPr>
              <w:t>wynosi 60 dni od dnia złożenia wniosku.</w:t>
            </w:r>
            <w:r>
              <w:rPr>
                <w:rFonts w:ascii="Times New Roman" w:eastAsiaTheme="minorEastAsia" w:hAnsi="Times New Roman"/>
                <w:bCs/>
                <w:szCs w:val="20"/>
              </w:rPr>
              <w:t xml:space="preserve"> </w:t>
            </w:r>
            <w:r w:rsidRPr="009B4572">
              <w:rPr>
                <w:rFonts w:ascii="Times New Roman" w:eastAsiaTheme="minorEastAsia" w:hAnsi="Times New Roman"/>
                <w:bCs/>
                <w:szCs w:val="20"/>
              </w:rPr>
              <w:t xml:space="preserve">Termin rozpatrzenia przez organ wyższego stopnia odwołania od </w:t>
            </w:r>
            <w:r>
              <w:rPr>
                <w:rFonts w:ascii="Times New Roman" w:eastAsiaTheme="minorEastAsia" w:hAnsi="Times New Roman"/>
                <w:bCs/>
                <w:szCs w:val="20"/>
              </w:rPr>
              <w:t xml:space="preserve">ww. </w:t>
            </w:r>
            <w:r w:rsidRPr="009B4572">
              <w:rPr>
                <w:rFonts w:ascii="Times New Roman" w:eastAsiaTheme="minorEastAsia" w:hAnsi="Times New Roman"/>
                <w:bCs/>
                <w:szCs w:val="20"/>
              </w:rPr>
              <w:t>decyzji</w:t>
            </w:r>
            <w:r>
              <w:rPr>
                <w:rFonts w:ascii="Times New Roman" w:eastAsiaTheme="minorEastAsia" w:hAnsi="Times New Roman"/>
                <w:bCs/>
                <w:szCs w:val="20"/>
              </w:rPr>
              <w:t xml:space="preserve"> będzie </w:t>
            </w:r>
            <w:r w:rsidRPr="009B4572">
              <w:rPr>
                <w:rFonts w:ascii="Times New Roman" w:eastAsiaTheme="minorEastAsia" w:hAnsi="Times New Roman"/>
                <w:bCs/>
                <w:szCs w:val="20"/>
              </w:rPr>
              <w:t>wynosi</w:t>
            </w:r>
            <w:r>
              <w:rPr>
                <w:rFonts w:ascii="Times New Roman" w:eastAsiaTheme="minorEastAsia" w:hAnsi="Times New Roman"/>
                <w:bCs/>
                <w:szCs w:val="20"/>
              </w:rPr>
              <w:t>ł</w:t>
            </w:r>
            <w:r w:rsidRPr="009B4572">
              <w:rPr>
                <w:rFonts w:ascii="Times New Roman" w:eastAsiaTheme="minorEastAsia" w:hAnsi="Times New Roman"/>
                <w:bCs/>
                <w:szCs w:val="20"/>
              </w:rPr>
              <w:t xml:space="preserve"> 60 dni od dnia otrzymania odwołania.</w:t>
            </w:r>
            <w:r>
              <w:t xml:space="preserve"> </w:t>
            </w:r>
            <w:r w:rsidRPr="009B4572">
              <w:rPr>
                <w:rFonts w:ascii="Times New Roman" w:eastAsiaTheme="minorEastAsia" w:hAnsi="Times New Roman"/>
                <w:bCs/>
                <w:szCs w:val="20"/>
              </w:rPr>
              <w:t>O każdym przypadku niewydania w terminie decyzji</w:t>
            </w:r>
            <w:r>
              <w:rPr>
                <w:rFonts w:ascii="Times New Roman" w:eastAsiaTheme="minorEastAsia" w:hAnsi="Times New Roman"/>
                <w:bCs/>
                <w:szCs w:val="20"/>
              </w:rPr>
              <w:t xml:space="preserve"> </w:t>
            </w:r>
            <w:r w:rsidRPr="009B4572">
              <w:rPr>
                <w:rFonts w:ascii="Times New Roman" w:eastAsiaTheme="minorEastAsia" w:hAnsi="Times New Roman"/>
                <w:bCs/>
                <w:szCs w:val="20"/>
              </w:rPr>
              <w:t xml:space="preserve">organ właściwy do rozpatrzenia sprawy </w:t>
            </w:r>
            <w:r>
              <w:rPr>
                <w:rFonts w:ascii="Times New Roman" w:eastAsiaTheme="minorEastAsia" w:hAnsi="Times New Roman"/>
                <w:bCs/>
                <w:szCs w:val="20"/>
              </w:rPr>
              <w:t xml:space="preserve">będzie </w:t>
            </w:r>
            <w:r w:rsidRPr="009B4572">
              <w:rPr>
                <w:rFonts w:ascii="Times New Roman" w:eastAsiaTheme="minorEastAsia" w:hAnsi="Times New Roman"/>
                <w:bCs/>
                <w:szCs w:val="20"/>
              </w:rPr>
              <w:t>zawiadamia</w:t>
            </w:r>
            <w:r>
              <w:rPr>
                <w:rFonts w:ascii="Times New Roman" w:eastAsiaTheme="minorEastAsia" w:hAnsi="Times New Roman"/>
                <w:bCs/>
                <w:szCs w:val="20"/>
              </w:rPr>
              <w:t>ł</w:t>
            </w:r>
            <w:r w:rsidRPr="009B4572">
              <w:rPr>
                <w:rFonts w:ascii="Times New Roman" w:eastAsiaTheme="minorEastAsia" w:hAnsi="Times New Roman"/>
                <w:bCs/>
                <w:szCs w:val="20"/>
              </w:rPr>
              <w:t xml:space="preserve"> strony postępowania, ministra właściwego do spraw środowiska i Generalnego Dyrektora Ochrony Środowiska podając przyczyny zwłoki i wskazując nowy termin załatwienia sprawy.</w:t>
            </w:r>
            <w:r>
              <w:rPr>
                <w:rFonts w:ascii="Times New Roman" w:eastAsiaTheme="minorEastAsia" w:hAnsi="Times New Roman"/>
                <w:bCs/>
                <w:szCs w:val="20"/>
              </w:rPr>
              <w:t xml:space="preserve"> Zaś o</w:t>
            </w:r>
            <w:r w:rsidRPr="009B4572">
              <w:rPr>
                <w:rFonts w:ascii="Times New Roman" w:eastAsiaTheme="minorEastAsia" w:hAnsi="Times New Roman"/>
                <w:bCs/>
                <w:szCs w:val="20"/>
              </w:rPr>
              <w:t xml:space="preserve"> każdym przypadku nierozpatrzenia w terminie odwołania od </w:t>
            </w:r>
            <w:r>
              <w:rPr>
                <w:rFonts w:ascii="Times New Roman" w:eastAsiaTheme="minorEastAsia" w:hAnsi="Times New Roman"/>
                <w:bCs/>
                <w:szCs w:val="20"/>
              </w:rPr>
              <w:t xml:space="preserve">tej </w:t>
            </w:r>
            <w:r w:rsidRPr="009B4572">
              <w:rPr>
                <w:rFonts w:ascii="Times New Roman" w:eastAsiaTheme="minorEastAsia" w:hAnsi="Times New Roman"/>
                <w:bCs/>
                <w:szCs w:val="20"/>
              </w:rPr>
              <w:t>decyzji</w:t>
            </w:r>
            <w:r>
              <w:rPr>
                <w:rFonts w:ascii="Times New Roman" w:eastAsiaTheme="minorEastAsia" w:hAnsi="Times New Roman"/>
                <w:bCs/>
                <w:szCs w:val="20"/>
              </w:rPr>
              <w:t xml:space="preserve"> </w:t>
            </w:r>
            <w:r w:rsidRPr="009B4572">
              <w:rPr>
                <w:rFonts w:ascii="Times New Roman" w:eastAsiaTheme="minorEastAsia" w:hAnsi="Times New Roman"/>
                <w:bCs/>
                <w:szCs w:val="20"/>
              </w:rPr>
              <w:t xml:space="preserve">organ właściwy do rozpatrzenia sprawy </w:t>
            </w:r>
            <w:r>
              <w:rPr>
                <w:rFonts w:ascii="Times New Roman" w:eastAsiaTheme="minorEastAsia" w:hAnsi="Times New Roman"/>
                <w:bCs/>
                <w:szCs w:val="20"/>
              </w:rPr>
              <w:t xml:space="preserve">będzie </w:t>
            </w:r>
            <w:r w:rsidRPr="009B4572">
              <w:rPr>
                <w:rFonts w:ascii="Times New Roman" w:eastAsiaTheme="minorEastAsia" w:hAnsi="Times New Roman"/>
                <w:bCs/>
                <w:szCs w:val="20"/>
              </w:rPr>
              <w:t>zawiadamia</w:t>
            </w:r>
            <w:r>
              <w:rPr>
                <w:rFonts w:ascii="Times New Roman" w:eastAsiaTheme="minorEastAsia" w:hAnsi="Times New Roman"/>
                <w:bCs/>
                <w:szCs w:val="20"/>
              </w:rPr>
              <w:t>ł</w:t>
            </w:r>
            <w:r w:rsidRPr="009B4572">
              <w:rPr>
                <w:rFonts w:ascii="Times New Roman" w:eastAsiaTheme="minorEastAsia" w:hAnsi="Times New Roman"/>
                <w:bCs/>
                <w:szCs w:val="20"/>
              </w:rPr>
              <w:t xml:space="preserve"> strony postępowania i ministra właściwego do spraw środowiska podając przyczyny zwłoki i wskazując nowy termin załatwienia sprawy.</w:t>
            </w:r>
            <w:r>
              <w:rPr>
                <w:rFonts w:ascii="Times New Roman" w:eastAsiaTheme="minorEastAsia" w:hAnsi="Times New Roman"/>
                <w:bCs/>
                <w:szCs w:val="20"/>
              </w:rPr>
              <w:t xml:space="preserve"> </w:t>
            </w:r>
          </w:p>
        </w:tc>
      </w:tr>
      <w:tr w:rsidR="001B3460" w:rsidRPr="004F512A" w14:paraId="349B6EA2" w14:textId="77777777" w:rsidTr="00DE4C3A">
        <w:trPr>
          <w:trHeight w:val="142"/>
        </w:trPr>
        <w:tc>
          <w:tcPr>
            <w:tcW w:w="11086" w:type="dxa"/>
            <w:gridSpan w:val="29"/>
            <w:shd w:val="clear" w:color="auto" w:fill="99CCFF"/>
          </w:tcPr>
          <w:p w14:paraId="2BE96A30" w14:textId="77777777" w:rsidR="001B3460" w:rsidRPr="004F512A" w:rsidRDefault="00A767D2" w:rsidP="00A767D2">
            <w:pPr>
              <w:numPr>
                <w:ilvl w:val="0"/>
                <w:numId w:val="3"/>
              </w:numPr>
              <w:spacing w:before="60" w:after="60" w:line="240" w:lineRule="auto"/>
              <w:ind w:left="318" w:hanging="284"/>
              <w:jc w:val="both"/>
              <w:rPr>
                <w:rFonts w:ascii="Times New Roman" w:hAnsi="Times New Roman"/>
                <w:b/>
              </w:rPr>
            </w:pPr>
            <w:r w:rsidRPr="004F512A">
              <w:rPr>
                <w:rFonts w:ascii="Times New Roman" w:hAnsi="Times New Roman"/>
                <w:b/>
                <w:spacing w:val="-2"/>
              </w:rPr>
              <w:lastRenderedPageBreak/>
              <w:t>Plan</w:t>
            </w:r>
            <w:r w:rsidR="00CF5F4F" w:rsidRPr="004F512A">
              <w:rPr>
                <w:rFonts w:ascii="Times New Roman" w:hAnsi="Times New Roman"/>
                <w:b/>
                <w:spacing w:val="-2"/>
              </w:rPr>
              <w:t>owane</w:t>
            </w:r>
            <w:r w:rsidRPr="004F512A">
              <w:rPr>
                <w:rFonts w:ascii="Times New Roman" w:hAnsi="Times New Roman"/>
                <w:b/>
                <w:spacing w:val="-2"/>
              </w:rPr>
              <w:t xml:space="preserve"> w</w:t>
            </w:r>
            <w:r w:rsidR="00627221" w:rsidRPr="004F512A">
              <w:rPr>
                <w:rFonts w:ascii="Times New Roman" w:hAnsi="Times New Roman"/>
                <w:b/>
                <w:spacing w:val="-2"/>
              </w:rPr>
              <w:t>ykonani</w:t>
            </w:r>
            <w:r w:rsidR="00CF5F4F" w:rsidRPr="004F512A">
              <w:rPr>
                <w:rFonts w:ascii="Times New Roman" w:hAnsi="Times New Roman"/>
                <w:b/>
                <w:spacing w:val="-2"/>
              </w:rPr>
              <w:t>e</w:t>
            </w:r>
            <w:r w:rsidR="00627221" w:rsidRPr="004F512A">
              <w:rPr>
                <w:rFonts w:ascii="Times New Roman" w:hAnsi="Times New Roman"/>
                <w:b/>
                <w:spacing w:val="-2"/>
              </w:rPr>
              <w:t xml:space="preserve"> przepisów aktu prawnego</w:t>
            </w:r>
          </w:p>
        </w:tc>
      </w:tr>
      <w:tr w:rsidR="001B3460" w:rsidRPr="004F512A" w14:paraId="07898503" w14:textId="77777777" w:rsidTr="00DE4C3A">
        <w:trPr>
          <w:trHeight w:val="142"/>
        </w:trPr>
        <w:tc>
          <w:tcPr>
            <w:tcW w:w="11086" w:type="dxa"/>
            <w:gridSpan w:val="29"/>
            <w:shd w:val="clear" w:color="auto" w:fill="FFFFFF"/>
          </w:tcPr>
          <w:p w14:paraId="49F0035C" w14:textId="77777777" w:rsidR="001B3460" w:rsidRPr="004F512A" w:rsidRDefault="001B3460" w:rsidP="00B37C80">
            <w:pPr>
              <w:spacing w:line="240" w:lineRule="auto"/>
              <w:jc w:val="both"/>
              <w:rPr>
                <w:rFonts w:ascii="Times New Roman" w:hAnsi="Times New Roman"/>
                <w:spacing w:val="-2"/>
              </w:rPr>
            </w:pPr>
          </w:p>
          <w:p w14:paraId="17BDB757" w14:textId="7C6FC4E7" w:rsidR="001B3460" w:rsidRPr="004F512A" w:rsidRDefault="00584E2D" w:rsidP="00B37C80">
            <w:pPr>
              <w:spacing w:line="240" w:lineRule="auto"/>
              <w:jc w:val="both"/>
              <w:rPr>
                <w:rFonts w:ascii="Times New Roman" w:hAnsi="Times New Roman"/>
                <w:spacing w:val="-2"/>
              </w:rPr>
            </w:pPr>
            <w:r w:rsidRPr="004F512A">
              <w:rPr>
                <w:rFonts w:ascii="Times New Roman" w:hAnsi="Times New Roman"/>
                <w:spacing w:val="-2"/>
              </w:rPr>
              <w:t>Ustawa wejdzie w życie po upływie 14 dni od dnia ogłoszenia.</w:t>
            </w:r>
          </w:p>
          <w:p w14:paraId="2EFEFF01" w14:textId="77777777" w:rsidR="001B3460" w:rsidRPr="004F512A" w:rsidRDefault="001B3460" w:rsidP="00B37C80">
            <w:pPr>
              <w:spacing w:line="240" w:lineRule="auto"/>
              <w:jc w:val="both"/>
              <w:rPr>
                <w:rFonts w:ascii="Times New Roman" w:hAnsi="Times New Roman"/>
                <w:spacing w:val="-2"/>
              </w:rPr>
            </w:pPr>
          </w:p>
        </w:tc>
      </w:tr>
      <w:tr w:rsidR="001B3460" w:rsidRPr="004F512A" w14:paraId="0D5662C5" w14:textId="77777777" w:rsidTr="00DE4C3A">
        <w:trPr>
          <w:trHeight w:val="142"/>
        </w:trPr>
        <w:tc>
          <w:tcPr>
            <w:tcW w:w="11086" w:type="dxa"/>
            <w:gridSpan w:val="29"/>
            <w:shd w:val="clear" w:color="auto" w:fill="99CCFF"/>
          </w:tcPr>
          <w:p w14:paraId="41C067AE" w14:textId="77777777" w:rsidR="001B3460" w:rsidRPr="004F512A" w:rsidRDefault="001B3460" w:rsidP="001D6A3C">
            <w:pPr>
              <w:numPr>
                <w:ilvl w:val="0"/>
                <w:numId w:val="3"/>
              </w:numPr>
              <w:spacing w:before="60" w:after="60" w:line="240" w:lineRule="auto"/>
              <w:ind w:left="318" w:hanging="284"/>
              <w:jc w:val="both"/>
              <w:rPr>
                <w:rFonts w:ascii="Times New Roman" w:hAnsi="Times New Roman"/>
                <w:b/>
                <w:color w:val="000000"/>
              </w:rPr>
            </w:pPr>
            <w:r w:rsidRPr="004F512A">
              <w:rPr>
                <w:rFonts w:ascii="Times New Roman" w:hAnsi="Times New Roman"/>
                <w:b/>
                <w:color w:val="000000"/>
              </w:rPr>
              <w:t xml:space="preserve"> </w:t>
            </w:r>
            <w:r w:rsidRPr="004F512A">
              <w:rPr>
                <w:rFonts w:ascii="Times New Roman" w:hAnsi="Times New Roman"/>
                <w:b/>
                <w:spacing w:val="-2"/>
              </w:rPr>
              <w:t xml:space="preserve">W jaki sposób i kiedy nastąpi ewaluacja efektów projektu </w:t>
            </w:r>
            <w:r w:rsidR="00A47BDF" w:rsidRPr="004F512A">
              <w:rPr>
                <w:rFonts w:ascii="Times New Roman" w:hAnsi="Times New Roman"/>
                <w:b/>
                <w:spacing w:val="-2"/>
              </w:rPr>
              <w:t>oraz</w:t>
            </w:r>
            <w:r w:rsidRPr="004F512A">
              <w:rPr>
                <w:rFonts w:ascii="Times New Roman" w:hAnsi="Times New Roman"/>
                <w:b/>
                <w:spacing w:val="-2"/>
              </w:rPr>
              <w:t xml:space="preserve"> jakie mierniki zostaną </w:t>
            </w:r>
            <w:r w:rsidR="00C33027" w:rsidRPr="004F512A">
              <w:rPr>
                <w:rFonts w:ascii="Times New Roman" w:hAnsi="Times New Roman"/>
                <w:b/>
                <w:spacing w:val="-2"/>
              </w:rPr>
              <w:t>zastosowane?</w:t>
            </w:r>
          </w:p>
        </w:tc>
      </w:tr>
      <w:tr w:rsidR="001B3460" w:rsidRPr="004F512A" w14:paraId="7C248799" w14:textId="77777777" w:rsidTr="00DE4C3A">
        <w:trPr>
          <w:trHeight w:val="142"/>
        </w:trPr>
        <w:tc>
          <w:tcPr>
            <w:tcW w:w="11086" w:type="dxa"/>
            <w:gridSpan w:val="29"/>
            <w:shd w:val="clear" w:color="auto" w:fill="FFFFFF"/>
          </w:tcPr>
          <w:p w14:paraId="4617C9E7" w14:textId="77777777" w:rsidR="001B3460" w:rsidRPr="004F512A" w:rsidRDefault="001B3460" w:rsidP="00B37C80">
            <w:pPr>
              <w:spacing w:line="240" w:lineRule="auto"/>
              <w:jc w:val="both"/>
              <w:rPr>
                <w:rFonts w:ascii="Times New Roman" w:hAnsi="Times New Roman"/>
                <w:color w:val="000000"/>
                <w:spacing w:val="-2"/>
              </w:rPr>
            </w:pPr>
          </w:p>
          <w:p w14:paraId="3537BA14" w14:textId="3C71A9DE" w:rsidR="001B3460" w:rsidRPr="004F512A" w:rsidRDefault="00584E2D" w:rsidP="00B37C80">
            <w:pPr>
              <w:spacing w:line="240" w:lineRule="auto"/>
              <w:jc w:val="both"/>
              <w:rPr>
                <w:rFonts w:ascii="Times New Roman" w:hAnsi="Times New Roman"/>
                <w:color w:val="000000"/>
                <w:spacing w:val="-2"/>
              </w:rPr>
            </w:pPr>
            <w:r w:rsidRPr="004F512A">
              <w:rPr>
                <w:rFonts w:ascii="Times New Roman" w:hAnsi="Times New Roman"/>
                <w:color w:val="000000"/>
                <w:spacing w:val="-2"/>
              </w:rPr>
              <w:t>Efekt wprowadzonych w życie przepisów będzie mógł być zmierzony poprzez oszacowanie</w:t>
            </w:r>
            <w:r w:rsidR="00E76C60">
              <w:rPr>
                <w:rFonts w:ascii="Times New Roman" w:hAnsi="Times New Roman"/>
                <w:color w:val="000000"/>
                <w:spacing w:val="-2"/>
              </w:rPr>
              <w:t>,</w:t>
            </w:r>
            <w:r w:rsidRPr="004F512A">
              <w:rPr>
                <w:rFonts w:ascii="Times New Roman" w:hAnsi="Times New Roman"/>
                <w:color w:val="000000"/>
                <w:spacing w:val="-2"/>
              </w:rPr>
              <w:t xml:space="preserve"> ile nowych elektrowni szczytowo-pompowych zostało posadowionych. W Polsce od wielu lat nie powstała żadna elektrownia szczytowo – pompowa, stąd zastosowanie powyższego miernika wydaje się być zasadne. Dane dotyczące istniejących w Polsce źródeł wytwórczych zawarte są </w:t>
            </w:r>
            <w:r w:rsidR="004D1DC1" w:rsidRPr="004F512A">
              <w:rPr>
                <w:rFonts w:ascii="Times New Roman" w:hAnsi="Times New Roman"/>
                <w:color w:val="000000"/>
                <w:spacing w:val="-2"/>
              </w:rPr>
              <w:t>w dokumentach o różnym statusie, np. polityce energetycznej Polski, sprawozdaniu Prezesa U</w:t>
            </w:r>
            <w:r w:rsidR="00254436">
              <w:rPr>
                <w:rFonts w:ascii="Times New Roman" w:hAnsi="Times New Roman"/>
                <w:color w:val="000000"/>
                <w:spacing w:val="-2"/>
              </w:rPr>
              <w:t xml:space="preserve">rzędu </w:t>
            </w:r>
            <w:r w:rsidR="004D1DC1" w:rsidRPr="004F512A">
              <w:rPr>
                <w:rFonts w:ascii="Times New Roman" w:hAnsi="Times New Roman"/>
                <w:color w:val="000000"/>
                <w:spacing w:val="-2"/>
              </w:rPr>
              <w:t>R</w:t>
            </w:r>
            <w:r w:rsidR="00254436">
              <w:rPr>
                <w:rFonts w:ascii="Times New Roman" w:hAnsi="Times New Roman"/>
                <w:color w:val="000000"/>
                <w:spacing w:val="-2"/>
              </w:rPr>
              <w:t xml:space="preserve">egulacji </w:t>
            </w:r>
            <w:r w:rsidR="004D1DC1" w:rsidRPr="004F512A">
              <w:rPr>
                <w:rFonts w:ascii="Times New Roman" w:hAnsi="Times New Roman"/>
                <w:color w:val="000000"/>
                <w:spacing w:val="-2"/>
              </w:rPr>
              <w:t>E</w:t>
            </w:r>
            <w:r w:rsidR="00254436">
              <w:rPr>
                <w:rFonts w:ascii="Times New Roman" w:hAnsi="Times New Roman"/>
                <w:color w:val="000000"/>
                <w:spacing w:val="-2"/>
              </w:rPr>
              <w:t>nergetyki</w:t>
            </w:r>
            <w:r w:rsidR="004D1DC1" w:rsidRPr="004F512A">
              <w:rPr>
                <w:rFonts w:ascii="Times New Roman" w:hAnsi="Times New Roman"/>
                <w:color w:val="000000"/>
                <w:spacing w:val="-2"/>
              </w:rPr>
              <w:t xml:space="preserve"> z działalności, badania</w:t>
            </w:r>
            <w:r w:rsidR="007C3397" w:rsidRPr="004F512A">
              <w:rPr>
                <w:rFonts w:ascii="Times New Roman" w:hAnsi="Times New Roman"/>
                <w:color w:val="000000"/>
                <w:spacing w:val="-2"/>
              </w:rPr>
              <w:t>ch</w:t>
            </w:r>
            <w:r w:rsidR="004D1DC1" w:rsidRPr="004F512A">
              <w:rPr>
                <w:rFonts w:ascii="Times New Roman" w:hAnsi="Times New Roman"/>
                <w:color w:val="000000"/>
                <w:spacing w:val="-2"/>
              </w:rPr>
              <w:t xml:space="preserve"> statystyczn</w:t>
            </w:r>
            <w:r w:rsidR="007C3397" w:rsidRPr="004F512A">
              <w:rPr>
                <w:rFonts w:ascii="Times New Roman" w:hAnsi="Times New Roman"/>
                <w:color w:val="000000"/>
                <w:spacing w:val="-2"/>
              </w:rPr>
              <w:t>ych</w:t>
            </w:r>
            <w:r w:rsidR="004D1DC1" w:rsidRPr="004F512A">
              <w:rPr>
                <w:rFonts w:ascii="Times New Roman" w:hAnsi="Times New Roman"/>
                <w:color w:val="000000"/>
                <w:spacing w:val="-2"/>
              </w:rPr>
              <w:t xml:space="preserve"> prowadzon</w:t>
            </w:r>
            <w:r w:rsidR="007C3397" w:rsidRPr="004F512A">
              <w:rPr>
                <w:rFonts w:ascii="Times New Roman" w:hAnsi="Times New Roman"/>
                <w:color w:val="000000"/>
                <w:spacing w:val="-2"/>
              </w:rPr>
              <w:t>ych</w:t>
            </w:r>
            <w:r w:rsidR="004D1DC1" w:rsidRPr="004F512A">
              <w:rPr>
                <w:rFonts w:ascii="Times New Roman" w:hAnsi="Times New Roman"/>
                <w:color w:val="000000"/>
                <w:spacing w:val="-2"/>
              </w:rPr>
              <w:t xml:space="preserve"> przez Agencję Rynku Energii S.A., itd.</w:t>
            </w:r>
            <w:r w:rsidR="008F0861">
              <w:rPr>
                <w:rFonts w:ascii="Times New Roman" w:hAnsi="Times New Roman"/>
                <w:color w:val="000000"/>
                <w:spacing w:val="-2"/>
              </w:rPr>
              <w:t xml:space="preserve"> Jako miernik ewaluacji wprowadzonych regulacji proponuje się ilość (w przeliczeniu na moc) elektrowni szczytowo-pompowych wybudowanych lub z modernizowanych w okresie 10 i 20 lat od dnia wejścia w życie przepisów ustawy </w:t>
            </w:r>
            <w:r w:rsidR="008F0861" w:rsidRPr="008F0861">
              <w:rPr>
                <w:rFonts w:ascii="Times New Roman" w:hAnsi="Times New Roman"/>
                <w:color w:val="000000"/>
                <w:spacing w:val="-2"/>
              </w:rPr>
              <w:t>o przygotowaniu i realizacji inwestycji w zakresie elektrowni szczytowo-pompowych</w:t>
            </w:r>
            <w:r w:rsidR="008F0861">
              <w:rPr>
                <w:rFonts w:ascii="Times New Roman" w:hAnsi="Times New Roman"/>
                <w:color w:val="000000"/>
                <w:spacing w:val="-2"/>
              </w:rPr>
              <w:t>.</w:t>
            </w:r>
            <w:r w:rsidR="00B7420A">
              <w:rPr>
                <w:rFonts w:ascii="Times New Roman" w:hAnsi="Times New Roman"/>
                <w:color w:val="000000"/>
                <w:spacing w:val="-2"/>
              </w:rPr>
              <w:t xml:space="preserve"> Po zrealizowaniu inwestycji będzie możliwe określenie czasu jej realizacji w porównaniu do czasu realizacji obecnie funkcjonujących elektrowni szczytowo-pompowych. </w:t>
            </w:r>
          </w:p>
          <w:p w14:paraId="35EA64A9" w14:textId="77777777" w:rsidR="001B3460" w:rsidRPr="004F512A" w:rsidRDefault="001B3460" w:rsidP="00B37C80">
            <w:pPr>
              <w:spacing w:line="240" w:lineRule="auto"/>
              <w:jc w:val="both"/>
              <w:rPr>
                <w:rFonts w:ascii="Times New Roman" w:hAnsi="Times New Roman"/>
                <w:color w:val="000000"/>
                <w:spacing w:val="-2"/>
              </w:rPr>
            </w:pPr>
          </w:p>
        </w:tc>
      </w:tr>
      <w:tr w:rsidR="001B3460" w:rsidRPr="004F512A" w14:paraId="770C79C3" w14:textId="77777777" w:rsidTr="00DE4C3A">
        <w:trPr>
          <w:trHeight w:val="142"/>
        </w:trPr>
        <w:tc>
          <w:tcPr>
            <w:tcW w:w="11086" w:type="dxa"/>
            <w:gridSpan w:val="29"/>
            <w:shd w:val="clear" w:color="auto" w:fill="99CCFF"/>
          </w:tcPr>
          <w:p w14:paraId="2073017A" w14:textId="77777777" w:rsidR="001B3460" w:rsidRPr="004F512A" w:rsidRDefault="001B3460" w:rsidP="00301959">
            <w:pPr>
              <w:numPr>
                <w:ilvl w:val="0"/>
                <w:numId w:val="3"/>
              </w:numPr>
              <w:spacing w:before="60" w:after="60" w:line="240" w:lineRule="auto"/>
              <w:ind w:left="318" w:hanging="284"/>
              <w:jc w:val="both"/>
              <w:rPr>
                <w:rFonts w:ascii="Times New Roman" w:hAnsi="Times New Roman"/>
                <w:b/>
                <w:color w:val="000000"/>
                <w:spacing w:val="-2"/>
              </w:rPr>
            </w:pPr>
            <w:r w:rsidRPr="004F512A">
              <w:rPr>
                <w:rFonts w:ascii="Times New Roman" w:hAnsi="Times New Roman"/>
                <w:b/>
                <w:color w:val="000000"/>
                <w:spacing w:val="-2"/>
              </w:rPr>
              <w:t xml:space="preserve">Załączniki </w:t>
            </w:r>
            <w:r w:rsidRPr="004F512A">
              <w:rPr>
                <w:rFonts w:ascii="Times New Roman" w:hAnsi="Times New Roman"/>
                <w:b/>
                <w:spacing w:val="-2"/>
              </w:rPr>
              <w:t xml:space="preserve">(istotne dokumenty źródłowe, badania, analizy </w:t>
            </w:r>
            <w:r w:rsidR="00C33027" w:rsidRPr="004F512A">
              <w:rPr>
                <w:rFonts w:ascii="Times New Roman" w:hAnsi="Times New Roman"/>
                <w:b/>
                <w:spacing w:val="-2"/>
              </w:rPr>
              <w:t>itp.</w:t>
            </w:r>
            <w:r w:rsidRPr="004F512A">
              <w:rPr>
                <w:rFonts w:ascii="Times New Roman" w:hAnsi="Times New Roman"/>
                <w:b/>
                <w:color w:val="000000"/>
                <w:spacing w:val="-2"/>
              </w:rPr>
              <w:t xml:space="preserve">) </w:t>
            </w:r>
          </w:p>
        </w:tc>
      </w:tr>
      <w:tr w:rsidR="001B3460" w:rsidRPr="004F512A" w14:paraId="1F1566DE" w14:textId="77777777" w:rsidTr="00DE4C3A">
        <w:trPr>
          <w:trHeight w:val="142"/>
        </w:trPr>
        <w:tc>
          <w:tcPr>
            <w:tcW w:w="11086" w:type="dxa"/>
            <w:gridSpan w:val="29"/>
            <w:shd w:val="clear" w:color="auto" w:fill="FFFFFF"/>
          </w:tcPr>
          <w:p w14:paraId="34A822E1" w14:textId="77777777" w:rsidR="001B3460" w:rsidRPr="004F512A" w:rsidRDefault="001B3460" w:rsidP="00B37C80">
            <w:pPr>
              <w:spacing w:line="240" w:lineRule="auto"/>
              <w:jc w:val="both"/>
              <w:rPr>
                <w:rFonts w:ascii="Times New Roman" w:hAnsi="Times New Roman"/>
                <w:i/>
                <w:color w:val="000000"/>
                <w:spacing w:val="-2"/>
              </w:rPr>
            </w:pPr>
          </w:p>
          <w:p w14:paraId="314EE117" w14:textId="18CA2D79" w:rsidR="001B3460" w:rsidRPr="004F512A" w:rsidRDefault="007C3397" w:rsidP="007C3397">
            <w:pPr>
              <w:pStyle w:val="Akapitzlist"/>
              <w:numPr>
                <w:ilvl w:val="0"/>
                <w:numId w:val="23"/>
              </w:numPr>
              <w:spacing w:line="240" w:lineRule="auto"/>
              <w:jc w:val="both"/>
              <w:rPr>
                <w:rFonts w:ascii="Times New Roman" w:hAnsi="Times New Roman"/>
                <w:color w:val="000000"/>
                <w:spacing w:val="-2"/>
              </w:rPr>
            </w:pPr>
            <w:r w:rsidRPr="004F512A">
              <w:rPr>
                <w:rFonts w:ascii="Times New Roman" w:hAnsi="Times New Roman"/>
                <w:color w:val="000000"/>
                <w:spacing w:val="-2"/>
              </w:rPr>
              <w:t>Polityka energetyczna Polski</w:t>
            </w:r>
            <w:r w:rsidR="007171ED" w:rsidRPr="004F512A">
              <w:rPr>
                <w:rFonts w:ascii="Times New Roman" w:hAnsi="Times New Roman"/>
                <w:color w:val="000000"/>
                <w:spacing w:val="-2"/>
              </w:rPr>
              <w:t xml:space="preserve"> </w:t>
            </w:r>
            <w:r w:rsidRPr="004F512A">
              <w:rPr>
                <w:rFonts w:ascii="Times New Roman" w:hAnsi="Times New Roman"/>
                <w:color w:val="000000"/>
                <w:spacing w:val="-2"/>
              </w:rPr>
              <w:t xml:space="preserve">do 2040 r. (PEP2040) </w:t>
            </w:r>
            <w:r w:rsidR="007171ED" w:rsidRPr="004F512A">
              <w:rPr>
                <w:rFonts w:ascii="Times New Roman" w:hAnsi="Times New Roman"/>
                <w:color w:val="000000"/>
                <w:spacing w:val="-2"/>
              </w:rPr>
              <w:t>-</w:t>
            </w:r>
            <w:r w:rsidRPr="004F512A">
              <w:rPr>
                <w:rFonts w:ascii="Times New Roman" w:hAnsi="Times New Roman"/>
                <w:color w:val="000000"/>
                <w:spacing w:val="-2"/>
              </w:rPr>
              <w:t xml:space="preserve"> Załącznik nr 2 – Wnioski z analiz prognostycznych dla sektora paliwowo</w:t>
            </w:r>
            <w:r w:rsidR="007171ED" w:rsidRPr="004F512A">
              <w:rPr>
                <w:rFonts w:ascii="Times New Roman" w:hAnsi="Times New Roman"/>
                <w:color w:val="000000"/>
                <w:spacing w:val="-2"/>
              </w:rPr>
              <w:t xml:space="preserve"> </w:t>
            </w:r>
            <w:r w:rsidRPr="004F512A">
              <w:rPr>
                <w:rFonts w:ascii="Times New Roman" w:hAnsi="Times New Roman"/>
                <w:color w:val="000000"/>
                <w:spacing w:val="-2"/>
              </w:rPr>
              <w:t>energetycznego</w:t>
            </w:r>
            <w:r w:rsidR="005F489D">
              <w:rPr>
                <w:rFonts w:ascii="Times New Roman" w:hAnsi="Times New Roman"/>
                <w:color w:val="000000"/>
                <w:spacing w:val="-2"/>
              </w:rPr>
              <w:t xml:space="preserve"> oraz przyjęta w dniu 29 marca br. aktualizacja założeń do PEP2040</w:t>
            </w:r>
            <w:r w:rsidR="007171ED" w:rsidRPr="004F512A">
              <w:rPr>
                <w:rFonts w:ascii="Times New Roman" w:hAnsi="Times New Roman"/>
                <w:color w:val="000000"/>
                <w:spacing w:val="-2"/>
              </w:rPr>
              <w:t>;</w:t>
            </w:r>
          </w:p>
          <w:p w14:paraId="63F37193" w14:textId="77BF7732" w:rsidR="001B3460" w:rsidRPr="004F512A" w:rsidRDefault="008231CB" w:rsidP="00B37C80">
            <w:pPr>
              <w:pStyle w:val="Akapitzlist"/>
              <w:numPr>
                <w:ilvl w:val="0"/>
                <w:numId w:val="23"/>
              </w:numPr>
              <w:spacing w:line="240" w:lineRule="auto"/>
              <w:jc w:val="both"/>
              <w:rPr>
                <w:rFonts w:ascii="Times New Roman" w:hAnsi="Times New Roman"/>
                <w:color w:val="000000"/>
                <w:spacing w:val="-2"/>
              </w:rPr>
            </w:pPr>
            <w:r>
              <w:rPr>
                <w:rFonts w:ascii="Times New Roman" w:hAnsi="Times New Roman"/>
                <w:color w:val="000000"/>
                <w:spacing w:val="-2"/>
              </w:rPr>
              <w:t>R</w:t>
            </w:r>
            <w:r w:rsidR="007171ED" w:rsidRPr="004F512A">
              <w:rPr>
                <w:rFonts w:ascii="Times New Roman" w:hAnsi="Times New Roman"/>
                <w:color w:val="000000"/>
                <w:spacing w:val="-2"/>
              </w:rPr>
              <w:t>aport pt. Rola elektrowni szczytowo-pompowych w Krajowym Systemie Elektroenergetycznym: uwarunkowania i kierunki rozwoju</w:t>
            </w:r>
            <w:r w:rsidR="00CD393A">
              <w:rPr>
                <w:rFonts w:ascii="Times New Roman" w:hAnsi="Times New Roman"/>
                <w:color w:val="000000"/>
                <w:spacing w:val="-2"/>
              </w:rPr>
              <w:t>.</w:t>
            </w:r>
          </w:p>
          <w:p w14:paraId="4203991B" w14:textId="7B82CCB0" w:rsidR="007171ED" w:rsidRPr="004F512A" w:rsidRDefault="007171ED" w:rsidP="007171ED">
            <w:pPr>
              <w:spacing w:line="240" w:lineRule="auto"/>
              <w:ind w:left="360"/>
              <w:jc w:val="both"/>
              <w:rPr>
                <w:rFonts w:ascii="Times New Roman" w:hAnsi="Times New Roman"/>
                <w:color w:val="000000"/>
                <w:spacing w:val="-2"/>
              </w:rPr>
            </w:pPr>
          </w:p>
        </w:tc>
      </w:tr>
    </w:tbl>
    <w:p w14:paraId="1318261F" w14:textId="77777777" w:rsidR="006176ED" w:rsidRPr="004F512A" w:rsidRDefault="00C540BC" w:rsidP="006176ED">
      <w:pPr>
        <w:pStyle w:val="Nagwek1"/>
        <w:jc w:val="center"/>
        <w:rPr>
          <w:rFonts w:ascii="Times New Roman" w:hAnsi="Times New Roman" w:cs="Times New Roman"/>
          <w:sz w:val="22"/>
          <w:szCs w:val="22"/>
        </w:rPr>
      </w:pPr>
      <w:r w:rsidRPr="004F512A">
        <w:rPr>
          <w:rFonts w:ascii="Times New Roman" w:hAnsi="Times New Roman" w:cs="Times New Roman"/>
          <w:sz w:val="22"/>
          <w:szCs w:val="22"/>
        </w:rPr>
        <w:br w:type="page"/>
      </w:r>
      <w:r w:rsidR="006176ED" w:rsidRPr="004F512A">
        <w:rPr>
          <w:rFonts w:ascii="Times New Roman" w:hAnsi="Times New Roman" w:cs="Times New Roman"/>
          <w:sz w:val="22"/>
          <w:szCs w:val="22"/>
        </w:rPr>
        <w:lastRenderedPageBreak/>
        <w:t xml:space="preserve">Wyjaśnienia do </w:t>
      </w:r>
      <w:r w:rsidR="006176ED" w:rsidRPr="004F512A">
        <w:rPr>
          <w:rFonts w:ascii="Times New Roman" w:hAnsi="Times New Roman" w:cs="Times New Roman"/>
          <w:sz w:val="22"/>
          <w:szCs w:val="22"/>
        </w:rPr>
        <w:br/>
        <w:t>formularza oceny skutków regulacji</w:t>
      </w:r>
    </w:p>
    <w:p w14:paraId="207B3414" w14:textId="77777777" w:rsidR="006176ED" w:rsidRPr="004F512A" w:rsidRDefault="006176ED" w:rsidP="006176ED">
      <w:pPr>
        <w:rPr>
          <w:rFonts w:ascii="Times New Roman" w:hAnsi="Times New Roman"/>
          <w:lang w:eastAsia="pl-PL"/>
        </w:rPr>
      </w:pPr>
    </w:p>
    <w:p w14:paraId="31899B50" w14:textId="77777777" w:rsidR="00522D94" w:rsidRPr="004F512A" w:rsidRDefault="00522D94" w:rsidP="00522D94">
      <w:pPr>
        <w:numPr>
          <w:ilvl w:val="0"/>
          <w:numId w:val="8"/>
        </w:numPr>
        <w:spacing w:after="120" w:line="240" w:lineRule="auto"/>
        <w:jc w:val="both"/>
        <w:rPr>
          <w:rFonts w:ascii="Times New Roman" w:hAnsi="Times New Roman"/>
          <w:b/>
        </w:rPr>
      </w:pPr>
      <w:r w:rsidRPr="004F512A">
        <w:rPr>
          <w:rFonts w:ascii="Times New Roman" w:hAnsi="Times New Roman"/>
          <w:b/>
        </w:rPr>
        <w:t>Metryczka</w:t>
      </w:r>
    </w:p>
    <w:p w14:paraId="071820CF" w14:textId="77777777" w:rsidR="00522D94" w:rsidRPr="004F512A" w:rsidRDefault="00522D94" w:rsidP="00522D94">
      <w:pPr>
        <w:spacing w:after="120"/>
        <w:jc w:val="both"/>
        <w:rPr>
          <w:rFonts w:ascii="Times New Roman" w:hAnsi="Times New Roman"/>
        </w:rPr>
      </w:pPr>
      <w:r w:rsidRPr="004F512A">
        <w:rPr>
          <w:rFonts w:ascii="Times New Roman" w:hAnsi="Times New Roman"/>
        </w:rPr>
        <w:t xml:space="preserve">W niniejszej części należy podać podstawowe informacje na temat </w:t>
      </w:r>
      <w:r w:rsidR="002172F1" w:rsidRPr="004F512A">
        <w:rPr>
          <w:rFonts w:ascii="Times New Roman" w:hAnsi="Times New Roman"/>
        </w:rPr>
        <w:t>oceny skutków regulacji</w:t>
      </w:r>
      <w:r w:rsidRPr="004F512A">
        <w:rPr>
          <w:rFonts w:ascii="Times New Roman" w:hAnsi="Times New Roman"/>
        </w:rPr>
        <w:t>:</w:t>
      </w:r>
    </w:p>
    <w:p w14:paraId="43AF6962" w14:textId="77777777" w:rsidR="00C004B6" w:rsidRPr="004F512A" w:rsidRDefault="00C004B6" w:rsidP="00C004B6">
      <w:pPr>
        <w:numPr>
          <w:ilvl w:val="0"/>
          <w:numId w:val="15"/>
        </w:numPr>
        <w:spacing w:after="120" w:line="240" w:lineRule="auto"/>
        <w:jc w:val="both"/>
        <w:rPr>
          <w:rFonts w:ascii="Times New Roman" w:hAnsi="Times New Roman"/>
        </w:rPr>
      </w:pPr>
      <w:r w:rsidRPr="004F512A">
        <w:rPr>
          <w:rFonts w:ascii="Times New Roman" w:hAnsi="Times New Roman"/>
        </w:rPr>
        <w:t xml:space="preserve">Nazwa </w:t>
      </w:r>
      <w:r w:rsidR="001B75D8" w:rsidRPr="004F512A">
        <w:rPr>
          <w:rFonts w:ascii="Times New Roman" w:hAnsi="Times New Roman"/>
        </w:rPr>
        <w:t>projektu</w:t>
      </w:r>
      <w:r w:rsidRPr="004F512A">
        <w:rPr>
          <w:rFonts w:ascii="Times New Roman" w:hAnsi="Times New Roman"/>
        </w:rPr>
        <w:t xml:space="preserve">: </w:t>
      </w:r>
    </w:p>
    <w:p w14:paraId="3B6AB9AE" w14:textId="77777777" w:rsidR="00C004B6" w:rsidRPr="004F512A" w:rsidRDefault="00C004B6" w:rsidP="00C004B6">
      <w:pPr>
        <w:spacing w:after="120" w:line="240" w:lineRule="auto"/>
        <w:ind w:left="420"/>
        <w:jc w:val="both"/>
        <w:rPr>
          <w:rFonts w:ascii="Times New Roman" w:hAnsi="Times New Roman"/>
        </w:rPr>
      </w:pPr>
      <w:r w:rsidRPr="004F512A">
        <w:rPr>
          <w:rFonts w:ascii="Times New Roman" w:hAnsi="Times New Roman"/>
        </w:rPr>
        <w:t>Proszę podać np. wstępny tytuł projektu</w:t>
      </w:r>
      <w:r w:rsidR="00337DD2" w:rsidRPr="004F512A">
        <w:rPr>
          <w:rFonts w:ascii="Times New Roman" w:hAnsi="Times New Roman"/>
        </w:rPr>
        <w:t xml:space="preserve"> wpisan</w:t>
      </w:r>
      <w:r w:rsidR="002172F1" w:rsidRPr="004F512A">
        <w:rPr>
          <w:rFonts w:ascii="Times New Roman" w:hAnsi="Times New Roman"/>
        </w:rPr>
        <w:t>y</w:t>
      </w:r>
      <w:r w:rsidR="00337DD2" w:rsidRPr="004F512A">
        <w:rPr>
          <w:rFonts w:ascii="Times New Roman" w:hAnsi="Times New Roman"/>
        </w:rPr>
        <w:t xml:space="preserve"> do </w:t>
      </w:r>
      <w:r w:rsidR="00BB0DCA" w:rsidRPr="004F512A">
        <w:rPr>
          <w:rFonts w:ascii="Times New Roman" w:hAnsi="Times New Roman"/>
        </w:rPr>
        <w:t>w</w:t>
      </w:r>
      <w:r w:rsidR="00337DD2" w:rsidRPr="004F512A">
        <w:rPr>
          <w:rFonts w:ascii="Times New Roman" w:hAnsi="Times New Roman"/>
        </w:rPr>
        <w:t>ykazu</w:t>
      </w:r>
      <w:r w:rsidR="00BB0DCA" w:rsidRPr="004F512A">
        <w:rPr>
          <w:rFonts w:ascii="Times New Roman" w:hAnsi="Times New Roman"/>
        </w:rPr>
        <w:t xml:space="preserve"> prac legislacyjnych</w:t>
      </w:r>
      <w:r w:rsidRPr="004F512A">
        <w:rPr>
          <w:rFonts w:ascii="Times New Roman" w:hAnsi="Times New Roman"/>
        </w:rPr>
        <w:t>.</w:t>
      </w:r>
    </w:p>
    <w:p w14:paraId="08622354" w14:textId="77777777" w:rsidR="00C004B6" w:rsidRPr="004F512A" w:rsidRDefault="00C004B6" w:rsidP="00C004B6">
      <w:pPr>
        <w:numPr>
          <w:ilvl w:val="0"/>
          <w:numId w:val="15"/>
        </w:numPr>
        <w:spacing w:after="120" w:line="240" w:lineRule="auto"/>
        <w:jc w:val="both"/>
        <w:rPr>
          <w:rFonts w:ascii="Times New Roman" w:hAnsi="Times New Roman"/>
        </w:rPr>
      </w:pPr>
      <w:r w:rsidRPr="004F512A">
        <w:rPr>
          <w:rFonts w:ascii="Times New Roman" w:hAnsi="Times New Roman"/>
        </w:rPr>
        <w:t>Ministerstwo wiodące i ministerstwa współpracujące:</w:t>
      </w:r>
    </w:p>
    <w:p w14:paraId="37F1FC32" w14:textId="77777777" w:rsidR="00C004B6" w:rsidRPr="004F512A" w:rsidRDefault="00C004B6" w:rsidP="00C004B6">
      <w:pPr>
        <w:spacing w:after="120" w:line="240" w:lineRule="auto"/>
        <w:ind w:left="420"/>
        <w:jc w:val="both"/>
        <w:rPr>
          <w:rFonts w:ascii="Times New Roman" w:hAnsi="Times New Roman"/>
        </w:rPr>
      </w:pPr>
      <w:r w:rsidRPr="004F512A">
        <w:rPr>
          <w:rFonts w:ascii="Times New Roman" w:hAnsi="Times New Roman"/>
        </w:rPr>
        <w:t xml:space="preserve">Proszę wskazać </w:t>
      </w:r>
      <w:r w:rsidR="001C1060" w:rsidRPr="004F512A">
        <w:rPr>
          <w:rFonts w:ascii="Times New Roman" w:hAnsi="Times New Roman"/>
        </w:rPr>
        <w:t>organ</w:t>
      </w:r>
      <w:r w:rsidRPr="004F512A">
        <w:rPr>
          <w:rFonts w:ascii="Times New Roman" w:hAnsi="Times New Roman"/>
        </w:rPr>
        <w:t xml:space="preserve"> odpowiedzialny za przygotowanie projektu, jego koordynację oraz wdrożenie (ministerstwo wiodące). </w:t>
      </w:r>
      <w:r w:rsidR="004244A8" w:rsidRPr="004F512A">
        <w:rPr>
          <w:rFonts w:ascii="Times New Roman" w:hAnsi="Times New Roman"/>
        </w:rPr>
        <w:t>W</w:t>
      </w:r>
      <w:r w:rsidRPr="004F512A">
        <w:rPr>
          <w:rFonts w:ascii="Times New Roman" w:hAnsi="Times New Roman"/>
        </w:rPr>
        <w:t xml:space="preserve"> </w:t>
      </w:r>
      <w:r w:rsidR="00C33027" w:rsidRPr="004F512A">
        <w:rPr>
          <w:rFonts w:ascii="Times New Roman" w:hAnsi="Times New Roman"/>
        </w:rPr>
        <w:t>przypadku, gdy</w:t>
      </w:r>
      <w:r w:rsidRPr="004F512A">
        <w:rPr>
          <w:rFonts w:ascii="Times New Roman" w:hAnsi="Times New Roman"/>
        </w:rPr>
        <w:t xml:space="preserve"> projekt jest przedmiotem prac więcej niż jednego ministerstwa, proszę wskazać również podmioty współpracujące.</w:t>
      </w:r>
    </w:p>
    <w:p w14:paraId="5964EA39" w14:textId="77777777" w:rsidR="00C004B6" w:rsidRPr="004F512A" w:rsidRDefault="00C004B6" w:rsidP="00C004B6">
      <w:pPr>
        <w:numPr>
          <w:ilvl w:val="0"/>
          <w:numId w:val="15"/>
        </w:numPr>
        <w:spacing w:after="120" w:line="240" w:lineRule="auto"/>
        <w:jc w:val="both"/>
        <w:rPr>
          <w:rFonts w:ascii="Times New Roman" w:hAnsi="Times New Roman"/>
        </w:rPr>
      </w:pPr>
      <w:r w:rsidRPr="004F512A">
        <w:rPr>
          <w:rFonts w:ascii="Times New Roman" w:hAnsi="Times New Roman"/>
        </w:rPr>
        <w:t xml:space="preserve">Osoba odpowiedzialna za </w:t>
      </w:r>
      <w:r w:rsidR="00BB0DCA" w:rsidRPr="004F512A">
        <w:rPr>
          <w:rFonts w:ascii="Times New Roman" w:hAnsi="Times New Roman"/>
        </w:rPr>
        <w:t xml:space="preserve">projekt </w:t>
      </w:r>
      <w:r w:rsidRPr="004F512A">
        <w:rPr>
          <w:rFonts w:ascii="Times New Roman" w:hAnsi="Times New Roman"/>
        </w:rPr>
        <w:t>w randze Ministra, Sekretarza Stanu lub Podsekretarza Stanu:</w:t>
      </w:r>
    </w:p>
    <w:p w14:paraId="0F7A614E" w14:textId="77777777" w:rsidR="00C004B6" w:rsidRPr="004F512A" w:rsidRDefault="00C004B6" w:rsidP="00C004B6">
      <w:pPr>
        <w:spacing w:after="120" w:line="240" w:lineRule="auto"/>
        <w:ind w:left="420"/>
        <w:jc w:val="both"/>
        <w:rPr>
          <w:rFonts w:ascii="Times New Roman" w:hAnsi="Times New Roman"/>
        </w:rPr>
      </w:pPr>
      <w:r w:rsidRPr="004F512A">
        <w:rPr>
          <w:rFonts w:ascii="Times New Roman" w:hAnsi="Times New Roman"/>
        </w:rPr>
        <w:t xml:space="preserve">Proszę wskazać osobę, która w ministerstwie wiodącym nadzoruje prace jednostki odpowiedzialnej za merytoryczne przygotowanie projektu. </w:t>
      </w:r>
    </w:p>
    <w:p w14:paraId="64F3A395" w14:textId="77777777" w:rsidR="00C004B6" w:rsidRPr="004F512A" w:rsidRDefault="00C004B6" w:rsidP="00C004B6">
      <w:pPr>
        <w:numPr>
          <w:ilvl w:val="0"/>
          <w:numId w:val="15"/>
        </w:numPr>
        <w:spacing w:after="120" w:line="240" w:lineRule="auto"/>
        <w:jc w:val="both"/>
        <w:rPr>
          <w:rFonts w:ascii="Times New Roman" w:hAnsi="Times New Roman"/>
        </w:rPr>
      </w:pPr>
      <w:r w:rsidRPr="004F512A">
        <w:rPr>
          <w:rFonts w:ascii="Times New Roman" w:hAnsi="Times New Roman"/>
        </w:rPr>
        <w:t>Kontakt do opiekuna merytorycznego projektu:</w:t>
      </w:r>
    </w:p>
    <w:p w14:paraId="71D77872" w14:textId="77777777" w:rsidR="004244A8" w:rsidRPr="004F512A" w:rsidRDefault="004244A8" w:rsidP="004244A8">
      <w:pPr>
        <w:spacing w:after="120" w:line="240" w:lineRule="auto"/>
        <w:ind w:left="420"/>
        <w:jc w:val="both"/>
        <w:rPr>
          <w:rFonts w:ascii="Times New Roman" w:hAnsi="Times New Roman"/>
        </w:rPr>
      </w:pPr>
      <w:r w:rsidRPr="004F512A">
        <w:rPr>
          <w:rFonts w:ascii="Times New Roman" w:hAnsi="Times New Roman"/>
        </w:rPr>
        <w:t>Proszę podać kontakt (telefon, adres e-mail) do osoby, która jest odpowiedzialna za opracowanie projektu (np. kierownika komórki organizacyjnej) i będzie w stanie odpowiedzieć na ewentualne pytania związane z przedstawionymi w ocenie informacjami lub wskaże odpowiednią osobę.</w:t>
      </w:r>
    </w:p>
    <w:p w14:paraId="7234AE23" w14:textId="77777777" w:rsidR="00C004B6" w:rsidRPr="004F512A" w:rsidRDefault="00C004B6" w:rsidP="00C004B6">
      <w:pPr>
        <w:numPr>
          <w:ilvl w:val="0"/>
          <w:numId w:val="15"/>
        </w:numPr>
        <w:spacing w:after="120" w:line="240" w:lineRule="auto"/>
        <w:jc w:val="both"/>
        <w:rPr>
          <w:rFonts w:ascii="Times New Roman" w:hAnsi="Times New Roman"/>
        </w:rPr>
      </w:pPr>
      <w:r w:rsidRPr="004F512A">
        <w:rPr>
          <w:rFonts w:ascii="Times New Roman" w:hAnsi="Times New Roman"/>
        </w:rPr>
        <w:t>Data sporządzenia:</w:t>
      </w:r>
    </w:p>
    <w:p w14:paraId="6A097750" w14:textId="77777777" w:rsidR="00C004B6" w:rsidRPr="004F512A" w:rsidRDefault="00C004B6" w:rsidP="00C004B6">
      <w:pPr>
        <w:spacing w:after="120" w:line="240" w:lineRule="auto"/>
        <w:ind w:left="420"/>
        <w:jc w:val="both"/>
        <w:rPr>
          <w:rFonts w:ascii="Times New Roman" w:hAnsi="Times New Roman"/>
        </w:rPr>
      </w:pPr>
      <w:r w:rsidRPr="004F512A">
        <w:rPr>
          <w:rFonts w:ascii="Times New Roman" w:hAnsi="Times New Roman"/>
        </w:rPr>
        <w:t xml:space="preserve">Proszę podać datę przygotowania </w:t>
      </w:r>
      <w:r w:rsidR="001C1060" w:rsidRPr="004F512A">
        <w:rPr>
          <w:rFonts w:ascii="Times New Roman" w:hAnsi="Times New Roman"/>
        </w:rPr>
        <w:t>OSR</w:t>
      </w:r>
      <w:r w:rsidRPr="004F512A">
        <w:rPr>
          <w:rFonts w:ascii="Times New Roman" w:hAnsi="Times New Roman"/>
        </w:rPr>
        <w:t xml:space="preserve">. </w:t>
      </w:r>
    </w:p>
    <w:p w14:paraId="083328FC" w14:textId="77777777" w:rsidR="00371857" w:rsidRPr="004F512A" w:rsidRDefault="00371857" w:rsidP="00371857">
      <w:pPr>
        <w:numPr>
          <w:ilvl w:val="0"/>
          <w:numId w:val="15"/>
        </w:numPr>
        <w:spacing w:after="120" w:line="240" w:lineRule="auto"/>
        <w:jc w:val="both"/>
        <w:rPr>
          <w:rFonts w:ascii="Times New Roman" w:hAnsi="Times New Roman"/>
        </w:rPr>
      </w:pPr>
      <w:r w:rsidRPr="004F512A">
        <w:rPr>
          <w:rFonts w:ascii="Times New Roman" w:hAnsi="Times New Roman"/>
        </w:rPr>
        <w:t>Źródło:</w:t>
      </w:r>
    </w:p>
    <w:p w14:paraId="2DB7F4C2" w14:textId="77777777" w:rsidR="00371857" w:rsidRPr="004F512A" w:rsidRDefault="00371857" w:rsidP="00371857">
      <w:pPr>
        <w:spacing w:after="120" w:line="240" w:lineRule="auto"/>
        <w:ind w:left="420"/>
        <w:jc w:val="both"/>
        <w:rPr>
          <w:rFonts w:ascii="Times New Roman" w:hAnsi="Times New Roman"/>
        </w:rPr>
      </w:pPr>
      <w:r w:rsidRPr="004F512A">
        <w:rPr>
          <w:rFonts w:ascii="Times New Roman" w:hAnsi="Times New Roman"/>
        </w:rPr>
        <w:t xml:space="preserve">Z rozwijanej listy proszę wybrać źródło, na podstawie którego przygotowywany jest projekt (punkt exposé, data decyzji, nazwa strategii, nr dyrektywy, sygn. orzeczenia TK, nazwa ustawy, inne). </w:t>
      </w:r>
    </w:p>
    <w:p w14:paraId="05358C93" w14:textId="77777777" w:rsidR="00C004B6" w:rsidRPr="004F512A" w:rsidRDefault="00C004B6" w:rsidP="00C004B6">
      <w:pPr>
        <w:numPr>
          <w:ilvl w:val="0"/>
          <w:numId w:val="15"/>
        </w:numPr>
        <w:spacing w:after="120" w:line="240" w:lineRule="auto"/>
        <w:jc w:val="both"/>
        <w:rPr>
          <w:rFonts w:ascii="Times New Roman" w:hAnsi="Times New Roman"/>
        </w:rPr>
      </w:pPr>
      <w:r w:rsidRPr="004F512A">
        <w:rPr>
          <w:rFonts w:ascii="Times New Roman" w:hAnsi="Times New Roman"/>
        </w:rPr>
        <w:t xml:space="preserve">Nr w </w:t>
      </w:r>
      <w:r w:rsidR="00BB0DCA" w:rsidRPr="004F512A">
        <w:rPr>
          <w:rFonts w:ascii="Times New Roman" w:hAnsi="Times New Roman"/>
        </w:rPr>
        <w:t>w</w:t>
      </w:r>
      <w:r w:rsidRPr="004F512A">
        <w:rPr>
          <w:rFonts w:ascii="Times New Roman" w:hAnsi="Times New Roman"/>
        </w:rPr>
        <w:t>ykazie</w:t>
      </w:r>
      <w:r w:rsidR="00BB0DCA" w:rsidRPr="004F512A">
        <w:rPr>
          <w:rFonts w:ascii="Times New Roman" w:hAnsi="Times New Roman"/>
        </w:rPr>
        <w:t xml:space="preserve"> prac</w:t>
      </w:r>
      <w:r w:rsidRPr="004F512A">
        <w:rPr>
          <w:rFonts w:ascii="Times New Roman" w:hAnsi="Times New Roman"/>
        </w:rPr>
        <w:t>:</w:t>
      </w:r>
    </w:p>
    <w:p w14:paraId="725E8B90" w14:textId="77777777" w:rsidR="00C004B6" w:rsidRPr="004F512A" w:rsidRDefault="00205141" w:rsidP="00C004B6">
      <w:pPr>
        <w:spacing w:after="120" w:line="240" w:lineRule="auto"/>
        <w:ind w:left="420"/>
        <w:jc w:val="both"/>
        <w:rPr>
          <w:rFonts w:ascii="Times New Roman" w:hAnsi="Times New Roman"/>
        </w:rPr>
      </w:pPr>
      <w:r w:rsidRPr="004F512A">
        <w:rPr>
          <w:rFonts w:ascii="Times New Roman" w:hAnsi="Times New Roman"/>
        </w:rPr>
        <w:t>Proszę podać num</w:t>
      </w:r>
      <w:r w:rsidR="00C004B6" w:rsidRPr="004F512A">
        <w:rPr>
          <w:rFonts w:ascii="Times New Roman" w:hAnsi="Times New Roman"/>
        </w:rPr>
        <w:t xml:space="preserve">er </w:t>
      </w:r>
      <w:r w:rsidRPr="004F512A">
        <w:rPr>
          <w:rFonts w:ascii="Times New Roman" w:hAnsi="Times New Roman"/>
        </w:rPr>
        <w:t>z właściwego wykazu prac legislacyjnych</w:t>
      </w:r>
      <w:r w:rsidR="00C004B6" w:rsidRPr="004F512A">
        <w:rPr>
          <w:rFonts w:ascii="Times New Roman" w:hAnsi="Times New Roman"/>
        </w:rPr>
        <w:t>.</w:t>
      </w:r>
    </w:p>
    <w:p w14:paraId="301CFAF1" w14:textId="77777777" w:rsidR="00522D94" w:rsidRPr="004F512A" w:rsidRDefault="00522D94" w:rsidP="00522D94">
      <w:pPr>
        <w:numPr>
          <w:ilvl w:val="0"/>
          <w:numId w:val="8"/>
        </w:numPr>
        <w:spacing w:after="120" w:line="240" w:lineRule="auto"/>
        <w:jc w:val="both"/>
        <w:rPr>
          <w:rFonts w:ascii="Times New Roman" w:hAnsi="Times New Roman"/>
          <w:b/>
        </w:rPr>
      </w:pPr>
      <w:r w:rsidRPr="004F512A">
        <w:rPr>
          <w:rFonts w:ascii="Times New Roman" w:hAnsi="Times New Roman"/>
          <w:b/>
        </w:rPr>
        <w:t>Jaki problem jest rozwiązywany?</w:t>
      </w:r>
    </w:p>
    <w:p w14:paraId="62D3AB1E" w14:textId="77777777" w:rsidR="004244A8" w:rsidRPr="004F512A" w:rsidRDefault="004244A8" w:rsidP="004244A8">
      <w:pPr>
        <w:spacing w:after="120"/>
        <w:ind w:left="360"/>
        <w:jc w:val="both"/>
        <w:rPr>
          <w:rFonts w:ascii="Times New Roman" w:hAnsi="Times New Roman"/>
        </w:rPr>
      </w:pPr>
      <w:r w:rsidRPr="004F512A">
        <w:rPr>
          <w:rFonts w:ascii="Times New Roman" w:hAnsi="Times New Roman"/>
        </w:rPr>
        <w:t>Proszę opisać istotę problemu (np. zawodność rynku, zapotrzebowanie na dobro publiczne, wysokie koszty transakcyjne, bariery w prowadzeniu działalności gospodarczej itp.) i jego praktyczny wymiar (np. zbyt mała ochrona leasingobiorców, niewystarczający komfort i długi czas podróży koleją, występujące obciążenia administracyjne pobierczego danego przepisu itp.). Istotą problemu nie jest brak określonej regulacji - nowa regulacja może być jednym z instrumentów (sposobem) rozwiązania problemu. Dobrze i zwięźle wypełniona rubryka umożliwi zrozumienie problemu, który ma być rozwiązany oraz skali i przyczyn jego występowania.</w:t>
      </w:r>
    </w:p>
    <w:p w14:paraId="6D58873F" w14:textId="77777777" w:rsidR="004244A8" w:rsidRPr="004F512A" w:rsidRDefault="004244A8" w:rsidP="004244A8">
      <w:pPr>
        <w:spacing w:after="120"/>
        <w:ind w:left="360"/>
        <w:jc w:val="both"/>
        <w:rPr>
          <w:rFonts w:ascii="Times New Roman" w:hAnsi="Times New Roman"/>
        </w:rPr>
      </w:pPr>
      <w:r w:rsidRPr="004F512A">
        <w:rPr>
          <w:rFonts w:ascii="Times New Roman" w:hAnsi="Times New Roman"/>
        </w:rPr>
        <w:t>Jeżeli projekt ma charakter przekrojowy i dotyczy wielu zagadnień (np. ustawa deregulująca zawody, ustawa o ułatwieniu wykonywania działalności gospodarczej) proszę opisać najważniejsze (największe) problemy wymagające rozwiązania.</w:t>
      </w:r>
    </w:p>
    <w:p w14:paraId="7849648F" w14:textId="77777777" w:rsidR="00522D94" w:rsidRPr="004F512A" w:rsidRDefault="0013216E" w:rsidP="0013216E">
      <w:pPr>
        <w:numPr>
          <w:ilvl w:val="0"/>
          <w:numId w:val="8"/>
        </w:numPr>
        <w:spacing w:after="120" w:line="240" w:lineRule="auto"/>
        <w:jc w:val="both"/>
        <w:rPr>
          <w:rFonts w:ascii="Times New Roman" w:hAnsi="Times New Roman"/>
          <w:b/>
        </w:rPr>
      </w:pPr>
      <w:r w:rsidRPr="004F512A">
        <w:rPr>
          <w:rFonts w:ascii="Times New Roman" w:hAnsi="Times New Roman"/>
          <w:b/>
          <w:color w:val="000000"/>
          <w:spacing w:val="-2"/>
        </w:rPr>
        <w:t>Rekomendowane rozwiązanie, w tym planowane narzędzia interwencji, i oczekiwany efekt</w:t>
      </w:r>
    </w:p>
    <w:p w14:paraId="32A3B8B6" w14:textId="77777777" w:rsidR="004244A8" w:rsidRPr="004F512A" w:rsidRDefault="004244A8" w:rsidP="004244A8">
      <w:pPr>
        <w:spacing w:after="120"/>
        <w:ind w:left="360"/>
        <w:jc w:val="both"/>
        <w:rPr>
          <w:rFonts w:ascii="Times New Roman" w:hAnsi="Times New Roman"/>
        </w:rPr>
      </w:pPr>
      <w:r w:rsidRPr="004F512A">
        <w:rPr>
          <w:rFonts w:ascii="Times New Roman" w:hAnsi="Times New Roman"/>
        </w:rPr>
        <w:t xml:space="preserve">Proszę zwięźle opisać proponowane rozwiązanie problemu opisanego w pkt 1 oraz oczekiwane rezultaty jego (ich) wdrożenia, sformułowane w możliwie konkretny, mierzalny i określony w czasie sposób - w przypadkach w których jest to możliwe powinien być zgodny z zasadą SMART </w:t>
      </w:r>
      <w:r w:rsidR="004C36D8" w:rsidRPr="004F512A">
        <w:rPr>
          <w:rFonts w:ascii="Times New Roman" w:hAnsi="Times New Roman"/>
        </w:rPr>
        <w:t xml:space="preserve">(prosty, mierzalny, osiągalny, istotny, określony w czasie), </w:t>
      </w:r>
      <w:r w:rsidRPr="004F512A">
        <w:rPr>
          <w:rFonts w:ascii="Times New Roman" w:hAnsi="Times New Roman"/>
        </w:rPr>
        <w:t>np. osiągnięcie do 2020 r. wskaźnika upowszechnienia wychowania przedszkolnego co najmniej 90%.</w:t>
      </w:r>
    </w:p>
    <w:p w14:paraId="4DF1F436" w14:textId="77777777" w:rsidR="004244A8" w:rsidRPr="004F512A" w:rsidRDefault="004244A8" w:rsidP="004244A8">
      <w:pPr>
        <w:spacing w:after="120"/>
        <w:ind w:left="360"/>
        <w:jc w:val="both"/>
        <w:rPr>
          <w:rFonts w:ascii="Times New Roman" w:hAnsi="Times New Roman"/>
        </w:rPr>
      </w:pPr>
      <w:r w:rsidRPr="004F512A">
        <w:rPr>
          <w:rFonts w:ascii="Times New Roman" w:hAnsi="Times New Roman"/>
        </w:rPr>
        <w:t>Jeżeli projekt ma charakter przekrojowy i dotyczy wielu zagadnień (np. ustawa deregulująca zawody, ustawa o ułatwieniu wykonywania działalności gospodarczej) proszę opisać najważniejsze rekomendacje i cele.</w:t>
      </w:r>
    </w:p>
    <w:p w14:paraId="56328A24" w14:textId="77777777" w:rsidR="00522D94" w:rsidRPr="004F512A" w:rsidRDefault="00522D94" w:rsidP="00522D94">
      <w:pPr>
        <w:numPr>
          <w:ilvl w:val="0"/>
          <w:numId w:val="8"/>
        </w:numPr>
        <w:spacing w:after="120" w:line="240" w:lineRule="auto"/>
        <w:jc w:val="both"/>
        <w:rPr>
          <w:rFonts w:ascii="Times New Roman" w:hAnsi="Times New Roman"/>
          <w:b/>
        </w:rPr>
      </w:pPr>
      <w:r w:rsidRPr="004F512A">
        <w:rPr>
          <w:rFonts w:ascii="Times New Roman" w:hAnsi="Times New Roman"/>
          <w:b/>
          <w:spacing w:val="-2"/>
        </w:rPr>
        <w:t>Jak problem został rozwiązany w innych krajach, w szczególności krajach członkowskich OECD/UE</w:t>
      </w:r>
      <w:r w:rsidRPr="004F512A">
        <w:rPr>
          <w:rFonts w:ascii="Times New Roman" w:hAnsi="Times New Roman"/>
          <w:b/>
          <w:color w:val="000000"/>
        </w:rPr>
        <w:t>?</w:t>
      </w:r>
    </w:p>
    <w:p w14:paraId="6BEA6EB4" w14:textId="77777777" w:rsidR="004244A8" w:rsidRPr="004F512A" w:rsidRDefault="004244A8" w:rsidP="004244A8">
      <w:pPr>
        <w:spacing w:after="120"/>
        <w:ind w:left="357"/>
        <w:jc w:val="both"/>
        <w:rPr>
          <w:rFonts w:ascii="Times New Roman" w:hAnsi="Times New Roman"/>
        </w:rPr>
      </w:pPr>
      <w:r w:rsidRPr="004F512A">
        <w:rPr>
          <w:rFonts w:ascii="Times New Roman" w:hAnsi="Times New Roman"/>
        </w:rPr>
        <w:t xml:space="preserve">Proszę wskazać - tam gdzie to możliwe - rozwiązania w minimum 3 krajach i źródła informacji. </w:t>
      </w:r>
      <w:r w:rsidR="00441787" w:rsidRPr="004F512A">
        <w:rPr>
          <w:rFonts w:ascii="Times New Roman" w:hAnsi="Times New Roman"/>
        </w:rPr>
        <w:t>Proszę wskazać kraje,</w:t>
      </w:r>
      <w:r w:rsidR="00441787" w:rsidRPr="004F512A">
        <w:rPr>
          <w:rFonts w:ascii="Times New Roman" w:hAnsi="Times New Roman"/>
        </w:rPr>
        <w:br/>
      </w:r>
      <w:r w:rsidRPr="004F512A">
        <w:rPr>
          <w:rFonts w:ascii="Times New Roman" w:hAnsi="Times New Roman"/>
        </w:rPr>
        <w:t xml:space="preserve">z których </w:t>
      </w:r>
      <w:r w:rsidR="00C33027" w:rsidRPr="004F512A">
        <w:rPr>
          <w:rFonts w:ascii="Times New Roman" w:hAnsi="Times New Roman"/>
        </w:rPr>
        <w:t>rozwiązania przeanalizowano</w:t>
      </w:r>
      <w:r w:rsidRPr="004F512A">
        <w:rPr>
          <w:rFonts w:ascii="Times New Roman" w:hAnsi="Times New Roman"/>
        </w:rPr>
        <w:t xml:space="preserve"> oraz wyniki tych analiz. </w:t>
      </w:r>
    </w:p>
    <w:p w14:paraId="1BA5D140" w14:textId="77777777" w:rsidR="004244A8" w:rsidRPr="004F512A" w:rsidRDefault="004244A8" w:rsidP="004244A8">
      <w:pPr>
        <w:spacing w:after="120"/>
        <w:ind w:left="357"/>
        <w:jc w:val="both"/>
        <w:rPr>
          <w:rFonts w:ascii="Times New Roman" w:hAnsi="Times New Roman"/>
        </w:rPr>
      </w:pPr>
      <w:r w:rsidRPr="004F512A">
        <w:rPr>
          <w:rFonts w:ascii="Times New Roman" w:hAnsi="Times New Roman"/>
        </w:rPr>
        <w:lastRenderedPageBreak/>
        <w:t xml:space="preserve">Jeżeli projekt ma charakter przekrojowy i dotyczy wielu zagadnień (np. ustawa deregulująca zawody, ustawa o ułatwieniu wykonywania działalności gospodarczej) proszę wskazać informacje odnoszące się </w:t>
      </w:r>
      <w:r w:rsidR="00C33027" w:rsidRPr="004F512A">
        <w:rPr>
          <w:rFonts w:ascii="Times New Roman" w:hAnsi="Times New Roman"/>
        </w:rPr>
        <w:t>do zagadnień</w:t>
      </w:r>
      <w:r w:rsidRPr="004F512A">
        <w:rPr>
          <w:rFonts w:ascii="Times New Roman" w:hAnsi="Times New Roman"/>
        </w:rPr>
        <w:t xml:space="preserve"> najważniejszych. </w:t>
      </w:r>
    </w:p>
    <w:p w14:paraId="4359406B" w14:textId="77777777" w:rsidR="00522D94" w:rsidRPr="004F512A" w:rsidRDefault="00522D94" w:rsidP="00522D94">
      <w:pPr>
        <w:numPr>
          <w:ilvl w:val="0"/>
          <w:numId w:val="8"/>
        </w:numPr>
        <w:spacing w:after="120" w:line="240" w:lineRule="auto"/>
        <w:jc w:val="both"/>
        <w:rPr>
          <w:rFonts w:ascii="Times New Roman" w:hAnsi="Times New Roman"/>
          <w:b/>
        </w:rPr>
      </w:pPr>
      <w:r w:rsidRPr="004F512A">
        <w:rPr>
          <w:rFonts w:ascii="Times New Roman" w:hAnsi="Times New Roman"/>
          <w:b/>
          <w:color w:val="000000"/>
        </w:rPr>
        <w:t>Podmioty, na które oddziałuje projekt</w:t>
      </w:r>
    </w:p>
    <w:p w14:paraId="52091D3D" w14:textId="77777777" w:rsidR="000D38FC" w:rsidRPr="004F512A" w:rsidRDefault="000D38FC" w:rsidP="004A145E">
      <w:pPr>
        <w:spacing w:after="120"/>
        <w:ind w:left="357"/>
        <w:jc w:val="both"/>
        <w:rPr>
          <w:rFonts w:ascii="Times New Roman" w:hAnsi="Times New Roman"/>
        </w:rPr>
      </w:pPr>
      <w:r w:rsidRPr="004F512A">
        <w:rPr>
          <w:rFonts w:ascii="Times New Roman" w:hAnsi="Times New Roman"/>
        </w:rPr>
        <w:t xml:space="preserve">Proszę wyszczególnić jakie podmioty (zarówno osoby fizyczne, prawne lub jednostki </w:t>
      </w:r>
      <w:r w:rsidR="00C33027" w:rsidRPr="004F512A">
        <w:rPr>
          <w:rFonts w:ascii="Times New Roman" w:hAnsi="Times New Roman"/>
        </w:rPr>
        <w:t>nieposiadające</w:t>
      </w:r>
      <w:r w:rsidRPr="004F512A">
        <w:rPr>
          <w:rFonts w:ascii="Times New Roman" w:hAnsi="Times New Roman"/>
        </w:rPr>
        <w:t xml:space="preserve"> osobowości prawnej) są objęte projektem. Proszę oszacować ich liczbę (wraz z podaniem źródła danych) oraz opisać charakter oddziaływania projektu na daną grupę.</w:t>
      </w:r>
    </w:p>
    <w:p w14:paraId="42B39B3B" w14:textId="77777777" w:rsidR="000D38FC" w:rsidRPr="004F512A" w:rsidRDefault="000D38FC" w:rsidP="004A145E">
      <w:pPr>
        <w:spacing w:after="120"/>
        <w:ind w:left="357"/>
        <w:jc w:val="both"/>
        <w:rPr>
          <w:rFonts w:ascii="Times New Roman" w:hAnsi="Times New Roman"/>
        </w:rPr>
      </w:pPr>
      <w:r w:rsidRPr="004F512A">
        <w:rPr>
          <w:rFonts w:ascii="Times New Roman" w:hAnsi="Times New Roman"/>
        </w:rPr>
        <w:t>Proszę dostosować liczbę wierszy w tabeli, zgodnie z potrzebami projektu. Puste wiersze proszę usunąć.</w:t>
      </w:r>
    </w:p>
    <w:p w14:paraId="7F56F9C0" w14:textId="77777777" w:rsidR="000D38FC" w:rsidRPr="004F512A" w:rsidRDefault="000D38FC" w:rsidP="000D38FC">
      <w:pPr>
        <w:spacing w:after="120"/>
        <w:ind w:left="357"/>
        <w:jc w:val="both"/>
        <w:rPr>
          <w:rFonts w:ascii="Times New Roman" w:hAnsi="Times New Roman"/>
        </w:rPr>
      </w:pPr>
      <w:r w:rsidRPr="004F512A">
        <w:rPr>
          <w:rFonts w:ascii="Times New Roman" w:hAnsi="Times New Roman"/>
        </w:rPr>
        <w:t>Przykładowe grupy: obywatele, MŚP, rolnicy, rodzina, inwestorzy, lekarze, emeryci, osoby niepełnosprawne.</w:t>
      </w:r>
    </w:p>
    <w:p w14:paraId="46B83A5A" w14:textId="77777777" w:rsidR="00D42A8F" w:rsidRPr="004F512A" w:rsidRDefault="00D42A8F" w:rsidP="000D38FC">
      <w:pPr>
        <w:spacing w:after="120"/>
        <w:ind w:left="357"/>
        <w:jc w:val="both"/>
        <w:rPr>
          <w:rFonts w:ascii="Times New Roman" w:hAnsi="Times New Roman"/>
        </w:rPr>
      </w:pPr>
    </w:p>
    <w:p w14:paraId="24A3756D" w14:textId="77777777" w:rsidR="00522D94" w:rsidRPr="004F512A" w:rsidRDefault="00522D94" w:rsidP="00522D94">
      <w:pPr>
        <w:numPr>
          <w:ilvl w:val="0"/>
          <w:numId w:val="8"/>
        </w:numPr>
        <w:spacing w:after="120" w:line="240" w:lineRule="auto"/>
        <w:jc w:val="both"/>
        <w:rPr>
          <w:rFonts w:ascii="Times New Roman" w:hAnsi="Times New Roman"/>
          <w:b/>
        </w:rPr>
      </w:pPr>
      <w:r w:rsidRPr="004F512A">
        <w:rPr>
          <w:rFonts w:ascii="Times New Roman" w:hAnsi="Times New Roman"/>
          <w:b/>
          <w:color w:val="000000"/>
        </w:rPr>
        <w:t>Informacje na temat zakresu, czasu trwania i podsumowanie wyników konsultacji</w:t>
      </w:r>
    </w:p>
    <w:p w14:paraId="2DDC8B33" w14:textId="77777777" w:rsidR="004244A8" w:rsidRPr="004F512A" w:rsidRDefault="004244A8" w:rsidP="004A145E">
      <w:pPr>
        <w:spacing w:after="120" w:line="240" w:lineRule="auto"/>
        <w:ind w:left="357"/>
        <w:jc w:val="both"/>
        <w:rPr>
          <w:rFonts w:ascii="Times New Roman" w:hAnsi="Times New Roman"/>
          <w:color w:val="000000"/>
          <w:spacing w:val="-2"/>
        </w:rPr>
      </w:pPr>
      <w:r w:rsidRPr="004F512A">
        <w:rPr>
          <w:rFonts w:ascii="Times New Roman" w:hAnsi="Times New Roman"/>
          <w:color w:val="000000"/>
          <w:spacing w:val="-2"/>
        </w:rPr>
        <w:t>Proszę podać informacje o konsultacjach poprzedzających przygotowanie projektu oraz wskazać, jaki jest planowany zakres konsultacji publicznych i opiniowania projektu, w szczególności uwzględniając:</w:t>
      </w:r>
    </w:p>
    <w:p w14:paraId="00D4EAA3" w14:textId="77777777" w:rsidR="004244A8" w:rsidRPr="004F512A" w:rsidRDefault="004244A8" w:rsidP="004244A8">
      <w:pPr>
        <w:numPr>
          <w:ilvl w:val="0"/>
          <w:numId w:val="20"/>
        </w:numPr>
        <w:spacing w:line="240" w:lineRule="auto"/>
        <w:jc w:val="both"/>
        <w:rPr>
          <w:rFonts w:ascii="Times New Roman" w:hAnsi="Times New Roman"/>
          <w:color w:val="000000"/>
          <w:spacing w:val="-2"/>
        </w:rPr>
      </w:pPr>
      <w:r w:rsidRPr="004F512A">
        <w:rPr>
          <w:rFonts w:ascii="Times New Roman" w:hAnsi="Times New Roman"/>
          <w:color w:val="000000"/>
          <w:spacing w:val="-2"/>
        </w:rPr>
        <w:t xml:space="preserve">wskazanie, czy były (i jak długo) prowadzone konsultacje poprzedzające przygotowanie projektu (tzw. </w:t>
      </w:r>
      <w:proofErr w:type="spellStart"/>
      <w:r w:rsidRPr="004F512A">
        <w:rPr>
          <w:rFonts w:ascii="Times New Roman" w:hAnsi="Times New Roman"/>
          <w:color w:val="000000"/>
          <w:spacing w:val="-2"/>
        </w:rPr>
        <w:t>pre</w:t>
      </w:r>
      <w:proofErr w:type="spellEnd"/>
      <w:r w:rsidRPr="004F512A">
        <w:rPr>
          <w:rFonts w:ascii="Times New Roman" w:hAnsi="Times New Roman"/>
          <w:color w:val="000000"/>
          <w:spacing w:val="-2"/>
        </w:rPr>
        <w:t>-konsultacje publiczne), podmioty, z którymi były prowadzone te konsultacje (w tym ekspertów), w jaki sposób komunikowano się z grupami wskazanymi w pkt 6 (metody konsultacji np. warsztaty, kwestionariusz on-line), krótkie podsumowanie wyników konsultacji,</w:t>
      </w:r>
    </w:p>
    <w:p w14:paraId="033A3128" w14:textId="77777777" w:rsidR="004244A8" w:rsidRPr="004F512A" w:rsidRDefault="004244A8" w:rsidP="004244A8">
      <w:pPr>
        <w:numPr>
          <w:ilvl w:val="0"/>
          <w:numId w:val="20"/>
        </w:numPr>
        <w:spacing w:line="240" w:lineRule="auto"/>
        <w:jc w:val="both"/>
        <w:rPr>
          <w:rFonts w:ascii="Times New Roman" w:hAnsi="Times New Roman"/>
          <w:color w:val="000000"/>
          <w:spacing w:val="-2"/>
        </w:rPr>
      </w:pPr>
      <w:r w:rsidRPr="004F512A">
        <w:rPr>
          <w:rFonts w:ascii="Times New Roman" w:hAnsi="Times New Roman"/>
          <w:color w:val="000000"/>
          <w:spacing w:val="-2"/>
        </w:rPr>
        <w:t>terminy planowanych konsultacji publicznych, podmioty, z którymi będzie konsultow</w:t>
      </w:r>
      <w:r w:rsidR="00441787" w:rsidRPr="004F512A">
        <w:rPr>
          <w:rFonts w:ascii="Times New Roman" w:hAnsi="Times New Roman"/>
          <w:color w:val="000000"/>
          <w:spacing w:val="-2"/>
        </w:rPr>
        <w:t>any projekt, wskazanie przepisu</w:t>
      </w:r>
      <w:r w:rsidR="00441787" w:rsidRPr="004F512A">
        <w:rPr>
          <w:rFonts w:ascii="Times New Roman" w:hAnsi="Times New Roman"/>
          <w:color w:val="000000"/>
          <w:spacing w:val="-2"/>
        </w:rPr>
        <w:br/>
      </w:r>
      <w:r w:rsidRPr="004F512A">
        <w:rPr>
          <w:rFonts w:ascii="Times New Roman" w:hAnsi="Times New Roman"/>
          <w:color w:val="000000"/>
          <w:spacing w:val="-2"/>
        </w:rPr>
        <w:t>z którego wynika obowiązek zasięgnięcia opinii.</w:t>
      </w:r>
    </w:p>
    <w:p w14:paraId="6A7C7903" w14:textId="77777777" w:rsidR="009D0655" w:rsidRPr="004F512A" w:rsidRDefault="009D0655" w:rsidP="009D0655">
      <w:pPr>
        <w:spacing w:line="240" w:lineRule="auto"/>
        <w:rPr>
          <w:rFonts w:ascii="Times New Roman" w:hAnsi="Times New Roman"/>
          <w:color w:val="000000"/>
          <w:spacing w:val="-2"/>
        </w:rPr>
      </w:pPr>
    </w:p>
    <w:p w14:paraId="443B573E" w14:textId="77777777" w:rsidR="00522D94" w:rsidRPr="004F512A" w:rsidRDefault="00522D94" w:rsidP="00522D94">
      <w:pPr>
        <w:numPr>
          <w:ilvl w:val="0"/>
          <w:numId w:val="8"/>
        </w:numPr>
        <w:spacing w:after="120" w:line="240" w:lineRule="auto"/>
        <w:jc w:val="both"/>
        <w:rPr>
          <w:rFonts w:ascii="Times New Roman" w:hAnsi="Times New Roman"/>
          <w:b/>
        </w:rPr>
      </w:pPr>
      <w:r w:rsidRPr="004F512A">
        <w:rPr>
          <w:rFonts w:ascii="Times New Roman" w:hAnsi="Times New Roman"/>
          <w:b/>
          <w:color w:val="000000"/>
        </w:rPr>
        <w:t>Wpływ na sektor finansów publicznych</w:t>
      </w:r>
    </w:p>
    <w:p w14:paraId="338ECD60" w14:textId="77777777" w:rsidR="004244A8" w:rsidRPr="004F512A" w:rsidRDefault="00422181" w:rsidP="00422181">
      <w:pPr>
        <w:spacing w:after="120"/>
        <w:ind w:left="357"/>
        <w:jc w:val="both"/>
        <w:rPr>
          <w:rFonts w:ascii="Times New Roman" w:hAnsi="Times New Roman"/>
        </w:rPr>
      </w:pPr>
      <w:r w:rsidRPr="004F512A">
        <w:rPr>
          <w:rFonts w:ascii="Times New Roman" w:hAnsi="Times New Roman"/>
        </w:rPr>
        <w:t xml:space="preserve">W przygotowaniu kalkulacji skutków dla sektora finansów publicznych </w:t>
      </w:r>
      <w:r w:rsidR="00187E79" w:rsidRPr="004F512A">
        <w:rPr>
          <w:rFonts w:ascii="Times New Roman" w:hAnsi="Times New Roman"/>
        </w:rPr>
        <w:t>proszę uwzględnić</w:t>
      </w:r>
      <w:r w:rsidRPr="004F512A">
        <w:rPr>
          <w:rFonts w:ascii="Times New Roman" w:hAnsi="Times New Roman"/>
        </w:rPr>
        <w:t xml:space="preserve"> aktualne </w:t>
      </w:r>
      <w:r w:rsidR="00FC49EF" w:rsidRPr="004F512A">
        <w:rPr>
          <w:rFonts w:ascii="Times New Roman" w:hAnsi="Times New Roman"/>
        </w:rPr>
        <w:t>w</w:t>
      </w:r>
      <w:r w:rsidRPr="004F512A">
        <w:rPr>
          <w:rFonts w:ascii="Times New Roman" w:hAnsi="Times New Roman"/>
        </w:rPr>
        <w:t xml:space="preserve">ytyczne dotyczące założeń makroekonomicznych, o których mowa w art. 50a ustawy o finansach publicznych. </w:t>
      </w:r>
    </w:p>
    <w:p w14:paraId="0869AC47" w14:textId="77777777" w:rsidR="00E05A09" w:rsidRPr="004F512A" w:rsidRDefault="00422181" w:rsidP="00422181">
      <w:pPr>
        <w:spacing w:after="120"/>
        <w:ind w:left="357"/>
        <w:jc w:val="both"/>
        <w:rPr>
          <w:rFonts w:ascii="Times New Roman" w:hAnsi="Times New Roman"/>
          <w:color w:val="000000"/>
        </w:rPr>
      </w:pPr>
      <w:r w:rsidRPr="004F512A">
        <w:rPr>
          <w:rFonts w:ascii="Times New Roman" w:hAnsi="Times New Roman"/>
        </w:rPr>
        <w:t>Jeśli to możliwe proszę wskaza</w:t>
      </w:r>
      <w:r w:rsidR="00D64C0F" w:rsidRPr="004F512A">
        <w:rPr>
          <w:rFonts w:ascii="Times New Roman" w:hAnsi="Times New Roman"/>
        </w:rPr>
        <w:t>ć</w:t>
      </w:r>
      <w:r w:rsidRPr="004F512A">
        <w:rPr>
          <w:rFonts w:ascii="Times New Roman" w:hAnsi="Times New Roman"/>
        </w:rPr>
        <w:t xml:space="preserve"> skumulowan</w:t>
      </w:r>
      <w:r w:rsidR="00D64C0F" w:rsidRPr="004F512A">
        <w:rPr>
          <w:rFonts w:ascii="Times New Roman" w:hAnsi="Times New Roman"/>
        </w:rPr>
        <w:t>e</w:t>
      </w:r>
      <w:r w:rsidRPr="004F512A">
        <w:rPr>
          <w:rFonts w:ascii="Times New Roman" w:hAnsi="Times New Roman"/>
        </w:rPr>
        <w:t xml:space="preserve"> koszt</w:t>
      </w:r>
      <w:r w:rsidR="00D64C0F" w:rsidRPr="004F512A">
        <w:rPr>
          <w:rFonts w:ascii="Times New Roman" w:hAnsi="Times New Roman"/>
        </w:rPr>
        <w:t>y</w:t>
      </w:r>
      <w:r w:rsidRPr="004F512A">
        <w:rPr>
          <w:rFonts w:ascii="Times New Roman" w:hAnsi="Times New Roman"/>
        </w:rPr>
        <w:t xml:space="preserve">/oszczędności. </w:t>
      </w:r>
      <w:r w:rsidRPr="004F512A">
        <w:rPr>
          <w:rFonts w:ascii="Times New Roman" w:hAnsi="Times New Roman"/>
          <w:color w:val="000000"/>
        </w:rPr>
        <w:t xml:space="preserve">Prognozę </w:t>
      </w:r>
      <w:r w:rsidR="00187E79" w:rsidRPr="004F512A">
        <w:rPr>
          <w:rFonts w:ascii="Times New Roman" w:hAnsi="Times New Roman"/>
          <w:color w:val="000000"/>
        </w:rPr>
        <w:t xml:space="preserve">proszę </w:t>
      </w:r>
      <w:r w:rsidRPr="004F512A">
        <w:rPr>
          <w:rFonts w:ascii="Times New Roman" w:hAnsi="Times New Roman"/>
          <w:color w:val="000000"/>
        </w:rPr>
        <w:t>przeprowadzić w podziale na proponowane kategorie w horyzoncie 10</w:t>
      </w:r>
      <w:r w:rsidR="00187E79" w:rsidRPr="004F512A">
        <w:rPr>
          <w:rFonts w:ascii="Times New Roman" w:hAnsi="Times New Roman"/>
          <w:color w:val="000000"/>
        </w:rPr>
        <w:t>-</w:t>
      </w:r>
      <w:r w:rsidRPr="004F512A">
        <w:rPr>
          <w:rFonts w:ascii="Times New Roman" w:hAnsi="Times New Roman"/>
          <w:color w:val="000000"/>
        </w:rPr>
        <w:t>letnim, w wartościach stałych (np. ceny stałe dla pierwszego roku prognozy</w:t>
      </w:r>
      <w:r w:rsidR="004244A8" w:rsidRPr="004F512A">
        <w:rPr>
          <w:rFonts w:ascii="Times New Roman" w:hAnsi="Times New Roman"/>
          <w:color w:val="000000"/>
        </w:rPr>
        <w:t>).</w:t>
      </w:r>
      <w:r w:rsidR="005D61D6" w:rsidRPr="004F512A">
        <w:rPr>
          <w:rFonts w:ascii="Times New Roman" w:hAnsi="Times New Roman"/>
          <w:color w:val="000000"/>
        </w:rPr>
        <w:br/>
      </w:r>
      <w:r w:rsidR="000670C0" w:rsidRPr="004F512A">
        <w:rPr>
          <w:rFonts w:ascii="Times New Roman" w:hAnsi="Times New Roman"/>
          <w:color w:val="000000"/>
        </w:rPr>
        <w:t xml:space="preserve">W przypadku </w:t>
      </w:r>
      <w:r w:rsidR="00BB0DCA" w:rsidRPr="004F512A">
        <w:rPr>
          <w:rFonts w:ascii="Times New Roman" w:hAnsi="Times New Roman"/>
          <w:color w:val="000000"/>
        </w:rPr>
        <w:t>gdy</w:t>
      </w:r>
      <w:r w:rsidR="000670C0" w:rsidRPr="004F512A">
        <w:rPr>
          <w:rFonts w:ascii="Times New Roman" w:hAnsi="Times New Roman"/>
          <w:color w:val="000000"/>
        </w:rPr>
        <w:t xml:space="preserve"> analiza wpływu obejmuje dłuższy niż 10-letni horyzont (np. zmiany w systemie emerytalnym), możliwe jest dostosowanie kolumn tabeli do horyzontu projektu</w:t>
      </w:r>
      <w:r w:rsidRPr="004F512A">
        <w:rPr>
          <w:rFonts w:ascii="Times New Roman" w:hAnsi="Times New Roman"/>
          <w:color w:val="000000"/>
        </w:rPr>
        <w:t xml:space="preserve">. </w:t>
      </w:r>
    </w:p>
    <w:p w14:paraId="5902CF72" w14:textId="77777777" w:rsidR="00E05A09" w:rsidRPr="004F512A" w:rsidRDefault="00422181" w:rsidP="00422181">
      <w:pPr>
        <w:spacing w:after="120"/>
        <w:ind w:left="357"/>
        <w:jc w:val="both"/>
        <w:rPr>
          <w:rFonts w:ascii="Times New Roman" w:hAnsi="Times New Roman"/>
          <w:color w:val="000000"/>
        </w:rPr>
      </w:pPr>
      <w:r w:rsidRPr="004F512A">
        <w:rPr>
          <w:rFonts w:ascii="Times New Roman" w:hAnsi="Times New Roman"/>
          <w:color w:val="000000"/>
        </w:rPr>
        <w:t xml:space="preserve">Jeżeli obliczenia </w:t>
      </w:r>
      <w:r w:rsidR="00187E79" w:rsidRPr="004F512A">
        <w:rPr>
          <w:rFonts w:ascii="Times New Roman" w:hAnsi="Times New Roman"/>
          <w:color w:val="000000"/>
        </w:rPr>
        <w:t xml:space="preserve">zostały </w:t>
      </w:r>
      <w:r w:rsidRPr="004F512A">
        <w:rPr>
          <w:rFonts w:ascii="Times New Roman" w:hAnsi="Times New Roman"/>
          <w:color w:val="000000"/>
        </w:rPr>
        <w:t>wykonane na podstawie opracowania własnego</w:t>
      </w:r>
      <w:r w:rsidR="00187E79" w:rsidRPr="004F512A">
        <w:rPr>
          <w:rFonts w:ascii="Times New Roman" w:hAnsi="Times New Roman"/>
          <w:color w:val="000000"/>
        </w:rPr>
        <w:t>,</w:t>
      </w:r>
      <w:r w:rsidRPr="004F512A">
        <w:rPr>
          <w:rFonts w:ascii="Times New Roman" w:hAnsi="Times New Roman"/>
          <w:color w:val="000000"/>
        </w:rPr>
        <w:t xml:space="preserve"> </w:t>
      </w:r>
      <w:r w:rsidR="00187E79" w:rsidRPr="004F512A">
        <w:rPr>
          <w:rFonts w:ascii="Times New Roman" w:hAnsi="Times New Roman"/>
          <w:color w:val="000000"/>
        </w:rPr>
        <w:t xml:space="preserve">proszę je przedstawić w formie załącznika oraz </w:t>
      </w:r>
      <w:r w:rsidRPr="004F512A">
        <w:rPr>
          <w:rFonts w:ascii="Times New Roman" w:hAnsi="Times New Roman"/>
          <w:color w:val="000000"/>
        </w:rPr>
        <w:t xml:space="preserve">wskazać </w:t>
      </w:r>
      <w:r w:rsidR="00187E79" w:rsidRPr="004F512A">
        <w:rPr>
          <w:rFonts w:ascii="Times New Roman" w:hAnsi="Times New Roman"/>
          <w:color w:val="000000"/>
        </w:rPr>
        <w:t xml:space="preserve">to </w:t>
      </w:r>
      <w:r w:rsidRPr="004F512A">
        <w:rPr>
          <w:rFonts w:ascii="Times New Roman" w:hAnsi="Times New Roman"/>
          <w:color w:val="000000"/>
        </w:rPr>
        <w:t xml:space="preserve">opracowanie w </w:t>
      </w:r>
      <w:r w:rsidR="00187E79" w:rsidRPr="004F512A">
        <w:rPr>
          <w:rFonts w:ascii="Times New Roman" w:hAnsi="Times New Roman"/>
          <w:color w:val="000000"/>
        </w:rPr>
        <w:t>pkt</w:t>
      </w:r>
      <w:r w:rsidRPr="004F512A">
        <w:rPr>
          <w:rFonts w:ascii="Times New Roman" w:hAnsi="Times New Roman"/>
          <w:color w:val="000000"/>
        </w:rPr>
        <w:t xml:space="preserve"> 13. </w:t>
      </w:r>
    </w:p>
    <w:p w14:paraId="5BDD3655" w14:textId="77777777" w:rsidR="00BB2666" w:rsidRPr="004F512A" w:rsidRDefault="00BB2666" w:rsidP="00801F71">
      <w:pPr>
        <w:spacing w:after="120"/>
        <w:ind w:left="357"/>
        <w:jc w:val="both"/>
        <w:rPr>
          <w:rFonts w:ascii="Times New Roman" w:hAnsi="Times New Roman"/>
          <w:color w:val="000000"/>
        </w:rPr>
      </w:pPr>
      <w:r w:rsidRPr="004F512A">
        <w:rPr>
          <w:rFonts w:ascii="Times New Roman" w:hAnsi="Times New Roman"/>
          <w:color w:val="000000"/>
        </w:rPr>
        <w:t>W opracowywanej analizie wpływu, co do zasady, należy przyjąć kalkulację w cenach stałych. W przypadku zastosowania cen bieżących, prezentacja skutków finansowych powinna uwzględniać wska</w:t>
      </w:r>
      <w:r w:rsidR="00300991" w:rsidRPr="004F512A">
        <w:rPr>
          <w:rFonts w:ascii="Times New Roman" w:hAnsi="Times New Roman"/>
          <w:color w:val="000000"/>
        </w:rPr>
        <w:t>źniki makroekonomiczne podawane</w:t>
      </w:r>
      <w:r w:rsidR="00300991" w:rsidRPr="004F512A">
        <w:rPr>
          <w:rFonts w:ascii="Times New Roman" w:hAnsi="Times New Roman"/>
          <w:color w:val="000000"/>
        </w:rPr>
        <w:br/>
      </w:r>
      <w:r w:rsidRPr="004F512A">
        <w:rPr>
          <w:rFonts w:ascii="Times New Roman" w:hAnsi="Times New Roman"/>
          <w:color w:val="000000"/>
        </w:rPr>
        <w:t xml:space="preserve">w </w:t>
      </w:r>
      <w:hyperlink r:id="rId8" w:anchor="p_p_id_101_INSTANCE_S0gu_" w:history="1">
        <w:r w:rsidRPr="004F512A">
          <w:rPr>
            <w:rStyle w:val="Hipercze"/>
            <w:rFonts w:ascii="Times New Roman" w:hAnsi="Times New Roman"/>
            <w:i/>
          </w:rPr>
          <w:t>Wytycznych dotyczących stosowania jednolitych wskaźników makroekonomicznych będących podstawą oszacowania skutków finansowych projektowanych ustaw</w:t>
        </w:r>
      </w:hyperlink>
      <w:r w:rsidRPr="004F512A">
        <w:rPr>
          <w:rFonts w:ascii="Times New Roman" w:hAnsi="Times New Roman"/>
          <w:color w:val="000000"/>
        </w:rPr>
        <w:t>. Jeżeli nie zastosowano wskaźni</w:t>
      </w:r>
      <w:r w:rsidR="00300991" w:rsidRPr="004F512A">
        <w:rPr>
          <w:rFonts w:ascii="Times New Roman" w:hAnsi="Times New Roman"/>
          <w:color w:val="000000"/>
        </w:rPr>
        <w:t>ków makroekonomicznych podanych</w:t>
      </w:r>
      <w:r w:rsidR="00300991" w:rsidRPr="004F512A">
        <w:rPr>
          <w:rFonts w:ascii="Times New Roman" w:hAnsi="Times New Roman"/>
          <w:color w:val="000000"/>
        </w:rPr>
        <w:br/>
      </w:r>
      <w:r w:rsidRPr="004F512A">
        <w:rPr>
          <w:rFonts w:ascii="Times New Roman" w:hAnsi="Times New Roman"/>
          <w:color w:val="000000"/>
        </w:rPr>
        <w:t xml:space="preserve">w </w:t>
      </w:r>
      <w:hyperlink r:id="rId9" w:history="1">
        <w:r w:rsidRPr="004F512A">
          <w:rPr>
            <w:rStyle w:val="Hipercze"/>
            <w:rFonts w:ascii="Times New Roman" w:hAnsi="Times New Roman"/>
            <w:i/>
          </w:rPr>
          <w:t>Wytycznych MF</w:t>
        </w:r>
      </w:hyperlink>
      <w:r w:rsidRPr="004F512A">
        <w:rPr>
          <w:rFonts w:ascii="Times New Roman" w:hAnsi="Times New Roman"/>
          <w:color w:val="000000"/>
        </w:rPr>
        <w:t>, proszę  dołączyć stosowną informację wyjaśniającą.</w:t>
      </w:r>
    </w:p>
    <w:p w14:paraId="507A46A0" w14:textId="77777777" w:rsidR="00422181" w:rsidRPr="004F512A" w:rsidRDefault="0084314C" w:rsidP="00422181">
      <w:pPr>
        <w:spacing w:after="120"/>
        <w:ind w:left="357"/>
        <w:jc w:val="both"/>
        <w:rPr>
          <w:rFonts w:ascii="Times New Roman" w:hAnsi="Times New Roman"/>
          <w:color w:val="000000"/>
        </w:rPr>
      </w:pPr>
      <w:r w:rsidRPr="004F512A">
        <w:rPr>
          <w:rFonts w:ascii="Times New Roman" w:hAnsi="Times New Roman"/>
          <w:color w:val="000000"/>
        </w:rPr>
        <w:t xml:space="preserve">Proszę wskazać źródła finansowania planowanych wydatków. </w:t>
      </w:r>
      <w:r w:rsidR="00187E79" w:rsidRPr="004F512A">
        <w:rPr>
          <w:rFonts w:ascii="Times New Roman" w:hAnsi="Times New Roman"/>
          <w:color w:val="000000"/>
        </w:rPr>
        <w:t xml:space="preserve">Proszę </w:t>
      </w:r>
      <w:r w:rsidR="00422181" w:rsidRPr="004F512A">
        <w:rPr>
          <w:rFonts w:ascii="Times New Roman" w:hAnsi="Times New Roman"/>
          <w:color w:val="000000"/>
        </w:rPr>
        <w:t xml:space="preserve">wskazać również wszystkie </w:t>
      </w:r>
      <w:r w:rsidR="004244A8" w:rsidRPr="004F512A">
        <w:rPr>
          <w:rFonts w:ascii="Times New Roman" w:hAnsi="Times New Roman"/>
          <w:color w:val="000000"/>
        </w:rPr>
        <w:t xml:space="preserve">przyjęte do obliczeń </w:t>
      </w:r>
      <w:r w:rsidR="00422181" w:rsidRPr="004F512A">
        <w:rPr>
          <w:rFonts w:ascii="Times New Roman" w:hAnsi="Times New Roman"/>
          <w:color w:val="000000"/>
        </w:rPr>
        <w:t>założenia</w:t>
      </w:r>
      <w:r w:rsidR="00567963" w:rsidRPr="004F512A">
        <w:rPr>
          <w:rFonts w:ascii="Times New Roman" w:hAnsi="Times New Roman"/>
          <w:color w:val="000000"/>
        </w:rPr>
        <w:t xml:space="preserve"> i źródła danych</w:t>
      </w:r>
      <w:r w:rsidR="004244A8" w:rsidRPr="004F512A">
        <w:rPr>
          <w:rFonts w:ascii="Times New Roman" w:hAnsi="Times New Roman"/>
          <w:color w:val="000000"/>
        </w:rPr>
        <w:t>.</w:t>
      </w:r>
    </w:p>
    <w:p w14:paraId="7DF4499A" w14:textId="77777777" w:rsidR="00E05A09" w:rsidRPr="004F512A" w:rsidRDefault="005473F5" w:rsidP="00422181">
      <w:pPr>
        <w:spacing w:after="120"/>
        <w:ind w:left="357"/>
        <w:jc w:val="both"/>
        <w:rPr>
          <w:rFonts w:ascii="Times New Roman" w:hAnsi="Times New Roman"/>
        </w:rPr>
      </w:pPr>
      <w:r w:rsidRPr="004F512A">
        <w:rPr>
          <w:rFonts w:ascii="Times New Roman" w:hAnsi="Times New Roman"/>
        </w:rPr>
        <w:t xml:space="preserve">Skutki proszę skalkulować dla roku wejścia w życie regulacji (0), a następnie w </w:t>
      </w:r>
      <w:r w:rsidR="002172F1" w:rsidRPr="004F512A">
        <w:rPr>
          <w:rFonts w:ascii="Times New Roman" w:hAnsi="Times New Roman"/>
        </w:rPr>
        <w:t>kolejnych latach</w:t>
      </w:r>
      <w:r w:rsidR="00441787" w:rsidRPr="004F512A">
        <w:rPr>
          <w:rFonts w:ascii="Times New Roman" w:hAnsi="Times New Roman"/>
        </w:rPr>
        <w:t xml:space="preserve"> jej obowiązywania.</w:t>
      </w:r>
      <w:r w:rsidR="00441787" w:rsidRPr="004F512A">
        <w:rPr>
          <w:rFonts w:ascii="Times New Roman" w:hAnsi="Times New Roman"/>
        </w:rPr>
        <w:br/>
      </w:r>
      <w:r w:rsidRPr="004F512A">
        <w:rPr>
          <w:rFonts w:ascii="Times New Roman" w:hAnsi="Times New Roman"/>
        </w:rPr>
        <w:t xml:space="preserve">W kolumnie </w:t>
      </w:r>
      <w:r w:rsidRPr="004F512A">
        <w:rPr>
          <w:rFonts w:ascii="Times New Roman" w:hAnsi="Times New Roman"/>
          <w:i/>
        </w:rPr>
        <w:t>Łącznie</w:t>
      </w:r>
      <w:r w:rsidRPr="004F512A">
        <w:rPr>
          <w:rFonts w:ascii="Times New Roman" w:hAnsi="Times New Roman"/>
        </w:rPr>
        <w:t xml:space="preserve"> proszę wpisać skumulowane skutki za okres 10 lat obowiązywania regulacji.</w:t>
      </w:r>
    </w:p>
    <w:p w14:paraId="1FB8A537" w14:textId="77777777" w:rsidR="00917AAE" w:rsidRPr="004F512A" w:rsidRDefault="0069486B" w:rsidP="00917AAE">
      <w:pPr>
        <w:spacing w:after="120"/>
        <w:ind w:left="360"/>
        <w:jc w:val="both"/>
        <w:rPr>
          <w:rFonts w:ascii="Times New Roman" w:hAnsi="Times New Roman"/>
        </w:rPr>
      </w:pPr>
      <w:r w:rsidRPr="004F512A">
        <w:rPr>
          <w:rFonts w:ascii="Times New Roman" w:hAnsi="Times New Roman"/>
        </w:rPr>
        <w:t xml:space="preserve">Jeżeli projekt ma charakter przekrojowy i dotyczy wielu zagadnień (np. ustawa deregulująca zawody, ustawa o ułatwieniu wykonywania działalności gospodarczej) proszę dokonać </w:t>
      </w:r>
      <w:r w:rsidR="00917AAE" w:rsidRPr="004F512A">
        <w:rPr>
          <w:rFonts w:ascii="Times New Roman" w:hAnsi="Times New Roman"/>
        </w:rPr>
        <w:t xml:space="preserve">analizy </w:t>
      </w:r>
      <w:r w:rsidR="00BB0DCA" w:rsidRPr="004F512A">
        <w:rPr>
          <w:rFonts w:ascii="Times New Roman" w:hAnsi="Times New Roman"/>
        </w:rPr>
        <w:t xml:space="preserve">wpływu </w:t>
      </w:r>
      <w:r w:rsidR="00917AAE" w:rsidRPr="004F512A">
        <w:rPr>
          <w:rFonts w:ascii="Times New Roman" w:hAnsi="Times New Roman"/>
        </w:rPr>
        <w:t>na SFP dla najważniejszych zmian.</w:t>
      </w:r>
    </w:p>
    <w:p w14:paraId="09A6E3A9" w14:textId="77777777" w:rsidR="00522D94" w:rsidRPr="004F512A" w:rsidRDefault="00522D94" w:rsidP="00522D94">
      <w:pPr>
        <w:numPr>
          <w:ilvl w:val="0"/>
          <w:numId w:val="8"/>
        </w:numPr>
        <w:spacing w:after="120" w:line="240" w:lineRule="auto"/>
        <w:jc w:val="both"/>
        <w:rPr>
          <w:rFonts w:ascii="Times New Roman" w:hAnsi="Times New Roman"/>
          <w:b/>
        </w:rPr>
      </w:pPr>
      <w:r w:rsidRPr="004F512A">
        <w:rPr>
          <w:rFonts w:ascii="Times New Roman" w:hAnsi="Times New Roman"/>
          <w:b/>
          <w:color w:val="000000"/>
          <w:spacing w:val="-2"/>
        </w:rPr>
        <w:t xml:space="preserve">Wpływ na </w:t>
      </w:r>
      <w:r w:rsidRPr="004F512A">
        <w:rPr>
          <w:rFonts w:ascii="Times New Roman" w:hAnsi="Times New Roman"/>
          <w:b/>
          <w:color w:val="000000"/>
        </w:rPr>
        <w:t>konkurencyjność gospodarki i przedsiębiorczość, w tym funkcjonowanie przedsiębiorców oraz na</w:t>
      </w:r>
      <w:r w:rsidR="00BB0DCA" w:rsidRPr="004F512A">
        <w:rPr>
          <w:rFonts w:ascii="Times New Roman" w:hAnsi="Times New Roman"/>
          <w:b/>
          <w:color w:val="000000"/>
        </w:rPr>
        <w:t xml:space="preserve"> rodzinę,</w:t>
      </w:r>
      <w:r w:rsidRPr="004F512A">
        <w:rPr>
          <w:rFonts w:ascii="Times New Roman" w:hAnsi="Times New Roman"/>
          <w:b/>
          <w:color w:val="000000"/>
        </w:rPr>
        <w:t xml:space="preserve"> obywateli i gospodarstwa domowe</w:t>
      </w:r>
    </w:p>
    <w:p w14:paraId="6278721B" w14:textId="77777777" w:rsidR="00AE472C" w:rsidRPr="004F512A" w:rsidRDefault="00AE472C" w:rsidP="00AE472C">
      <w:pPr>
        <w:spacing w:line="240" w:lineRule="auto"/>
        <w:ind w:left="360"/>
        <w:jc w:val="both"/>
        <w:rPr>
          <w:rFonts w:ascii="Times New Roman" w:hAnsi="Times New Roman"/>
          <w:color w:val="000000"/>
        </w:rPr>
      </w:pPr>
      <w:r w:rsidRPr="004F512A">
        <w:rPr>
          <w:rFonts w:ascii="Times New Roman" w:hAnsi="Times New Roman"/>
          <w:color w:val="000000"/>
        </w:rPr>
        <w:t xml:space="preserve">Proszę oszacować </w:t>
      </w:r>
      <w:r w:rsidR="004244A8" w:rsidRPr="004F512A">
        <w:rPr>
          <w:rFonts w:ascii="Times New Roman" w:hAnsi="Times New Roman"/>
          <w:color w:val="000000"/>
        </w:rPr>
        <w:t xml:space="preserve">wpływ na </w:t>
      </w:r>
      <w:r w:rsidRPr="004F512A">
        <w:rPr>
          <w:rFonts w:ascii="Times New Roman" w:hAnsi="Times New Roman"/>
          <w:color w:val="000000"/>
        </w:rPr>
        <w:t>konkurencyjnoś</w:t>
      </w:r>
      <w:r w:rsidR="004244A8" w:rsidRPr="004F512A">
        <w:rPr>
          <w:rFonts w:ascii="Times New Roman" w:hAnsi="Times New Roman"/>
          <w:color w:val="000000"/>
        </w:rPr>
        <w:t>ć</w:t>
      </w:r>
      <w:r w:rsidRPr="004F512A">
        <w:rPr>
          <w:rFonts w:ascii="Times New Roman" w:hAnsi="Times New Roman"/>
          <w:color w:val="000000"/>
        </w:rPr>
        <w:t xml:space="preserve"> </w:t>
      </w:r>
      <w:r w:rsidR="003E720A" w:rsidRPr="004F512A">
        <w:rPr>
          <w:rFonts w:ascii="Times New Roman" w:hAnsi="Times New Roman"/>
          <w:color w:val="000000"/>
        </w:rPr>
        <w:t>gospodarki</w:t>
      </w:r>
      <w:r w:rsidR="004244A8" w:rsidRPr="004F512A">
        <w:rPr>
          <w:rFonts w:ascii="Times New Roman" w:hAnsi="Times New Roman"/>
          <w:color w:val="000000"/>
        </w:rPr>
        <w:t>,</w:t>
      </w:r>
      <w:r w:rsidRPr="004F512A">
        <w:rPr>
          <w:rFonts w:ascii="Times New Roman" w:hAnsi="Times New Roman"/>
          <w:color w:val="000000"/>
        </w:rPr>
        <w:t xml:space="preserve"> przedsiębiorczości </w:t>
      </w:r>
      <w:r w:rsidR="004244A8" w:rsidRPr="004F512A">
        <w:rPr>
          <w:rFonts w:ascii="Times New Roman" w:hAnsi="Times New Roman"/>
          <w:color w:val="000000"/>
        </w:rPr>
        <w:t xml:space="preserve">oraz na </w:t>
      </w:r>
      <w:r w:rsidR="0066091B" w:rsidRPr="004F512A">
        <w:rPr>
          <w:rFonts w:ascii="Times New Roman" w:hAnsi="Times New Roman"/>
          <w:color w:val="000000"/>
        </w:rPr>
        <w:t>sytuacj</w:t>
      </w:r>
      <w:r w:rsidR="00B7770F" w:rsidRPr="004F512A">
        <w:rPr>
          <w:rFonts w:ascii="Times New Roman" w:hAnsi="Times New Roman"/>
          <w:color w:val="000000"/>
        </w:rPr>
        <w:t>ę</w:t>
      </w:r>
      <w:r w:rsidR="00EF7A2D" w:rsidRPr="004F512A">
        <w:rPr>
          <w:rFonts w:ascii="Times New Roman" w:hAnsi="Times New Roman"/>
          <w:color w:val="000000"/>
        </w:rPr>
        <w:t xml:space="preserve"> </w:t>
      </w:r>
      <w:r w:rsidR="002172F1" w:rsidRPr="004F512A">
        <w:rPr>
          <w:rFonts w:ascii="Times New Roman" w:hAnsi="Times New Roman"/>
          <w:color w:val="000000"/>
        </w:rPr>
        <w:t>rodziny</w:t>
      </w:r>
      <w:r w:rsidR="00D218DC" w:rsidRPr="004F512A">
        <w:rPr>
          <w:rFonts w:ascii="Times New Roman" w:hAnsi="Times New Roman"/>
          <w:color w:val="000000"/>
        </w:rPr>
        <w:t xml:space="preserve">. </w:t>
      </w:r>
      <w:r w:rsidR="00EF7A2D" w:rsidRPr="004F512A">
        <w:rPr>
          <w:rFonts w:ascii="Times New Roman" w:hAnsi="Times New Roman"/>
          <w:color w:val="000000"/>
        </w:rPr>
        <w:t xml:space="preserve">Skutki należy przypisać </w:t>
      </w:r>
      <w:r w:rsidR="00D218DC" w:rsidRPr="004F512A">
        <w:rPr>
          <w:rFonts w:ascii="Times New Roman" w:hAnsi="Times New Roman"/>
          <w:color w:val="000000"/>
        </w:rPr>
        <w:t xml:space="preserve">do odpowiedniej grupy </w:t>
      </w:r>
      <w:r w:rsidR="00EF7A2D" w:rsidRPr="004F512A">
        <w:rPr>
          <w:rFonts w:ascii="Times New Roman" w:hAnsi="Times New Roman"/>
          <w:color w:val="000000"/>
        </w:rPr>
        <w:t>w tabeli</w:t>
      </w:r>
      <w:r w:rsidR="00D218DC" w:rsidRPr="004F512A">
        <w:rPr>
          <w:rFonts w:ascii="Times New Roman" w:hAnsi="Times New Roman"/>
          <w:color w:val="000000"/>
        </w:rPr>
        <w:t xml:space="preserve">. </w:t>
      </w:r>
    </w:p>
    <w:p w14:paraId="41BE59FD" w14:textId="77777777" w:rsidR="00AE472C" w:rsidRPr="004F512A" w:rsidRDefault="00AE472C" w:rsidP="004A145E">
      <w:pPr>
        <w:spacing w:after="120" w:line="240" w:lineRule="auto"/>
        <w:ind w:left="357"/>
        <w:jc w:val="both"/>
        <w:rPr>
          <w:rFonts w:ascii="Times New Roman" w:hAnsi="Times New Roman"/>
          <w:color w:val="000000"/>
        </w:rPr>
      </w:pPr>
      <w:r w:rsidRPr="004F512A">
        <w:rPr>
          <w:rFonts w:ascii="Times New Roman" w:hAnsi="Times New Roman"/>
          <w:color w:val="000000"/>
        </w:rPr>
        <w:lastRenderedPageBreak/>
        <w:t xml:space="preserve">W przypadku </w:t>
      </w:r>
      <w:r w:rsidR="00BB0DCA" w:rsidRPr="004F512A">
        <w:rPr>
          <w:rFonts w:ascii="Times New Roman" w:hAnsi="Times New Roman"/>
          <w:color w:val="000000"/>
        </w:rPr>
        <w:t>gdy</w:t>
      </w:r>
      <w:r w:rsidRPr="004F512A">
        <w:rPr>
          <w:rFonts w:ascii="Times New Roman" w:hAnsi="Times New Roman"/>
          <w:color w:val="000000"/>
        </w:rPr>
        <w:t xml:space="preserve"> regulacja będzie oddziaływać na inne niż wymienione w formularzu podmioty proszę odpowiednio </w:t>
      </w:r>
      <w:r w:rsidR="00BB0DCA" w:rsidRPr="004F512A">
        <w:rPr>
          <w:rFonts w:ascii="Times New Roman" w:hAnsi="Times New Roman"/>
          <w:color w:val="000000"/>
        </w:rPr>
        <w:t>uzupełnić</w:t>
      </w:r>
      <w:r w:rsidRPr="004F512A">
        <w:rPr>
          <w:rFonts w:ascii="Times New Roman" w:hAnsi="Times New Roman"/>
          <w:color w:val="000000"/>
        </w:rPr>
        <w:t xml:space="preserve"> formularz.</w:t>
      </w:r>
    </w:p>
    <w:p w14:paraId="3E8F1321" w14:textId="77777777" w:rsidR="00AE472C" w:rsidRPr="004F512A" w:rsidRDefault="004244A8" w:rsidP="004A145E">
      <w:pPr>
        <w:spacing w:after="120" w:line="240" w:lineRule="auto"/>
        <w:ind w:left="357"/>
        <w:jc w:val="both"/>
        <w:rPr>
          <w:rFonts w:ascii="Times New Roman" w:hAnsi="Times New Roman"/>
          <w:color w:val="000000"/>
        </w:rPr>
      </w:pPr>
      <w:r w:rsidRPr="004F512A">
        <w:rPr>
          <w:rFonts w:ascii="Times New Roman" w:hAnsi="Times New Roman"/>
          <w:color w:val="000000"/>
        </w:rPr>
        <w:t>P</w:t>
      </w:r>
      <w:r w:rsidR="00AE472C" w:rsidRPr="004F512A">
        <w:rPr>
          <w:rFonts w:ascii="Times New Roman" w:hAnsi="Times New Roman"/>
          <w:color w:val="000000"/>
        </w:rPr>
        <w:t xml:space="preserve">roszę wskazać wartość finansową, z uwzględnieniem m.in. kosztów </w:t>
      </w:r>
      <w:r w:rsidRPr="004F512A">
        <w:rPr>
          <w:rFonts w:ascii="Times New Roman" w:hAnsi="Times New Roman"/>
          <w:color w:val="000000"/>
        </w:rPr>
        <w:t>ponoszonych w związku z wejściem w życie aktu</w:t>
      </w:r>
      <w:r w:rsidR="00AE472C" w:rsidRPr="004F512A">
        <w:rPr>
          <w:rFonts w:ascii="Times New Roman" w:hAnsi="Times New Roman"/>
          <w:color w:val="000000"/>
        </w:rPr>
        <w:t xml:space="preserve"> (np. koszt aktualizacji systemów informatycznych, zakupu nowych urządzeń), podatków i opłat lokalnych, itp.</w:t>
      </w:r>
      <w:r w:rsidR="002172F1" w:rsidRPr="004F512A">
        <w:rPr>
          <w:rFonts w:ascii="Times New Roman" w:hAnsi="Times New Roman"/>
          <w:color w:val="000000"/>
        </w:rPr>
        <w:t xml:space="preserve"> </w:t>
      </w:r>
    </w:p>
    <w:p w14:paraId="11DDB920" w14:textId="77777777" w:rsidR="002172F1" w:rsidRPr="004F512A" w:rsidRDefault="002172F1" w:rsidP="004A145E">
      <w:pPr>
        <w:spacing w:after="120" w:line="240" w:lineRule="auto"/>
        <w:ind w:left="357"/>
        <w:jc w:val="both"/>
        <w:rPr>
          <w:rFonts w:ascii="Times New Roman" w:hAnsi="Times New Roman"/>
          <w:color w:val="000000"/>
        </w:rPr>
      </w:pPr>
      <w:r w:rsidRPr="004F512A">
        <w:rPr>
          <w:rFonts w:ascii="Times New Roman" w:hAnsi="Times New Roman"/>
          <w:color w:val="000000"/>
        </w:rPr>
        <w:t>W ujęciu niepieniężnym proszę podać wartości najważniejszych wskaźników, które ulegną zmianie (np. skrócenie czasu wydania pozwolenia na budowę o 100 dni, wzrost wskaźnika upowszechnienia wychowania przedszkolnego o 20 p</w:t>
      </w:r>
      <w:r w:rsidR="004244A8" w:rsidRPr="004F512A">
        <w:rPr>
          <w:rFonts w:ascii="Times New Roman" w:hAnsi="Times New Roman"/>
          <w:color w:val="000000"/>
        </w:rPr>
        <w:t xml:space="preserve">unktów </w:t>
      </w:r>
      <w:r w:rsidRPr="004F512A">
        <w:rPr>
          <w:rFonts w:ascii="Times New Roman" w:hAnsi="Times New Roman"/>
          <w:color w:val="000000"/>
        </w:rPr>
        <w:t>p</w:t>
      </w:r>
      <w:r w:rsidR="004244A8" w:rsidRPr="004F512A">
        <w:rPr>
          <w:rFonts w:ascii="Times New Roman" w:hAnsi="Times New Roman"/>
          <w:color w:val="000000"/>
        </w:rPr>
        <w:t>rocentowych</w:t>
      </w:r>
      <w:r w:rsidRPr="004F512A">
        <w:rPr>
          <w:rFonts w:ascii="Times New Roman" w:hAnsi="Times New Roman"/>
          <w:color w:val="000000"/>
        </w:rPr>
        <w:t>).</w:t>
      </w:r>
    </w:p>
    <w:p w14:paraId="0213B5D4" w14:textId="77777777" w:rsidR="00AE472C" w:rsidRPr="004F512A" w:rsidRDefault="00AE472C" w:rsidP="004A145E">
      <w:pPr>
        <w:spacing w:after="120" w:line="240" w:lineRule="auto"/>
        <w:ind w:left="357"/>
        <w:jc w:val="both"/>
        <w:rPr>
          <w:rFonts w:ascii="Times New Roman" w:hAnsi="Times New Roman"/>
          <w:color w:val="000000"/>
        </w:rPr>
      </w:pPr>
      <w:r w:rsidRPr="004F512A">
        <w:rPr>
          <w:rFonts w:ascii="Times New Roman" w:hAnsi="Times New Roman"/>
          <w:color w:val="000000"/>
        </w:rPr>
        <w:t xml:space="preserve">W przypadku </w:t>
      </w:r>
      <w:r w:rsidR="00BB0DCA" w:rsidRPr="004F512A">
        <w:rPr>
          <w:rFonts w:ascii="Times New Roman" w:hAnsi="Times New Roman"/>
          <w:color w:val="000000"/>
        </w:rPr>
        <w:t>gdy</w:t>
      </w:r>
      <w:r w:rsidRPr="004F512A">
        <w:rPr>
          <w:rFonts w:ascii="Times New Roman" w:hAnsi="Times New Roman"/>
          <w:color w:val="000000"/>
        </w:rPr>
        <w:t xml:space="preserve"> nie ma możliwości podania żadnych wartości liczbowych (lub wpływ dotyczy także zmian, których nie można skwantyfikować) proszę odpowiednio opisać analizę wpływu w pozycji: „niemierzalne</w:t>
      </w:r>
      <w:r w:rsidR="00BB0DCA" w:rsidRPr="004F512A">
        <w:rPr>
          <w:rFonts w:ascii="Times New Roman" w:hAnsi="Times New Roman"/>
          <w:color w:val="000000"/>
        </w:rPr>
        <w:t>”</w:t>
      </w:r>
      <w:r w:rsidRPr="004F512A">
        <w:rPr>
          <w:rFonts w:ascii="Times New Roman" w:hAnsi="Times New Roman"/>
          <w:color w:val="000000"/>
        </w:rPr>
        <w:t>.</w:t>
      </w:r>
    </w:p>
    <w:p w14:paraId="49333824" w14:textId="77777777" w:rsidR="00F15327" w:rsidRPr="004F512A" w:rsidRDefault="00AE472C" w:rsidP="004A145E">
      <w:pPr>
        <w:spacing w:after="120" w:line="240" w:lineRule="auto"/>
        <w:ind w:left="357"/>
        <w:jc w:val="both"/>
        <w:rPr>
          <w:rFonts w:ascii="Times New Roman" w:hAnsi="Times New Roman"/>
          <w:color w:val="000000"/>
        </w:rPr>
      </w:pPr>
      <w:r w:rsidRPr="004F512A">
        <w:rPr>
          <w:rFonts w:ascii="Times New Roman" w:hAnsi="Times New Roman"/>
          <w:color w:val="000000"/>
        </w:rPr>
        <w:t>Skutki proszę skalkulować dla roku wejścia w życie regulacji (0), a następnie w 1, 2, 3,</w:t>
      </w:r>
      <w:r w:rsidR="00441787" w:rsidRPr="004F512A">
        <w:rPr>
          <w:rFonts w:ascii="Times New Roman" w:hAnsi="Times New Roman"/>
          <w:color w:val="000000"/>
        </w:rPr>
        <w:t xml:space="preserve"> 5 i 10 roku jej obowiązywania.</w:t>
      </w:r>
      <w:r w:rsidR="00441787" w:rsidRPr="004F512A">
        <w:rPr>
          <w:rFonts w:ascii="Times New Roman" w:hAnsi="Times New Roman"/>
          <w:color w:val="000000"/>
        </w:rPr>
        <w:br/>
      </w:r>
      <w:r w:rsidRPr="004F512A">
        <w:rPr>
          <w:rFonts w:ascii="Times New Roman" w:hAnsi="Times New Roman"/>
          <w:color w:val="000000"/>
        </w:rPr>
        <w:t xml:space="preserve">W kolumnie </w:t>
      </w:r>
      <w:r w:rsidRPr="004F512A">
        <w:rPr>
          <w:rFonts w:ascii="Times New Roman" w:hAnsi="Times New Roman"/>
          <w:i/>
          <w:color w:val="000000"/>
        </w:rPr>
        <w:t>Łącznie</w:t>
      </w:r>
      <w:r w:rsidRPr="004F512A">
        <w:rPr>
          <w:rFonts w:ascii="Times New Roman" w:hAnsi="Times New Roman"/>
          <w:color w:val="000000"/>
        </w:rPr>
        <w:t xml:space="preserve"> proszę wpisać skumulowane skutki za okres 10 lat obowiązywania regulacji</w:t>
      </w:r>
      <w:r w:rsidR="00F15327" w:rsidRPr="004F512A">
        <w:rPr>
          <w:rFonts w:ascii="Times New Roman" w:hAnsi="Times New Roman"/>
          <w:color w:val="000000"/>
        </w:rPr>
        <w:t xml:space="preserve">. </w:t>
      </w:r>
    </w:p>
    <w:p w14:paraId="4CFDAAC6" w14:textId="77777777" w:rsidR="00F15327" w:rsidRPr="004F512A" w:rsidRDefault="00F15327" w:rsidP="004A145E">
      <w:pPr>
        <w:spacing w:after="120" w:line="240" w:lineRule="auto"/>
        <w:ind w:left="357"/>
        <w:jc w:val="both"/>
        <w:rPr>
          <w:rFonts w:ascii="Times New Roman" w:hAnsi="Times New Roman"/>
          <w:color w:val="000000"/>
        </w:rPr>
      </w:pPr>
      <w:r w:rsidRPr="004F512A">
        <w:rPr>
          <w:rFonts w:ascii="Times New Roman" w:hAnsi="Times New Roman"/>
          <w:color w:val="000000"/>
        </w:rPr>
        <w:t xml:space="preserve">W przypadku gdy analiza wpływu obejmuje dłuższy niż 10-letni horyzont (np. zmiany w systemie emerytalnym), możliwe jest dostosowanie kolumn tabeli do horyzontu projektu. </w:t>
      </w:r>
    </w:p>
    <w:p w14:paraId="3A8D5BC6" w14:textId="77777777" w:rsidR="0069486B" w:rsidRPr="004F512A" w:rsidRDefault="0069486B" w:rsidP="004A145E">
      <w:pPr>
        <w:spacing w:after="120" w:line="240" w:lineRule="auto"/>
        <w:ind w:left="357"/>
        <w:jc w:val="both"/>
        <w:rPr>
          <w:rFonts w:ascii="Times New Roman" w:hAnsi="Times New Roman"/>
        </w:rPr>
      </w:pPr>
      <w:r w:rsidRPr="004F512A">
        <w:rPr>
          <w:rFonts w:ascii="Times New Roman" w:hAnsi="Times New Roman"/>
        </w:rPr>
        <w:t xml:space="preserve">Jeżeli </w:t>
      </w:r>
      <w:r w:rsidRPr="004F512A">
        <w:rPr>
          <w:rFonts w:ascii="Times New Roman" w:hAnsi="Times New Roman"/>
          <w:color w:val="000000"/>
        </w:rPr>
        <w:t>projekt</w:t>
      </w:r>
      <w:r w:rsidRPr="004F512A">
        <w:rPr>
          <w:rFonts w:ascii="Times New Roman" w:hAnsi="Times New Roman"/>
        </w:rPr>
        <w:t xml:space="preserve"> ma charakter przekrojowy i dotyczy wielu zagadnień (np. ustawa deregulująca zawody, ustawa o ułatwieniu wykonywania działalności gospodarczej) proszę dokonać analizy wpływu dla najważniejszych zmian</w:t>
      </w:r>
      <w:r w:rsidR="002172F1" w:rsidRPr="004F512A">
        <w:rPr>
          <w:rFonts w:ascii="Times New Roman" w:hAnsi="Times New Roman"/>
        </w:rPr>
        <w:t>.</w:t>
      </w:r>
    </w:p>
    <w:p w14:paraId="5C069FB5" w14:textId="77777777" w:rsidR="00D64C0F" w:rsidRPr="004F512A" w:rsidRDefault="00D64C0F" w:rsidP="004A145E">
      <w:pPr>
        <w:spacing w:after="120" w:line="240" w:lineRule="auto"/>
        <w:ind w:left="357"/>
        <w:jc w:val="both"/>
        <w:rPr>
          <w:rFonts w:ascii="Times New Roman" w:hAnsi="Times New Roman"/>
        </w:rPr>
      </w:pPr>
      <w:r w:rsidRPr="004F512A">
        <w:rPr>
          <w:rFonts w:ascii="Times New Roman" w:hAnsi="Times New Roman"/>
        </w:rPr>
        <w:t xml:space="preserve">Proszę dostosować </w:t>
      </w:r>
      <w:r w:rsidRPr="004F512A">
        <w:rPr>
          <w:rFonts w:ascii="Times New Roman" w:hAnsi="Times New Roman"/>
          <w:color w:val="000000"/>
        </w:rPr>
        <w:t>ilość</w:t>
      </w:r>
      <w:r w:rsidRPr="004F512A">
        <w:rPr>
          <w:rFonts w:ascii="Times New Roman" w:hAnsi="Times New Roman"/>
        </w:rPr>
        <w:t xml:space="preserve"> wierszy w tabeli, zgodnie z potrzebami projektu. Puste wiersze proszę usunąć.</w:t>
      </w:r>
    </w:p>
    <w:p w14:paraId="0529C85C" w14:textId="77777777" w:rsidR="00522D94" w:rsidRPr="004F512A" w:rsidRDefault="00522D94" w:rsidP="00522D94">
      <w:pPr>
        <w:numPr>
          <w:ilvl w:val="0"/>
          <w:numId w:val="8"/>
        </w:numPr>
        <w:spacing w:after="120" w:line="240" w:lineRule="auto"/>
        <w:jc w:val="both"/>
        <w:rPr>
          <w:rFonts w:ascii="Times New Roman" w:hAnsi="Times New Roman"/>
          <w:b/>
        </w:rPr>
      </w:pPr>
      <w:r w:rsidRPr="004F512A">
        <w:rPr>
          <w:rFonts w:ascii="Times New Roman" w:hAnsi="Times New Roman"/>
          <w:b/>
          <w:color w:val="000000"/>
        </w:rPr>
        <w:t>Zmiana obciążeń regulacyjnych (w tym obowiązków informacyjnych) wynikających z projektu</w:t>
      </w:r>
    </w:p>
    <w:p w14:paraId="2EF83096" w14:textId="77777777" w:rsidR="004244A8" w:rsidRPr="004F512A" w:rsidRDefault="004244A8" w:rsidP="004244A8">
      <w:pPr>
        <w:spacing w:after="120"/>
        <w:ind w:left="357"/>
        <w:jc w:val="both"/>
        <w:rPr>
          <w:rFonts w:ascii="Times New Roman" w:eastAsia="Batang" w:hAnsi="Times New Roman"/>
          <w:lang w:eastAsia="ko-KR"/>
        </w:rPr>
      </w:pPr>
      <w:r w:rsidRPr="004F512A">
        <w:rPr>
          <w:rFonts w:ascii="Times New Roman" w:hAnsi="Times New Roman"/>
          <w:color w:val="000000"/>
        </w:rPr>
        <w:t>Obciążenia regulacyjne należy rozumieć jako wszystkie czynności, które muszą wykona</w:t>
      </w:r>
      <w:r w:rsidR="00441787" w:rsidRPr="004F512A">
        <w:rPr>
          <w:rFonts w:ascii="Times New Roman" w:hAnsi="Times New Roman"/>
          <w:color w:val="000000"/>
        </w:rPr>
        <w:t>ć podmioty (adresaci regulacji)</w:t>
      </w:r>
      <w:r w:rsidR="00441787" w:rsidRPr="004F512A">
        <w:rPr>
          <w:rFonts w:ascii="Times New Roman" w:hAnsi="Times New Roman"/>
          <w:color w:val="000000"/>
        </w:rPr>
        <w:br/>
      </w:r>
      <w:r w:rsidRPr="004F512A">
        <w:rPr>
          <w:rFonts w:ascii="Times New Roman" w:eastAsia="Batang" w:hAnsi="Times New Roman"/>
          <w:lang w:eastAsia="ko-KR"/>
        </w:rPr>
        <w:t xml:space="preserve">w związku wykonywaniem projektowanych przepisów. </w:t>
      </w:r>
    </w:p>
    <w:p w14:paraId="026CC90E" w14:textId="77777777" w:rsidR="004244A8" w:rsidRPr="004F512A" w:rsidRDefault="004244A8" w:rsidP="004244A8">
      <w:pPr>
        <w:spacing w:after="120"/>
        <w:ind w:left="357"/>
        <w:jc w:val="both"/>
        <w:rPr>
          <w:rFonts w:ascii="Times New Roman" w:hAnsi="Times New Roman"/>
        </w:rPr>
      </w:pPr>
      <w:r w:rsidRPr="004F512A">
        <w:rPr>
          <w:rFonts w:ascii="Times New Roman" w:eastAsia="Batang" w:hAnsi="Times New Roman"/>
          <w:lang w:eastAsia="ko-KR"/>
        </w:rPr>
        <w:t xml:space="preserve">Przykładem takich obciążeń są m.in. obowiązki informacyjne (OI). </w:t>
      </w:r>
      <w:r w:rsidRPr="004F512A">
        <w:rPr>
          <w:rFonts w:ascii="Times New Roman" w:hAnsi="Times New Roman"/>
        </w:rPr>
        <w:t>OI polega na dostarczaniu lub przechowywaniu przez podmioty zobowiązane danych informacji. Identyfikowanie OI dokonywane jest w oparciu o przepi</w:t>
      </w:r>
      <w:r w:rsidR="00B7770F" w:rsidRPr="004F512A">
        <w:rPr>
          <w:rFonts w:ascii="Times New Roman" w:hAnsi="Times New Roman"/>
        </w:rPr>
        <w:t>sy</w:t>
      </w:r>
      <w:r w:rsidRPr="004F512A">
        <w:rPr>
          <w:rFonts w:ascii="Times New Roman" w:hAnsi="Times New Roman"/>
        </w:rPr>
        <w:t xml:space="preserve"> ustawy. Dany przepis nakłada OI, jeżeli podmiot realizujący obowiązek musi wykonać szereg czynności administracyjnych. Przepis można </w:t>
      </w:r>
      <w:r w:rsidR="00C33027" w:rsidRPr="004F512A">
        <w:rPr>
          <w:rFonts w:ascii="Times New Roman" w:hAnsi="Times New Roman"/>
        </w:rPr>
        <w:t>uznać</w:t>
      </w:r>
      <w:r w:rsidRPr="004F512A">
        <w:rPr>
          <w:rFonts w:ascii="Times New Roman" w:hAnsi="Times New Roman"/>
        </w:rPr>
        <w:t xml:space="preserve"> za OI w przypadku gdy jego wykonanie będzie związane z wykonaniem jednej lub więcej czynności składowych z listy poniżej:</w:t>
      </w:r>
    </w:p>
    <w:p w14:paraId="2269DA68" w14:textId="77777777" w:rsidR="004244A8" w:rsidRPr="004F512A" w:rsidRDefault="004244A8" w:rsidP="004C36D8">
      <w:pPr>
        <w:numPr>
          <w:ilvl w:val="0"/>
          <w:numId w:val="11"/>
        </w:numPr>
        <w:tabs>
          <w:tab w:val="num" w:pos="2118"/>
        </w:tabs>
        <w:spacing w:line="240" w:lineRule="auto"/>
        <w:jc w:val="both"/>
        <w:rPr>
          <w:rFonts w:ascii="Times New Roman" w:hAnsi="Times New Roman"/>
        </w:rPr>
      </w:pPr>
      <w:r w:rsidRPr="004F512A">
        <w:rPr>
          <w:rFonts w:ascii="Times New Roman" w:hAnsi="Times New Roman"/>
        </w:rPr>
        <w:t>przyswajanie wiedzy dotyczącej wykonywania konkretnego obowiązku informacyjnego (w tym bieżące śledzenie zmian w przepisach),</w:t>
      </w:r>
    </w:p>
    <w:p w14:paraId="51EC83BA" w14:textId="77777777" w:rsidR="004244A8" w:rsidRPr="004F512A" w:rsidRDefault="004244A8" w:rsidP="004C36D8">
      <w:pPr>
        <w:numPr>
          <w:ilvl w:val="0"/>
          <w:numId w:val="11"/>
        </w:numPr>
        <w:tabs>
          <w:tab w:val="num" w:pos="2118"/>
        </w:tabs>
        <w:spacing w:line="240" w:lineRule="auto"/>
        <w:jc w:val="both"/>
        <w:rPr>
          <w:rFonts w:ascii="Times New Roman" w:hAnsi="Times New Roman"/>
        </w:rPr>
      </w:pPr>
      <w:r w:rsidRPr="004F512A">
        <w:rPr>
          <w:rFonts w:ascii="Times New Roman" w:hAnsi="Times New Roman"/>
        </w:rPr>
        <w:t>szkolenie pracowników w zakresie wykonywania OI,</w:t>
      </w:r>
    </w:p>
    <w:p w14:paraId="79864D09" w14:textId="77777777" w:rsidR="004244A8" w:rsidRPr="004F512A" w:rsidRDefault="004244A8" w:rsidP="004C36D8">
      <w:pPr>
        <w:numPr>
          <w:ilvl w:val="0"/>
          <w:numId w:val="11"/>
        </w:numPr>
        <w:tabs>
          <w:tab w:val="num" w:pos="2118"/>
        </w:tabs>
        <w:spacing w:line="240" w:lineRule="auto"/>
        <w:jc w:val="both"/>
        <w:rPr>
          <w:rFonts w:ascii="Times New Roman" w:hAnsi="Times New Roman"/>
        </w:rPr>
      </w:pPr>
      <w:r w:rsidRPr="004F512A">
        <w:rPr>
          <w:rFonts w:ascii="Times New Roman" w:hAnsi="Times New Roman"/>
        </w:rPr>
        <w:t>pozyskiwanie odpowiednich informacji z posiadanych danych,</w:t>
      </w:r>
    </w:p>
    <w:p w14:paraId="304643A3" w14:textId="77777777" w:rsidR="004244A8" w:rsidRPr="004F512A" w:rsidRDefault="004244A8" w:rsidP="004C36D8">
      <w:pPr>
        <w:numPr>
          <w:ilvl w:val="0"/>
          <w:numId w:val="11"/>
        </w:numPr>
        <w:tabs>
          <w:tab w:val="num" w:pos="2118"/>
        </w:tabs>
        <w:spacing w:line="240" w:lineRule="auto"/>
        <w:jc w:val="both"/>
        <w:rPr>
          <w:rFonts w:ascii="Times New Roman" w:hAnsi="Times New Roman"/>
        </w:rPr>
      </w:pPr>
      <w:r w:rsidRPr="004F512A">
        <w:rPr>
          <w:rFonts w:ascii="Times New Roman" w:hAnsi="Times New Roman"/>
        </w:rPr>
        <w:t>przetwarzanie posiadanych danych w celu wykonania OI,</w:t>
      </w:r>
    </w:p>
    <w:p w14:paraId="129D9750" w14:textId="77777777" w:rsidR="004244A8" w:rsidRPr="004F512A" w:rsidRDefault="004244A8" w:rsidP="004C36D8">
      <w:pPr>
        <w:numPr>
          <w:ilvl w:val="0"/>
          <w:numId w:val="11"/>
        </w:numPr>
        <w:tabs>
          <w:tab w:val="num" w:pos="2118"/>
        </w:tabs>
        <w:spacing w:line="240" w:lineRule="auto"/>
        <w:jc w:val="both"/>
        <w:rPr>
          <w:rFonts w:ascii="Times New Roman" w:hAnsi="Times New Roman"/>
        </w:rPr>
      </w:pPr>
      <w:r w:rsidRPr="004F512A">
        <w:rPr>
          <w:rFonts w:ascii="Times New Roman" w:hAnsi="Times New Roman"/>
        </w:rPr>
        <w:t>generowanie nowych danych,</w:t>
      </w:r>
    </w:p>
    <w:p w14:paraId="42C29C66" w14:textId="77777777" w:rsidR="004244A8" w:rsidRPr="004F512A" w:rsidRDefault="004244A8" w:rsidP="004C36D8">
      <w:pPr>
        <w:numPr>
          <w:ilvl w:val="0"/>
          <w:numId w:val="11"/>
        </w:numPr>
        <w:tabs>
          <w:tab w:val="num" w:pos="2118"/>
        </w:tabs>
        <w:spacing w:line="240" w:lineRule="auto"/>
        <w:jc w:val="both"/>
        <w:rPr>
          <w:rFonts w:ascii="Times New Roman" w:hAnsi="Times New Roman"/>
        </w:rPr>
      </w:pPr>
      <w:r w:rsidRPr="004F512A">
        <w:rPr>
          <w:rFonts w:ascii="Times New Roman" w:hAnsi="Times New Roman"/>
        </w:rPr>
        <w:t>projektowanie materiałów informacyjnych,</w:t>
      </w:r>
    </w:p>
    <w:p w14:paraId="3EF6C1B5" w14:textId="77777777" w:rsidR="004244A8" w:rsidRPr="004F512A" w:rsidRDefault="004244A8" w:rsidP="004C36D8">
      <w:pPr>
        <w:numPr>
          <w:ilvl w:val="0"/>
          <w:numId w:val="11"/>
        </w:numPr>
        <w:tabs>
          <w:tab w:val="num" w:pos="2118"/>
        </w:tabs>
        <w:spacing w:line="240" w:lineRule="auto"/>
        <w:jc w:val="both"/>
        <w:rPr>
          <w:rFonts w:ascii="Times New Roman" w:hAnsi="Times New Roman"/>
        </w:rPr>
      </w:pPr>
      <w:r w:rsidRPr="004F512A">
        <w:rPr>
          <w:rFonts w:ascii="Times New Roman" w:hAnsi="Times New Roman"/>
        </w:rPr>
        <w:t>wypełnianie kwestionariuszy,</w:t>
      </w:r>
    </w:p>
    <w:p w14:paraId="1B720FA1" w14:textId="77777777" w:rsidR="004244A8" w:rsidRPr="004F512A" w:rsidRDefault="004244A8" w:rsidP="004C36D8">
      <w:pPr>
        <w:numPr>
          <w:ilvl w:val="0"/>
          <w:numId w:val="11"/>
        </w:numPr>
        <w:tabs>
          <w:tab w:val="num" w:pos="2118"/>
        </w:tabs>
        <w:spacing w:line="240" w:lineRule="auto"/>
        <w:jc w:val="both"/>
        <w:rPr>
          <w:rFonts w:ascii="Times New Roman" w:hAnsi="Times New Roman"/>
        </w:rPr>
      </w:pPr>
      <w:r w:rsidRPr="004F512A">
        <w:rPr>
          <w:rFonts w:ascii="Times New Roman" w:hAnsi="Times New Roman"/>
        </w:rPr>
        <w:t>odbywanie spotkań,</w:t>
      </w:r>
    </w:p>
    <w:p w14:paraId="01CE42EC" w14:textId="77777777" w:rsidR="004244A8" w:rsidRPr="004F512A" w:rsidRDefault="004244A8" w:rsidP="004C36D8">
      <w:pPr>
        <w:numPr>
          <w:ilvl w:val="0"/>
          <w:numId w:val="11"/>
        </w:numPr>
        <w:tabs>
          <w:tab w:val="num" w:pos="2118"/>
        </w:tabs>
        <w:spacing w:line="240" w:lineRule="auto"/>
        <w:jc w:val="both"/>
        <w:rPr>
          <w:rFonts w:ascii="Times New Roman" w:hAnsi="Times New Roman"/>
        </w:rPr>
      </w:pPr>
      <w:r w:rsidRPr="004F512A">
        <w:rPr>
          <w:rFonts w:ascii="Times New Roman" w:hAnsi="Times New Roman"/>
        </w:rPr>
        <w:t>kontrola i sprawdzanie poprawności,</w:t>
      </w:r>
    </w:p>
    <w:p w14:paraId="60EA0A62" w14:textId="77777777" w:rsidR="004244A8" w:rsidRPr="004F512A" w:rsidRDefault="004244A8" w:rsidP="004C36D8">
      <w:pPr>
        <w:numPr>
          <w:ilvl w:val="0"/>
          <w:numId w:val="11"/>
        </w:numPr>
        <w:tabs>
          <w:tab w:val="num" w:pos="2118"/>
        </w:tabs>
        <w:spacing w:line="240" w:lineRule="auto"/>
        <w:jc w:val="both"/>
        <w:rPr>
          <w:rFonts w:ascii="Times New Roman" w:hAnsi="Times New Roman"/>
        </w:rPr>
      </w:pPr>
      <w:r w:rsidRPr="004F512A">
        <w:rPr>
          <w:rFonts w:ascii="Times New Roman" w:hAnsi="Times New Roman"/>
        </w:rPr>
        <w:t>kopiowanie/sporządzanie dokumentacji,</w:t>
      </w:r>
    </w:p>
    <w:p w14:paraId="0D9D49B8" w14:textId="77777777" w:rsidR="004244A8" w:rsidRPr="004F512A" w:rsidRDefault="004244A8" w:rsidP="004C36D8">
      <w:pPr>
        <w:numPr>
          <w:ilvl w:val="0"/>
          <w:numId w:val="11"/>
        </w:numPr>
        <w:tabs>
          <w:tab w:val="num" w:pos="2118"/>
        </w:tabs>
        <w:spacing w:line="240" w:lineRule="auto"/>
        <w:jc w:val="both"/>
        <w:rPr>
          <w:rFonts w:ascii="Times New Roman" w:hAnsi="Times New Roman"/>
        </w:rPr>
      </w:pPr>
      <w:r w:rsidRPr="004F512A">
        <w:rPr>
          <w:rFonts w:ascii="Times New Roman" w:hAnsi="Times New Roman"/>
        </w:rPr>
        <w:t>przekazywanie wymaganej informacji do adresata,</w:t>
      </w:r>
    </w:p>
    <w:p w14:paraId="6621C27A" w14:textId="77777777" w:rsidR="004244A8" w:rsidRPr="004F512A" w:rsidRDefault="00C33027" w:rsidP="0057189C">
      <w:pPr>
        <w:numPr>
          <w:ilvl w:val="0"/>
          <w:numId w:val="11"/>
        </w:numPr>
        <w:tabs>
          <w:tab w:val="num" w:pos="2118"/>
        </w:tabs>
        <w:spacing w:after="120" w:line="240" w:lineRule="auto"/>
        <w:ind w:left="1043" w:hanging="357"/>
        <w:jc w:val="both"/>
        <w:rPr>
          <w:rFonts w:ascii="Times New Roman" w:hAnsi="Times New Roman"/>
        </w:rPr>
      </w:pPr>
      <w:r w:rsidRPr="004F512A">
        <w:rPr>
          <w:rFonts w:ascii="Times New Roman" w:hAnsi="Times New Roman"/>
        </w:rPr>
        <w:t>archiwizacja informacji</w:t>
      </w:r>
      <w:r w:rsidR="004244A8" w:rsidRPr="004F512A">
        <w:rPr>
          <w:rFonts w:ascii="Times New Roman" w:hAnsi="Times New Roman"/>
        </w:rPr>
        <w:t>.</w:t>
      </w:r>
    </w:p>
    <w:p w14:paraId="382EA9B9" w14:textId="77777777" w:rsidR="00C50B42" w:rsidRPr="004F512A" w:rsidRDefault="00C50B42" w:rsidP="00C50B42">
      <w:pPr>
        <w:spacing w:after="120" w:line="240" w:lineRule="auto"/>
        <w:ind w:left="360"/>
        <w:jc w:val="both"/>
        <w:rPr>
          <w:rFonts w:ascii="Times New Roman" w:hAnsi="Times New Roman"/>
          <w:color w:val="000000"/>
        </w:rPr>
      </w:pPr>
      <w:r w:rsidRPr="004F512A">
        <w:rPr>
          <w:rFonts w:ascii="Times New Roman" w:hAnsi="Times New Roman"/>
          <w:color w:val="000000"/>
        </w:rPr>
        <w:t>Proszę:</w:t>
      </w:r>
    </w:p>
    <w:p w14:paraId="7131EB28" w14:textId="77777777" w:rsidR="00C50B42" w:rsidRPr="004F512A" w:rsidRDefault="00C50B42" w:rsidP="0066091B">
      <w:pPr>
        <w:numPr>
          <w:ilvl w:val="0"/>
          <w:numId w:val="18"/>
        </w:numPr>
        <w:spacing w:after="120" w:line="240" w:lineRule="auto"/>
        <w:jc w:val="both"/>
        <w:rPr>
          <w:rFonts w:ascii="Times New Roman" w:hAnsi="Times New Roman"/>
          <w:color w:val="000000"/>
        </w:rPr>
      </w:pPr>
      <w:r w:rsidRPr="004F512A">
        <w:rPr>
          <w:rFonts w:ascii="Times New Roman" w:hAnsi="Times New Roman"/>
          <w:color w:val="000000"/>
        </w:rPr>
        <w:t>w przypadku gdy projekt nie dotyczy zmiany obciążeń regulacyjnych</w:t>
      </w:r>
      <w:r w:rsidR="00BB0DCA" w:rsidRPr="004F512A">
        <w:rPr>
          <w:rFonts w:ascii="Times New Roman" w:hAnsi="Times New Roman"/>
          <w:color w:val="000000"/>
        </w:rPr>
        <w:t>,</w:t>
      </w:r>
      <w:r w:rsidRPr="004F512A">
        <w:rPr>
          <w:rFonts w:ascii="Times New Roman" w:hAnsi="Times New Roman"/>
          <w:color w:val="000000"/>
        </w:rPr>
        <w:t xml:space="preserve"> zaznaczyć pole „nie dotyczy”,</w:t>
      </w:r>
    </w:p>
    <w:p w14:paraId="23174C47" w14:textId="77777777" w:rsidR="00C50B42" w:rsidRPr="004F512A" w:rsidRDefault="00C50B42" w:rsidP="0066091B">
      <w:pPr>
        <w:numPr>
          <w:ilvl w:val="0"/>
          <w:numId w:val="18"/>
        </w:numPr>
        <w:spacing w:after="120" w:line="240" w:lineRule="auto"/>
        <w:jc w:val="both"/>
        <w:rPr>
          <w:rFonts w:ascii="Times New Roman" w:hAnsi="Times New Roman"/>
          <w:color w:val="000000"/>
        </w:rPr>
      </w:pPr>
      <w:r w:rsidRPr="004F512A">
        <w:rPr>
          <w:rFonts w:ascii="Times New Roman" w:hAnsi="Times New Roman"/>
          <w:color w:val="000000"/>
        </w:rPr>
        <w:t>w przypadku zmian w projekcie wpływających na obciążenia regulacyjne odpowiednio zaznaczyć ich zwiększenie lub zmniejszenie,</w:t>
      </w:r>
    </w:p>
    <w:p w14:paraId="4FD60540" w14:textId="77777777" w:rsidR="00C50B42" w:rsidRPr="004F512A" w:rsidRDefault="00C50B42" w:rsidP="0066091B">
      <w:pPr>
        <w:numPr>
          <w:ilvl w:val="0"/>
          <w:numId w:val="18"/>
        </w:numPr>
        <w:spacing w:after="120" w:line="240" w:lineRule="auto"/>
        <w:jc w:val="both"/>
        <w:rPr>
          <w:rFonts w:ascii="Times New Roman" w:hAnsi="Times New Roman"/>
          <w:color w:val="000000"/>
        </w:rPr>
      </w:pPr>
      <w:r w:rsidRPr="004F512A">
        <w:rPr>
          <w:rFonts w:ascii="Times New Roman" w:hAnsi="Times New Roman"/>
          <w:color w:val="000000"/>
        </w:rPr>
        <w:t>wskazać, czy wprowadzane są obciążenia poza bezwzględnie wymaganymi</w:t>
      </w:r>
      <w:r w:rsidR="00FC49EF" w:rsidRPr="004F512A">
        <w:rPr>
          <w:rFonts w:ascii="Times New Roman" w:hAnsi="Times New Roman"/>
          <w:color w:val="000000"/>
        </w:rPr>
        <w:t xml:space="preserve"> przez UE</w:t>
      </w:r>
      <w:r w:rsidRPr="004F512A">
        <w:rPr>
          <w:rFonts w:ascii="Times New Roman" w:hAnsi="Times New Roman"/>
          <w:color w:val="000000"/>
        </w:rPr>
        <w:t>,</w:t>
      </w:r>
    </w:p>
    <w:p w14:paraId="609450B3" w14:textId="77777777" w:rsidR="002172F1" w:rsidRPr="004F512A" w:rsidRDefault="002172F1" w:rsidP="0066091B">
      <w:pPr>
        <w:numPr>
          <w:ilvl w:val="0"/>
          <w:numId w:val="18"/>
        </w:numPr>
        <w:spacing w:after="120" w:line="240" w:lineRule="auto"/>
        <w:jc w:val="both"/>
        <w:rPr>
          <w:rFonts w:ascii="Times New Roman" w:hAnsi="Times New Roman"/>
          <w:color w:val="000000"/>
        </w:rPr>
      </w:pPr>
      <w:r w:rsidRPr="004F512A">
        <w:rPr>
          <w:rFonts w:ascii="Times New Roman" w:hAnsi="Times New Roman"/>
          <w:color w:val="000000"/>
        </w:rPr>
        <w:t xml:space="preserve">wskazać, czy dane obciążenia są przystosowane do ich ewentualnej elektronizacji </w:t>
      </w:r>
      <w:r w:rsidR="00D218DC" w:rsidRPr="004F512A">
        <w:rPr>
          <w:rFonts w:ascii="Times New Roman" w:hAnsi="Times New Roman"/>
          <w:color w:val="000000"/>
        </w:rPr>
        <w:t xml:space="preserve">(dotyczy sytuacji kiedy wprowadzane </w:t>
      </w:r>
      <w:r w:rsidR="00C33027" w:rsidRPr="004F512A">
        <w:rPr>
          <w:rFonts w:ascii="Times New Roman" w:hAnsi="Times New Roman"/>
          <w:color w:val="000000"/>
        </w:rPr>
        <w:t>obciążenia wpływają</w:t>
      </w:r>
      <w:r w:rsidR="00D218DC" w:rsidRPr="004F512A">
        <w:rPr>
          <w:rFonts w:ascii="Times New Roman" w:hAnsi="Times New Roman"/>
          <w:color w:val="000000"/>
        </w:rPr>
        <w:t xml:space="preserve"> na systemy teleinformatyczne podmiotów publicznych lub na podmioty prywatne – przedsiębior</w:t>
      </w:r>
      <w:r w:rsidR="002B3D1A" w:rsidRPr="004F512A">
        <w:rPr>
          <w:rFonts w:ascii="Times New Roman" w:hAnsi="Times New Roman"/>
          <w:color w:val="000000"/>
        </w:rPr>
        <w:t>cy</w:t>
      </w:r>
      <w:r w:rsidR="00D218DC" w:rsidRPr="004F512A">
        <w:rPr>
          <w:rFonts w:ascii="Times New Roman" w:hAnsi="Times New Roman"/>
          <w:color w:val="000000"/>
        </w:rPr>
        <w:t xml:space="preserve">, </w:t>
      </w:r>
      <w:r w:rsidR="002B3D1A" w:rsidRPr="004F512A">
        <w:rPr>
          <w:rFonts w:ascii="Times New Roman" w:hAnsi="Times New Roman"/>
          <w:color w:val="000000"/>
        </w:rPr>
        <w:t>obywatele</w:t>
      </w:r>
      <w:r w:rsidR="00D218DC" w:rsidRPr="004F512A">
        <w:rPr>
          <w:rFonts w:ascii="Times New Roman" w:hAnsi="Times New Roman"/>
          <w:color w:val="000000"/>
        </w:rPr>
        <w:t>).</w:t>
      </w:r>
    </w:p>
    <w:p w14:paraId="34E8C4CF" w14:textId="77777777" w:rsidR="004244A8" w:rsidRPr="004F512A" w:rsidRDefault="004244A8" w:rsidP="004244A8">
      <w:pPr>
        <w:spacing w:after="120" w:line="240" w:lineRule="auto"/>
        <w:ind w:left="360"/>
        <w:jc w:val="both"/>
        <w:rPr>
          <w:rFonts w:ascii="Times New Roman" w:hAnsi="Times New Roman"/>
          <w:color w:val="000000"/>
        </w:rPr>
      </w:pPr>
      <w:r w:rsidRPr="004F512A">
        <w:rPr>
          <w:rFonts w:ascii="Times New Roman" w:hAnsi="Times New Roman"/>
          <w:color w:val="000000"/>
        </w:rPr>
        <w:t>W komentarzu proszę o zwięzłe opisanie zakresu zmian dotyczących obciążeń regulacyjnych.</w:t>
      </w:r>
    </w:p>
    <w:p w14:paraId="60D3149C" w14:textId="77777777" w:rsidR="00522D94" w:rsidRPr="004F512A" w:rsidRDefault="00522D94" w:rsidP="00522D94">
      <w:pPr>
        <w:numPr>
          <w:ilvl w:val="0"/>
          <w:numId w:val="8"/>
        </w:numPr>
        <w:spacing w:after="120" w:line="240" w:lineRule="auto"/>
        <w:jc w:val="both"/>
        <w:rPr>
          <w:rFonts w:ascii="Times New Roman" w:hAnsi="Times New Roman"/>
          <w:b/>
        </w:rPr>
      </w:pPr>
      <w:r w:rsidRPr="004F512A">
        <w:rPr>
          <w:rFonts w:ascii="Times New Roman" w:hAnsi="Times New Roman"/>
          <w:b/>
          <w:color w:val="000000"/>
        </w:rPr>
        <w:t>Wpływ na rynek pracy</w:t>
      </w:r>
    </w:p>
    <w:p w14:paraId="1CCA9597" w14:textId="77777777" w:rsidR="00D86AFF" w:rsidRPr="004F512A" w:rsidRDefault="00C50B42" w:rsidP="0057189C">
      <w:pPr>
        <w:spacing w:after="120" w:line="240" w:lineRule="auto"/>
        <w:ind w:left="357"/>
        <w:jc w:val="both"/>
        <w:rPr>
          <w:rFonts w:ascii="Times New Roman" w:hAnsi="Times New Roman"/>
          <w:color w:val="000000"/>
        </w:rPr>
      </w:pPr>
      <w:r w:rsidRPr="004F512A">
        <w:rPr>
          <w:rFonts w:ascii="Times New Roman" w:hAnsi="Times New Roman"/>
          <w:color w:val="000000"/>
        </w:rPr>
        <w:t xml:space="preserve">Proszę </w:t>
      </w:r>
      <w:r w:rsidR="00D86AFF" w:rsidRPr="004F512A">
        <w:rPr>
          <w:rFonts w:ascii="Times New Roman" w:hAnsi="Times New Roman"/>
          <w:color w:val="000000"/>
        </w:rPr>
        <w:t>opisać</w:t>
      </w:r>
      <w:r w:rsidR="007318DD" w:rsidRPr="004F512A">
        <w:rPr>
          <w:rFonts w:ascii="Times New Roman" w:hAnsi="Times New Roman"/>
          <w:color w:val="000000"/>
        </w:rPr>
        <w:t>,</w:t>
      </w:r>
      <w:r w:rsidR="00D86AFF" w:rsidRPr="004F512A">
        <w:rPr>
          <w:rFonts w:ascii="Times New Roman" w:hAnsi="Times New Roman"/>
          <w:color w:val="000000"/>
        </w:rPr>
        <w:t xml:space="preserve"> czy i w jaki sposób </w:t>
      </w:r>
      <w:r w:rsidR="004244A8" w:rsidRPr="004F512A">
        <w:rPr>
          <w:rFonts w:ascii="Times New Roman" w:hAnsi="Times New Roman"/>
          <w:color w:val="000000"/>
        </w:rPr>
        <w:t>projektowana regulacj</w:t>
      </w:r>
      <w:r w:rsidR="00B7770F" w:rsidRPr="004F512A">
        <w:rPr>
          <w:rFonts w:ascii="Times New Roman" w:hAnsi="Times New Roman"/>
          <w:color w:val="000000"/>
        </w:rPr>
        <w:t>a</w:t>
      </w:r>
      <w:r w:rsidR="00D86AFF" w:rsidRPr="004F512A">
        <w:rPr>
          <w:rFonts w:ascii="Times New Roman" w:hAnsi="Times New Roman"/>
          <w:color w:val="000000"/>
        </w:rPr>
        <w:t xml:space="preserve"> mo</w:t>
      </w:r>
      <w:r w:rsidR="004244A8" w:rsidRPr="004F512A">
        <w:rPr>
          <w:rFonts w:ascii="Times New Roman" w:hAnsi="Times New Roman"/>
          <w:color w:val="000000"/>
        </w:rPr>
        <w:t>że</w:t>
      </w:r>
      <w:r w:rsidR="00D86AFF" w:rsidRPr="004F512A">
        <w:rPr>
          <w:rFonts w:ascii="Times New Roman" w:hAnsi="Times New Roman"/>
          <w:color w:val="000000"/>
        </w:rPr>
        <w:t xml:space="preserve"> spowodować zmiany na rynku pracy w </w:t>
      </w:r>
      <w:r w:rsidR="00880F26" w:rsidRPr="004F512A">
        <w:rPr>
          <w:rFonts w:ascii="Times New Roman" w:hAnsi="Times New Roman"/>
          <w:color w:val="000000"/>
        </w:rPr>
        <w:t xml:space="preserve">odniesieniu do </w:t>
      </w:r>
      <w:r w:rsidR="001A118A" w:rsidRPr="004F512A">
        <w:rPr>
          <w:rFonts w:ascii="Times New Roman" w:hAnsi="Times New Roman"/>
          <w:color w:val="000000"/>
        </w:rPr>
        <w:t>zatrudnienia</w:t>
      </w:r>
      <w:r w:rsidR="00880F26" w:rsidRPr="004F512A">
        <w:rPr>
          <w:rFonts w:ascii="Times New Roman" w:hAnsi="Times New Roman"/>
          <w:color w:val="000000"/>
        </w:rPr>
        <w:t xml:space="preserve"> oraz innych wskaźników </w:t>
      </w:r>
      <w:r w:rsidR="00D86AFF" w:rsidRPr="004F512A">
        <w:rPr>
          <w:rFonts w:ascii="Times New Roman" w:hAnsi="Times New Roman"/>
          <w:color w:val="000000"/>
        </w:rPr>
        <w:t>(</w:t>
      </w:r>
      <w:r w:rsidR="00880F26" w:rsidRPr="004F512A">
        <w:rPr>
          <w:rFonts w:ascii="Times New Roman" w:hAnsi="Times New Roman"/>
          <w:color w:val="000000"/>
        </w:rPr>
        <w:t xml:space="preserve">np. </w:t>
      </w:r>
      <w:r w:rsidR="00D86AFF" w:rsidRPr="004F512A">
        <w:rPr>
          <w:rFonts w:ascii="Times New Roman" w:hAnsi="Times New Roman"/>
          <w:color w:val="000000"/>
        </w:rPr>
        <w:t>czas</w:t>
      </w:r>
      <w:r w:rsidR="004244A8" w:rsidRPr="004F512A">
        <w:rPr>
          <w:rFonts w:ascii="Times New Roman" w:hAnsi="Times New Roman"/>
          <w:color w:val="000000"/>
        </w:rPr>
        <w:t>u</w:t>
      </w:r>
      <w:r w:rsidR="00D86AFF" w:rsidRPr="004F512A">
        <w:rPr>
          <w:rFonts w:ascii="Times New Roman" w:hAnsi="Times New Roman"/>
          <w:color w:val="000000"/>
        </w:rPr>
        <w:t xml:space="preserve"> poszukiwania pracy, kwalifikacj</w:t>
      </w:r>
      <w:r w:rsidR="004244A8" w:rsidRPr="004F512A">
        <w:rPr>
          <w:rFonts w:ascii="Times New Roman" w:hAnsi="Times New Roman"/>
          <w:color w:val="000000"/>
        </w:rPr>
        <w:t>i</w:t>
      </w:r>
      <w:r w:rsidR="00880F26" w:rsidRPr="004F512A">
        <w:rPr>
          <w:rFonts w:ascii="Times New Roman" w:hAnsi="Times New Roman"/>
          <w:color w:val="000000"/>
        </w:rPr>
        <w:t xml:space="preserve"> pracowników</w:t>
      </w:r>
      <w:r w:rsidR="00D86AFF" w:rsidRPr="004F512A">
        <w:rPr>
          <w:rFonts w:ascii="Times New Roman" w:hAnsi="Times New Roman"/>
          <w:color w:val="000000"/>
        </w:rPr>
        <w:t>).</w:t>
      </w:r>
      <w:r w:rsidR="001A118A" w:rsidRPr="004F512A">
        <w:rPr>
          <w:rFonts w:ascii="Times New Roman" w:hAnsi="Times New Roman"/>
          <w:color w:val="000000"/>
        </w:rPr>
        <w:t xml:space="preserve"> </w:t>
      </w:r>
    </w:p>
    <w:p w14:paraId="22D9916E" w14:textId="77777777" w:rsidR="00255DAD" w:rsidRPr="004F512A" w:rsidRDefault="00880F26" w:rsidP="00E2371E">
      <w:pPr>
        <w:spacing w:after="120"/>
        <w:ind w:left="360"/>
        <w:jc w:val="both"/>
        <w:rPr>
          <w:rFonts w:ascii="Times New Roman" w:hAnsi="Times New Roman"/>
        </w:rPr>
      </w:pPr>
      <w:r w:rsidRPr="004F512A">
        <w:rPr>
          <w:rFonts w:ascii="Times New Roman" w:hAnsi="Times New Roman"/>
        </w:rPr>
        <w:lastRenderedPageBreak/>
        <w:t>J</w:t>
      </w:r>
      <w:r w:rsidR="00E2371E" w:rsidRPr="004F512A">
        <w:rPr>
          <w:rFonts w:ascii="Times New Roman" w:hAnsi="Times New Roman"/>
        </w:rPr>
        <w:t>eżeli projekt</w:t>
      </w:r>
      <w:r w:rsidRPr="004F512A">
        <w:rPr>
          <w:rFonts w:ascii="Times New Roman" w:hAnsi="Times New Roman"/>
        </w:rPr>
        <w:t xml:space="preserve"> ma charakter przekrojowy i</w:t>
      </w:r>
      <w:r w:rsidR="00E2371E" w:rsidRPr="004F512A">
        <w:rPr>
          <w:rFonts w:ascii="Times New Roman" w:hAnsi="Times New Roman"/>
        </w:rPr>
        <w:t xml:space="preserve"> dotyczy </w:t>
      </w:r>
      <w:r w:rsidRPr="004F512A">
        <w:rPr>
          <w:rFonts w:ascii="Times New Roman" w:hAnsi="Times New Roman"/>
        </w:rPr>
        <w:t>wielu zagadnień</w:t>
      </w:r>
      <w:r w:rsidR="00E2371E" w:rsidRPr="004F512A">
        <w:rPr>
          <w:rFonts w:ascii="Times New Roman" w:hAnsi="Times New Roman"/>
        </w:rPr>
        <w:t xml:space="preserve"> (np. ustawa deregulująca zawody, ustawa o ułatwieniu wykonywania działalności gospodarczej) proszę dokonać analizy wpływu dla najważniejszych zmian.</w:t>
      </w:r>
    </w:p>
    <w:p w14:paraId="0FACFF0F" w14:textId="77777777" w:rsidR="00522D94" w:rsidRPr="004F512A" w:rsidRDefault="00522D94" w:rsidP="00522D94">
      <w:pPr>
        <w:numPr>
          <w:ilvl w:val="0"/>
          <w:numId w:val="8"/>
        </w:numPr>
        <w:spacing w:after="120" w:line="240" w:lineRule="auto"/>
        <w:jc w:val="both"/>
        <w:rPr>
          <w:rFonts w:ascii="Times New Roman" w:hAnsi="Times New Roman"/>
          <w:b/>
        </w:rPr>
      </w:pPr>
      <w:r w:rsidRPr="004F512A">
        <w:rPr>
          <w:rFonts w:ascii="Times New Roman" w:hAnsi="Times New Roman"/>
          <w:b/>
          <w:color w:val="000000"/>
        </w:rPr>
        <w:t>Wpływ na pozostałe obszary</w:t>
      </w:r>
    </w:p>
    <w:p w14:paraId="7AC18A9C" w14:textId="77777777" w:rsidR="006316FA" w:rsidRPr="004F512A" w:rsidRDefault="00880F26" w:rsidP="0057189C">
      <w:pPr>
        <w:spacing w:after="120" w:line="240" w:lineRule="auto"/>
        <w:ind w:left="357"/>
        <w:jc w:val="both"/>
        <w:rPr>
          <w:rFonts w:ascii="Times New Roman" w:hAnsi="Times New Roman"/>
        </w:rPr>
      </w:pPr>
      <w:r w:rsidRPr="004F512A">
        <w:rPr>
          <w:rFonts w:ascii="Times New Roman" w:hAnsi="Times New Roman"/>
        </w:rPr>
        <w:t>Proszę zaznaczyć pola - zakres oddziaływania projektu na obszary niewymienione</w:t>
      </w:r>
      <w:r w:rsidR="008648C3" w:rsidRPr="004F512A">
        <w:rPr>
          <w:rFonts w:ascii="Times New Roman" w:hAnsi="Times New Roman"/>
        </w:rPr>
        <w:t xml:space="preserve"> w pkt 6, 7 i 9. Dla </w:t>
      </w:r>
      <w:r w:rsidRPr="004F512A">
        <w:rPr>
          <w:rFonts w:ascii="Times New Roman" w:hAnsi="Times New Roman"/>
        </w:rPr>
        <w:t>zaznaczonych</w:t>
      </w:r>
      <w:r w:rsidR="008648C3" w:rsidRPr="004F512A">
        <w:rPr>
          <w:rFonts w:ascii="Times New Roman" w:hAnsi="Times New Roman"/>
        </w:rPr>
        <w:t xml:space="preserve"> obszarów proszę dokonać analizy wpływu. </w:t>
      </w:r>
    </w:p>
    <w:p w14:paraId="6DEF6A4C" w14:textId="77777777" w:rsidR="006316FA" w:rsidRPr="004F512A" w:rsidRDefault="00880F26" w:rsidP="0057189C">
      <w:pPr>
        <w:spacing w:after="120" w:line="240" w:lineRule="auto"/>
        <w:ind w:left="357"/>
        <w:jc w:val="both"/>
        <w:rPr>
          <w:rFonts w:ascii="Times New Roman" w:hAnsi="Times New Roman"/>
          <w:color w:val="000000"/>
        </w:rPr>
      </w:pPr>
      <w:r w:rsidRPr="004F512A">
        <w:rPr>
          <w:rFonts w:ascii="Times New Roman" w:hAnsi="Times New Roman"/>
          <w:color w:val="000000"/>
        </w:rPr>
        <w:t xml:space="preserve">W przypadku analizy </w:t>
      </w:r>
      <w:r w:rsidR="006316FA" w:rsidRPr="004F512A">
        <w:rPr>
          <w:rFonts w:ascii="Times New Roman" w:hAnsi="Times New Roman"/>
          <w:color w:val="000000"/>
        </w:rPr>
        <w:t xml:space="preserve">wpływu na obszar „informatyzacja” </w:t>
      </w:r>
      <w:r w:rsidRPr="004F512A">
        <w:rPr>
          <w:rFonts w:ascii="Times New Roman" w:hAnsi="Times New Roman"/>
          <w:color w:val="000000"/>
        </w:rPr>
        <w:t>proszę w szczególności rozważyć następujące kwestie:</w:t>
      </w:r>
    </w:p>
    <w:p w14:paraId="14CDC78B" w14:textId="77777777" w:rsidR="00880F26" w:rsidRPr="004F512A" w:rsidRDefault="006316FA" w:rsidP="00880F26">
      <w:pPr>
        <w:numPr>
          <w:ilvl w:val="0"/>
          <w:numId w:val="17"/>
        </w:numPr>
        <w:spacing w:line="240" w:lineRule="auto"/>
        <w:jc w:val="both"/>
        <w:rPr>
          <w:rFonts w:ascii="Times New Roman" w:hAnsi="Times New Roman"/>
        </w:rPr>
      </w:pPr>
      <w:r w:rsidRPr="004F512A">
        <w:rPr>
          <w:rFonts w:ascii="Times New Roman" w:hAnsi="Times New Roman"/>
          <w:color w:val="000000"/>
        </w:rPr>
        <w:t>Czy projekt spełnia wymagania interoperacyjności</w:t>
      </w:r>
      <w:r w:rsidR="00F168CF" w:rsidRPr="004F512A">
        <w:rPr>
          <w:rFonts w:ascii="Times New Roman" w:hAnsi="Times New Roman"/>
          <w:color w:val="000000"/>
        </w:rPr>
        <w:t xml:space="preserve"> </w:t>
      </w:r>
      <w:r w:rsidR="00880F26" w:rsidRPr="004F512A">
        <w:rPr>
          <w:rFonts w:ascii="Times New Roman" w:hAnsi="Times New Roman"/>
          <w:color w:val="000000"/>
        </w:rPr>
        <w:t>(</w:t>
      </w:r>
      <w:r w:rsidR="00F168CF" w:rsidRPr="004F512A">
        <w:rPr>
          <w:rFonts w:ascii="Times New Roman" w:hAnsi="Times New Roman"/>
          <w:color w:val="000000"/>
        </w:rPr>
        <w:t>zdolność sieci do efektywnej współpracy w celu zapewnienia wzajemnego dostępu użytkowników do usług świadczonych w tych sieciach</w:t>
      </w:r>
      <w:r w:rsidR="00880F26" w:rsidRPr="004F512A">
        <w:rPr>
          <w:rFonts w:ascii="Times New Roman" w:hAnsi="Times New Roman"/>
          <w:color w:val="000000"/>
        </w:rPr>
        <w:t>)</w:t>
      </w:r>
      <w:r w:rsidRPr="004F512A">
        <w:rPr>
          <w:rFonts w:ascii="Times New Roman" w:hAnsi="Times New Roman"/>
          <w:color w:val="000000"/>
        </w:rPr>
        <w:t xml:space="preserve">? </w:t>
      </w:r>
    </w:p>
    <w:p w14:paraId="356CE28F" w14:textId="77777777" w:rsidR="006316FA" w:rsidRPr="004F512A" w:rsidRDefault="006316FA" w:rsidP="0057189C">
      <w:pPr>
        <w:numPr>
          <w:ilvl w:val="0"/>
          <w:numId w:val="17"/>
        </w:numPr>
        <w:spacing w:after="120" w:line="240" w:lineRule="auto"/>
        <w:ind w:left="1077" w:hanging="357"/>
        <w:jc w:val="both"/>
        <w:rPr>
          <w:rFonts w:ascii="Times New Roman" w:hAnsi="Times New Roman"/>
        </w:rPr>
      </w:pPr>
      <w:r w:rsidRPr="004F512A">
        <w:rPr>
          <w:rFonts w:ascii="Times New Roman" w:hAnsi="Times New Roman"/>
          <w:color w:val="000000"/>
        </w:rPr>
        <w:t>Czy projekt spełnia wymogi</w:t>
      </w:r>
      <w:r w:rsidR="00880F26" w:rsidRPr="004F512A">
        <w:rPr>
          <w:rFonts w:ascii="Times New Roman" w:hAnsi="Times New Roman"/>
          <w:color w:val="000000"/>
        </w:rPr>
        <w:t xml:space="preserve"> </w:t>
      </w:r>
      <w:r w:rsidRPr="004F512A">
        <w:rPr>
          <w:rFonts w:ascii="Times New Roman" w:hAnsi="Times New Roman"/>
          <w:color w:val="000000"/>
        </w:rPr>
        <w:t>neutralności technologicznej,</w:t>
      </w:r>
      <w:r w:rsidR="00880F26" w:rsidRPr="004F512A">
        <w:rPr>
          <w:rFonts w:ascii="Times New Roman" w:hAnsi="Times New Roman"/>
          <w:color w:val="000000"/>
        </w:rPr>
        <w:t xml:space="preserve"> </w:t>
      </w:r>
      <w:r w:rsidRPr="004F512A">
        <w:rPr>
          <w:rFonts w:ascii="Times New Roman" w:hAnsi="Times New Roman"/>
          <w:color w:val="000000"/>
        </w:rPr>
        <w:t xml:space="preserve">wielojęzyczności, elektronicznej </w:t>
      </w:r>
      <w:r w:rsidR="00C33027" w:rsidRPr="004F512A">
        <w:rPr>
          <w:rFonts w:ascii="Times New Roman" w:hAnsi="Times New Roman"/>
          <w:color w:val="000000"/>
        </w:rPr>
        <w:t>komunikacji, wykorzystania</w:t>
      </w:r>
      <w:r w:rsidRPr="004F512A">
        <w:rPr>
          <w:rFonts w:ascii="Times New Roman" w:hAnsi="Times New Roman"/>
          <w:color w:val="000000"/>
        </w:rPr>
        <w:t xml:space="preserve"> danych z rejestrów publicznych, ochrony danych osobowych?</w:t>
      </w:r>
    </w:p>
    <w:p w14:paraId="2D3C513B" w14:textId="77777777" w:rsidR="008648C3" w:rsidRPr="004F512A" w:rsidRDefault="008648C3" w:rsidP="0057189C">
      <w:pPr>
        <w:spacing w:after="120" w:line="240" w:lineRule="auto"/>
        <w:ind w:left="357"/>
        <w:jc w:val="both"/>
        <w:rPr>
          <w:rFonts w:ascii="Times New Roman" w:hAnsi="Times New Roman"/>
        </w:rPr>
      </w:pPr>
      <w:r w:rsidRPr="004F512A">
        <w:rPr>
          <w:rFonts w:ascii="Times New Roman" w:hAnsi="Times New Roman"/>
        </w:rPr>
        <w:t>Jeżeli projekt będzie miał wpływ na inne niż wymienione w pkt 10 obszary proszę zaznaczyć „inne” oraz je wymienić. Proszę również omówić wpływ</w:t>
      </w:r>
      <w:r w:rsidR="00B57E5E" w:rsidRPr="004F512A">
        <w:rPr>
          <w:rFonts w:ascii="Times New Roman" w:hAnsi="Times New Roman"/>
        </w:rPr>
        <w:t>,</w:t>
      </w:r>
      <w:r w:rsidRPr="004F512A">
        <w:rPr>
          <w:rFonts w:ascii="Times New Roman" w:hAnsi="Times New Roman"/>
        </w:rPr>
        <w:t xml:space="preserve"> jaki będzie miała projektowana regulacja na wymienione obszary.</w:t>
      </w:r>
    </w:p>
    <w:p w14:paraId="7E0510A2" w14:textId="77777777" w:rsidR="008648C3" w:rsidRPr="004F512A" w:rsidRDefault="00880F26" w:rsidP="00D86AFF">
      <w:pPr>
        <w:spacing w:after="120" w:line="240" w:lineRule="auto"/>
        <w:ind w:left="360"/>
        <w:jc w:val="both"/>
        <w:rPr>
          <w:rFonts w:ascii="Times New Roman" w:hAnsi="Times New Roman"/>
        </w:rPr>
      </w:pPr>
      <w:r w:rsidRPr="004F512A">
        <w:rPr>
          <w:rFonts w:ascii="Times New Roman" w:hAnsi="Times New Roman"/>
        </w:rPr>
        <w:t>Jeżeli projekt ma charakter przekrojowy i dotyczy wielu zagadnień</w:t>
      </w:r>
      <w:r w:rsidRPr="004F512A" w:rsidDel="00880F26">
        <w:rPr>
          <w:rFonts w:ascii="Times New Roman" w:hAnsi="Times New Roman"/>
        </w:rPr>
        <w:t xml:space="preserve"> </w:t>
      </w:r>
      <w:r w:rsidR="00305B8A" w:rsidRPr="004F512A">
        <w:rPr>
          <w:rFonts w:ascii="Times New Roman" w:hAnsi="Times New Roman"/>
        </w:rPr>
        <w:t>(np. ustawa deregulująca zawody, ustawa o ułatwieniu wykonywania działalności gospodarczej) proszę dokonać analizy wpływu dla najważniejszych zmian.</w:t>
      </w:r>
    </w:p>
    <w:p w14:paraId="235C0CA4" w14:textId="77777777" w:rsidR="00522D94" w:rsidRPr="004F512A" w:rsidRDefault="00522D94" w:rsidP="00522D94">
      <w:pPr>
        <w:numPr>
          <w:ilvl w:val="0"/>
          <w:numId w:val="8"/>
        </w:numPr>
        <w:spacing w:after="120" w:line="240" w:lineRule="auto"/>
        <w:jc w:val="both"/>
        <w:rPr>
          <w:rFonts w:ascii="Times New Roman" w:hAnsi="Times New Roman"/>
          <w:b/>
        </w:rPr>
      </w:pPr>
      <w:r w:rsidRPr="004F512A">
        <w:rPr>
          <w:rFonts w:ascii="Times New Roman" w:hAnsi="Times New Roman"/>
          <w:b/>
          <w:spacing w:val="-2"/>
        </w:rPr>
        <w:t>Planowane wykonanie przepisów aktu prawnego</w:t>
      </w:r>
    </w:p>
    <w:p w14:paraId="1D5DB7BD" w14:textId="77777777" w:rsidR="0064074F" w:rsidRPr="004F512A" w:rsidRDefault="0064074F" w:rsidP="0064074F">
      <w:pPr>
        <w:spacing w:after="120" w:line="240" w:lineRule="auto"/>
        <w:ind w:left="360"/>
        <w:jc w:val="both"/>
        <w:rPr>
          <w:rFonts w:ascii="Times New Roman" w:hAnsi="Times New Roman"/>
          <w:spacing w:val="-2"/>
        </w:rPr>
      </w:pPr>
      <w:r w:rsidRPr="004F512A">
        <w:rPr>
          <w:rFonts w:ascii="Times New Roman" w:hAnsi="Times New Roman"/>
          <w:spacing w:val="-2"/>
        </w:rPr>
        <w:t>Proszę opisać kiedy planuje się rozwiązanie problemu zidentyfikowanego w pkt 1 (wejście przepisów w życie nie zawsze rozwiązuje dany problem a jedynie daje podstawę do wdrożenia instrumentów do jego rozwiązania). Proszę przedstawić harmonogram wdrożenia działań wykonania aktu prawnego (np. gdy rozwiązywanym problemem jest zwiększona zachorowalność</w:t>
      </w:r>
      <w:r w:rsidR="0066091B" w:rsidRPr="004F512A">
        <w:rPr>
          <w:rFonts w:ascii="Times New Roman" w:hAnsi="Times New Roman"/>
          <w:spacing w:val="-2"/>
        </w:rPr>
        <w:t>,</w:t>
      </w:r>
      <w:r w:rsidRPr="004F512A">
        <w:rPr>
          <w:rFonts w:ascii="Times New Roman" w:hAnsi="Times New Roman"/>
          <w:spacing w:val="-2"/>
        </w:rPr>
        <w:t xml:space="preserve"> to działaniami będą: ew. zatrudnienie dodatkowych pracowników, zakup majątku - urządzeń, przeprowadzenie szczepień, zakup szczepionek itp.)).</w:t>
      </w:r>
    </w:p>
    <w:p w14:paraId="2F5E7E11" w14:textId="77777777" w:rsidR="0064074F" w:rsidRPr="004F512A" w:rsidRDefault="0064074F" w:rsidP="00300991">
      <w:pPr>
        <w:spacing w:after="120" w:line="240" w:lineRule="auto"/>
        <w:ind w:left="360"/>
        <w:jc w:val="both"/>
        <w:rPr>
          <w:rFonts w:ascii="Times New Roman" w:hAnsi="Times New Roman"/>
        </w:rPr>
      </w:pPr>
      <w:r w:rsidRPr="004F512A">
        <w:rPr>
          <w:rFonts w:ascii="Times New Roman" w:hAnsi="Times New Roman"/>
        </w:rPr>
        <w:t xml:space="preserve">Jeżeli akt prawny ma charakter przekrojowy i dotyczy wielu zagadnień (np. ustawa deregulująca zawody, ustawa o ułatwieniu wykonywania działalności </w:t>
      </w:r>
      <w:r w:rsidRPr="004F512A">
        <w:rPr>
          <w:rFonts w:ascii="Times New Roman" w:hAnsi="Times New Roman"/>
          <w:color w:val="000000"/>
          <w:spacing w:val="-2"/>
        </w:rPr>
        <w:t>gospodarczej</w:t>
      </w:r>
      <w:r w:rsidRPr="004F512A">
        <w:rPr>
          <w:rFonts w:ascii="Times New Roman" w:hAnsi="Times New Roman"/>
        </w:rPr>
        <w:t xml:space="preserve">) proszę opisać planowane wykonanie dla najważniejszych zmian. </w:t>
      </w:r>
    </w:p>
    <w:p w14:paraId="571712B0" w14:textId="77777777" w:rsidR="000969E7" w:rsidRPr="004F512A" w:rsidRDefault="000969E7" w:rsidP="00300991">
      <w:pPr>
        <w:spacing w:after="120" w:line="240" w:lineRule="auto"/>
        <w:ind w:left="360"/>
        <w:jc w:val="both"/>
        <w:rPr>
          <w:rFonts w:ascii="Times New Roman" w:hAnsi="Times New Roman"/>
        </w:rPr>
      </w:pPr>
      <w:r w:rsidRPr="004F512A">
        <w:rPr>
          <w:rFonts w:ascii="Times New Roman" w:hAnsi="Times New Roman"/>
        </w:rPr>
        <w:t xml:space="preserve">Jeżeli projektowana </w:t>
      </w:r>
      <w:r w:rsidRPr="004F512A">
        <w:rPr>
          <w:rFonts w:ascii="Times New Roman" w:hAnsi="Times New Roman"/>
          <w:color w:val="000000"/>
          <w:spacing w:val="-2"/>
        </w:rPr>
        <w:t>regulacja</w:t>
      </w:r>
      <w:r w:rsidRPr="004F512A">
        <w:rPr>
          <w:rFonts w:ascii="Times New Roman" w:hAnsi="Times New Roman"/>
        </w:rPr>
        <w:t xml:space="preserve"> oddziałuje na przedsiębiorców (na prowadzenie działalności gospodarczej), zgodnie z </w:t>
      </w:r>
      <w:r w:rsidRPr="004F512A">
        <w:rPr>
          <w:rFonts w:ascii="Times New Roman" w:hAnsi="Times New Roman"/>
          <w:i/>
        </w:rPr>
        <w:t>Uchwałą Rady Ministrów z dnia 18 lutego 2014 r. w sprawie zaleceń ujednolicenia terminów wejścia w życie niektórych aktów normatywnych</w:t>
      </w:r>
      <w:r w:rsidRPr="004F512A">
        <w:rPr>
          <w:rFonts w:ascii="Times New Roman" w:hAnsi="Times New Roman"/>
        </w:rPr>
        <w:t xml:space="preserve">, terminem wejścia w życie przepisów, po minimum 30-dniowym </w:t>
      </w:r>
      <w:r w:rsidRPr="004F512A">
        <w:rPr>
          <w:rFonts w:ascii="Times New Roman" w:hAnsi="Times New Roman"/>
          <w:i/>
        </w:rPr>
        <w:t>vacatio legis</w:t>
      </w:r>
      <w:r w:rsidRPr="004F512A">
        <w:rPr>
          <w:rFonts w:ascii="Times New Roman" w:hAnsi="Times New Roman"/>
        </w:rPr>
        <w:t xml:space="preserve">, </w:t>
      </w:r>
      <w:r w:rsidR="00300991" w:rsidRPr="004F512A">
        <w:rPr>
          <w:rFonts w:ascii="Times New Roman" w:hAnsi="Times New Roman"/>
        </w:rPr>
        <w:t>powinien być 1 </w:t>
      </w:r>
      <w:r w:rsidRPr="004F512A">
        <w:rPr>
          <w:rFonts w:ascii="Times New Roman" w:hAnsi="Times New Roman"/>
        </w:rPr>
        <w:t>stycznia lub 1 czerwca. Jeżeli termin ten nie zostanie zachowany, proszę wskazać powód odstąpienia od wyznaczonych terminów.</w:t>
      </w:r>
    </w:p>
    <w:p w14:paraId="2B34D2D7" w14:textId="77777777" w:rsidR="00522D94" w:rsidRPr="004F512A" w:rsidRDefault="00522D94" w:rsidP="00522D94">
      <w:pPr>
        <w:numPr>
          <w:ilvl w:val="0"/>
          <w:numId w:val="8"/>
        </w:numPr>
        <w:spacing w:after="120" w:line="240" w:lineRule="auto"/>
        <w:jc w:val="both"/>
        <w:rPr>
          <w:rFonts w:ascii="Times New Roman" w:hAnsi="Times New Roman"/>
          <w:b/>
        </w:rPr>
      </w:pPr>
      <w:r w:rsidRPr="004F512A">
        <w:rPr>
          <w:rFonts w:ascii="Times New Roman" w:hAnsi="Times New Roman"/>
          <w:b/>
          <w:spacing w:val="-2"/>
        </w:rPr>
        <w:t xml:space="preserve">W jaki sposób i kiedy nastąpi ewaluacja efektów projektu oraz jakie mierniki zostaną </w:t>
      </w:r>
      <w:r w:rsidR="00C33027" w:rsidRPr="004F512A">
        <w:rPr>
          <w:rFonts w:ascii="Times New Roman" w:hAnsi="Times New Roman"/>
          <w:b/>
          <w:spacing w:val="-2"/>
        </w:rPr>
        <w:t>zastosowane?</w:t>
      </w:r>
    </w:p>
    <w:p w14:paraId="248940F9" w14:textId="77777777" w:rsidR="006A4904" w:rsidRPr="004F512A" w:rsidRDefault="00C33027" w:rsidP="006A4904">
      <w:pPr>
        <w:spacing w:after="120" w:line="240" w:lineRule="auto"/>
        <w:ind w:left="360"/>
        <w:jc w:val="both"/>
        <w:rPr>
          <w:rFonts w:ascii="Times New Roman" w:hAnsi="Times New Roman"/>
          <w:color w:val="000000"/>
          <w:spacing w:val="-2"/>
        </w:rPr>
      </w:pPr>
      <w:r w:rsidRPr="004F512A">
        <w:rPr>
          <w:rFonts w:ascii="Times New Roman" w:hAnsi="Times New Roman"/>
          <w:color w:val="000000"/>
          <w:spacing w:val="-2"/>
        </w:rPr>
        <w:t>Proszę opisać</w:t>
      </w:r>
      <w:r w:rsidR="006A4904" w:rsidRPr="004F512A">
        <w:rPr>
          <w:rFonts w:ascii="Times New Roman" w:hAnsi="Times New Roman"/>
          <w:color w:val="000000"/>
          <w:spacing w:val="-2"/>
        </w:rPr>
        <w:t xml:space="preserve">, kiedy i w jaki sposób będzie mierzone </w:t>
      </w:r>
      <w:r w:rsidRPr="004F512A">
        <w:rPr>
          <w:rFonts w:ascii="Times New Roman" w:hAnsi="Times New Roman"/>
          <w:color w:val="000000"/>
          <w:spacing w:val="-2"/>
        </w:rPr>
        <w:t>osiągnięcie efektu opisanego</w:t>
      </w:r>
      <w:r w:rsidR="006A4904" w:rsidRPr="004F512A">
        <w:rPr>
          <w:rFonts w:ascii="Times New Roman" w:hAnsi="Times New Roman"/>
          <w:color w:val="000000"/>
          <w:spacing w:val="-2"/>
        </w:rPr>
        <w:t xml:space="preserve"> w pkt 2. Po jakim czasie nastąpi przegląd kosztów i korzyści projektowanych oddziaływań. Proszę również wskazać mierniki, które pozwolą określić, czy oczekiwane efekty zostały uzyskane. </w:t>
      </w:r>
    </w:p>
    <w:p w14:paraId="408E5325" w14:textId="77777777" w:rsidR="006A4904" w:rsidRPr="004F512A" w:rsidRDefault="006A4904" w:rsidP="006A4904">
      <w:pPr>
        <w:spacing w:after="120" w:line="240" w:lineRule="auto"/>
        <w:ind w:left="360"/>
        <w:jc w:val="both"/>
        <w:rPr>
          <w:rFonts w:ascii="Times New Roman" w:hAnsi="Times New Roman"/>
          <w:color w:val="000000"/>
          <w:spacing w:val="-2"/>
        </w:rPr>
      </w:pPr>
      <w:r w:rsidRPr="004F512A">
        <w:rPr>
          <w:rFonts w:ascii="Times New Roman" w:hAnsi="Times New Roman"/>
        </w:rPr>
        <w:t>W tym punkcie proszę też podać informację dotyczącą przygotowania oceny funkcjonowania ustawy (OSR ex-post), jeżeli w odniesieniu do projektu ustawy przewiduje się przedstawienie wyników ewaluacji w OSR ex-post.</w:t>
      </w:r>
      <w:r w:rsidRPr="004F512A">
        <w:rPr>
          <w:rFonts w:ascii="Times New Roman" w:hAnsi="Times New Roman"/>
          <w:color w:val="000000"/>
          <w:spacing w:val="-2"/>
        </w:rPr>
        <w:t xml:space="preserve"> </w:t>
      </w:r>
    </w:p>
    <w:p w14:paraId="2F187F3F" w14:textId="77777777" w:rsidR="006A4904" w:rsidRPr="004F512A" w:rsidRDefault="006A4904" w:rsidP="006A4904">
      <w:pPr>
        <w:spacing w:after="120"/>
        <w:ind w:left="357"/>
        <w:jc w:val="both"/>
        <w:rPr>
          <w:rFonts w:ascii="Times New Roman" w:hAnsi="Times New Roman"/>
        </w:rPr>
      </w:pPr>
      <w:r w:rsidRPr="004F512A">
        <w:rPr>
          <w:rFonts w:ascii="Times New Roman" w:hAnsi="Times New Roman"/>
        </w:rPr>
        <w:t>Jeżeli projekt ma charakter przekrojowy i dotyczy wielu zagadnień (np. ustawa deregulująca zawody, ustawa o ułatwieniu wykonywania działalności gospodarczej) proszę opisać sposób przeprowadzania ewaluacji i mierniki dla najważniejszych zmian.</w:t>
      </w:r>
    </w:p>
    <w:p w14:paraId="59D64E54" w14:textId="77777777" w:rsidR="006A4904" w:rsidRPr="004F512A" w:rsidRDefault="006A4904" w:rsidP="006A4904">
      <w:pPr>
        <w:spacing w:after="120" w:line="240" w:lineRule="auto"/>
        <w:ind w:left="360"/>
        <w:jc w:val="both"/>
        <w:rPr>
          <w:rFonts w:ascii="Times New Roman" w:hAnsi="Times New Roman"/>
          <w:color w:val="000000"/>
          <w:spacing w:val="-2"/>
        </w:rPr>
      </w:pPr>
      <w:r w:rsidRPr="004F512A">
        <w:rPr>
          <w:rFonts w:ascii="Times New Roman" w:hAnsi="Times New Roman"/>
          <w:color w:val="000000"/>
          <w:spacing w:val="-2"/>
        </w:rPr>
        <w:t xml:space="preserve">Jeśli specyfika danego projektu uniemożliwia zastosowanie mierników lub też niezasadna jest jego ewaluacja (z uwagi na zakres lub charakter projektu) proszę to opisać. </w:t>
      </w:r>
    </w:p>
    <w:p w14:paraId="0D87E06F" w14:textId="77777777" w:rsidR="00522D94" w:rsidRPr="004F512A" w:rsidRDefault="00522D94" w:rsidP="00522D94">
      <w:pPr>
        <w:numPr>
          <w:ilvl w:val="0"/>
          <w:numId w:val="8"/>
        </w:numPr>
        <w:spacing w:after="120" w:line="240" w:lineRule="auto"/>
        <w:jc w:val="both"/>
        <w:rPr>
          <w:rFonts w:ascii="Times New Roman" w:hAnsi="Times New Roman"/>
          <w:b/>
        </w:rPr>
      </w:pPr>
      <w:r w:rsidRPr="004F512A">
        <w:rPr>
          <w:rFonts w:ascii="Times New Roman" w:hAnsi="Times New Roman"/>
          <w:b/>
          <w:color w:val="000000"/>
          <w:spacing w:val="-2"/>
        </w:rPr>
        <w:t xml:space="preserve">Załączniki </w:t>
      </w:r>
      <w:r w:rsidRPr="004F512A">
        <w:rPr>
          <w:rFonts w:ascii="Times New Roman" w:hAnsi="Times New Roman"/>
          <w:b/>
          <w:spacing w:val="-2"/>
        </w:rPr>
        <w:t>(istotne dokumenty źródłowe, badania, analizy</w:t>
      </w:r>
      <w:r w:rsidR="00B57E5E" w:rsidRPr="004F512A">
        <w:rPr>
          <w:rFonts w:ascii="Times New Roman" w:hAnsi="Times New Roman"/>
          <w:b/>
          <w:spacing w:val="-2"/>
        </w:rPr>
        <w:t>,</w:t>
      </w:r>
      <w:r w:rsidRPr="004F512A">
        <w:rPr>
          <w:rFonts w:ascii="Times New Roman" w:hAnsi="Times New Roman"/>
          <w:b/>
          <w:spacing w:val="-2"/>
        </w:rPr>
        <w:t xml:space="preserve"> </w:t>
      </w:r>
      <w:r w:rsidR="00B57E5E" w:rsidRPr="004F512A">
        <w:rPr>
          <w:rFonts w:ascii="Times New Roman" w:hAnsi="Times New Roman"/>
          <w:b/>
          <w:spacing w:val="-2"/>
        </w:rPr>
        <w:t>itp.</w:t>
      </w:r>
      <w:r w:rsidRPr="004F512A">
        <w:rPr>
          <w:rFonts w:ascii="Times New Roman" w:hAnsi="Times New Roman"/>
          <w:b/>
          <w:color w:val="000000"/>
          <w:spacing w:val="-2"/>
        </w:rPr>
        <w:t>)</w:t>
      </w:r>
    </w:p>
    <w:p w14:paraId="30B9B5BA" w14:textId="77777777" w:rsidR="006176ED" w:rsidRPr="004F512A" w:rsidRDefault="00DE5D80" w:rsidP="00441787">
      <w:pPr>
        <w:spacing w:after="120"/>
        <w:ind w:left="360"/>
        <w:jc w:val="both"/>
        <w:rPr>
          <w:rFonts w:ascii="Times New Roman" w:hAnsi="Times New Roman"/>
        </w:rPr>
      </w:pPr>
      <w:r w:rsidRPr="004F512A">
        <w:rPr>
          <w:rFonts w:ascii="Times New Roman" w:hAnsi="Times New Roman"/>
        </w:rPr>
        <w:t>Proszę wymienić dodatkowe dokumenty, które stanowią załączniki do projektu i formularza. Załączanie dodatkowych dokumentów jest opcjonalne.</w:t>
      </w:r>
      <w:r w:rsidR="009D0655" w:rsidRPr="004F512A">
        <w:rPr>
          <w:rFonts w:ascii="Times New Roman" w:hAnsi="Times New Roman"/>
        </w:rPr>
        <w:t xml:space="preserve"> </w:t>
      </w:r>
    </w:p>
    <w:sectPr w:rsidR="006176ED" w:rsidRPr="004F512A"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1273" w14:textId="77777777" w:rsidR="00A53733" w:rsidRDefault="00A53733" w:rsidP="00044739">
      <w:pPr>
        <w:spacing w:line="240" w:lineRule="auto"/>
      </w:pPr>
      <w:r>
        <w:separator/>
      </w:r>
    </w:p>
  </w:endnote>
  <w:endnote w:type="continuationSeparator" w:id="0">
    <w:p w14:paraId="552ADB6B" w14:textId="77777777" w:rsidR="00A53733" w:rsidRDefault="00A53733"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180B" w14:textId="77777777" w:rsidR="00A53733" w:rsidRDefault="00A53733" w:rsidP="00044739">
      <w:pPr>
        <w:spacing w:line="240" w:lineRule="auto"/>
      </w:pPr>
      <w:r>
        <w:separator/>
      </w:r>
    </w:p>
  </w:footnote>
  <w:footnote w:type="continuationSeparator" w:id="0">
    <w:p w14:paraId="19A7FE8C" w14:textId="77777777" w:rsidR="00A53733" w:rsidRDefault="00A53733"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E7F2A"/>
    <w:multiLevelType w:val="hybridMultilevel"/>
    <w:tmpl w:val="776AB7AA"/>
    <w:lvl w:ilvl="0" w:tplc="B1522222">
      <w:start w:val="1"/>
      <w:numFmt w:val="bullet"/>
      <w:lvlText w:val=""/>
      <w:lvlJc w:val="left"/>
      <w:pPr>
        <w:ind w:left="360" w:hanging="360"/>
      </w:pPr>
      <w:rPr>
        <w:rFonts w:ascii="Symbol" w:hAnsi="Symbol" w:hint="default"/>
        <w:color w:val="000000" w:themeColor="text1"/>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75F7F"/>
    <w:multiLevelType w:val="hybridMultilevel"/>
    <w:tmpl w:val="43A689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15:restartNumberingAfterBreak="0">
    <w:nsid w:val="162D7C88"/>
    <w:multiLevelType w:val="hybridMultilevel"/>
    <w:tmpl w:val="5636E518"/>
    <w:lvl w:ilvl="0" w:tplc="794607F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096BB3"/>
    <w:multiLevelType w:val="hybridMultilevel"/>
    <w:tmpl w:val="DACE9E70"/>
    <w:lvl w:ilvl="0" w:tplc="B1940D28">
      <w:start w:val="1"/>
      <w:numFmt w:val="decimal"/>
      <w:lvlText w:val="%1)"/>
      <w:lvlJc w:val="left"/>
      <w:pPr>
        <w:ind w:left="1070" w:hanging="71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1"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4"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7" w15:restartNumberingAfterBreak="0">
    <w:nsid w:val="4A6C4CD9"/>
    <w:multiLevelType w:val="hybridMultilevel"/>
    <w:tmpl w:val="D35C1BEE"/>
    <w:lvl w:ilvl="0" w:tplc="B1522222">
      <w:start w:val="1"/>
      <w:numFmt w:val="bullet"/>
      <w:lvlText w:val=""/>
      <w:lvlJc w:val="left"/>
      <w:pPr>
        <w:ind w:left="360" w:hanging="360"/>
      </w:pPr>
      <w:rPr>
        <w:rFonts w:ascii="Symbol" w:hAnsi="Symbol" w:hint="default"/>
        <w:color w:val="000000" w:themeColor="text1"/>
      </w:rPr>
    </w:lvl>
    <w:lvl w:ilvl="1" w:tplc="8898D53E">
      <w:start w:val="1"/>
      <w:numFmt w:val="bullet"/>
      <w:lvlText w:val=""/>
      <w:lvlJc w:val="left"/>
      <w:pPr>
        <w:ind w:left="1080" w:hanging="360"/>
      </w:pPr>
      <w:rPr>
        <w:rFonts w:ascii="Symbol" w:hAnsi="Symbol" w:hint="default"/>
        <w:color w:val="000000" w:themeColor="text1"/>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BDB2939"/>
    <w:multiLevelType w:val="multilevel"/>
    <w:tmpl w:val="56F096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F063492"/>
    <w:multiLevelType w:val="hybridMultilevel"/>
    <w:tmpl w:val="1B1A0FC6"/>
    <w:lvl w:ilvl="0" w:tplc="266A3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4"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6"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16cid:durableId="232275751">
    <w:abstractNumId w:val="7"/>
  </w:num>
  <w:num w:numId="2" w16cid:durableId="1652103804">
    <w:abstractNumId w:val="0"/>
  </w:num>
  <w:num w:numId="3" w16cid:durableId="102578920">
    <w:abstractNumId w:val="12"/>
  </w:num>
  <w:num w:numId="4" w16cid:durableId="1979263637">
    <w:abstractNumId w:val="24"/>
  </w:num>
  <w:num w:numId="5" w16cid:durableId="1524779999">
    <w:abstractNumId w:val="2"/>
  </w:num>
  <w:num w:numId="6" w16cid:durableId="1085883794">
    <w:abstractNumId w:val="11"/>
  </w:num>
  <w:num w:numId="7" w16cid:durableId="950551740">
    <w:abstractNumId w:val="15"/>
  </w:num>
  <w:num w:numId="8" w16cid:durableId="1623227307">
    <w:abstractNumId w:val="8"/>
  </w:num>
  <w:num w:numId="9" w16cid:durableId="1449741705">
    <w:abstractNumId w:val="18"/>
  </w:num>
  <w:num w:numId="10" w16cid:durableId="1315338111">
    <w:abstractNumId w:val="14"/>
  </w:num>
  <w:num w:numId="11" w16cid:durableId="1681279500">
    <w:abstractNumId w:val="16"/>
  </w:num>
  <w:num w:numId="12" w16cid:durableId="226501339">
    <w:abstractNumId w:val="4"/>
  </w:num>
  <w:num w:numId="13" w16cid:durableId="254679606">
    <w:abstractNumId w:val="13"/>
  </w:num>
  <w:num w:numId="14" w16cid:durableId="650132708">
    <w:abstractNumId w:val="25"/>
  </w:num>
  <w:num w:numId="15" w16cid:durableId="1258565467">
    <w:abstractNumId w:val="19"/>
  </w:num>
  <w:num w:numId="16" w16cid:durableId="1272126998">
    <w:abstractNumId w:val="23"/>
  </w:num>
  <w:num w:numId="17" w16cid:durableId="878932976">
    <w:abstractNumId w:val="9"/>
  </w:num>
  <w:num w:numId="18" w16cid:durableId="1875803147">
    <w:abstractNumId w:val="26"/>
  </w:num>
  <w:num w:numId="19" w16cid:durableId="689573264">
    <w:abstractNumId w:val="27"/>
  </w:num>
  <w:num w:numId="20" w16cid:durableId="1431507322">
    <w:abstractNumId w:val="21"/>
  </w:num>
  <w:num w:numId="21" w16cid:durableId="973103334">
    <w:abstractNumId w:val="10"/>
  </w:num>
  <w:num w:numId="22" w16cid:durableId="1734311743">
    <w:abstractNumId w:val="6"/>
  </w:num>
  <w:num w:numId="23" w16cid:durableId="402410277">
    <w:abstractNumId w:val="22"/>
  </w:num>
  <w:num w:numId="24" w16cid:durableId="43263114">
    <w:abstractNumId w:val="5"/>
  </w:num>
  <w:num w:numId="25" w16cid:durableId="1376351121">
    <w:abstractNumId w:val="20"/>
  </w:num>
  <w:num w:numId="26" w16cid:durableId="773012844">
    <w:abstractNumId w:val="3"/>
  </w:num>
  <w:num w:numId="27" w16cid:durableId="641497355">
    <w:abstractNumId w:val="1"/>
  </w:num>
  <w:num w:numId="28" w16cid:durableId="17500827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263"/>
    <w:rsid w:val="000008E5"/>
    <w:rsid w:val="000015EE"/>
    <w:rsid w:val="000022D5"/>
    <w:rsid w:val="00004C6A"/>
    <w:rsid w:val="0000779A"/>
    <w:rsid w:val="00012D11"/>
    <w:rsid w:val="00013EB5"/>
    <w:rsid w:val="00020115"/>
    <w:rsid w:val="000234A5"/>
    <w:rsid w:val="00023836"/>
    <w:rsid w:val="000356A9"/>
    <w:rsid w:val="00036A9D"/>
    <w:rsid w:val="00036BEC"/>
    <w:rsid w:val="00037973"/>
    <w:rsid w:val="0004120B"/>
    <w:rsid w:val="00044138"/>
    <w:rsid w:val="00044739"/>
    <w:rsid w:val="00044DF1"/>
    <w:rsid w:val="00051637"/>
    <w:rsid w:val="00055A7F"/>
    <w:rsid w:val="00056681"/>
    <w:rsid w:val="000648A7"/>
    <w:rsid w:val="0006618B"/>
    <w:rsid w:val="000670C0"/>
    <w:rsid w:val="00067B4F"/>
    <w:rsid w:val="00071958"/>
    <w:rsid w:val="00071B99"/>
    <w:rsid w:val="00072A88"/>
    <w:rsid w:val="000756E5"/>
    <w:rsid w:val="0007704E"/>
    <w:rsid w:val="00080EC8"/>
    <w:rsid w:val="00085DDA"/>
    <w:rsid w:val="000944AC"/>
    <w:rsid w:val="00094CB9"/>
    <w:rsid w:val="000956B2"/>
    <w:rsid w:val="000969E7"/>
    <w:rsid w:val="000A23DE"/>
    <w:rsid w:val="000A4020"/>
    <w:rsid w:val="000B1E71"/>
    <w:rsid w:val="000B54FB"/>
    <w:rsid w:val="000C14BA"/>
    <w:rsid w:val="000C29B0"/>
    <w:rsid w:val="000C76FC"/>
    <w:rsid w:val="000D23CF"/>
    <w:rsid w:val="000D2F8F"/>
    <w:rsid w:val="000D38FC"/>
    <w:rsid w:val="000D4D90"/>
    <w:rsid w:val="000E2D10"/>
    <w:rsid w:val="000F3204"/>
    <w:rsid w:val="0010548B"/>
    <w:rsid w:val="001072D1"/>
    <w:rsid w:val="00117017"/>
    <w:rsid w:val="0011783D"/>
    <w:rsid w:val="0012349E"/>
    <w:rsid w:val="00124EFC"/>
    <w:rsid w:val="00130E8E"/>
    <w:rsid w:val="00131435"/>
    <w:rsid w:val="0013216E"/>
    <w:rsid w:val="001401B5"/>
    <w:rsid w:val="001422B9"/>
    <w:rsid w:val="0014665F"/>
    <w:rsid w:val="001518CF"/>
    <w:rsid w:val="00153464"/>
    <w:rsid w:val="001541B3"/>
    <w:rsid w:val="00155B15"/>
    <w:rsid w:val="0015704D"/>
    <w:rsid w:val="001625BE"/>
    <w:rsid w:val="001643A4"/>
    <w:rsid w:val="00164D93"/>
    <w:rsid w:val="001727BB"/>
    <w:rsid w:val="00174859"/>
    <w:rsid w:val="00175057"/>
    <w:rsid w:val="00180D25"/>
    <w:rsid w:val="00181018"/>
    <w:rsid w:val="0018318D"/>
    <w:rsid w:val="0018572C"/>
    <w:rsid w:val="00187E79"/>
    <w:rsid w:val="00187F0D"/>
    <w:rsid w:val="00192CC5"/>
    <w:rsid w:val="001956A7"/>
    <w:rsid w:val="001A118A"/>
    <w:rsid w:val="001A27F4"/>
    <w:rsid w:val="001A2D95"/>
    <w:rsid w:val="001A6201"/>
    <w:rsid w:val="001B3460"/>
    <w:rsid w:val="001B4CA1"/>
    <w:rsid w:val="001B75D8"/>
    <w:rsid w:val="001C0C85"/>
    <w:rsid w:val="001C1060"/>
    <w:rsid w:val="001C3C63"/>
    <w:rsid w:val="001D4732"/>
    <w:rsid w:val="001D6A3C"/>
    <w:rsid w:val="001D6D51"/>
    <w:rsid w:val="001D6DF0"/>
    <w:rsid w:val="001E6856"/>
    <w:rsid w:val="001E72F5"/>
    <w:rsid w:val="001F4566"/>
    <w:rsid w:val="001F653A"/>
    <w:rsid w:val="001F6979"/>
    <w:rsid w:val="0020023B"/>
    <w:rsid w:val="00202BC6"/>
    <w:rsid w:val="002049BF"/>
    <w:rsid w:val="00205141"/>
    <w:rsid w:val="0020516B"/>
    <w:rsid w:val="002120AA"/>
    <w:rsid w:val="00213559"/>
    <w:rsid w:val="00213EFD"/>
    <w:rsid w:val="002172F1"/>
    <w:rsid w:val="00223C7B"/>
    <w:rsid w:val="00224041"/>
    <w:rsid w:val="00224AB1"/>
    <w:rsid w:val="0022687A"/>
    <w:rsid w:val="00230728"/>
    <w:rsid w:val="00234040"/>
    <w:rsid w:val="00234AAD"/>
    <w:rsid w:val="00235CD2"/>
    <w:rsid w:val="00240A6F"/>
    <w:rsid w:val="0024636C"/>
    <w:rsid w:val="002465E0"/>
    <w:rsid w:val="00246E66"/>
    <w:rsid w:val="00254436"/>
    <w:rsid w:val="00254DED"/>
    <w:rsid w:val="00255619"/>
    <w:rsid w:val="00255DAD"/>
    <w:rsid w:val="00256108"/>
    <w:rsid w:val="00256C3F"/>
    <w:rsid w:val="00260F33"/>
    <w:rsid w:val="002613BD"/>
    <w:rsid w:val="002624F1"/>
    <w:rsid w:val="002645A3"/>
    <w:rsid w:val="00270C81"/>
    <w:rsid w:val="00271558"/>
    <w:rsid w:val="00274862"/>
    <w:rsid w:val="00282D72"/>
    <w:rsid w:val="00283402"/>
    <w:rsid w:val="0029002D"/>
    <w:rsid w:val="00290FD6"/>
    <w:rsid w:val="0029393D"/>
    <w:rsid w:val="00294259"/>
    <w:rsid w:val="00294AFE"/>
    <w:rsid w:val="00297FB6"/>
    <w:rsid w:val="002A2C81"/>
    <w:rsid w:val="002A4AF3"/>
    <w:rsid w:val="002A4E21"/>
    <w:rsid w:val="002A7FE4"/>
    <w:rsid w:val="002B1506"/>
    <w:rsid w:val="002B1857"/>
    <w:rsid w:val="002B254F"/>
    <w:rsid w:val="002B34DA"/>
    <w:rsid w:val="002B3D1A"/>
    <w:rsid w:val="002C27D0"/>
    <w:rsid w:val="002C2C9B"/>
    <w:rsid w:val="002C7B8A"/>
    <w:rsid w:val="002D1037"/>
    <w:rsid w:val="002D17D6"/>
    <w:rsid w:val="002D18D7"/>
    <w:rsid w:val="002D21BA"/>
    <w:rsid w:val="002D21CE"/>
    <w:rsid w:val="002D5827"/>
    <w:rsid w:val="002E2C73"/>
    <w:rsid w:val="002E3DA3"/>
    <w:rsid w:val="002E450F"/>
    <w:rsid w:val="002E6B38"/>
    <w:rsid w:val="002E6D63"/>
    <w:rsid w:val="002E6E2B"/>
    <w:rsid w:val="002F500B"/>
    <w:rsid w:val="00300991"/>
    <w:rsid w:val="00300F47"/>
    <w:rsid w:val="00301959"/>
    <w:rsid w:val="003031D3"/>
    <w:rsid w:val="003046EA"/>
    <w:rsid w:val="00305B8A"/>
    <w:rsid w:val="0031454E"/>
    <w:rsid w:val="003168C0"/>
    <w:rsid w:val="003211EC"/>
    <w:rsid w:val="003235A3"/>
    <w:rsid w:val="0032671D"/>
    <w:rsid w:val="00331BF9"/>
    <w:rsid w:val="0033495E"/>
    <w:rsid w:val="00334A79"/>
    <w:rsid w:val="00334D8D"/>
    <w:rsid w:val="00335FDD"/>
    <w:rsid w:val="00337345"/>
    <w:rsid w:val="00337DD2"/>
    <w:rsid w:val="003404D1"/>
    <w:rsid w:val="003443FF"/>
    <w:rsid w:val="0034687D"/>
    <w:rsid w:val="00346F83"/>
    <w:rsid w:val="00355808"/>
    <w:rsid w:val="00362C7E"/>
    <w:rsid w:val="00363309"/>
    <w:rsid w:val="00363601"/>
    <w:rsid w:val="00364F30"/>
    <w:rsid w:val="00371857"/>
    <w:rsid w:val="00373663"/>
    <w:rsid w:val="003736AD"/>
    <w:rsid w:val="00376AC9"/>
    <w:rsid w:val="00380E90"/>
    <w:rsid w:val="00393032"/>
    <w:rsid w:val="00394B69"/>
    <w:rsid w:val="00394EA9"/>
    <w:rsid w:val="00397078"/>
    <w:rsid w:val="003A205C"/>
    <w:rsid w:val="003A5426"/>
    <w:rsid w:val="003A6953"/>
    <w:rsid w:val="003A74A9"/>
    <w:rsid w:val="003A798F"/>
    <w:rsid w:val="003B6083"/>
    <w:rsid w:val="003C03AD"/>
    <w:rsid w:val="003C3838"/>
    <w:rsid w:val="003C5847"/>
    <w:rsid w:val="003C7D7C"/>
    <w:rsid w:val="003D0681"/>
    <w:rsid w:val="003D0A8D"/>
    <w:rsid w:val="003D12F6"/>
    <w:rsid w:val="003D1426"/>
    <w:rsid w:val="003E2F4E"/>
    <w:rsid w:val="003E720A"/>
    <w:rsid w:val="003F3EFB"/>
    <w:rsid w:val="00401825"/>
    <w:rsid w:val="00403E6E"/>
    <w:rsid w:val="0040449B"/>
    <w:rsid w:val="004129B4"/>
    <w:rsid w:val="00416DAA"/>
    <w:rsid w:val="00417EF0"/>
    <w:rsid w:val="00422181"/>
    <w:rsid w:val="004244A8"/>
    <w:rsid w:val="00425B18"/>
    <w:rsid w:val="00425F72"/>
    <w:rsid w:val="00427736"/>
    <w:rsid w:val="00440AC8"/>
    <w:rsid w:val="00441787"/>
    <w:rsid w:val="00444F2D"/>
    <w:rsid w:val="00446A15"/>
    <w:rsid w:val="00452034"/>
    <w:rsid w:val="0045379E"/>
    <w:rsid w:val="00454973"/>
    <w:rsid w:val="00455FA6"/>
    <w:rsid w:val="004611A9"/>
    <w:rsid w:val="0046490A"/>
    <w:rsid w:val="00466C70"/>
    <w:rsid w:val="004702C9"/>
    <w:rsid w:val="00470DEE"/>
    <w:rsid w:val="00472E45"/>
    <w:rsid w:val="00473FEA"/>
    <w:rsid w:val="0047579D"/>
    <w:rsid w:val="004763A2"/>
    <w:rsid w:val="00480003"/>
    <w:rsid w:val="00483262"/>
    <w:rsid w:val="00484107"/>
    <w:rsid w:val="00485CC5"/>
    <w:rsid w:val="0049343F"/>
    <w:rsid w:val="004964FC"/>
    <w:rsid w:val="004A0037"/>
    <w:rsid w:val="004A145E"/>
    <w:rsid w:val="004A1F15"/>
    <w:rsid w:val="004A2A81"/>
    <w:rsid w:val="004A52AE"/>
    <w:rsid w:val="004A636D"/>
    <w:rsid w:val="004A7BD7"/>
    <w:rsid w:val="004A7C5F"/>
    <w:rsid w:val="004B643D"/>
    <w:rsid w:val="004C0401"/>
    <w:rsid w:val="004C06C6"/>
    <w:rsid w:val="004C15C2"/>
    <w:rsid w:val="004C2395"/>
    <w:rsid w:val="004C36D8"/>
    <w:rsid w:val="004D1248"/>
    <w:rsid w:val="004D1DC1"/>
    <w:rsid w:val="004D1E3C"/>
    <w:rsid w:val="004D4169"/>
    <w:rsid w:val="004D6E14"/>
    <w:rsid w:val="004E4DFE"/>
    <w:rsid w:val="004E59D1"/>
    <w:rsid w:val="004E73BF"/>
    <w:rsid w:val="004F0575"/>
    <w:rsid w:val="004F4759"/>
    <w:rsid w:val="004F4E17"/>
    <w:rsid w:val="004F512A"/>
    <w:rsid w:val="004F68A7"/>
    <w:rsid w:val="0050082F"/>
    <w:rsid w:val="00500C56"/>
    <w:rsid w:val="00501713"/>
    <w:rsid w:val="00506568"/>
    <w:rsid w:val="005111AD"/>
    <w:rsid w:val="005128B5"/>
    <w:rsid w:val="0051551B"/>
    <w:rsid w:val="0051629F"/>
    <w:rsid w:val="00520C57"/>
    <w:rsid w:val="00522D94"/>
    <w:rsid w:val="00523A5D"/>
    <w:rsid w:val="00527002"/>
    <w:rsid w:val="00527E29"/>
    <w:rsid w:val="005301EE"/>
    <w:rsid w:val="00533602"/>
    <w:rsid w:val="00533D89"/>
    <w:rsid w:val="00536564"/>
    <w:rsid w:val="00544597"/>
    <w:rsid w:val="005446C6"/>
    <w:rsid w:val="00544FFE"/>
    <w:rsid w:val="00546E87"/>
    <w:rsid w:val="005473F5"/>
    <w:rsid w:val="005477E7"/>
    <w:rsid w:val="00552794"/>
    <w:rsid w:val="00552F9C"/>
    <w:rsid w:val="00556B90"/>
    <w:rsid w:val="00563199"/>
    <w:rsid w:val="00564874"/>
    <w:rsid w:val="00567963"/>
    <w:rsid w:val="0057009A"/>
    <w:rsid w:val="00570B72"/>
    <w:rsid w:val="00571260"/>
    <w:rsid w:val="00571321"/>
    <w:rsid w:val="0057189C"/>
    <w:rsid w:val="00573FC1"/>
    <w:rsid w:val="005741EE"/>
    <w:rsid w:val="0057668E"/>
    <w:rsid w:val="00584E2D"/>
    <w:rsid w:val="0059274E"/>
    <w:rsid w:val="00595E83"/>
    <w:rsid w:val="00596530"/>
    <w:rsid w:val="005967F3"/>
    <w:rsid w:val="005976DA"/>
    <w:rsid w:val="005A06DF"/>
    <w:rsid w:val="005A5527"/>
    <w:rsid w:val="005A5AE6"/>
    <w:rsid w:val="005A6AEC"/>
    <w:rsid w:val="005B1206"/>
    <w:rsid w:val="005B37E8"/>
    <w:rsid w:val="005B736E"/>
    <w:rsid w:val="005C0056"/>
    <w:rsid w:val="005C05D2"/>
    <w:rsid w:val="005C5C89"/>
    <w:rsid w:val="005D5645"/>
    <w:rsid w:val="005D60D2"/>
    <w:rsid w:val="005D61D6"/>
    <w:rsid w:val="005E0D13"/>
    <w:rsid w:val="005E5047"/>
    <w:rsid w:val="005E6034"/>
    <w:rsid w:val="005E7205"/>
    <w:rsid w:val="005E7371"/>
    <w:rsid w:val="005E79D9"/>
    <w:rsid w:val="005F116C"/>
    <w:rsid w:val="005F2131"/>
    <w:rsid w:val="005F489D"/>
    <w:rsid w:val="005F64DE"/>
    <w:rsid w:val="00600F53"/>
    <w:rsid w:val="00602AA7"/>
    <w:rsid w:val="00604BF0"/>
    <w:rsid w:val="00605EF6"/>
    <w:rsid w:val="00606455"/>
    <w:rsid w:val="00606AA4"/>
    <w:rsid w:val="00610AC2"/>
    <w:rsid w:val="00614929"/>
    <w:rsid w:val="0061640F"/>
    <w:rsid w:val="00616511"/>
    <w:rsid w:val="006176ED"/>
    <w:rsid w:val="006202F3"/>
    <w:rsid w:val="0062097A"/>
    <w:rsid w:val="00621DA6"/>
    <w:rsid w:val="00622F26"/>
    <w:rsid w:val="00623CFE"/>
    <w:rsid w:val="00627221"/>
    <w:rsid w:val="00627EE8"/>
    <w:rsid w:val="00630EE7"/>
    <w:rsid w:val="006316FA"/>
    <w:rsid w:val="0063275A"/>
    <w:rsid w:val="006370D2"/>
    <w:rsid w:val="0064074F"/>
    <w:rsid w:val="00641F55"/>
    <w:rsid w:val="00645E4A"/>
    <w:rsid w:val="006469DB"/>
    <w:rsid w:val="0065150A"/>
    <w:rsid w:val="00652106"/>
    <w:rsid w:val="00653688"/>
    <w:rsid w:val="00653E7B"/>
    <w:rsid w:val="0066091B"/>
    <w:rsid w:val="00665168"/>
    <w:rsid w:val="006660E9"/>
    <w:rsid w:val="00667249"/>
    <w:rsid w:val="00667558"/>
    <w:rsid w:val="00671523"/>
    <w:rsid w:val="006754EF"/>
    <w:rsid w:val="00676C8D"/>
    <w:rsid w:val="00676F1F"/>
    <w:rsid w:val="00677381"/>
    <w:rsid w:val="00677414"/>
    <w:rsid w:val="006832CF"/>
    <w:rsid w:val="006841A6"/>
    <w:rsid w:val="0068601E"/>
    <w:rsid w:val="00693187"/>
    <w:rsid w:val="0069486B"/>
    <w:rsid w:val="00695990"/>
    <w:rsid w:val="006A4904"/>
    <w:rsid w:val="006A548F"/>
    <w:rsid w:val="006A701A"/>
    <w:rsid w:val="006B64DC"/>
    <w:rsid w:val="006B7A91"/>
    <w:rsid w:val="006C715F"/>
    <w:rsid w:val="006D2C4E"/>
    <w:rsid w:val="006D4704"/>
    <w:rsid w:val="006D4A80"/>
    <w:rsid w:val="006D5574"/>
    <w:rsid w:val="006D6A2D"/>
    <w:rsid w:val="006E02BF"/>
    <w:rsid w:val="006E1E18"/>
    <w:rsid w:val="006E2966"/>
    <w:rsid w:val="006E31CE"/>
    <w:rsid w:val="006E34D3"/>
    <w:rsid w:val="006E3DE6"/>
    <w:rsid w:val="006F1435"/>
    <w:rsid w:val="006F78C4"/>
    <w:rsid w:val="007031A0"/>
    <w:rsid w:val="00705A29"/>
    <w:rsid w:val="00707498"/>
    <w:rsid w:val="00711A65"/>
    <w:rsid w:val="00713749"/>
    <w:rsid w:val="00714133"/>
    <w:rsid w:val="00714DA4"/>
    <w:rsid w:val="007158B2"/>
    <w:rsid w:val="00716081"/>
    <w:rsid w:val="007171ED"/>
    <w:rsid w:val="00720667"/>
    <w:rsid w:val="00721A1E"/>
    <w:rsid w:val="00722B48"/>
    <w:rsid w:val="00724164"/>
    <w:rsid w:val="00725DE7"/>
    <w:rsid w:val="0072636A"/>
    <w:rsid w:val="00726B44"/>
    <w:rsid w:val="0072711F"/>
    <w:rsid w:val="007318DD"/>
    <w:rsid w:val="00733167"/>
    <w:rsid w:val="0073705C"/>
    <w:rsid w:val="00737188"/>
    <w:rsid w:val="00740D2C"/>
    <w:rsid w:val="007415D0"/>
    <w:rsid w:val="00744BF9"/>
    <w:rsid w:val="00752623"/>
    <w:rsid w:val="0075481B"/>
    <w:rsid w:val="00760F1F"/>
    <w:rsid w:val="0076423E"/>
    <w:rsid w:val="007646CB"/>
    <w:rsid w:val="0076658F"/>
    <w:rsid w:val="0077040A"/>
    <w:rsid w:val="00772D64"/>
    <w:rsid w:val="00776219"/>
    <w:rsid w:val="00792609"/>
    <w:rsid w:val="00792887"/>
    <w:rsid w:val="007943E2"/>
    <w:rsid w:val="00794F2C"/>
    <w:rsid w:val="007A2367"/>
    <w:rsid w:val="007A3B1F"/>
    <w:rsid w:val="007A3BC7"/>
    <w:rsid w:val="007A43A0"/>
    <w:rsid w:val="007A4B9C"/>
    <w:rsid w:val="007A4D3A"/>
    <w:rsid w:val="007A5AC4"/>
    <w:rsid w:val="007A6150"/>
    <w:rsid w:val="007A63C5"/>
    <w:rsid w:val="007A7A67"/>
    <w:rsid w:val="007B0FDD"/>
    <w:rsid w:val="007B1AB2"/>
    <w:rsid w:val="007B4802"/>
    <w:rsid w:val="007B6668"/>
    <w:rsid w:val="007B6B33"/>
    <w:rsid w:val="007C2701"/>
    <w:rsid w:val="007C2DDB"/>
    <w:rsid w:val="007C3397"/>
    <w:rsid w:val="007C44B2"/>
    <w:rsid w:val="007C5DC9"/>
    <w:rsid w:val="007D2192"/>
    <w:rsid w:val="007D4525"/>
    <w:rsid w:val="007F0021"/>
    <w:rsid w:val="007F2F52"/>
    <w:rsid w:val="00800866"/>
    <w:rsid w:val="00801F71"/>
    <w:rsid w:val="00805F28"/>
    <w:rsid w:val="0080749F"/>
    <w:rsid w:val="00811D46"/>
    <w:rsid w:val="008125B0"/>
    <w:rsid w:val="008144CB"/>
    <w:rsid w:val="00821717"/>
    <w:rsid w:val="008231CB"/>
    <w:rsid w:val="00824210"/>
    <w:rsid w:val="008263C0"/>
    <w:rsid w:val="008306B2"/>
    <w:rsid w:val="008317EA"/>
    <w:rsid w:val="00834475"/>
    <w:rsid w:val="00841422"/>
    <w:rsid w:val="008415DB"/>
    <w:rsid w:val="00841D3B"/>
    <w:rsid w:val="008421AB"/>
    <w:rsid w:val="00842304"/>
    <w:rsid w:val="0084314C"/>
    <w:rsid w:val="00843171"/>
    <w:rsid w:val="00853A14"/>
    <w:rsid w:val="00856799"/>
    <w:rsid w:val="008575C3"/>
    <w:rsid w:val="00857FD7"/>
    <w:rsid w:val="00863D28"/>
    <w:rsid w:val="008648C3"/>
    <w:rsid w:val="00872CF4"/>
    <w:rsid w:val="00880F26"/>
    <w:rsid w:val="008829BA"/>
    <w:rsid w:val="00885757"/>
    <w:rsid w:val="00896C2E"/>
    <w:rsid w:val="008A264A"/>
    <w:rsid w:val="008A5095"/>
    <w:rsid w:val="008A608F"/>
    <w:rsid w:val="008B0037"/>
    <w:rsid w:val="008B1A9A"/>
    <w:rsid w:val="008B2D3F"/>
    <w:rsid w:val="008B4FE6"/>
    <w:rsid w:val="008B6C37"/>
    <w:rsid w:val="008B7FE8"/>
    <w:rsid w:val="008C0A98"/>
    <w:rsid w:val="008C205D"/>
    <w:rsid w:val="008D0998"/>
    <w:rsid w:val="008D3FD8"/>
    <w:rsid w:val="008D4156"/>
    <w:rsid w:val="008D4288"/>
    <w:rsid w:val="008D6E75"/>
    <w:rsid w:val="008E17B5"/>
    <w:rsid w:val="008E18F7"/>
    <w:rsid w:val="008E1C00"/>
    <w:rsid w:val="008E1D22"/>
    <w:rsid w:val="008E1E10"/>
    <w:rsid w:val="008E291B"/>
    <w:rsid w:val="008E4764"/>
    <w:rsid w:val="008E4F2F"/>
    <w:rsid w:val="008E74B0"/>
    <w:rsid w:val="008F0861"/>
    <w:rsid w:val="008F2724"/>
    <w:rsid w:val="0090008B"/>
    <w:rsid w:val="009008A8"/>
    <w:rsid w:val="009063B0"/>
    <w:rsid w:val="00907106"/>
    <w:rsid w:val="009107FD"/>
    <w:rsid w:val="0091137C"/>
    <w:rsid w:val="00911567"/>
    <w:rsid w:val="00917AAE"/>
    <w:rsid w:val="00924883"/>
    <w:rsid w:val="009251A9"/>
    <w:rsid w:val="00930699"/>
    <w:rsid w:val="00931F69"/>
    <w:rsid w:val="0093317A"/>
    <w:rsid w:val="00934123"/>
    <w:rsid w:val="00934949"/>
    <w:rsid w:val="00944781"/>
    <w:rsid w:val="00946675"/>
    <w:rsid w:val="00953865"/>
    <w:rsid w:val="00954E8A"/>
    <w:rsid w:val="00954FBD"/>
    <w:rsid w:val="00955774"/>
    <w:rsid w:val="009560B5"/>
    <w:rsid w:val="00966B04"/>
    <w:rsid w:val="009703D6"/>
    <w:rsid w:val="0097181B"/>
    <w:rsid w:val="00974C56"/>
    <w:rsid w:val="00974CDF"/>
    <w:rsid w:val="00976DC5"/>
    <w:rsid w:val="009818C7"/>
    <w:rsid w:val="00982DD4"/>
    <w:rsid w:val="009841E5"/>
    <w:rsid w:val="0098479F"/>
    <w:rsid w:val="00984A8A"/>
    <w:rsid w:val="009857B6"/>
    <w:rsid w:val="00985A8D"/>
    <w:rsid w:val="00985AE2"/>
    <w:rsid w:val="00986610"/>
    <w:rsid w:val="00986B39"/>
    <w:rsid w:val="009877DC"/>
    <w:rsid w:val="00991F96"/>
    <w:rsid w:val="00992790"/>
    <w:rsid w:val="00996F0A"/>
    <w:rsid w:val="009A0658"/>
    <w:rsid w:val="009A1D86"/>
    <w:rsid w:val="009A2337"/>
    <w:rsid w:val="009A2DAF"/>
    <w:rsid w:val="009A7620"/>
    <w:rsid w:val="009B049C"/>
    <w:rsid w:val="009B0E89"/>
    <w:rsid w:val="009B11C8"/>
    <w:rsid w:val="009B2BCF"/>
    <w:rsid w:val="009B2FF8"/>
    <w:rsid w:val="009B4572"/>
    <w:rsid w:val="009B5BA3"/>
    <w:rsid w:val="009C1A96"/>
    <w:rsid w:val="009D0027"/>
    <w:rsid w:val="009D0655"/>
    <w:rsid w:val="009D1447"/>
    <w:rsid w:val="009E1E98"/>
    <w:rsid w:val="009E36CC"/>
    <w:rsid w:val="009E3ABE"/>
    <w:rsid w:val="009E3C4B"/>
    <w:rsid w:val="009E682C"/>
    <w:rsid w:val="009F0637"/>
    <w:rsid w:val="009F390E"/>
    <w:rsid w:val="009F4047"/>
    <w:rsid w:val="009F62A6"/>
    <w:rsid w:val="009F674F"/>
    <w:rsid w:val="009F799E"/>
    <w:rsid w:val="009F7D7D"/>
    <w:rsid w:val="00A02020"/>
    <w:rsid w:val="00A03E83"/>
    <w:rsid w:val="00A0565A"/>
    <w:rsid w:val="00A056CB"/>
    <w:rsid w:val="00A07A29"/>
    <w:rsid w:val="00A10FF1"/>
    <w:rsid w:val="00A1506B"/>
    <w:rsid w:val="00A17CB2"/>
    <w:rsid w:val="00A21185"/>
    <w:rsid w:val="00A23191"/>
    <w:rsid w:val="00A301AE"/>
    <w:rsid w:val="00A319C0"/>
    <w:rsid w:val="00A32675"/>
    <w:rsid w:val="00A33560"/>
    <w:rsid w:val="00A356E2"/>
    <w:rsid w:val="00A364E4"/>
    <w:rsid w:val="00A371A5"/>
    <w:rsid w:val="00A411AE"/>
    <w:rsid w:val="00A4166A"/>
    <w:rsid w:val="00A45241"/>
    <w:rsid w:val="00A459C8"/>
    <w:rsid w:val="00A45CA1"/>
    <w:rsid w:val="00A47BDF"/>
    <w:rsid w:val="00A51B46"/>
    <w:rsid w:val="00A51CD7"/>
    <w:rsid w:val="00A52ADB"/>
    <w:rsid w:val="00A533E8"/>
    <w:rsid w:val="00A53733"/>
    <w:rsid w:val="00A542D9"/>
    <w:rsid w:val="00A542E9"/>
    <w:rsid w:val="00A54587"/>
    <w:rsid w:val="00A56E64"/>
    <w:rsid w:val="00A624C3"/>
    <w:rsid w:val="00A6610C"/>
    <w:rsid w:val="00A6641C"/>
    <w:rsid w:val="00A767D2"/>
    <w:rsid w:val="00A77616"/>
    <w:rsid w:val="00A805DA"/>
    <w:rsid w:val="00A80BFE"/>
    <w:rsid w:val="00A811B4"/>
    <w:rsid w:val="00A85C85"/>
    <w:rsid w:val="00A87CDE"/>
    <w:rsid w:val="00A87D30"/>
    <w:rsid w:val="00A92BAF"/>
    <w:rsid w:val="00A94737"/>
    <w:rsid w:val="00A94BA3"/>
    <w:rsid w:val="00A95A08"/>
    <w:rsid w:val="00A96CBA"/>
    <w:rsid w:val="00AA584E"/>
    <w:rsid w:val="00AA647C"/>
    <w:rsid w:val="00AB1ACD"/>
    <w:rsid w:val="00AB277F"/>
    <w:rsid w:val="00AB4099"/>
    <w:rsid w:val="00AB449A"/>
    <w:rsid w:val="00AD14F9"/>
    <w:rsid w:val="00AD35D6"/>
    <w:rsid w:val="00AD58C5"/>
    <w:rsid w:val="00AE19FC"/>
    <w:rsid w:val="00AE36C4"/>
    <w:rsid w:val="00AE472C"/>
    <w:rsid w:val="00AE4E56"/>
    <w:rsid w:val="00AE5375"/>
    <w:rsid w:val="00AE6CF8"/>
    <w:rsid w:val="00AF4580"/>
    <w:rsid w:val="00AF4CAC"/>
    <w:rsid w:val="00B0007D"/>
    <w:rsid w:val="00B03E0D"/>
    <w:rsid w:val="00B054F8"/>
    <w:rsid w:val="00B13D7F"/>
    <w:rsid w:val="00B16F7F"/>
    <w:rsid w:val="00B20637"/>
    <w:rsid w:val="00B2219A"/>
    <w:rsid w:val="00B24680"/>
    <w:rsid w:val="00B34196"/>
    <w:rsid w:val="00B3581B"/>
    <w:rsid w:val="00B36B81"/>
    <w:rsid w:val="00B36FEE"/>
    <w:rsid w:val="00B37C80"/>
    <w:rsid w:val="00B507F3"/>
    <w:rsid w:val="00B5092B"/>
    <w:rsid w:val="00B5194E"/>
    <w:rsid w:val="00B51AF5"/>
    <w:rsid w:val="00B531FC"/>
    <w:rsid w:val="00B55347"/>
    <w:rsid w:val="00B576E0"/>
    <w:rsid w:val="00B57E5E"/>
    <w:rsid w:val="00B61823"/>
    <w:rsid w:val="00B61F37"/>
    <w:rsid w:val="00B6326E"/>
    <w:rsid w:val="00B70D35"/>
    <w:rsid w:val="00B7420A"/>
    <w:rsid w:val="00B7770F"/>
    <w:rsid w:val="00B77A89"/>
    <w:rsid w:val="00B77B27"/>
    <w:rsid w:val="00B809FD"/>
    <w:rsid w:val="00B8134E"/>
    <w:rsid w:val="00B81B55"/>
    <w:rsid w:val="00B84613"/>
    <w:rsid w:val="00B84D5F"/>
    <w:rsid w:val="00B87AF0"/>
    <w:rsid w:val="00B9037B"/>
    <w:rsid w:val="00B910BD"/>
    <w:rsid w:val="00B9189C"/>
    <w:rsid w:val="00B93834"/>
    <w:rsid w:val="00B96469"/>
    <w:rsid w:val="00B96958"/>
    <w:rsid w:val="00BA0DA2"/>
    <w:rsid w:val="00BA2981"/>
    <w:rsid w:val="00BA2BB7"/>
    <w:rsid w:val="00BA31BB"/>
    <w:rsid w:val="00BA42EE"/>
    <w:rsid w:val="00BA48F9"/>
    <w:rsid w:val="00BA696E"/>
    <w:rsid w:val="00BB0DCA"/>
    <w:rsid w:val="00BB18AD"/>
    <w:rsid w:val="00BB2666"/>
    <w:rsid w:val="00BB6B80"/>
    <w:rsid w:val="00BC2316"/>
    <w:rsid w:val="00BC3773"/>
    <w:rsid w:val="00BC381A"/>
    <w:rsid w:val="00BC6059"/>
    <w:rsid w:val="00BD0962"/>
    <w:rsid w:val="00BD0E92"/>
    <w:rsid w:val="00BD1EED"/>
    <w:rsid w:val="00BD333E"/>
    <w:rsid w:val="00BD3B94"/>
    <w:rsid w:val="00BE3B33"/>
    <w:rsid w:val="00BE4510"/>
    <w:rsid w:val="00BF0DA2"/>
    <w:rsid w:val="00BF109C"/>
    <w:rsid w:val="00BF34FA"/>
    <w:rsid w:val="00BF542A"/>
    <w:rsid w:val="00BF73DC"/>
    <w:rsid w:val="00C004B6"/>
    <w:rsid w:val="00C006E1"/>
    <w:rsid w:val="00C047A7"/>
    <w:rsid w:val="00C05DE5"/>
    <w:rsid w:val="00C12017"/>
    <w:rsid w:val="00C16032"/>
    <w:rsid w:val="00C228D6"/>
    <w:rsid w:val="00C30385"/>
    <w:rsid w:val="00C33027"/>
    <w:rsid w:val="00C37667"/>
    <w:rsid w:val="00C402A0"/>
    <w:rsid w:val="00C4187C"/>
    <w:rsid w:val="00C430D1"/>
    <w:rsid w:val="00C435DB"/>
    <w:rsid w:val="00C44D73"/>
    <w:rsid w:val="00C455C7"/>
    <w:rsid w:val="00C50B42"/>
    <w:rsid w:val="00C516FF"/>
    <w:rsid w:val="00C52BFA"/>
    <w:rsid w:val="00C53429"/>
    <w:rsid w:val="00C53D1D"/>
    <w:rsid w:val="00C53F26"/>
    <w:rsid w:val="00C540BC"/>
    <w:rsid w:val="00C5499D"/>
    <w:rsid w:val="00C5639C"/>
    <w:rsid w:val="00C603DE"/>
    <w:rsid w:val="00C64F7D"/>
    <w:rsid w:val="00C67216"/>
    <w:rsid w:val="00C67309"/>
    <w:rsid w:val="00C7614E"/>
    <w:rsid w:val="00C77BF1"/>
    <w:rsid w:val="00C80D60"/>
    <w:rsid w:val="00C82FBD"/>
    <w:rsid w:val="00C85267"/>
    <w:rsid w:val="00C8721B"/>
    <w:rsid w:val="00C9372C"/>
    <w:rsid w:val="00C9470E"/>
    <w:rsid w:val="00C95CEB"/>
    <w:rsid w:val="00CA1054"/>
    <w:rsid w:val="00CA2D71"/>
    <w:rsid w:val="00CA63EB"/>
    <w:rsid w:val="00CA69F1"/>
    <w:rsid w:val="00CB3F04"/>
    <w:rsid w:val="00CB51B8"/>
    <w:rsid w:val="00CB6991"/>
    <w:rsid w:val="00CB6E86"/>
    <w:rsid w:val="00CB6E88"/>
    <w:rsid w:val="00CC20AD"/>
    <w:rsid w:val="00CC6194"/>
    <w:rsid w:val="00CC6305"/>
    <w:rsid w:val="00CC78A5"/>
    <w:rsid w:val="00CD0516"/>
    <w:rsid w:val="00CD393A"/>
    <w:rsid w:val="00CD756B"/>
    <w:rsid w:val="00CE1A57"/>
    <w:rsid w:val="00CE1F93"/>
    <w:rsid w:val="00CE59CE"/>
    <w:rsid w:val="00CE734F"/>
    <w:rsid w:val="00CF112E"/>
    <w:rsid w:val="00CF5F4F"/>
    <w:rsid w:val="00CF61D8"/>
    <w:rsid w:val="00D02804"/>
    <w:rsid w:val="00D04BC2"/>
    <w:rsid w:val="00D1780C"/>
    <w:rsid w:val="00D218DC"/>
    <w:rsid w:val="00D24E56"/>
    <w:rsid w:val="00D31643"/>
    <w:rsid w:val="00D31AEB"/>
    <w:rsid w:val="00D32ECD"/>
    <w:rsid w:val="00D34E9F"/>
    <w:rsid w:val="00D361E4"/>
    <w:rsid w:val="00D42A8F"/>
    <w:rsid w:val="00D439F6"/>
    <w:rsid w:val="00D459C6"/>
    <w:rsid w:val="00D4754B"/>
    <w:rsid w:val="00D5038B"/>
    <w:rsid w:val="00D50729"/>
    <w:rsid w:val="00D50C19"/>
    <w:rsid w:val="00D5379E"/>
    <w:rsid w:val="00D55E2C"/>
    <w:rsid w:val="00D61E85"/>
    <w:rsid w:val="00D62643"/>
    <w:rsid w:val="00D64C0F"/>
    <w:rsid w:val="00D67AF3"/>
    <w:rsid w:val="00D7067D"/>
    <w:rsid w:val="00D7115E"/>
    <w:rsid w:val="00D72EFE"/>
    <w:rsid w:val="00D74AC4"/>
    <w:rsid w:val="00D76227"/>
    <w:rsid w:val="00D77DF1"/>
    <w:rsid w:val="00D806F9"/>
    <w:rsid w:val="00D86AFF"/>
    <w:rsid w:val="00D94A1F"/>
    <w:rsid w:val="00D95477"/>
    <w:rsid w:val="00D95A44"/>
    <w:rsid w:val="00D95D16"/>
    <w:rsid w:val="00D97C76"/>
    <w:rsid w:val="00DA0796"/>
    <w:rsid w:val="00DA12D7"/>
    <w:rsid w:val="00DB02B4"/>
    <w:rsid w:val="00DB0EC8"/>
    <w:rsid w:val="00DB4D79"/>
    <w:rsid w:val="00DB538D"/>
    <w:rsid w:val="00DC275C"/>
    <w:rsid w:val="00DC27F5"/>
    <w:rsid w:val="00DC4B0D"/>
    <w:rsid w:val="00DC587D"/>
    <w:rsid w:val="00DC7FE1"/>
    <w:rsid w:val="00DD3F3F"/>
    <w:rsid w:val="00DD480B"/>
    <w:rsid w:val="00DD5572"/>
    <w:rsid w:val="00DD6507"/>
    <w:rsid w:val="00DE4831"/>
    <w:rsid w:val="00DE4C3A"/>
    <w:rsid w:val="00DE5D80"/>
    <w:rsid w:val="00DE7CDD"/>
    <w:rsid w:val="00DF5356"/>
    <w:rsid w:val="00DF58CD"/>
    <w:rsid w:val="00DF6046"/>
    <w:rsid w:val="00DF65DE"/>
    <w:rsid w:val="00E019A5"/>
    <w:rsid w:val="00E02EC8"/>
    <w:rsid w:val="00E037F5"/>
    <w:rsid w:val="00E04ECB"/>
    <w:rsid w:val="00E05A09"/>
    <w:rsid w:val="00E06CA1"/>
    <w:rsid w:val="00E14DFD"/>
    <w:rsid w:val="00E16910"/>
    <w:rsid w:val="00E172B8"/>
    <w:rsid w:val="00E17FB4"/>
    <w:rsid w:val="00E20B75"/>
    <w:rsid w:val="00E214F2"/>
    <w:rsid w:val="00E2371E"/>
    <w:rsid w:val="00E24BD7"/>
    <w:rsid w:val="00E26523"/>
    <w:rsid w:val="00E26809"/>
    <w:rsid w:val="00E270AD"/>
    <w:rsid w:val="00E3412D"/>
    <w:rsid w:val="00E452E8"/>
    <w:rsid w:val="00E50677"/>
    <w:rsid w:val="00E52872"/>
    <w:rsid w:val="00E57322"/>
    <w:rsid w:val="00E628CB"/>
    <w:rsid w:val="00E62AD9"/>
    <w:rsid w:val="00E638C8"/>
    <w:rsid w:val="00E65200"/>
    <w:rsid w:val="00E70FEB"/>
    <w:rsid w:val="00E7509B"/>
    <w:rsid w:val="00E76C60"/>
    <w:rsid w:val="00E80088"/>
    <w:rsid w:val="00E80EC9"/>
    <w:rsid w:val="00E86590"/>
    <w:rsid w:val="00E907FF"/>
    <w:rsid w:val="00E933D7"/>
    <w:rsid w:val="00EA3585"/>
    <w:rsid w:val="00EA42D1"/>
    <w:rsid w:val="00EA42EF"/>
    <w:rsid w:val="00EA6BC8"/>
    <w:rsid w:val="00EB2DD1"/>
    <w:rsid w:val="00EB3C14"/>
    <w:rsid w:val="00EB6B37"/>
    <w:rsid w:val="00EC29FE"/>
    <w:rsid w:val="00EC3C70"/>
    <w:rsid w:val="00ED1308"/>
    <w:rsid w:val="00ED3A3D"/>
    <w:rsid w:val="00ED538A"/>
    <w:rsid w:val="00ED6FBC"/>
    <w:rsid w:val="00ED7F6F"/>
    <w:rsid w:val="00EE1D32"/>
    <w:rsid w:val="00EE2F16"/>
    <w:rsid w:val="00EE3861"/>
    <w:rsid w:val="00EF290C"/>
    <w:rsid w:val="00EF2E73"/>
    <w:rsid w:val="00EF7683"/>
    <w:rsid w:val="00EF7A2D"/>
    <w:rsid w:val="00F000BF"/>
    <w:rsid w:val="00F00417"/>
    <w:rsid w:val="00F04F8D"/>
    <w:rsid w:val="00F10AD0"/>
    <w:rsid w:val="00F112C9"/>
    <w:rsid w:val="00F116CC"/>
    <w:rsid w:val="00F12BD1"/>
    <w:rsid w:val="00F15327"/>
    <w:rsid w:val="00F168CF"/>
    <w:rsid w:val="00F17760"/>
    <w:rsid w:val="00F2014F"/>
    <w:rsid w:val="00F21AEF"/>
    <w:rsid w:val="00F2555C"/>
    <w:rsid w:val="00F31DF3"/>
    <w:rsid w:val="00F33AE5"/>
    <w:rsid w:val="00F34233"/>
    <w:rsid w:val="00F3597D"/>
    <w:rsid w:val="00F4376D"/>
    <w:rsid w:val="00F45399"/>
    <w:rsid w:val="00F45A5C"/>
    <w:rsid w:val="00F465EA"/>
    <w:rsid w:val="00F53551"/>
    <w:rsid w:val="00F53BE7"/>
    <w:rsid w:val="00F54E7B"/>
    <w:rsid w:val="00F558EF"/>
    <w:rsid w:val="00F55A88"/>
    <w:rsid w:val="00F652E4"/>
    <w:rsid w:val="00F73906"/>
    <w:rsid w:val="00F74005"/>
    <w:rsid w:val="00F76884"/>
    <w:rsid w:val="00F83D24"/>
    <w:rsid w:val="00F83DD9"/>
    <w:rsid w:val="00F83F40"/>
    <w:rsid w:val="00FA10FA"/>
    <w:rsid w:val="00FA117A"/>
    <w:rsid w:val="00FB164C"/>
    <w:rsid w:val="00FB386A"/>
    <w:rsid w:val="00FB7039"/>
    <w:rsid w:val="00FC0786"/>
    <w:rsid w:val="00FC49EF"/>
    <w:rsid w:val="00FD4312"/>
    <w:rsid w:val="00FD4A61"/>
    <w:rsid w:val="00FD4AF1"/>
    <w:rsid w:val="00FD4C39"/>
    <w:rsid w:val="00FE29C6"/>
    <w:rsid w:val="00FE36E2"/>
    <w:rsid w:val="00FE4965"/>
    <w:rsid w:val="00FE7BCF"/>
    <w:rsid w:val="00FF11AD"/>
    <w:rsid w:val="00FF261D"/>
    <w:rsid w:val="00FF2971"/>
    <w:rsid w:val="00FF34D4"/>
    <w:rsid w:val="00FF7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6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Normal,Z podkreśleniem,punk 1,Akapit z nr,Numerowanie,BulletC,Obiekt,normalny tekst,Wyliczanie,Akapit z listą31,Bullets,Sl_Akapit z listą,Wypunktowanie,Normal2,normalny,Punktator,Kolorowa lista — akcent 11,Nag 1,List Paragraph"/>
    <w:basedOn w:val="Normalny"/>
    <w:link w:val="Akapitzlist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paragraph" w:customStyle="1" w:styleId="Tabela">
    <w:name w:val="Tabela"/>
    <w:basedOn w:val="Normalny"/>
    <w:link w:val="TabelaZnak"/>
    <w:qFormat/>
    <w:rsid w:val="004A7C5F"/>
    <w:pPr>
      <w:spacing w:line="240" w:lineRule="auto"/>
    </w:pPr>
    <w:rPr>
      <w:rFonts w:ascii="Arial Narrow" w:eastAsiaTheme="minorHAnsi" w:hAnsi="Arial Narrow"/>
      <w:sz w:val="16"/>
      <w:szCs w:val="20"/>
    </w:rPr>
  </w:style>
  <w:style w:type="character" w:customStyle="1" w:styleId="TabelaZnak">
    <w:name w:val="Tabela Znak"/>
    <w:basedOn w:val="Domylnaczcionkaakapitu"/>
    <w:link w:val="Tabela"/>
    <w:rsid w:val="004A7C5F"/>
    <w:rPr>
      <w:rFonts w:ascii="Arial Narrow" w:eastAsiaTheme="minorHAnsi" w:hAnsi="Arial Narrow"/>
      <w:sz w:val="16"/>
      <w:lang w:eastAsia="en-US"/>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uiPriority w:val="35"/>
    <w:unhideWhenUsed/>
    <w:qFormat/>
    <w:locked/>
    <w:rsid w:val="004A7C5F"/>
    <w:pPr>
      <w:spacing w:before="80" w:after="80" w:line="240" w:lineRule="auto"/>
      <w:jc w:val="both"/>
    </w:pPr>
    <w:rPr>
      <w:rFonts w:ascii="Arial Narrow" w:eastAsiaTheme="minorHAnsi" w:hAnsi="Arial Narrow"/>
      <w:i/>
      <w:iCs/>
      <w:color w:val="000000" w:themeColor="tex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basedOn w:val="Domylnaczcionkaakapitu"/>
    <w:link w:val="Legenda"/>
    <w:uiPriority w:val="35"/>
    <w:rsid w:val="004A7C5F"/>
    <w:rPr>
      <w:rFonts w:ascii="Arial Narrow" w:eastAsiaTheme="minorHAnsi" w:hAnsi="Arial Narrow"/>
      <w:i/>
      <w:iCs/>
      <w:color w:val="000000" w:themeColor="text1"/>
      <w:sz w:val="18"/>
      <w:szCs w:val="18"/>
      <w:lang w:eastAsia="en-US"/>
    </w:rPr>
  </w:style>
  <w:style w:type="paragraph" w:styleId="Poprawka">
    <w:name w:val="Revision"/>
    <w:hidden/>
    <w:uiPriority w:val="99"/>
    <w:semiHidden/>
    <w:rsid w:val="00A411AE"/>
    <w:rPr>
      <w:sz w:val="22"/>
      <w:szCs w:val="22"/>
      <w:lang w:eastAsia="en-US"/>
    </w:rPr>
  </w:style>
  <w:style w:type="character" w:customStyle="1" w:styleId="Nierozpoznanawzmianka1">
    <w:name w:val="Nierozpoznana wzmianka1"/>
    <w:basedOn w:val="Domylnaczcionkaakapitu"/>
    <w:uiPriority w:val="99"/>
    <w:semiHidden/>
    <w:unhideWhenUsed/>
    <w:rsid w:val="008E1D22"/>
    <w:rPr>
      <w:color w:val="605E5C"/>
      <w:shd w:val="clear" w:color="auto" w:fill="E1DFDD"/>
    </w:rPr>
  </w:style>
  <w:style w:type="paragraph" w:customStyle="1" w:styleId="PGEdata">
    <w:name w:val="PGE_data"/>
    <w:basedOn w:val="Normalny"/>
    <w:autoRedefine/>
    <w:qFormat/>
    <w:rsid w:val="007A2367"/>
    <w:pPr>
      <w:tabs>
        <w:tab w:val="left" w:pos="426"/>
      </w:tabs>
      <w:spacing w:after="120" w:line="240" w:lineRule="auto"/>
      <w:jc w:val="both"/>
    </w:pPr>
    <w:rPr>
      <w:rFonts w:eastAsia="Times New Roman" w:cs="Calibri"/>
      <w:color w:val="000000"/>
      <w:lang w:eastAsia="pl-PL"/>
    </w:rPr>
  </w:style>
  <w:style w:type="character" w:customStyle="1" w:styleId="AkapitzlistZnak">
    <w:name w:val="Akapit z listą Znak"/>
    <w:aliases w:val="Normal Znak,Z podkreśleniem Znak,punk 1 Znak,Akapit z nr Znak,Numerowanie Znak,BulletC Znak,Obiekt Znak,normalny tekst Znak,Wyliczanie Znak,Akapit z listą31 Znak,Bullets Znak,Sl_Akapit z listą Znak,Wypunktowanie Znak,Normal2 Znak"/>
    <w:link w:val="Akapitzlist"/>
    <w:uiPriority w:val="34"/>
    <w:qFormat/>
    <w:locked/>
    <w:rsid w:val="00FD4C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Ogólne"/>
          <w:gallery w:val="placeholder"/>
        </w:category>
        <w:types>
          <w:type w:val="bbPlcHdr"/>
        </w:types>
        <w:behaviors>
          <w:behavior w:val="content"/>
        </w:behaviors>
        <w:guid w:val="{79ADC878-6BF1-4BEF-BF44-5BC76C6CD293}"/>
      </w:docPartPr>
      <w:docPartBody>
        <w:p w:rsidR="00F523DD" w:rsidRDefault="00AD66A9">
          <w:r w:rsidRPr="008D2484">
            <w:rPr>
              <w:rStyle w:val="Tekstzastpczy"/>
            </w:rPr>
            <w:t>Kliknij tutaj, aby wprowadzić datę.</w:t>
          </w:r>
        </w:p>
      </w:docPartBody>
    </w:docPart>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6A9"/>
    <w:rsid w:val="00024746"/>
    <w:rsid w:val="000E5B0E"/>
    <w:rsid w:val="000F7241"/>
    <w:rsid w:val="00117D17"/>
    <w:rsid w:val="00120221"/>
    <w:rsid w:val="00123ABB"/>
    <w:rsid w:val="00185541"/>
    <w:rsid w:val="001C1636"/>
    <w:rsid w:val="001D6777"/>
    <w:rsid w:val="001F418A"/>
    <w:rsid w:val="00206A4C"/>
    <w:rsid w:val="00226948"/>
    <w:rsid w:val="002701F5"/>
    <w:rsid w:val="002F25C6"/>
    <w:rsid w:val="0033598F"/>
    <w:rsid w:val="00351139"/>
    <w:rsid w:val="00385330"/>
    <w:rsid w:val="003B7E87"/>
    <w:rsid w:val="003D61E9"/>
    <w:rsid w:val="00425C7C"/>
    <w:rsid w:val="00454605"/>
    <w:rsid w:val="00484A1D"/>
    <w:rsid w:val="00553B58"/>
    <w:rsid w:val="00555CC1"/>
    <w:rsid w:val="005806DF"/>
    <w:rsid w:val="005C2E34"/>
    <w:rsid w:val="005C6D77"/>
    <w:rsid w:val="00653B3E"/>
    <w:rsid w:val="0066441C"/>
    <w:rsid w:val="00671C9F"/>
    <w:rsid w:val="006802D7"/>
    <w:rsid w:val="006856A7"/>
    <w:rsid w:val="00687773"/>
    <w:rsid w:val="006A5DCD"/>
    <w:rsid w:val="006D2642"/>
    <w:rsid w:val="00700C41"/>
    <w:rsid w:val="007903CC"/>
    <w:rsid w:val="007B57A0"/>
    <w:rsid w:val="007D7C40"/>
    <w:rsid w:val="007F1E11"/>
    <w:rsid w:val="00815314"/>
    <w:rsid w:val="008555D4"/>
    <w:rsid w:val="008A11E6"/>
    <w:rsid w:val="008C5876"/>
    <w:rsid w:val="008C7CA2"/>
    <w:rsid w:val="008E38B6"/>
    <w:rsid w:val="009713A3"/>
    <w:rsid w:val="009A6B70"/>
    <w:rsid w:val="009B4A90"/>
    <w:rsid w:val="009B59C3"/>
    <w:rsid w:val="009B6DC5"/>
    <w:rsid w:val="00A44C62"/>
    <w:rsid w:val="00A7447F"/>
    <w:rsid w:val="00AD0C86"/>
    <w:rsid w:val="00AD66A9"/>
    <w:rsid w:val="00AE53E0"/>
    <w:rsid w:val="00AE690C"/>
    <w:rsid w:val="00B145BF"/>
    <w:rsid w:val="00B263F6"/>
    <w:rsid w:val="00B35D12"/>
    <w:rsid w:val="00BC2B72"/>
    <w:rsid w:val="00BD5535"/>
    <w:rsid w:val="00C6313B"/>
    <w:rsid w:val="00C631E3"/>
    <w:rsid w:val="00CD35CD"/>
    <w:rsid w:val="00CE2B3C"/>
    <w:rsid w:val="00DE3C95"/>
    <w:rsid w:val="00DF6C33"/>
    <w:rsid w:val="00E00691"/>
    <w:rsid w:val="00E315FF"/>
    <w:rsid w:val="00E543CC"/>
    <w:rsid w:val="00E7220E"/>
    <w:rsid w:val="00EB364A"/>
    <w:rsid w:val="00F1390E"/>
    <w:rsid w:val="00F15F06"/>
    <w:rsid w:val="00F523DD"/>
    <w:rsid w:val="00F926DA"/>
    <w:rsid w:val="00F95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2EB54-44E9-4A6C-84D4-2A133F5A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10301</Words>
  <Characters>61806</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71964</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2022-10-31T10:35:00Z</dcterms:created>
  <dcterms:modified xsi:type="dcterms:W3CDTF">2022-10-31T12:47:00Z</dcterms:modified>
</cp:coreProperties>
</file>