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AE4C" w14:textId="1DB9F00F" w:rsidR="00D86BAF" w:rsidRPr="00D86BAF" w:rsidRDefault="00D86BAF" w:rsidP="00D86BAF">
      <w:pPr>
        <w:widowControl/>
        <w:suppressAutoHyphens/>
        <w:spacing w:before="120" w:after="120"/>
        <w:ind w:firstLine="510"/>
        <w:jc w:val="right"/>
        <w:rPr>
          <w:rFonts w:eastAsia="Times New Roman" w:cs="Times New Roman"/>
          <w:szCs w:val="24"/>
        </w:rPr>
      </w:pPr>
      <w:r w:rsidRPr="00D86BAF">
        <w:rPr>
          <w:rFonts w:eastAsia="Times New Roman" w:cs="Times New Roman"/>
          <w:szCs w:val="24"/>
        </w:rPr>
        <w:t xml:space="preserve">Projekt z </w:t>
      </w:r>
      <w:r w:rsidR="00F70CC4">
        <w:rPr>
          <w:rFonts w:eastAsia="Times New Roman" w:cs="Times New Roman"/>
          <w:szCs w:val="24"/>
        </w:rPr>
        <w:t>dnia</w:t>
      </w:r>
      <w:r w:rsidR="00C47663">
        <w:rPr>
          <w:rFonts w:eastAsia="Times New Roman" w:cs="Times New Roman"/>
          <w:szCs w:val="24"/>
        </w:rPr>
        <w:t xml:space="preserve"> </w:t>
      </w:r>
      <w:r w:rsidR="00424922">
        <w:rPr>
          <w:rFonts w:eastAsia="Times New Roman" w:cs="Times New Roman"/>
          <w:szCs w:val="24"/>
        </w:rPr>
        <w:t>12</w:t>
      </w:r>
      <w:r w:rsidR="00AE603A" w:rsidRPr="00A1586C">
        <w:t xml:space="preserve"> </w:t>
      </w:r>
      <w:r w:rsidR="00AE603A">
        <w:t xml:space="preserve">grudnia </w:t>
      </w:r>
      <w:r w:rsidRPr="00A1586C">
        <w:rPr>
          <w:rFonts w:eastAsia="Times New Roman" w:cs="Times New Roman"/>
          <w:szCs w:val="24"/>
        </w:rPr>
        <w:t>2022 r.</w:t>
      </w:r>
    </w:p>
    <w:p w14:paraId="659103C9" w14:textId="77777777" w:rsidR="00B05FB7" w:rsidRPr="00D86BAF" w:rsidRDefault="00B05FB7" w:rsidP="00D86BAF">
      <w:pPr>
        <w:widowControl/>
        <w:suppressAutoHyphens/>
        <w:spacing w:before="120" w:after="120"/>
        <w:ind w:firstLine="510"/>
        <w:jc w:val="right"/>
        <w:rPr>
          <w:rFonts w:eastAsia="Times New Roman" w:cs="Times New Roman"/>
          <w:szCs w:val="24"/>
        </w:rPr>
      </w:pPr>
    </w:p>
    <w:p w14:paraId="3BF58B6D" w14:textId="77777777" w:rsidR="00D86BAF" w:rsidRPr="00D86BAF" w:rsidRDefault="00D86BAF" w:rsidP="00D86BAF">
      <w:pPr>
        <w:pStyle w:val="OZNRODZAKTUtznustawalubrozporzdzenieiorganwydajcy"/>
      </w:pPr>
      <w:r w:rsidRPr="00D86BAF">
        <w:t>USTAWA</w:t>
      </w:r>
    </w:p>
    <w:p w14:paraId="55F2AB10" w14:textId="77777777" w:rsidR="00D86BAF" w:rsidRPr="00D86BAF" w:rsidRDefault="00D86BAF" w:rsidP="00D86BAF">
      <w:pPr>
        <w:pStyle w:val="DATAAKTUdatauchwalenialubwydaniaaktu"/>
        <w:rPr>
          <w:rFonts w:eastAsia="Times New Roman"/>
        </w:rPr>
      </w:pPr>
      <w:r w:rsidRPr="00D86BAF">
        <w:rPr>
          <w:rFonts w:eastAsia="Times New Roman"/>
        </w:rPr>
        <w:t>z dnia … 2022 r.</w:t>
      </w:r>
    </w:p>
    <w:p w14:paraId="5999762E" w14:textId="4486C77E" w:rsidR="00D86BAF" w:rsidRPr="00D86BAF" w:rsidRDefault="00D86BAF" w:rsidP="00D86BAF">
      <w:pPr>
        <w:pStyle w:val="TYTUAKTUprzedmiotregulacjiustawylubrozporzdzenia"/>
        <w:rPr>
          <w:rFonts w:eastAsia="Times New Roman"/>
        </w:rPr>
      </w:pPr>
      <w:r w:rsidRPr="00D86BAF">
        <w:rPr>
          <w:rFonts w:eastAsia="Times New Roman"/>
        </w:rPr>
        <w:t xml:space="preserve">o zmianie </w:t>
      </w:r>
      <w:bookmarkStart w:id="0" w:name="_Hlk118394648"/>
      <w:r w:rsidRPr="00D86BAF">
        <w:rPr>
          <w:rFonts w:eastAsia="Times New Roman"/>
        </w:rPr>
        <w:t>ustawy o informatyzacji działalności podmiotów realizujących zadania publiczne</w:t>
      </w:r>
      <w:bookmarkEnd w:id="0"/>
      <w:r w:rsidRPr="00D86BAF">
        <w:rPr>
          <w:rFonts w:eastAsia="Times New Roman"/>
        </w:rPr>
        <w:t xml:space="preserve"> </w:t>
      </w:r>
      <w:r w:rsidR="00B05FB7">
        <w:t>oraz ustawy - Prawo telekomunikacyjne</w:t>
      </w:r>
    </w:p>
    <w:p w14:paraId="68C598E6" w14:textId="77777777" w:rsidR="00B05FB7" w:rsidRDefault="00D86BAF" w:rsidP="00D86BAF">
      <w:pPr>
        <w:pStyle w:val="ARTartustawynprozporzdzenia"/>
      </w:pPr>
      <w:r w:rsidRPr="00D86BAF">
        <w:rPr>
          <w:rFonts w:eastAsia="Times New Roman"/>
          <w:b/>
        </w:rPr>
        <w:t>Art. 1.</w:t>
      </w:r>
      <w:r w:rsidRPr="00D86BAF">
        <w:rPr>
          <w:rFonts w:eastAsia="Times New Roman"/>
        </w:rPr>
        <w:t xml:space="preserve"> W ustawie z dnia 17 lutego 2005 r. o informatyzacji działalności podmiotów realizujących zadania publiczne (Dz. U. z 2021 r. poz. 2070</w:t>
      </w:r>
      <w:r w:rsidR="00931AFD">
        <w:t xml:space="preserve"> oraz z 2022 r. poz. 1087</w:t>
      </w:r>
      <w:r w:rsidRPr="00D86BAF">
        <w:rPr>
          <w:rFonts w:eastAsia="Times New Roman"/>
        </w:rPr>
        <w:t xml:space="preserve">) </w:t>
      </w:r>
      <w:r w:rsidR="00B05FB7">
        <w:t>wprowadza się następujące zmiany:</w:t>
      </w:r>
    </w:p>
    <w:p w14:paraId="6F5795BB" w14:textId="762A100B" w:rsidR="00D86BAF" w:rsidRPr="00D86BAF" w:rsidRDefault="00B05FB7" w:rsidP="00A0788F">
      <w:pPr>
        <w:pStyle w:val="PKTpunkt"/>
        <w:rPr>
          <w:rFonts w:eastAsia="Times New Roman"/>
        </w:rPr>
      </w:pPr>
      <w:r>
        <w:t>1)</w:t>
      </w:r>
      <w:r>
        <w:tab/>
      </w:r>
      <w:r w:rsidR="00D86BAF" w:rsidRPr="00D86BAF">
        <w:rPr>
          <w:rFonts w:eastAsia="Times New Roman"/>
        </w:rPr>
        <w:t>w art. 20c dodaje się ust. 11 w brzmieniu:</w:t>
      </w:r>
    </w:p>
    <w:p w14:paraId="0E180AAB" w14:textId="4405DE02" w:rsidR="00D86BAF" w:rsidRPr="00D86BAF" w:rsidRDefault="00D86BAF" w:rsidP="00A0788F">
      <w:pPr>
        <w:pStyle w:val="ZARTzmartartykuempunktem"/>
        <w:rPr>
          <w:rFonts w:eastAsia="Calibri"/>
          <w:lang w:eastAsia="en-US"/>
        </w:rPr>
      </w:pPr>
      <w:r w:rsidRPr="00D86BAF">
        <w:rPr>
          <w:rFonts w:eastAsia="Calibri"/>
          <w:lang w:eastAsia="en-US"/>
        </w:rPr>
        <w:t xml:space="preserve">„11. Do uwierzytelnień i autoryzacji związanych z wykorzystaniem profilu zaufanego </w:t>
      </w:r>
      <w:r w:rsidRPr="00D86BAF">
        <w:rPr>
          <w:rFonts w:eastAsia="Calibri"/>
          <w:spacing w:val="-2"/>
          <w:lang w:eastAsia="en-US"/>
        </w:rPr>
        <w:t>mogą być wykorzystywane usługi pozwalające na potwierdzenie, że użytkownik dysponuje</w:t>
      </w:r>
      <w:r w:rsidRPr="00D86BAF">
        <w:rPr>
          <w:rFonts w:eastAsia="Calibri"/>
          <w:lang w:eastAsia="en-US"/>
        </w:rPr>
        <w:t xml:space="preserve"> wskazanym przez siebie numerem telefonu, stanowiącym numer niegeograficzny w rozumieniu przepisów ustawy z dnia 16 lipca 2004 r. – Prawo telekomunikacyjne, zwany dalej numerem niegeograficznym, na podstawie podanego przez użytkownika:</w:t>
      </w:r>
    </w:p>
    <w:p w14:paraId="4B5DEC9B" w14:textId="04F8BA0B" w:rsidR="00D86BAF" w:rsidRPr="00D86BAF" w:rsidRDefault="00D86BAF" w:rsidP="00A0788F">
      <w:pPr>
        <w:pStyle w:val="ZARTzmartartykuempunktem"/>
        <w:rPr>
          <w:rFonts w:eastAsia="Calibri"/>
          <w:lang w:eastAsia="en-US"/>
        </w:rPr>
      </w:pPr>
      <w:r w:rsidRPr="00D86BAF">
        <w:rPr>
          <w:rFonts w:eastAsia="Calibri"/>
          <w:lang w:eastAsia="en-US"/>
        </w:rPr>
        <w:t>1)</w:t>
      </w:r>
      <w:r w:rsidRPr="00D86BAF">
        <w:rPr>
          <w:rFonts w:eastAsia="Calibri"/>
          <w:lang w:eastAsia="en-US"/>
        </w:rPr>
        <w:tab/>
        <w:t>jednorazowego kod</w:t>
      </w:r>
      <w:r w:rsidR="009E34AD">
        <w:rPr>
          <w:rFonts w:eastAsia="Calibri"/>
          <w:lang w:eastAsia="en-US"/>
        </w:rPr>
        <w:t>u, który został uprzednio przes</w:t>
      </w:r>
      <w:r w:rsidRPr="00D86BAF">
        <w:rPr>
          <w:rFonts w:eastAsia="Calibri"/>
          <w:lang w:eastAsia="en-US"/>
        </w:rPr>
        <w:t>łany temu użytkownikowi w treści krótkiej wiadomości tekstowej (SMS)</w:t>
      </w:r>
      <w:r w:rsidR="00F70CC4">
        <w:rPr>
          <w:rFonts w:eastAsia="Calibri"/>
          <w:lang w:eastAsia="en-US"/>
        </w:rPr>
        <w:t>,</w:t>
      </w:r>
      <w:r w:rsidRPr="00D86BAF">
        <w:rPr>
          <w:rFonts w:eastAsia="Calibri"/>
          <w:lang w:eastAsia="en-US"/>
        </w:rPr>
        <w:t xml:space="preserve"> lub</w:t>
      </w:r>
    </w:p>
    <w:p w14:paraId="6D4ACFC5" w14:textId="3022D003" w:rsidR="00D86BAF" w:rsidRPr="00A0788F" w:rsidRDefault="00D86BAF" w:rsidP="00A0788F">
      <w:pPr>
        <w:pStyle w:val="ZARTzmartartykuempunktem"/>
      </w:pPr>
      <w:r w:rsidRPr="00D86BAF">
        <w:rPr>
          <w:rFonts w:eastAsia="Calibri"/>
          <w:lang w:eastAsia="en-US"/>
        </w:rPr>
        <w:t>2)</w:t>
      </w:r>
      <w:r w:rsidRPr="00D86BAF">
        <w:rPr>
          <w:rFonts w:eastAsia="Calibri"/>
          <w:lang w:eastAsia="en-US"/>
        </w:rPr>
        <w:tab/>
        <w:t xml:space="preserve">kodu PIN w ramach usługi Mobile Connect, opartej na </w:t>
      </w:r>
      <w:r w:rsidRPr="00D86BAF">
        <w:rPr>
          <w:rFonts w:eastAsia="Calibri"/>
          <w:spacing w:val="-4"/>
          <w:lang w:eastAsia="en-US"/>
        </w:rPr>
        <w:t>standardzie telefonii komórkowej, polegającej na przesyłaniu abonentowi komunikatów</w:t>
      </w:r>
      <w:r w:rsidRPr="00D86BAF">
        <w:rPr>
          <w:rFonts w:eastAsia="Calibri"/>
          <w:lang w:eastAsia="en-US"/>
        </w:rPr>
        <w:t xml:space="preserve"> </w:t>
      </w:r>
      <w:r w:rsidRPr="00D86BAF">
        <w:rPr>
          <w:rFonts w:eastAsia="Calibri"/>
          <w:spacing w:val="-6"/>
          <w:lang w:eastAsia="en-US"/>
        </w:rPr>
        <w:t>wymagających wprowadzenia poufnego, znanego wyłącznie temu abonentowi,</w:t>
      </w:r>
      <w:r w:rsidRPr="00D86BAF" w:rsidDel="007C3092">
        <w:rPr>
          <w:rFonts w:eastAsia="Calibri"/>
          <w:spacing w:val="-6"/>
          <w:lang w:eastAsia="en-US"/>
        </w:rPr>
        <w:t xml:space="preserve"> </w:t>
      </w:r>
      <w:r w:rsidRPr="00D86BAF">
        <w:rPr>
          <w:rFonts w:eastAsia="Calibri"/>
          <w:spacing w:val="-6"/>
          <w:lang w:eastAsia="en-US"/>
        </w:rPr>
        <w:t>kodu PIN.</w:t>
      </w:r>
      <w:r w:rsidR="005F6F2E" w:rsidRPr="00D86BAF">
        <w:rPr>
          <w:rFonts w:eastAsia="Calibri"/>
          <w:spacing w:val="-6"/>
          <w:lang w:eastAsia="en-US"/>
        </w:rPr>
        <w:t>”</w:t>
      </w:r>
      <w:r w:rsidR="00B05FB7">
        <w:t>;</w:t>
      </w:r>
    </w:p>
    <w:p w14:paraId="76E5F726" w14:textId="77777777" w:rsidR="00B05FB7" w:rsidRPr="00B05FB7" w:rsidRDefault="00B05FB7" w:rsidP="00A0788F">
      <w:pPr>
        <w:pStyle w:val="PKTpunkt"/>
      </w:pPr>
      <w:r>
        <w:t>2)</w:t>
      </w:r>
      <w:r>
        <w:tab/>
        <w:t>po art. 20g</w:t>
      </w:r>
      <w:r w:rsidRPr="00B05FB7">
        <w:t xml:space="preserve"> dodaje się </w:t>
      </w:r>
      <w:r>
        <w:t xml:space="preserve">art. 20ga </w:t>
      </w:r>
      <w:r w:rsidRPr="00B05FB7">
        <w:t>w brzmieniu:</w:t>
      </w:r>
    </w:p>
    <w:p w14:paraId="6A11B41F" w14:textId="10925B0E" w:rsidR="00D86BAF" w:rsidRPr="00D86BAF" w:rsidRDefault="00AE1892" w:rsidP="00A0788F">
      <w:pPr>
        <w:pStyle w:val="ZARTzmartartykuempunktem"/>
        <w:rPr>
          <w:rFonts w:eastAsia="Calibri"/>
          <w:spacing w:val="-6"/>
          <w:lang w:eastAsia="en-US"/>
        </w:rPr>
      </w:pPr>
      <w:r w:rsidRPr="00AE1892">
        <w:t>„</w:t>
      </w:r>
      <w:r w:rsidR="00B05FB7">
        <w:t>Art. 20ga. 1</w:t>
      </w:r>
      <w:r w:rsidR="00D86BAF" w:rsidRPr="00D86BAF">
        <w:rPr>
          <w:rFonts w:eastAsia="Calibri"/>
          <w:spacing w:val="-6"/>
          <w:lang w:eastAsia="en-US"/>
        </w:rPr>
        <w:t xml:space="preserve">. </w:t>
      </w:r>
      <w:r w:rsidR="00D86BAF" w:rsidRPr="00D86BAF">
        <w:rPr>
          <w:rFonts w:eastAsia="Calibri"/>
          <w:lang w:eastAsia="en-US"/>
        </w:rPr>
        <w:t>Dostawca usług telekomunikacyjnych świadczonych w ruchomej publicznej sieci telekomunikacyjnej w rozumieniu przepisów ustawy z dnia 16 lipca 2004 r. – Prawo telekomunikacyjne, który świadczy abonentom usługi telekomunikacyjne w oparciu o</w:t>
      </w:r>
      <w:r w:rsidR="00357FC6">
        <w:t xml:space="preserve"> n</w:t>
      </w:r>
      <w:r w:rsidR="00D86BAF" w:rsidRPr="00D86BAF">
        <w:rPr>
          <w:rFonts w:eastAsia="Calibri"/>
          <w:lang w:eastAsia="en-US"/>
        </w:rPr>
        <w:t>umerację z planu numeracji krajowej dla publicznych sieci telekomunikacyjnych</w:t>
      </w:r>
      <w:r w:rsidR="00D86BAF" w:rsidRPr="00D86BAF">
        <w:rPr>
          <w:rFonts w:eastAsia="Calibri"/>
          <w:spacing w:val="-6"/>
          <w:lang w:eastAsia="en-US"/>
        </w:rPr>
        <w:t>, zwany dalej „dostawcą usług telekomunikacyjnych”, jest obowiązany, na żądanie podmiotu</w:t>
      </w:r>
      <w:r w:rsidR="00DE054F">
        <w:rPr>
          <w:rFonts w:eastAsia="Calibri"/>
          <w:spacing w:val="-6"/>
          <w:lang w:eastAsia="en-US"/>
        </w:rPr>
        <w:t xml:space="preserve">, </w:t>
      </w:r>
      <w:r w:rsidR="00DE054F" w:rsidRPr="00A1586C">
        <w:rPr>
          <w:rFonts w:eastAsia="Calibri"/>
          <w:spacing w:val="-6"/>
          <w:lang w:eastAsia="en-US"/>
        </w:rPr>
        <w:t>o którym mowa</w:t>
      </w:r>
      <w:r w:rsidR="00D86BAF" w:rsidRPr="00A1586C">
        <w:rPr>
          <w:rFonts w:eastAsia="Calibri"/>
          <w:spacing w:val="-6"/>
          <w:lang w:eastAsia="en-US"/>
        </w:rPr>
        <w:t xml:space="preserve"> </w:t>
      </w:r>
      <w:r w:rsidR="00DE054F" w:rsidRPr="00A1586C">
        <w:rPr>
          <w:rFonts w:cs="Times New Roman"/>
          <w:iCs/>
          <w:spacing w:val="-6"/>
          <w:szCs w:val="24"/>
        </w:rPr>
        <w:t>w art. 2 ust. 1 pkt 1, 2 i 4-8</w:t>
      </w:r>
      <w:r w:rsidR="00D86BAF" w:rsidRPr="00A1586C">
        <w:rPr>
          <w:rFonts w:eastAsia="Calibri"/>
          <w:spacing w:val="-6"/>
          <w:lang w:eastAsia="en-US"/>
        </w:rPr>
        <w:t xml:space="preserve">, </w:t>
      </w:r>
      <w:r w:rsidR="00D86BAF" w:rsidRPr="00D86BAF">
        <w:rPr>
          <w:rFonts w:eastAsia="Calibri"/>
          <w:spacing w:val="-6"/>
          <w:lang w:eastAsia="en-US"/>
        </w:rPr>
        <w:t>do niezwłocznego, nieodpłatnego wysłania jednorazowo lub wysyłania przez wskazany okres, komunikatów informacyjnych do:</w:t>
      </w:r>
    </w:p>
    <w:p w14:paraId="4437F755" w14:textId="5505E135" w:rsidR="00D86BAF" w:rsidRPr="00EC53FC" w:rsidRDefault="00D86BAF" w:rsidP="00EC53FC">
      <w:pPr>
        <w:ind w:left="425" w:firstLine="425"/>
        <w:jc w:val="both"/>
        <w:rPr>
          <w:rFonts w:cs="Times New Roman"/>
          <w:iCs/>
          <w:spacing w:val="-6"/>
          <w:szCs w:val="24"/>
        </w:rPr>
      </w:pPr>
      <w:r w:rsidRPr="00D86BAF">
        <w:rPr>
          <w:rFonts w:eastAsia="Calibri"/>
          <w:lang w:eastAsia="en-US"/>
        </w:rPr>
        <w:t>1</w:t>
      </w:r>
      <w:r w:rsidR="00AE1892" w:rsidRPr="00D86BAF">
        <w:rPr>
          <w:rFonts w:eastAsia="Calibri"/>
          <w:lang w:eastAsia="en-US"/>
        </w:rPr>
        <w:t>)</w:t>
      </w:r>
      <w:r w:rsidR="00AE1892">
        <w:tab/>
      </w:r>
      <w:r w:rsidRPr="00D86BAF">
        <w:rPr>
          <w:rFonts w:eastAsia="Calibri"/>
          <w:lang w:eastAsia="en-US"/>
        </w:rPr>
        <w:t xml:space="preserve">wszystkich lub określonych przez ten </w:t>
      </w:r>
      <w:r w:rsidR="00357FC6">
        <w:t xml:space="preserve">podmiot </w:t>
      </w:r>
      <w:r w:rsidRPr="00D86BAF">
        <w:rPr>
          <w:rFonts w:eastAsia="Calibri"/>
          <w:lang w:eastAsia="en-US"/>
        </w:rPr>
        <w:t xml:space="preserve">grup użytkowników końcowych </w:t>
      </w:r>
      <w:r w:rsidR="009E34AD">
        <w:rPr>
          <w:rFonts w:cs="Times New Roman"/>
          <w:iCs/>
          <w:spacing w:val="-6"/>
          <w:szCs w:val="24"/>
        </w:rPr>
        <w:t xml:space="preserve">w </w:t>
      </w:r>
      <w:r w:rsidR="009E34AD">
        <w:rPr>
          <w:rFonts w:cs="Times New Roman"/>
          <w:iCs/>
          <w:spacing w:val="-6"/>
          <w:szCs w:val="24"/>
        </w:rPr>
        <w:lastRenderedPageBreak/>
        <w:t xml:space="preserve">zakresie, o którym mowa w </w:t>
      </w:r>
      <w:r w:rsidR="009E34AD" w:rsidRPr="00A1586C">
        <w:rPr>
          <w:rFonts w:cs="Times New Roman"/>
          <w:iCs/>
          <w:spacing w:val="-6"/>
          <w:szCs w:val="24"/>
        </w:rPr>
        <w:t xml:space="preserve">ust. </w:t>
      </w:r>
      <w:r w:rsidR="00596966" w:rsidRPr="00A1586C">
        <w:rPr>
          <w:rFonts w:cs="Times New Roman"/>
          <w:iCs/>
          <w:spacing w:val="-6"/>
          <w:szCs w:val="24"/>
        </w:rPr>
        <w:t>3</w:t>
      </w:r>
      <w:r w:rsidR="009E34AD" w:rsidRPr="00A1586C">
        <w:rPr>
          <w:rFonts w:cs="Times New Roman"/>
          <w:iCs/>
          <w:spacing w:val="-6"/>
          <w:szCs w:val="24"/>
        </w:rPr>
        <w:t xml:space="preserve"> pkt 1</w:t>
      </w:r>
      <w:r w:rsidR="00F70CC4">
        <w:rPr>
          <w:rFonts w:cs="Times New Roman"/>
          <w:iCs/>
          <w:spacing w:val="-6"/>
          <w:szCs w:val="24"/>
        </w:rPr>
        <w:t>,</w:t>
      </w:r>
      <w:r w:rsidR="009E34AD" w:rsidRPr="00A1586C">
        <w:rPr>
          <w:rFonts w:cs="Times New Roman"/>
          <w:iCs/>
          <w:spacing w:val="-6"/>
          <w:szCs w:val="24"/>
        </w:rPr>
        <w:t xml:space="preserve"> </w:t>
      </w:r>
      <w:r w:rsidRPr="00A1586C">
        <w:rPr>
          <w:rFonts w:eastAsia="Calibri"/>
          <w:lang w:eastAsia="en-US"/>
        </w:rPr>
        <w:t>lub</w:t>
      </w:r>
      <w:r w:rsidRPr="00D86BAF">
        <w:rPr>
          <w:rFonts w:eastAsia="Calibri"/>
          <w:lang w:eastAsia="en-US"/>
        </w:rPr>
        <w:t xml:space="preserve"> </w:t>
      </w:r>
    </w:p>
    <w:p w14:paraId="32184B33" w14:textId="5D9D8458" w:rsidR="00D86BAF" w:rsidRPr="00A1586C" w:rsidRDefault="00D86BAF" w:rsidP="00EC53FC">
      <w:pPr>
        <w:ind w:left="425" w:firstLine="425"/>
        <w:jc w:val="both"/>
        <w:rPr>
          <w:rFonts w:eastAsia="Calibri"/>
          <w:lang w:eastAsia="en-US"/>
        </w:rPr>
      </w:pPr>
      <w:r w:rsidRPr="00D86BAF">
        <w:rPr>
          <w:rFonts w:eastAsia="Calibri"/>
          <w:lang w:eastAsia="en-US"/>
        </w:rPr>
        <w:t>2</w:t>
      </w:r>
      <w:r w:rsidR="00AE1892" w:rsidRPr="00D86BAF">
        <w:rPr>
          <w:rFonts w:eastAsia="Calibri"/>
          <w:lang w:eastAsia="en-US"/>
        </w:rPr>
        <w:t>)</w:t>
      </w:r>
      <w:r w:rsidR="00AE1892">
        <w:tab/>
      </w:r>
      <w:r w:rsidRPr="00D86BAF">
        <w:rPr>
          <w:rFonts w:eastAsia="Calibri"/>
          <w:lang w:eastAsia="en-US"/>
        </w:rPr>
        <w:t xml:space="preserve">indywidualnych użytkowników końcowych </w:t>
      </w:r>
      <w:r w:rsidR="009E34AD">
        <w:rPr>
          <w:rFonts w:cs="Times New Roman"/>
          <w:iCs/>
          <w:spacing w:val="-6"/>
          <w:szCs w:val="24"/>
        </w:rPr>
        <w:t xml:space="preserve">w zakresie, o którym mowa </w:t>
      </w:r>
      <w:r w:rsidR="009E34AD" w:rsidRPr="00A1586C">
        <w:rPr>
          <w:rFonts w:cs="Times New Roman"/>
          <w:iCs/>
          <w:spacing w:val="-6"/>
          <w:szCs w:val="24"/>
        </w:rPr>
        <w:t xml:space="preserve">w ust. </w:t>
      </w:r>
      <w:r w:rsidR="001C3B02" w:rsidRPr="00A1586C">
        <w:rPr>
          <w:rFonts w:cs="Times New Roman"/>
          <w:iCs/>
          <w:spacing w:val="-6"/>
          <w:szCs w:val="24"/>
        </w:rPr>
        <w:t>3</w:t>
      </w:r>
      <w:r w:rsidR="009E34AD" w:rsidRPr="00A1586C">
        <w:rPr>
          <w:rFonts w:cs="Times New Roman"/>
          <w:iCs/>
          <w:spacing w:val="-6"/>
          <w:szCs w:val="24"/>
        </w:rPr>
        <w:t xml:space="preserve"> pkt 2</w:t>
      </w:r>
      <w:r w:rsidR="00F70CC4">
        <w:rPr>
          <w:rFonts w:cs="Times New Roman"/>
          <w:iCs/>
          <w:spacing w:val="-6"/>
          <w:szCs w:val="24"/>
        </w:rPr>
        <w:t>,</w:t>
      </w:r>
    </w:p>
    <w:p w14:paraId="6909BCC4" w14:textId="68A34342" w:rsidR="00D86BAF" w:rsidRPr="00D86BAF" w:rsidRDefault="00D86BAF" w:rsidP="008C4FE3">
      <w:pPr>
        <w:pStyle w:val="ZCZWSPPKTzmczciwsppktartykuempunktem"/>
        <w:rPr>
          <w:rFonts w:eastAsia="Calibri"/>
          <w:lang w:eastAsia="en-US"/>
        </w:rPr>
      </w:pPr>
      <w:r w:rsidRPr="00A1586C">
        <w:rPr>
          <w:rFonts w:eastAsia="Calibri"/>
          <w:lang w:eastAsia="en-US"/>
        </w:rPr>
        <w:t>- za wyjątkiem numerów</w:t>
      </w:r>
      <w:r w:rsidR="00357FC6" w:rsidRPr="00A1586C">
        <w:t>,</w:t>
      </w:r>
      <w:r w:rsidRPr="00A1586C">
        <w:rPr>
          <w:rFonts w:eastAsia="Calibri"/>
          <w:lang w:eastAsia="en-US"/>
        </w:rPr>
        <w:t xml:space="preserve"> do których połączenia są bezpłatne albo o podwyższonej opłacie.</w:t>
      </w:r>
    </w:p>
    <w:p w14:paraId="58B58672" w14:textId="625EEAD4" w:rsidR="009E34AD" w:rsidRPr="004525FC" w:rsidRDefault="00B05FB7" w:rsidP="00D844F9">
      <w:pPr>
        <w:ind w:left="425" w:firstLine="425"/>
        <w:jc w:val="both"/>
        <w:rPr>
          <w:rFonts w:cs="Times New Roman"/>
          <w:iCs/>
          <w:spacing w:val="-6"/>
          <w:szCs w:val="24"/>
        </w:rPr>
      </w:pPr>
      <w:r>
        <w:t>2</w:t>
      </w:r>
      <w:r w:rsidR="00D86BAF" w:rsidRPr="00D86BAF">
        <w:rPr>
          <w:rFonts w:eastAsia="Calibri"/>
          <w:lang w:eastAsia="en-US"/>
        </w:rPr>
        <w:t xml:space="preserve">. </w:t>
      </w:r>
      <w:r w:rsidR="00FA5B4F">
        <w:rPr>
          <w:rFonts w:eastAsia="Calibri"/>
          <w:lang w:eastAsia="en-US"/>
        </w:rPr>
        <w:t>P</w:t>
      </w:r>
      <w:r w:rsidR="00FA5B4F" w:rsidRPr="004525FC">
        <w:rPr>
          <w:rFonts w:cs="Times New Roman"/>
          <w:iCs/>
          <w:spacing w:val="-6"/>
          <w:szCs w:val="24"/>
        </w:rPr>
        <w:t>odmiot, o który</w:t>
      </w:r>
      <w:r w:rsidR="00FA5B4F">
        <w:rPr>
          <w:rFonts w:cs="Times New Roman"/>
          <w:iCs/>
          <w:spacing w:val="-6"/>
          <w:szCs w:val="24"/>
        </w:rPr>
        <w:t>m</w:t>
      </w:r>
      <w:r w:rsidR="00FA5B4F" w:rsidRPr="004525FC">
        <w:rPr>
          <w:rFonts w:cs="Times New Roman"/>
          <w:iCs/>
          <w:spacing w:val="-6"/>
          <w:szCs w:val="24"/>
        </w:rPr>
        <w:t xml:space="preserve"> mowa </w:t>
      </w:r>
      <w:r w:rsidR="00FA5B4F" w:rsidRPr="00A1586C">
        <w:rPr>
          <w:rFonts w:cs="Times New Roman"/>
          <w:iCs/>
          <w:spacing w:val="-6"/>
          <w:szCs w:val="24"/>
        </w:rPr>
        <w:t>w art. 2 ust. 1 pkt 1, 2 i 4-8</w:t>
      </w:r>
      <w:r w:rsidR="00FA5B4F">
        <w:rPr>
          <w:rFonts w:cs="Times New Roman"/>
          <w:iCs/>
          <w:spacing w:val="-6"/>
          <w:szCs w:val="24"/>
        </w:rPr>
        <w:t>,</w:t>
      </w:r>
      <w:r w:rsidR="004D55D1">
        <w:rPr>
          <w:rFonts w:cs="Times New Roman"/>
          <w:iCs/>
          <w:spacing w:val="-6"/>
          <w:szCs w:val="24"/>
        </w:rPr>
        <w:t xml:space="preserve"> za pomocą swoich organów wykonawczych,</w:t>
      </w:r>
      <w:r w:rsidR="00EC53FC">
        <w:rPr>
          <w:rFonts w:cs="Times New Roman"/>
          <w:iCs/>
          <w:spacing w:val="-6"/>
          <w:szCs w:val="24"/>
        </w:rPr>
        <w:t xml:space="preserve"> </w:t>
      </w:r>
      <w:r w:rsidR="00FA5B4F" w:rsidRPr="00D86BAF">
        <w:rPr>
          <w:rFonts w:eastAsia="Calibri"/>
          <w:lang w:eastAsia="en-US"/>
        </w:rPr>
        <w:t>może wystosować</w:t>
      </w:r>
      <w:r w:rsidR="00FA5B4F">
        <w:t xml:space="preserve"> </w:t>
      </w:r>
      <w:r w:rsidR="00FA5B4F">
        <w:rPr>
          <w:rFonts w:eastAsia="Calibri"/>
          <w:lang w:eastAsia="en-US"/>
        </w:rPr>
        <w:t>ż</w:t>
      </w:r>
      <w:r w:rsidR="00D86BAF" w:rsidRPr="00D86BAF">
        <w:rPr>
          <w:rFonts w:eastAsia="Calibri"/>
          <w:lang w:eastAsia="en-US"/>
        </w:rPr>
        <w:t xml:space="preserve">ądanie, o którym mowa w ust. </w:t>
      </w:r>
      <w:r>
        <w:rPr>
          <w:rFonts w:eastAsia="Calibri"/>
          <w:lang w:eastAsia="en-US"/>
        </w:rPr>
        <w:t>1</w:t>
      </w:r>
      <w:r w:rsidR="00D86BAF" w:rsidRPr="00D86BAF">
        <w:rPr>
          <w:rFonts w:eastAsia="Calibri"/>
          <w:lang w:eastAsia="en-US"/>
        </w:rPr>
        <w:t xml:space="preserve">, </w:t>
      </w:r>
      <w:r w:rsidR="00646781">
        <w:t xml:space="preserve">w zakresie </w:t>
      </w:r>
      <w:r w:rsidR="004C0F54">
        <w:t>swojej</w:t>
      </w:r>
      <w:r w:rsidR="00646781">
        <w:t xml:space="preserve"> </w:t>
      </w:r>
      <w:r w:rsidR="00646781" w:rsidRPr="00646781">
        <w:t>właściwości miejscowej</w:t>
      </w:r>
      <w:r w:rsidR="00FA5B4F">
        <w:t>.</w:t>
      </w:r>
    </w:p>
    <w:p w14:paraId="038AC167" w14:textId="28D982A8" w:rsidR="00D86BAF" w:rsidRPr="00D86BAF" w:rsidRDefault="00DE054F" w:rsidP="008C4FE3">
      <w:pPr>
        <w:pStyle w:val="ZUSTzmustartykuempunktem"/>
        <w:rPr>
          <w:rFonts w:eastAsia="Calibri"/>
          <w:lang w:eastAsia="en-US"/>
        </w:rPr>
      </w:pPr>
      <w:r>
        <w:t>3</w:t>
      </w:r>
      <w:r w:rsidR="00D86BAF" w:rsidRPr="00D86BAF">
        <w:rPr>
          <w:rFonts w:eastAsia="Calibri"/>
          <w:lang w:eastAsia="en-US"/>
        </w:rPr>
        <w:t>. Komunikaty</w:t>
      </w:r>
      <w:r w:rsidR="00F02FEB">
        <w:t xml:space="preserve"> informacyjne</w:t>
      </w:r>
      <w:r w:rsidR="00D86BAF" w:rsidRPr="00D86BAF">
        <w:rPr>
          <w:rFonts w:eastAsia="Calibri"/>
          <w:lang w:eastAsia="en-US"/>
        </w:rPr>
        <w:t xml:space="preserve">, o których mowa w ust. 1, </w:t>
      </w:r>
      <w:r w:rsidR="00357FC6">
        <w:t>są</w:t>
      </w:r>
      <w:r w:rsidR="00D86BAF" w:rsidRPr="00D86BAF">
        <w:rPr>
          <w:rFonts w:eastAsia="Calibri"/>
          <w:lang w:eastAsia="en-US"/>
        </w:rPr>
        <w:t xml:space="preserve"> wysyłane wyłącznie w celu:</w:t>
      </w:r>
    </w:p>
    <w:p w14:paraId="421161F2" w14:textId="77777777" w:rsidR="00980842" w:rsidRDefault="009E34AD" w:rsidP="009E34AD">
      <w:pPr>
        <w:ind w:left="425" w:firstLine="425"/>
        <w:jc w:val="both"/>
        <w:rPr>
          <w:rFonts w:cs="Times New Roman"/>
          <w:iCs/>
          <w:spacing w:val="-6"/>
          <w:szCs w:val="24"/>
        </w:rPr>
      </w:pPr>
      <w:r>
        <w:rPr>
          <w:rFonts w:cs="Times New Roman"/>
          <w:iCs/>
          <w:spacing w:val="-6"/>
          <w:szCs w:val="24"/>
        </w:rPr>
        <w:t>1)</w:t>
      </w:r>
      <w:r w:rsidR="00DE054F">
        <w:rPr>
          <w:rFonts w:cs="Times New Roman"/>
          <w:iCs/>
          <w:spacing w:val="-6"/>
          <w:szCs w:val="24"/>
        </w:rPr>
        <w:tab/>
      </w:r>
      <w:bookmarkStart w:id="1" w:name="_Hlk118391054"/>
      <w:r>
        <w:rPr>
          <w:rFonts w:cs="Times New Roman"/>
          <w:iCs/>
          <w:spacing w:val="-6"/>
          <w:szCs w:val="24"/>
        </w:rPr>
        <w:t>realizacji zadań</w:t>
      </w:r>
      <w:r w:rsidRPr="00E72992">
        <w:rPr>
          <w:rFonts w:cs="Times New Roman"/>
          <w:iCs/>
          <w:spacing w:val="-6"/>
          <w:szCs w:val="24"/>
        </w:rPr>
        <w:t xml:space="preserve"> </w:t>
      </w:r>
      <w:r>
        <w:rPr>
          <w:rFonts w:cs="Times New Roman"/>
          <w:iCs/>
          <w:spacing w:val="-6"/>
          <w:szCs w:val="24"/>
        </w:rPr>
        <w:t>wykonywanych</w:t>
      </w:r>
      <w:r w:rsidRPr="00E72992">
        <w:rPr>
          <w:rFonts w:cs="Times New Roman"/>
          <w:iCs/>
          <w:spacing w:val="-6"/>
          <w:szCs w:val="24"/>
        </w:rPr>
        <w:t xml:space="preserve"> przez administrację rządową</w:t>
      </w:r>
      <w:r>
        <w:rPr>
          <w:rFonts w:cs="Times New Roman"/>
          <w:iCs/>
          <w:spacing w:val="-6"/>
          <w:szCs w:val="24"/>
        </w:rPr>
        <w:t xml:space="preserve"> lub zadań własnych albo zleconych wykonywanych przez administrację samorządową</w:t>
      </w:r>
      <w:r w:rsidR="00980842">
        <w:rPr>
          <w:rFonts w:cs="Times New Roman"/>
          <w:iCs/>
          <w:spacing w:val="-6"/>
          <w:szCs w:val="24"/>
        </w:rPr>
        <w:t xml:space="preserve"> na rzecz:</w:t>
      </w:r>
    </w:p>
    <w:p w14:paraId="038C8270" w14:textId="373C34E9" w:rsidR="00980842" w:rsidRDefault="00980842" w:rsidP="009E34AD">
      <w:pPr>
        <w:ind w:left="425" w:firstLine="425"/>
        <w:jc w:val="both"/>
        <w:rPr>
          <w:rFonts w:cs="Times New Roman"/>
          <w:iCs/>
          <w:spacing w:val="-6"/>
          <w:szCs w:val="24"/>
        </w:rPr>
      </w:pPr>
      <w:r>
        <w:rPr>
          <w:rFonts w:cs="Times New Roman"/>
          <w:iCs/>
          <w:spacing w:val="-6"/>
          <w:szCs w:val="24"/>
        </w:rPr>
        <w:t>a)</w:t>
      </w:r>
      <w:r w:rsidR="00AF0BD8">
        <w:tab/>
      </w:r>
      <w:r w:rsidRPr="00980842">
        <w:rPr>
          <w:rFonts w:cs="Times New Roman"/>
          <w:iCs/>
          <w:spacing w:val="-6"/>
          <w:szCs w:val="24"/>
        </w:rPr>
        <w:t>obronności oraz bezpieczeństwa państwa</w:t>
      </w:r>
      <w:r>
        <w:rPr>
          <w:rFonts w:cs="Times New Roman"/>
          <w:iCs/>
          <w:spacing w:val="-6"/>
          <w:szCs w:val="24"/>
        </w:rPr>
        <w:t>,</w:t>
      </w:r>
    </w:p>
    <w:p w14:paraId="53A63634" w14:textId="1BC69CF2" w:rsidR="00980842" w:rsidRDefault="00980842" w:rsidP="009E34AD">
      <w:pPr>
        <w:ind w:left="425" w:firstLine="425"/>
        <w:jc w:val="both"/>
        <w:rPr>
          <w:rFonts w:cs="Times New Roman"/>
          <w:iCs/>
          <w:spacing w:val="-6"/>
          <w:szCs w:val="24"/>
        </w:rPr>
      </w:pPr>
      <w:r>
        <w:rPr>
          <w:rFonts w:cs="Times New Roman"/>
          <w:iCs/>
          <w:spacing w:val="-6"/>
          <w:szCs w:val="24"/>
        </w:rPr>
        <w:t>b)</w:t>
      </w:r>
      <w:r w:rsidR="00AF0BD8">
        <w:rPr>
          <w:rFonts w:cs="Times New Roman"/>
          <w:iCs/>
          <w:spacing w:val="-6"/>
          <w:szCs w:val="24"/>
        </w:rPr>
        <w:tab/>
      </w:r>
      <w:bookmarkStart w:id="2" w:name="_Hlk118391034"/>
      <w:r w:rsidRPr="0088500C">
        <w:rPr>
          <w:rFonts w:cs="Times New Roman"/>
          <w:iCs/>
          <w:spacing w:val="-6"/>
          <w:szCs w:val="24"/>
        </w:rPr>
        <w:t>zapewnieni</w:t>
      </w:r>
      <w:r>
        <w:rPr>
          <w:rFonts w:cs="Times New Roman"/>
          <w:iCs/>
          <w:spacing w:val="-6"/>
          <w:szCs w:val="24"/>
        </w:rPr>
        <w:t>a</w:t>
      </w:r>
      <w:r w:rsidRPr="0088500C">
        <w:rPr>
          <w:rFonts w:cs="Times New Roman"/>
          <w:iCs/>
          <w:spacing w:val="-6"/>
          <w:szCs w:val="24"/>
        </w:rPr>
        <w:t xml:space="preserve"> bezpieczeństwa i porządku publicznego oraz ochrony przeciwpożarowej i przeciwpowodziowej</w:t>
      </w:r>
      <w:r>
        <w:rPr>
          <w:rFonts w:cs="Times New Roman"/>
          <w:iCs/>
          <w:spacing w:val="-6"/>
          <w:szCs w:val="24"/>
        </w:rPr>
        <w:t>,</w:t>
      </w:r>
    </w:p>
    <w:p w14:paraId="00FDDC18" w14:textId="2D7FC2A3" w:rsidR="003A78E9" w:rsidRDefault="00980842" w:rsidP="009E34AD">
      <w:pPr>
        <w:ind w:left="425" w:firstLine="425"/>
        <w:jc w:val="both"/>
        <w:rPr>
          <w:rFonts w:cs="Times New Roman"/>
          <w:iCs/>
          <w:spacing w:val="-6"/>
          <w:szCs w:val="24"/>
        </w:rPr>
      </w:pPr>
      <w:r>
        <w:rPr>
          <w:rFonts w:cs="Times New Roman"/>
          <w:iCs/>
          <w:spacing w:val="-6"/>
          <w:szCs w:val="24"/>
        </w:rPr>
        <w:t>c)</w:t>
      </w:r>
      <w:r w:rsidR="00AF0BD8">
        <w:rPr>
          <w:rFonts w:cs="Times New Roman"/>
          <w:iCs/>
          <w:spacing w:val="-6"/>
          <w:szCs w:val="24"/>
        </w:rPr>
        <w:tab/>
      </w:r>
      <w:r w:rsidRPr="0088500C">
        <w:rPr>
          <w:rFonts w:cs="Times New Roman"/>
          <w:iCs/>
          <w:spacing w:val="-6"/>
          <w:szCs w:val="24"/>
        </w:rPr>
        <w:t>ochrony zdrowia i życia oraz zabezpieczenia społecznego</w:t>
      </w:r>
      <w:r w:rsidR="002958C1">
        <w:rPr>
          <w:rFonts w:cs="Times New Roman"/>
          <w:iCs/>
          <w:spacing w:val="-6"/>
          <w:szCs w:val="24"/>
        </w:rPr>
        <w:t>,</w:t>
      </w:r>
    </w:p>
    <w:p w14:paraId="282103D1" w14:textId="195AAF13" w:rsidR="003A78E9" w:rsidRDefault="003A78E9" w:rsidP="009E34AD">
      <w:pPr>
        <w:ind w:left="425" w:firstLine="425"/>
        <w:jc w:val="both"/>
        <w:rPr>
          <w:rFonts w:cs="Times New Roman"/>
          <w:iCs/>
          <w:spacing w:val="-6"/>
          <w:szCs w:val="24"/>
        </w:rPr>
      </w:pPr>
      <w:r>
        <w:rPr>
          <w:rFonts w:cs="Times New Roman"/>
          <w:iCs/>
          <w:spacing w:val="-6"/>
          <w:szCs w:val="24"/>
        </w:rPr>
        <w:t>d)</w:t>
      </w:r>
      <w:r w:rsidR="00AF0BD8">
        <w:rPr>
          <w:rFonts w:cs="Times New Roman"/>
          <w:iCs/>
          <w:spacing w:val="-6"/>
          <w:szCs w:val="24"/>
        </w:rPr>
        <w:tab/>
      </w:r>
      <w:r w:rsidRPr="003A78E9">
        <w:rPr>
          <w:rFonts w:cs="Times New Roman"/>
          <w:iCs/>
          <w:spacing w:val="-6"/>
          <w:szCs w:val="24"/>
        </w:rPr>
        <w:t>organizacji ruchu drogowego</w:t>
      </w:r>
      <w:r w:rsidR="00900E6B">
        <w:rPr>
          <w:rFonts w:cs="Times New Roman"/>
          <w:iCs/>
          <w:spacing w:val="-6"/>
          <w:szCs w:val="24"/>
        </w:rPr>
        <w:t>,</w:t>
      </w:r>
    </w:p>
    <w:p w14:paraId="627FCD8D" w14:textId="46FB26CC" w:rsidR="003A78E9" w:rsidRDefault="003A78E9" w:rsidP="009E34AD">
      <w:pPr>
        <w:ind w:left="425" w:firstLine="425"/>
        <w:jc w:val="both"/>
        <w:rPr>
          <w:rFonts w:cs="Times New Roman"/>
          <w:iCs/>
          <w:spacing w:val="-6"/>
          <w:szCs w:val="24"/>
        </w:rPr>
      </w:pPr>
      <w:r>
        <w:rPr>
          <w:rFonts w:cs="Times New Roman"/>
          <w:iCs/>
          <w:spacing w:val="-6"/>
          <w:szCs w:val="24"/>
        </w:rPr>
        <w:t>e)</w:t>
      </w:r>
      <w:r w:rsidR="00AF0BD8">
        <w:rPr>
          <w:rFonts w:cs="Times New Roman"/>
          <w:iCs/>
          <w:spacing w:val="-6"/>
          <w:szCs w:val="24"/>
        </w:rPr>
        <w:tab/>
      </w:r>
      <w:r w:rsidRPr="003A78E9">
        <w:rPr>
          <w:rFonts w:cs="Times New Roman"/>
          <w:iCs/>
          <w:spacing w:val="-6"/>
          <w:szCs w:val="24"/>
        </w:rPr>
        <w:t>zaopatrzenia w wodę</w:t>
      </w:r>
      <w:r>
        <w:rPr>
          <w:rFonts w:cs="Times New Roman"/>
          <w:iCs/>
          <w:spacing w:val="-6"/>
          <w:szCs w:val="24"/>
        </w:rPr>
        <w:t>,</w:t>
      </w:r>
      <w:r w:rsidRPr="003A78E9">
        <w:rPr>
          <w:rFonts w:cs="Times New Roman"/>
          <w:iCs/>
          <w:spacing w:val="-6"/>
          <w:szCs w:val="24"/>
        </w:rPr>
        <w:t xml:space="preserve"> </w:t>
      </w:r>
      <w:r>
        <w:rPr>
          <w:rFonts w:cs="Times New Roman"/>
          <w:iCs/>
          <w:spacing w:val="-6"/>
          <w:szCs w:val="24"/>
        </w:rPr>
        <w:t>k</w:t>
      </w:r>
      <w:r w:rsidRPr="003A78E9">
        <w:rPr>
          <w:rFonts w:cs="Times New Roman"/>
          <w:iCs/>
          <w:spacing w:val="-6"/>
          <w:szCs w:val="24"/>
        </w:rPr>
        <w:t>analizacji, usuwania i oczyszczania ścieków komunalnych,</w:t>
      </w:r>
    </w:p>
    <w:p w14:paraId="2FF466E5" w14:textId="2C0C311C" w:rsidR="003A78E9" w:rsidRDefault="003A78E9" w:rsidP="009E34AD">
      <w:pPr>
        <w:ind w:left="425" w:firstLine="425"/>
        <w:jc w:val="both"/>
        <w:rPr>
          <w:rFonts w:cs="Times New Roman"/>
          <w:iCs/>
          <w:spacing w:val="-6"/>
          <w:szCs w:val="24"/>
        </w:rPr>
      </w:pPr>
      <w:r>
        <w:rPr>
          <w:rFonts w:cs="Times New Roman"/>
          <w:iCs/>
          <w:spacing w:val="-6"/>
          <w:szCs w:val="24"/>
        </w:rPr>
        <w:t>d)</w:t>
      </w:r>
      <w:r w:rsidR="00AF0BD8">
        <w:rPr>
          <w:rFonts w:cs="Times New Roman"/>
          <w:iCs/>
          <w:spacing w:val="-6"/>
          <w:szCs w:val="24"/>
        </w:rPr>
        <w:tab/>
      </w:r>
      <w:r w:rsidRPr="003A78E9">
        <w:rPr>
          <w:rFonts w:cs="Times New Roman"/>
          <w:iCs/>
          <w:spacing w:val="-6"/>
          <w:szCs w:val="24"/>
        </w:rPr>
        <w:t>utrzymania czystości i porządku oraz urządzeń sanitarnych, wysypisk i unieszkodliwiania odpadów komunalnych,</w:t>
      </w:r>
    </w:p>
    <w:p w14:paraId="58735604" w14:textId="6AC4C035" w:rsidR="003A78E9" w:rsidRDefault="003A78E9" w:rsidP="009E34AD">
      <w:pPr>
        <w:ind w:left="425" w:firstLine="425"/>
        <w:jc w:val="both"/>
        <w:rPr>
          <w:rFonts w:cs="Times New Roman"/>
          <w:iCs/>
          <w:spacing w:val="-6"/>
          <w:szCs w:val="24"/>
        </w:rPr>
      </w:pPr>
      <w:r>
        <w:rPr>
          <w:rFonts w:cs="Times New Roman"/>
          <w:iCs/>
          <w:spacing w:val="-6"/>
          <w:szCs w:val="24"/>
        </w:rPr>
        <w:t>e)</w:t>
      </w:r>
      <w:r w:rsidR="00AF0BD8">
        <w:rPr>
          <w:rFonts w:cs="Times New Roman"/>
          <w:iCs/>
          <w:spacing w:val="-6"/>
          <w:szCs w:val="24"/>
        </w:rPr>
        <w:tab/>
      </w:r>
      <w:r w:rsidRPr="003A78E9">
        <w:rPr>
          <w:rFonts w:cs="Times New Roman"/>
          <w:iCs/>
          <w:spacing w:val="-6"/>
          <w:szCs w:val="24"/>
        </w:rPr>
        <w:t>zaopatrzenia w energię elektryczną</w:t>
      </w:r>
      <w:r>
        <w:rPr>
          <w:rFonts w:cs="Times New Roman"/>
          <w:iCs/>
          <w:spacing w:val="-6"/>
          <w:szCs w:val="24"/>
        </w:rPr>
        <w:t>,</w:t>
      </w:r>
      <w:r w:rsidRPr="003A78E9">
        <w:rPr>
          <w:rFonts w:cs="Times New Roman"/>
          <w:iCs/>
          <w:spacing w:val="-6"/>
          <w:szCs w:val="24"/>
        </w:rPr>
        <w:t xml:space="preserve"> cieplną oraz gaz</w:t>
      </w:r>
      <w:r w:rsidR="00900E6B">
        <w:rPr>
          <w:rFonts w:cs="Times New Roman"/>
          <w:iCs/>
          <w:spacing w:val="-6"/>
          <w:szCs w:val="24"/>
        </w:rPr>
        <w:t>,</w:t>
      </w:r>
    </w:p>
    <w:p w14:paraId="14DA68B1" w14:textId="190EA492" w:rsidR="003A78E9" w:rsidRDefault="003A78E9" w:rsidP="009E34AD">
      <w:pPr>
        <w:ind w:left="425" w:firstLine="425"/>
        <w:jc w:val="both"/>
        <w:rPr>
          <w:rFonts w:cs="Times New Roman"/>
          <w:iCs/>
          <w:spacing w:val="-6"/>
          <w:szCs w:val="24"/>
        </w:rPr>
      </w:pPr>
      <w:r>
        <w:rPr>
          <w:rFonts w:cs="Times New Roman"/>
          <w:iCs/>
          <w:spacing w:val="-6"/>
          <w:szCs w:val="24"/>
        </w:rPr>
        <w:t>f)</w:t>
      </w:r>
      <w:r w:rsidR="00AF0BD8">
        <w:rPr>
          <w:rFonts w:cs="Times New Roman"/>
          <w:iCs/>
          <w:spacing w:val="-6"/>
          <w:szCs w:val="24"/>
        </w:rPr>
        <w:tab/>
      </w:r>
      <w:r w:rsidRPr="003A78E9">
        <w:rPr>
          <w:rFonts w:cs="Times New Roman"/>
          <w:iCs/>
          <w:spacing w:val="-6"/>
          <w:szCs w:val="24"/>
        </w:rPr>
        <w:t>telekomunikacji</w:t>
      </w:r>
      <w:r w:rsidR="00900E6B">
        <w:rPr>
          <w:rFonts w:cs="Times New Roman"/>
          <w:iCs/>
          <w:spacing w:val="-6"/>
          <w:szCs w:val="24"/>
        </w:rPr>
        <w:t>,</w:t>
      </w:r>
    </w:p>
    <w:p w14:paraId="163EB5CF" w14:textId="37CF9A62" w:rsidR="003A78E9" w:rsidRDefault="003A78E9" w:rsidP="009E34AD">
      <w:pPr>
        <w:ind w:left="425" w:firstLine="425"/>
        <w:jc w:val="both"/>
        <w:rPr>
          <w:rFonts w:cs="Times New Roman"/>
          <w:iCs/>
          <w:spacing w:val="-6"/>
          <w:szCs w:val="24"/>
        </w:rPr>
      </w:pPr>
      <w:r>
        <w:rPr>
          <w:rFonts w:cs="Times New Roman"/>
          <w:iCs/>
          <w:spacing w:val="-6"/>
          <w:szCs w:val="24"/>
        </w:rPr>
        <w:t>g)</w:t>
      </w:r>
      <w:r w:rsidR="00AF0BD8">
        <w:rPr>
          <w:rFonts w:cs="Times New Roman"/>
          <w:iCs/>
          <w:spacing w:val="-6"/>
          <w:szCs w:val="24"/>
        </w:rPr>
        <w:tab/>
      </w:r>
      <w:r>
        <w:rPr>
          <w:rFonts w:cs="Times New Roman"/>
          <w:iCs/>
          <w:spacing w:val="-6"/>
          <w:szCs w:val="24"/>
        </w:rPr>
        <w:t xml:space="preserve"> </w:t>
      </w:r>
      <w:r w:rsidRPr="003A78E9">
        <w:rPr>
          <w:rFonts w:cs="Times New Roman"/>
          <w:iCs/>
          <w:spacing w:val="-6"/>
          <w:szCs w:val="24"/>
        </w:rPr>
        <w:t>transportu zbiorowego</w:t>
      </w:r>
      <w:r w:rsidR="00900E6B">
        <w:rPr>
          <w:rFonts w:cs="Times New Roman"/>
          <w:iCs/>
          <w:spacing w:val="-6"/>
          <w:szCs w:val="24"/>
        </w:rPr>
        <w:t>,</w:t>
      </w:r>
    </w:p>
    <w:p w14:paraId="244B009A" w14:textId="61CC3D7E" w:rsidR="009E34AD" w:rsidRDefault="003A78E9" w:rsidP="009E34AD">
      <w:pPr>
        <w:ind w:left="425" w:firstLine="425"/>
        <w:jc w:val="both"/>
        <w:rPr>
          <w:rFonts w:cs="Times New Roman"/>
          <w:iCs/>
          <w:spacing w:val="-6"/>
          <w:szCs w:val="24"/>
        </w:rPr>
      </w:pPr>
      <w:r>
        <w:rPr>
          <w:rFonts w:cs="Times New Roman"/>
          <w:iCs/>
          <w:spacing w:val="-6"/>
          <w:szCs w:val="24"/>
        </w:rPr>
        <w:t>h)</w:t>
      </w:r>
      <w:r w:rsidR="00AF0BD8">
        <w:rPr>
          <w:rFonts w:cs="Times New Roman"/>
          <w:iCs/>
          <w:spacing w:val="-6"/>
          <w:szCs w:val="24"/>
        </w:rPr>
        <w:tab/>
      </w:r>
      <w:r w:rsidRPr="003A78E9">
        <w:rPr>
          <w:rFonts w:cs="Times New Roman"/>
          <w:iCs/>
          <w:spacing w:val="-6"/>
          <w:szCs w:val="24"/>
        </w:rPr>
        <w:t>edukacji publicznej</w:t>
      </w:r>
      <w:r>
        <w:rPr>
          <w:rFonts w:cs="Times New Roman"/>
          <w:iCs/>
          <w:spacing w:val="-6"/>
          <w:szCs w:val="24"/>
        </w:rPr>
        <w:t xml:space="preserve">, </w:t>
      </w:r>
      <w:r w:rsidRPr="003A78E9">
        <w:rPr>
          <w:rFonts w:cs="Times New Roman"/>
          <w:iCs/>
          <w:spacing w:val="-6"/>
          <w:szCs w:val="24"/>
        </w:rPr>
        <w:t>w tym szkolnictwa wyższego</w:t>
      </w:r>
      <w:r w:rsidR="009E34AD">
        <w:rPr>
          <w:rFonts w:cs="Times New Roman"/>
          <w:iCs/>
          <w:spacing w:val="-6"/>
          <w:szCs w:val="24"/>
        </w:rPr>
        <w:t>;</w:t>
      </w:r>
      <w:bookmarkEnd w:id="2"/>
    </w:p>
    <w:bookmarkEnd w:id="1"/>
    <w:p w14:paraId="6C62E098" w14:textId="554AD2EC" w:rsidR="009E34AD" w:rsidRPr="00E72992" w:rsidRDefault="009E34AD" w:rsidP="009E34AD">
      <w:pPr>
        <w:ind w:left="425" w:firstLine="425"/>
        <w:jc w:val="both"/>
        <w:rPr>
          <w:rFonts w:cs="Times New Roman"/>
          <w:iCs/>
          <w:spacing w:val="-6"/>
          <w:szCs w:val="24"/>
        </w:rPr>
      </w:pPr>
      <w:r>
        <w:rPr>
          <w:rFonts w:cs="Times New Roman"/>
          <w:iCs/>
          <w:spacing w:val="-6"/>
          <w:szCs w:val="24"/>
        </w:rPr>
        <w:t>2)</w:t>
      </w:r>
      <w:r w:rsidR="00DE054F">
        <w:rPr>
          <w:rFonts w:cs="Times New Roman"/>
          <w:iCs/>
          <w:spacing w:val="-6"/>
          <w:szCs w:val="24"/>
        </w:rPr>
        <w:tab/>
      </w:r>
      <w:r w:rsidRPr="00833F2C">
        <w:rPr>
          <w:rFonts w:cs="Times New Roman"/>
          <w:iCs/>
          <w:spacing w:val="-6"/>
          <w:szCs w:val="24"/>
        </w:rPr>
        <w:t>kontaktu z osobami fizycznymi w związku z usługami i zadaniami publicznymi realizowanymi na rzecz tych osób</w:t>
      </w:r>
      <w:r>
        <w:rPr>
          <w:rFonts w:cs="Times New Roman"/>
          <w:iCs/>
          <w:spacing w:val="-6"/>
          <w:szCs w:val="24"/>
        </w:rPr>
        <w:t xml:space="preserve">, jeżeli dane </w:t>
      </w:r>
      <w:r w:rsidR="00A11EA5">
        <w:rPr>
          <w:rFonts w:cs="Times New Roman"/>
          <w:iCs/>
          <w:spacing w:val="-6"/>
          <w:szCs w:val="24"/>
        </w:rPr>
        <w:t xml:space="preserve">kontaktowe </w:t>
      </w:r>
      <w:r>
        <w:rPr>
          <w:rFonts w:cs="Times New Roman"/>
          <w:iCs/>
          <w:spacing w:val="-6"/>
          <w:szCs w:val="24"/>
        </w:rPr>
        <w:t>tych osób znajdują się w rejestrze danych kontaktowych</w:t>
      </w:r>
      <w:r w:rsidR="00DE054F">
        <w:rPr>
          <w:rFonts w:cs="Times New Roman"/>
          <w:iCs/>
          <w:spacing w:val="-6"/>
          <w:szCs w:val="24"/>
        </w:rPr>
        <w:t>,</w:t>
      </w:r>
      <w:r>
        <w:rPr>
          <w:rFonts w:cs="Times New Roman"/>
          <w:iCs/>
          <w:spacing w:val="-6"/>
          <w:szCs w:val="24"/>
        </w:rPr>
        <w:t xml:space="preserve"> o którym mowa </w:t>
      </w:r>
      <w:r w:rsidRPr="009527E1">
        <w:rPr>
          <w:rFonts w:cs="Times New Roman"/>
          <w:iCs/>
          <w:spacing w:val="-6"/>
          <w:szCs w:val="24"/>
        </w:rPr>
        <w:t>w art. 20i</w:t>
      </w:r>
      <w:r w:rsidRPr="00A1586C">
        <w:rPr>
          <w:rFonts w:cs="Times New Roman"/>
          <w:iCs/>
          <w:spacing w:val="-6"/>
          <w:szCs w:val="24"/>
        </w:rPr>
        <w:t>.</w:t>
      </w:r>
    </w:p>
    <w:p w14:paraId="2DB7CCEA" w14:textId="64C39E0B" w:rsidR="00D86BAF" w:rsidRPr="00D86BAF" w:rsidRDefault="00DE054F" w:rsidP="008C4FE3">
      <w:pPr>
        <w:pStyle w:val="ZUSTzmustartykuempunktem"/>
        <w:rPr>
          <w:rFonts w:eastAsia="Calibri"/>
          <w:lang w:eastAsia="en-US"/>
        </w:rPr>
      </w:pPr>
      <w:r>
        <w:t>4</w:t>
      </w:r>
      <w:r w:rsidR="00D86BAF" w:rsidRPr="00D86BAF">
        <w:rPr>
          <w:rFonts w:eastAsia="Calibri"/>
          <w:lang w:eastAsia="en-US"/>
        </w:rPr>
        <w:t xml:space="preserve">. Do </w:t>
      </w:r>
      <w:r w:rsidR="00646781">
        <w:t>wysyłania</w:t>
      </w:r>
      <w:r w:rsidR="00646781" w:rsidRPr="00D86BAF">
        <w:rPr>
          <w:rFonts w:eastAsia="Calibri"/>
          <w:lang w:eastAsia="en-US"/>
        </w:rPr>
        <w:t xml:space="preserve"> </w:t>
      </w:r>
      <w:r w:rsidR="00D86BAF" w:rsidRPr="00D86BAF">
        <w:rPr>
          <w:rFonts w:eastAsia="Calibri"/>
          <w:lang w:eastAsia="en-US"/>
        </w:rPr>
        <w:t>komunikatów</w:t>
      </w:r>
      <w:r w:rsidR="00F02FEB">
        <w:t xml:space="preserve"> informacyjnych</w:t>
      </w:r>
      <w:r w:rsidR="00D86BAF" w:rsidRPr="00D86BAF">
        <w:rPr>
          <w:rFonts w:eastAsia="Calibri"/>
          <w:lang w:eastAsia="en-US"/>
        </w:rPr>
        <w:t xml:space="preserve">, o których mowa w ust. </w:t>
      </w:r>
      <w:r w:rsidR="00B05FB7">
        <w:rPr>
          <w:rFonts w:eastAsia="Calibri"/>
          <w:lang w:eastAsia="en-US"/>
        </w:rPr>
        <w:t>1</w:t>
      </w:r>
      <w:r w:rsidR="00D86BAF" w:rsidRPr="00D86BAF">
        <w:rPr>
          <w:rFonts w:eastAsia="Calibri"/>
          <w:lang w:eastAsia="en-US"/>
        </w:rPr>
        <w:t xml:space="preserve">, do użytkownika </w:t>
      </w:r>
      <w:r w:rsidR="00D86BAF" w:rsidRPr="009527E1">
        <w:rPr>
          <w:rFonts w:eastAsia="Calibri"/>
          <w:lang w:eastAsia="en-US"/>
        </w:rPr>
        <w:t xml:space="preserve">końcowego albo na numer telefonu stanowiący numer niegeograficzny, może być wykorzystywana </w:t>
      </w:r>
      <w:r w:rsidR="00D86BAF" w:rsidRPr="00A1586C">
        <w:rPr>
          <w:rFonts w:eastAsia="Calibri"/>
          <w:lang w:eastAsia="en-US"/>
        </w:rPr>
        <w:t>usługa przesłania użytkownikowi treści krótkiej wiadomości tekstowej (SMS).</w:t>
      </w:r>
    </w:p>
    <w:p w14:paraId="7F3CF409" w14:textId="6E1FB7D1" w:rsidR="00D86BAF" w:rsidRPr="00D86BAF" w:rsidRDefault="00DE054F" w:rsidP="008C4FE3">
      <w:pPr>
        <w:pStyle w:val="ZUSTzmustartykuempunktem"/>
        <w:rPr>
          <w:rFonts w:eastAsia="Calibri"/>
          <w:lang w:eastAsia="en-US"/>
        </w:rPr>
      </w:pPr>
      <w:r>
        <w:t>5</w:t>
      </w:r>
      <w:r w:rsidR="00D86BAF" w:rsidRPr="00D86BAF">
        <w:rPr>
          <w:rFonts w:eastAsia="Calibri"/>
          <w:lang w:eastAsia="en-US"/>
        </w:rPr>
        <w:t>. Żądanie, o który</w:t>
      </w:r>
      <w:r w:rsidR="00F02FEB">
        <w:t>m</w:t>
      </w:r>
      <w:r w:rsidR="00D86BAF" w:rsidRPr="00D86BAF">
        <w:rPr>
          <w:rFonts w:eastAsia="Calibri"/>
          <w:lang w:eastAsia="en-US"/>
        </w:rPr>
        <w:t xml:space="preserve"> mowa w ust. </w:t>
      </w:r>
      <w:r w:rsidR="00B05FB7">
        <w:rPr>
          <w:rFonts w:eastAsia="Calibri"/>
          <w:lang w:eastAsia="en-US"/>
        </w:rPr>
        <w:t>1</w:t>
      </w:r>
      <w:r w:rsidR="00D86BAF" w:rsidRPr="00D86BAF">
        <w:rPr>
          <w:rFonts w:eastAsia="Calibri"/>
          <w:lang w:eastAsia="en-US"/>
        </w:rPr>
        <w:t xml:space="preserve">, przekazywane jest dostawcom usług telekomunikacyjnych </w:t>
      </w:r>
      <w:r w:rsidR="00F02FEB" w:rsidRPr="00F02FEB">
        <w:t>przez podmiot</w:t>
      </w:r>
      <w:r w:rsidRPr="00A1586C">
        <w:t>,</w:t>
      </w:r>
      <w:r w:rsidR="00F02FEB" w:rsidRPr="00A1586C">
        <w:t xml:space="preserve"> </w:t>
      </w:r>
      <w:r w:rsidRPr="00A1586C">
        <w:rPr>
          <w:rFonts w:eastAsia="Calibri"/>
          <w:spacing w:val="-6"/>
          <w:lang w:eastAsia="en-US"/>
        </w:rPr>
        <w:t xml:space="preserve">o którym mowa </w:t>
      </w:r>
      <w:r w:rsidRPr="00A1586C">
        <w:rPr>
          <w:rFonts w:cs="Times New Roman"/>
          <w:iCs/>
          <w:spacing w:val="-6"/>
          <w:szCs w:val="24"/>
        </w:rPr>
        <w:t>w art. 2 ust. 1 pkt 1, 2 i 4-8</w:t>
      </w:r>
      <w:r>
        <w:rPr>
          <w:rFonts w:cs="Times New Roman"/>
          <w:iCs/>
          <w:spacing w:val="-6"/>
          <w:szCs w:val="24"/>
        </w:rPr>
        <w:t>,</w:t>
      </w:r>
      <w:r w:rsidR="004C0F54">
        <w:t xml:space="preserve"> </w:t>
      </w:r>
      <w:r w:rsidR="00D86BAF" w:rsidRPr="00D86BAF">
        <w:rPr>
          <w:rFonts w:eastAsia="Calibri"/>
          <w:lang w:eastAsia="en-US"/>
        </w:rPr>
        <w:t xml:space="preserve">za </w:t>
      </w:r>
      <w:r w:rsidR="00D86BAF" w:rsidRPr="00D86BAF">
        <w:rPr>
          <w:rFonts w:eastAsia="Calibri"/>
          <w:lang w:eastAsia="en-US"/>
        </w:rPr>
        <w:lastRenderedPageBreak/>
        <w:t xml:space="preserve">pośrednictwem usługi udostępnionej przez ministra właściwego do spraw informatyzacji w systemie teleinformatycznym, o którym mowa w </w:t>
      </w:r>
      <w:r w:rsidR="00D86BAF" w:rsidRPr="00A1586C">
        <w:rPr>
          <w:rFonts w:eastAsia="Calibri"/>
          <w:lang w:eastAsia="en-US"/>
        </w:rPr>
        <w:t xml:space="preserve">ust. </w:t>
      </w:r>
      <w:r w:rsidR="004C0F54" w:rsidRPr="00A1586C">
        <w:t>1</w:t>
      </w:r>
      <w:r w:rsidR="00D861E6">
        <w:t>8</w:t>
      </w:r>
      <w:r w:rsidR="004D55D1">
        <w:t xml:space="preserve"> </w:t>
      </w:r>
      <w:r w:rsidR="004D55D1" w:rsidRPr="004D55D1">
        <w:t>oraz realizowane przez dostawców usług telekomunikacyjnych w terminie wskazanym w żądaniu</w:t>
      </w:r>
      <w:r w:rsidR="00535F39">
        <w:t>,</w:t>
      </w:r>
      <w:r w:rsidR="004D55D1" w:rsidRPr="004D55D1">
        <w:t xml:space="preserve"> lub w przypadku żądania przekazania komunikatu bezzwłocznie, nie później niż przed upływem 3 godzin od momentu przekazania</w:t>
      </w:r>
      <w:r w:rsidR="00AE603A">
        <w:t xml:space="preserve"> </w:t>
      </w:r>
      <w:r w:rsidR="00AE603A" w:rsidRPr="001C2F89">
        <w:t>dostawcy usług telekomunikacyjnych</w:t>
      </w:r>
      <w:r w:rsidR="004D55D1" w:rsidRPr="004D55D1">
        <w:t xml:space="preserve"> takiego żądania</w:t>
      </w:r>
      <w:r w:rsidR="00D86BAF" w:rsidRPr="00A1586C">
        <w:rPr>
          <w:rFonts w:eastAsia="Calibri"/>
          <w:lang w:eastAsia="en-US"/>
        </w:rPr>
        <w:t>.</w:t>
      </w:r>
    </w:p>
    <w:p w14:paraId="507E2686" w14:textId="6ADE6DAB" w:rsidR="00F02FEB" w:rsidRPr="00A1586C" w:rsidRDefault="00DE054F" w:rsidP="008C4FE3">
      <w:pPr>
        <w:pStyle w:val="ZUSTzmustartykuempunktem"/>
      </w:pPr>
      <w:r>
        <w:t>6</w:t>
      </w:r>
      <w:r w:rsidR="00D86BAF" w:rsidRPr="00D86BAF">
        <w:rPr>
          <w:rFonts w:eastAsia="Calibri"/>
          <w:lang w:eastAsia="en-US"/>
        </w:rPr>
        <w:t xml:space="preserve">. </w:t>
      </w:r>
      <w:r w:rsidR="00F02FEB">
        <w:t xml:space="preserve">Dostawcy usług telekomunikacyjnych oraz podmioty, o </w:t>
      </w:r>
      <w:r w:rsidR="00F02FEB" w:rsidRPr="00A1586C">
        <w:t xml:space="preserve">których mowa </w:t>
      </w:r>
      <w:r w:rsidRPr="00A1586C">
        <w:t>w</w:t>
      </w:r>
      <w:r w:rsidRPr="00A1586C">
        <w:rPr>
          <w:rFonts w:cs="Times New Roman"/>
          <w:iCs/>
          <w:spacing w:val="-6"/>
          <w:szCs w:val="24"/>
        </w:rPr>
        <w:t xml:space="preserve"> art. 2 ust. 1 pkt 1, 2 i 4-8</w:t>
      </w:r>
      <w:r w:rsidR="00F02FEB" w:rsidRPr="00A1586C">
        <w:t>,</w:t>
      </w:r>
      <w:r w:rsidR="00F02FEB">
        <w:t xml:space="preserve"> rejestrują się w </w:t>
      </w:r>
      <w:r w:rsidR="00F02FEB" w:rsidRPr="00F02FEB">
        <w:t xml:space="preserve">systemie teleinformatycznym, o którym mowa w </w:t>
      </w:r>
      <w:r w:rsidR="00F02FEB" w:rsidRPr="00A1586C">
        <w:t xml:space="preserve">ust. </w:t>
      </w:r>
      <w:r w:rsidR="004C0F54" w:rsidRPr="00A1586C">
        <w:t>1</w:t>
      </w:r>
      <w:r w:rsidR="00D861E6">
        <w:t>8</w:t>
      </w:r>
      <w:r w:rsidR="009E55EB" w:rsidRPr="00A1586C">
        <w:t xml:space="preserve">, w terminie 30 dni od dnia </w:t>
      </w:r>
      <w:r w:rsidR="007E6BF4" w:rsidRPr="00A1586C">
        <w:t>uruchomienia systemu</w:t>
      </w:r>
      <w:r w:rsidR="009527E1" w:rsidRPr="00A1586C">
        <w:t>.</w:t>
      </w:r>
    </w:p>
    <w:p w14:paraId="1101B4F8" w14:textId="2354B5A0" w:rsidR="004C0F54" w:rsidRPr="00D86BAF" w:rsidRDefault="00596966" w:rsidP="008C4FE3">
      <w:pPr>
        <w:pStyle w:val="ZUSTzmustartykuempunktem"/>
        <w:rPr>
          <w:rFonts w:eastAsia="Calibri"/>
          <w:lang w:eastAsia="en-US"/>
        </w:rPr>
      </w:pPr>
      <w:r w:rsidRPr="00A1586C">
        <w:t>7</w:t>
      </w:r>
      <w:r w:rsidR="00F02FEB" w:rsidRPr="00A1586C">
        <w:t>.</w:t>
      </w:r>
      <w:r w:rsidR="009E55EB" w:rsidRPr="00A1586C">
        <w:t xml:space="preserve"> Rejestracja, o której mowa w ust. </w:t>
      </w:r>
      <w:r w:rsidR="008968AF" w:rsidRPr="00A1586C">
        <w:t>6</w:t>
      </w:r>
      <w:r w:rsidR="009E55EB" w:rsidRPr="00A1586C">
        <w:t>, wymaga wprowadzenia do systemu teleinformat</w:t>
      </w:r>
      <w:r w:rsidR="004C0F54" w:rsidRPr="00A1586C">
        <w:t>ycznego, o którym mowa w ust. 1</w:t>
      </w:r>
      <w:r w:rsidR="00D861E6">
        <w:t>8</w:t>
      </w:r>
      <w:r w:rsidR="009E55EB" w:rsidRPr="00A1586C">
        <w:t>, nas</w:t>
      </w:r>
      <w:r w:rsidR="009E55EB">
        <w:t>tępujących danych:</w:t>
      </w:r>
    </w:p>
    <w:p w14:paraId="04AA4FC6" w14:textId="0BD2F3AB" w:rsidR="00D86BAF" w:rsidRDefault="00D86BAF" w:rsidP="009E55EB">
      <w:pPr>
        <w:pStyle w:val="ZPKTzmpktartykuempunktem"/>
      </w:pPr>
      <w:r w:rsidRPr="00D86BAF">
        <w:rPr>
          <w:rFonts w:eastAsia="Calibri"/>
          <w:lang w:eastAsia="en-US"/>
        </w:rPr>
        <w:t>1)</w:t>
      </w:r>
      <w:r w:rsidR="004C0F54">
        <w:tab/>
      </w:r>
      <w:r w:rsidRPr="00D86BAF">
        <w:rPr>
          <w:rFonts w:eastAsia="Calibri"/>
          <w:lang w:eastAsia="en-US"/>
        </w:rPr>
        <w:t>dostawcy usług telekomunikacyjnych</w:t>
      </w:r>
      <w:r w:rsidR="009E55EB">
        <w:t>:</w:t>
      </w:r>
    </w:p>
    <w:p w14:paraId="14C322D1" w14:textId="22022DC7" w:rsidR="00D86BAF" w:rsidRPr="00D86BAF" w:rsidRDefault="00D86BAF" w:rsidP="00A0788F">
      <w:pPr>
        <w:pStyle w:val="ZLITwPKTzmlitwpktartykuempunktem"/>
        <w:rPr>
          <w:rFonts w:eastAsia="Calibri"/>
          <w:lang w:eastAsia="en-US"/>
        </w:rPr>
      </w:pPr>
      <w:r w:rsidRPr="00D86BAF">
        <w:rPr>
          <w:rFonts w:eastAsia="Calibri"/>
          <w:lang w:eastAsia="en-US"/>
        </w:rPr>
        <w:t>a)</w:t>
      </w:r>
      <w:r w:rsidR="004C0F54">
        <w:tab/>
      </w:r>
      <w:r w:rsidRPr="00D86BAF">
        <w:rPr>
          <w:rFonts w:eastAsia="Calibri"/>
          <w:lang w:eastAsia="en-US"/>
        </w:rPr>
        <w:t>firm</w:t>
      </w:r>
      <w:r w:rsidR="009E55EB">
        <w:t>a</w:t>
      </w:r>
      <w:r w:rsidRPr="00D86BAF">
        <w:rPr>
          <w:rFonts w:eastAsia="Calibri"/>
          <w:lang w:eastAsia="en-US"/>
        </w:rPr>
        <w:t xml:space="preserve"> (nazw</w:t>
      </w:r>
      <w:r w:rsidR="009E55EB">
        <w:t>a</w:t>
      </w:r>
      <w:r w:rsidRPr="00D86BAF">
        <w:rPr>
          <w:rFonts w:eastAsia="Calibri"/>
          <w:lang w:eastAsia="en-US"/>
        </w:rPr>
        <w:t>) lub imię i nazwisko</w:t>
      </w:r>
      <w:r w:rsidR="002B08DF">
        <w:t>,</w:t>
      </w:r>
    </w:p>
    <w:p w14:paraId="1D1B7522" w14:textId="48A2FC71" w:rsidR="00D86BAF" w:rsidRPr="00D86BAF" w:rsidRDefault="00D86BAF" w:rsidP="00A0788F">
      <w:pPr>
        <w:pStyle w:val="ZLITwPKTzmlitwpktartykuempunktem"/>
        <w:rPr>
          <w:rFonts w:eastAsia="Calibri"/>
          <w:lang w:eastAsia="en-US"/>
        </w:rPr>
      </w:pPr>
      <w:r w:rsidRPr="00D86BAF">
        <w:rPr>
          <w:rFonts w:eastAsia="Calibri"/>
          <w:lang w:eastAsia="en-US"/>
        </w:rPr>
        <w:t>b)</w:t>
      </w:r>
      <w:r w:rsidR="004C0F54">
        <w:tab/>
      </w:r>
      <w:r w:rsidRPr="00D86BAF">
        <w:rPr>
          <w:rFonts w:eastAsia="Calibri"/>
          <w:lang w:eastAsia="en-US"/>
        </w:rPr>
        <w:t>adres:</w:t>
      </w:r>
    </w:p>
    <w:p w14:paraId="41695E96" w14:textId="6373FA01" w:rsidR="00D86BAF" w:rsidRPr="00A0788F" w:rsidRDefault="00D86BAF" w:rsidP="00A0788F">
      <w:pPr>
        <w:pStyle w:val="ZTIRwLITzmtirwlitartykuempunktem"/>
      </w:pPr>
      <w:r w:rsidRPr="00A0788F">
        <w:t xml:space="preserve">- siedziby - w przypadku podmiotu niebędącego osobą fizyczną albo stałego miejsca prowadzenia działalności, albo miejsca zamieszkania, w przypadku nieposiadania stałego miejsca prowadzenia działalności - w </w:t>
      </w:r>
      <w:r w:rsidR="00F70CC4">
        <w:t>przypadku</w:t>
      </w:r>
      <w:r w:rsidRPr="00A0788F">
        <w:t xml:space="preserve"> osoby fizycznej,</w:t>
      </w:r>
    </w:p>
    <w:p w14:paraId="025E740B" w14:textId="41740BCB" w:rsidR="00D86BAF" w:rsidRPr="00A0788F" w:rsidRDefault="00D86BAF" w:rsidP="00A0788F">
      <w:pPr>
        <w:pStyle w:val="ZTIRwLITzmtirwlitartykuempunktem"/>
      </w:pPr>
      <w:r w:rsidRPr="00A0788F">
        <w:t>- poczty elektronicznej przyporządkowany do wykonywanej działalności,</w:t>
      </w:r>
    </w:p>
    <w:p w14:paraId="7C966B69" w14:textId="2DC1E43B" w:rsidR="00D86BAF" w:rsidRPr="00A0788F" w:rsidRDefault="00D86BAF" w:rsidP="00A0788F">
      <w:pPr>
        <w:pStyle w:val="ZTIRwLITzmtirwlitartykuempunktem"/>
      </w:pPr>
      <w:r w:rsidRPr="00A0788F">
        <w:t>- strony internetowej, o ile ją prowadzi;</w:t>
      </w:r>
    </w:p>
    <w:p w14:paraId="31A39BCD" w14:textId="2FBB4A07" w:rsidR="00D86BAF" w:rsidRPr="00A1586C" w:rsidRDefault="00D86BAF" w:rsidP="00A0788F">
      <w:pPr>
        <w:pStyle w:val="ZLITwPKTzmlitwpktartykuempunktem"/>
        <w:rPr>
          <w:rFonts w:eastAsia="Calibri"/>
          <w:lang w:eastAsia="en-US"/>
        </w:rPr>
      </w:pPr>
      <w:r w:rsidRPr="00A1586C">
        <w:rPr>
          <w:rFonts w:eastAsia="Calibri"/>
          <w:lang w:eastAsia="en-US"/>
        </w:rPr>
        <w:t>c)</w:t>
      </w:r>
      <w:r w:rsidR="004C0F54" w:rsidRPr="00A1586C">
        <w:tab/>
      </w:r>
      <w:r w:rsidRPr="00A1586C">
        <w:rPr>
          <w:rFonts w:eastAsia="Calibri"/>
          <w:lang w:eastAsia="en-US"/>
        </w:rPr>
        <w:t>numer, za pomocą którego podmiot został zidentyfikowany na potrzeby podatku</w:t>
      </w:r>
      <w:r w:rsidR="002B08DF" w:rsidRPr="00A1586C">
        <w:t>,</w:t>
      </w:r>
    </w:p>
    <w:p w14:paraId="6C9CCD3A" w14:textId="3F13B341" w:rsidR="00D86BAF" w:rsidRPr="00A1586C" w:rsidRDefault="00D86BAF" w:rsidP="00A0788F">
      <w:pPr>
        <w:pStyle w:val="ZLITwPKTzmlitwpktartykuempunktem"/>
        <w:rPr>
          <w:rFonts w:eastAsia="Calibri"/>
          <w:lang w:eastAsia="en-US"/>
        </w:rPr>
      </w:pPr>
      <w:r w:rsidRPr="00A1586C">
        <w:rPr>
          <w:rFonts w:eastAsia="Calibri"/>
          <w:lang w:eastAsia="en-US"/>
        </w:rPr>
        <w:t>d)</w:t>
      </w:r>
      <w:r w:rsidR="004C0F54" w:rsidRPr="00A1586C">
        <w:tab/>
      </w:r>
      <w:r w:rsidRPr="00A1586C">
        <w:rPr>
          <w:rFonts w:eastAsia="Calibri"/>
          <w:lang w:eastAsia="en-US"/>
        </w:rPr>
        <w:t>numer telefonu przyporządkowany do wykonywanej działalności</w:t>
      </w:r>
      <w:r w:rsidR="002B08DF" w:rsidRPr="00A1586C">
        <w:t>,</w:t>
      </w:r>
    </w:p>
    <w:p w14:paraId="567A2E65" w14:textId="71D08DBE" w:rsidR="00D86BAF" w:rsidRPr="00A1586C" w:rsidRDefault="00D86BAF" w:rsidP="00A0788F">
      <w:pPr>
        <w:pStyle w:val="ZLITwPKTzmlitwpktartykuempunktem"/>
        <w:rPr>
          <w:rFonts w:eastAsia="Calibri"/>
          <w:lang w:eastAsia="en-US"/>
        </w:rPr>
      </w:pPr>
      <w:r w:rsidRPr="00A1586C">
        <w:rPr>
          <w:rFonts w:eastAsia="Calibri"/>
          <w:lang w:eastAsia="en-US"/>
        </w:rPr>
        <w:t>e)</w:t>
      </w:r>
      <w:r w:rsidR="004C0F54" w:rsidRPr="00A1586C">
        <w:tab/>
      </w:r>
      <w:r w:rsidRPr="00A1586C">
        <w:rPr>
          <w:rFonts w:eastAsia="Calibri"/>
          <w:lang w:eastAsia="en-US"/>
        </w:rPr>
        <w:t>imię i nazwisko oraz numer PESEL osoby dokonującej rejestracji upoważnionej do reprezentowania dostawcy usług telekomunikacyjnych;</w:t>
      </w:r>
    </w:p>
    <w:p w14:paraId="2852AA24" w14:textId="4F33B6F6" w:rsidR="00D86BAF" w:rsidRPr="00D86BAF" w:rsidRDefault="00D86BAF" w:rsidP="008C4FE3">
      <w:pPr>
        <w:pStyle w:val="ZPKTzmpktartykuempunktem"/>
        <w:rPr>
          <w:rFonts w:eastAsia="Calibri"/>
          <w:lang w:eastAsia="en-US"/>
        </w:rPr>
      </w:pPr>
      <w:r w:rsidRPr="00A1586C">
        <w:rPr>
          <w:rFonts w:eastAsia="Calibri"/>
          <w:lang w:eastAsia="en-US"/>
        </w:rPr>
        <w:t>2)</w:t>
      </w:r>
      <w:r w:rsidR="004C0F54" w:rsidRPr="00A1586C">
        <w:tab/>
      </w:r>
      <w:r w:rsidRPr="00A1586C">
        <w:rPr>
          <w:rFonts w:eastAsia="Calibri"/>
          <w:lang w:eastAsia="en-US"/>
        </w:rPr>
        <w:t>podmiot</w:t>
      </w:r>
      <w:r w:rsidR="009E55EB" w:rsidRPr="00A1586C">
        <w:t>u</w:t>
      </w:r>
      <w:r w:rsidR="00DE054F" w:rsidRPr="00A1586C">
        <w:t>,</w:t>
      </w:r>
      <w:r w:rsidRPr="00A1586C">
        <w:rPr>
          <w:rFonts w:eastAsia="Calibri"/>
          <w:lang w:eastAsia="en-US"/>
        </w:rPr>
        <w:t xml:space="preserve"> </w:t>
      </w:r>
      <w:r w:rsidR="00DE054F" w:rsidRPr="00A1586C">
        <w:rPr>
          <w:rFonts w:eastAsia="Calibri"/>
          <w:spacing w:val="-6"/>
          <w:lang w:eastAsia="en-US"/>
        </w:rPr>
        <w:t xml:space="preserve">o którym mowa </w:t>
      </w:r>
      <w:r w:rsidR="00DE054F" w:rsidRPr="00A1586C">
        <w:rPr>
          <w:rFonts w:cs="Times New Roman"/>
          <w:iCs/>
          <w:spacing w:val="-6"/>
          <w:szCs w:val="24"/>
        </w:rPr>
        <w:t>w art. 2 ust. 1 pkt 1, 2 i 4-8</w:t>
      </w:r>
      <w:r w:rsidRPr="00A1586C">
        <w:rPr>
          <w:rFonts w:eastAsia="Calibri"/>
          <w:lang w:eastAsia="en-US"/>
        </w:rPr>
        <w:t>:</w:t>
      </w:r>
    </w:p>
    <w:p w14:paraId="0655EB91" w14:textId="5BC2367F" w:rsidR="00D86BAF" w:rsidRPr="00D86BAF" w:rsidRDefault="00D86BAF" w:rsidP="00A0788F">
      <w:pPr>
        <w:pStyle w:val="ZLITwPKTzmlitwpktartykuempunktem"/>
        <w:rPr>
          <w:rFonts w:eastAsia="Calibri"/>
          <w:lang w:eastAsia="en-US"/>
        </w:rPr>
      </w:pPr>
      <w:r w:rsidRPr="00D86BAF">
        <w:rPr>
          <w:rFonts w:eastAsia="Calibri"/>
          <w:lang w:eastAsia="en-US"/>
        </w:rPr>
        <w:t>a)</w:t>
      </w:r>
      <w:r w:rsidR="004C0F54">
        <w:tab/>
      </w:r>
      <w:r w:rsidRPr="00D86BAF">
        <w:rPr>
          <w:rFonts w:eastAsia="Calibri"/>
          <w:lang w:eastAsia="en-US"/>
        </w:rPr>
        <w:t>nazw</w:t>
      </w:r>
      <w:r w:rsidR="009E55EB">
        <w:t>a</w:t>
      </w:r>
      <w:r w:rsidR="002B08DF">
        <w:t>,</w:t>
      </w:r>
    </w:p>
    <w:p w14:paraId="293ACDE7" w14:textId="44B199FA" w:rsidR="00D86BAF" w:rsidRPr="00D86BAF" w:rsidRDefault="00D86BAF" w:rsidP="00A0788F">
      <w:pPr>
        <w:pStyle w:val="ZLITwPKTzmlitwpktartykuempunktem"/>
        <w:rPr>
          <w:rFonts w:eastAsia="Calibri"/>
          <w:lang w:eastAsia="en-US"/>
        </w:rPr>
      </w:pPr>
      <w:r w:rsidRPr="00D86BAF">
        <w:rPr>
          <w:rFonts w:eastAsia="Calibri"/>
          <w:lang w:eastAsia="en-US"/>
        </w:rPr>
        <w:t>b)</w:t>
      </w:r>
      <w:r w:rsidR="004C0F54">
        <w:tab/>
      </w:r>
      <w:r w:rsidRPr="00D86BAF">
        <w:rPr>
          <w:rFonts w:eastAsia="Calibri"/>
          <w:lang w:eastAsia="en-US"/>
        </w:rPr>
        <w:t>adres:</w:t>
      </w:r>
    </w:p>
    <w:p w14:paraId="4FF9E18C" w14:textId="6F14DF06" w:rsidR="00D86BAF" w:rsidRPr="00D86BAF" w:rsidRDefault="00D86BAF" w:rsidP="00A0788F">
      <w:pPr>
        <w:pStyle w:val="ZTIRwLITzmtirwlitartykuempunktem"/>
        <w:rPr>
          <w:rFonts w:eastAsia="Calibri"/>
          <w:lang w:eastAsia="en-US"/>
        </w:rPr>
      </w:pPr>
      <w:r w:rsidRPr="00D86BAF">
        <w:rPr>
          <w:rFonts w:eastAsia="Calibri"/>
          <w:lang w:eastAsia="en-US"/>
        </w:rPr>
        <w:t>- siedziby</w:t>
      </w:r>
      <w:r w:rsidR="001354A5">
        <w:rPr>
          <w:rFonts w:eastAsia="Calibri"/>
          <w:lang w:eastAsia="en-US"/>
        </w:rPr>
        <w:t>,</w:t>
      </w:r>
    </w:p>
    <w:p w14:paraId="404E8E67" w14:textId="666FB075" w:rsidR="00D86BAF" w:rsidRPr="00D86BAF" w:rsidRDefault="00D86BAF" w:rsidP="00A0788F">
      <w:pPr>
        <w:pStyle w:val="ZTIRwLITzmtirwlitartykuempunktem"/>
        <w:rPr>
          <w:rFonts w:eastAsia="Calibri"/>
          <w:lang w:eastAsia="en-US"/>
        </w:rPr>
      </w:pPr>
      <w:r w:rsidRPr="00D86BAF">
        <w:rPr>
          <w:rFonts w:eastAsia="Calibri"/>
          <w:lang w:eastAsia="en-US"/>
        </w:rPr>
        <w:t>-</w:t>
      </w:r>
      <w:r w:rsidR="00F70CC4">
        <w:rPr>
          <w:rFonts w:eastAsia="Calibri"/>
          <w:lang w:eastAsia="en-US"/>
        </w:rPr>
        <w:t xml:space="preserve"> </w:t>
      </w:r>
      <w:r w:rsidRPr="00D86BAF">
        <w:rPr>
          <w:rFonts w:eastAsia="Calibri"/>
          <w:lang w:eastAsia="en-US"/>
        </w:rPr>
        <w:t>poczty</w:t>
      </w:r>
      <w:r w:rsidR="002B08DF">
        <w:t xml:space="preserve"> </w:t>
      </w:r>
      <w:r w:rsidRPr="00D86BAF">
        <w:rPr>
          <w:rFonts w:eastAsia="Calibri"/>
          <w:lang w:eastAsia="en-US"/>
        </w:rPr>
        <w:t>elektronicznej właściwy dla komórki organizacyjnej lub zespołu</w:t>
      </w:r>
      <w:r w:rsidR="002B08DF">
        <w:t xml:space="preserve"> </w:t>
      </w:r>
      <w:r w:rsidRPr="00D86BAF">
        <w:rPr>
          <w:rFonts w:eastAsia="Calibri"/>
          <w:lang w:eastAsia="en-US"/>
        </w:rPr>
        <w:t>odpowiedzialnego za obsługę przekazywania żądań</w:t>
      </w:r>
      <w:r w:rsidR="002B08DF">
        <w:t>,</w:t>
      </w:r>
    </w:p>
    <w:p w14:paraId="20B9D764" w14:textId="0EBCEDA8" w:rsidR="00D86BAF" w:rsidRPr="00D86BAF" w:rsidRDefault="00D86BAF" w:rsidP="00A0788F">
      <w:pPr>
        <w:pStyle w:val="ZTIRwLITzmtirwlitartykuempunktem"/>
        <w:rPr>
          <w:rFonts w:eastAsia="Calibri"/>
          <w:lang w:eastAsia="en-US"/>
        </w:rPr>
      </w:pPr>
      <w:r w:rsidRPr="00D86BAF">
        <w:rPr>
          <w:rFonts w:eastAsia="Calibri"/>
          <w:lang w:eastAsia="en-US"/>
        </w:rPr>
        <w:t xml:space="preserve">- </w:t>
      </w:r>
      <w:r w:rsidR="000443E4">
        <w:t xml:space="preserve">do doręczeń elektronicznych </w:t>
      </w:r>
      <w:r w:rsidR="004C0F54">
        <w:t xml:space="preserve">albo </w:t>
      </w:r>
      <w:r w:rsidRPr="00D86BAF">
        <w:rPr>
          <w:rFonts w:eastAsia="Calibri"/>
          <w:lang w:eastAsia="en-US"/>
        </w:rPr>
        <w:t>elektronicznej skrzynki podawczej</w:t>
      </w:r>
      <w:r w:rsidR="000443E4">
        <w:t>, jeśli podmiot nie posiada adresu do doręczeń elektronicznych</w:t>
      </w:r>
      <w:r w:rsidR="001354A5">
        <w:rPr>
          <w:rFonts w:eastAsia="Calibri"/>
          <w:lang w:eastAsia="en-US"/>
        </w:rPr>
        <w:t>,</w:t>
      </w:r>
    </w:p>
    <w:p w14:paraId="1488E63B" w14:textId="27A5223A" w:rsidR="00D86BAF" w:rsidRPr="00A0788F" w:rsidRDefault="00D86BAF" w:rsidP="00A0788F">
      <w:pPr>
        <w:pStyle w:val="ZLITwPKTzmlitwpktartykuempunktem"/>
      </w:pPr>
      <w:r w:rsidRPr="00D86BAF">
        <w:rPr>
          <w:rFonts w:eastAsia="Calibri"/>
          <w:lang w:eastAsia="en-US"/>
        </w:rPr>
        <w:lastRenderedPageBreak/>
        <w:t>c)</w:t>
      </w:r>
      <w:r w:rsidR="000443E4">
        <w:tab/>
      </w:r>
      <w:r w:rsidRPr="00A0788F">
        <w:t>numer telefonu właściwy dla komórki organizacyjnej lub zespołu odpowiedzialnego za obsługę przekazywania żądań</w:t>
      </w:r>
      <w:r w:rsidR="002B08DF" w:rsidRPr="00A0788F">
        <w:t>,</w:t>
      </w:r>
    </w:p>
    <w:p w14:paraId="5BF91358" w14:textId="77777777" w:rsidR="00AE603A" w:rsidRDefault="00D86BAF" w:rsidP="00A0788F">
      <w:pPr>
        <w:pStyle w:val="ZLITwPKTzmlitwpktartykuempunktem"/>
      </w:pPr>
      <w:r w:rsidRPr="00A0788F">
        <w:t>d)</w:t>
      </w:r>
      <w:r w:rsidR="000443E4" w:rsidRPr="00A0788F">
        <w:tab/>
      </w:r>
      <w:r w:rsidRPr="00A0788F">
        <w:t xml:space="preserve">imię i nazwisko oraz numer PESEL osoby dokonującej rejestracji upoważnionej do reprezentowania </w:t>
      </w:r>
      <w:r w:rsidR="00A0788F">
        <w:t>podmiotu</w:t>
      </w:r>
      <w:r w:rsidR="00AE603A">
        <w:t>,</w:t>
      </w:r>
    </w:p>
    <w:p w14:paraId="62F5232C" w14:textId="00F5FEE8" w:rsidR="00D86BAF" w:rsidRPr="00A0788F" w:rsidRDefault="00AE603A" w:rsidP="00A0788F">
      <w:pPr>
        <w:pStyle w:val="ZLITwPKTzmlitwpktartykuempunktem"/>
      </w:pPr>
      <w:r w:rsidRPr="001C2F89">
        <w:t>e)</w:t>
      </w:r>
      <w:r w:rsidR="001354A5">
        <w:tab/>
      </w:r>
      <w:r w:rsidRPr="001C2F89">
        <w:t>numer identyfikacyjny REGON</w:t>
      </w:r>
      <w:r w:rsidR="009E55EB" w:rsidRPr="00A0788F">
        <w:t>.</w:t>
      </w:r>
    </w:p>
    <w:p w14:paraId="222ECBD7" w14:textId="072322F4" w:rsidR="00D86BAF" w:rsidRPr="00D86BAF" w:rsidRDefault="00596966" w:rsidP="008C4FE3">
      <w:pPr>
        <w:pStyle w:val="ZUSTzmustartykuempunktem"/>
        <w:rPr>
          <w:rFonts w:eastAsia="Calibri"/>
          <w:lang w:eastAsia="en-US"/>
        </w:rPr>
      </w:pPr>
      <w:r>
        <w:t>8</w:t>
      </w:r>
      <w:r w:rsidR="00D86BAF" w:rsidRPr="00D86BAF">
        <w:rPr>
          <w:rFonts w:eastAsia="Calibri"/>
          <w:lang w:eastAsia="en-US"/>
        </w:rPr>
        <w:t>. Dane</w:t>
      </w:r>
      <w:r w:rsidR="001C3B02">
        <w:rPr>
          <w:rFonts w:eastAsia="Calibri"/>
          <w:lang w:eastAsia="en-US"/>
        </w:rPr>
        <w:t>,</w:t>
      </w:r>
      <w:r w:rsidR="00D86BAF" w:rsidRPr="00D86BAF">
        <w:rPr>
          <w:rFonts w:eastAsia="Calibri"/>
          <w:lang w:eastAsia="en-US"/>
        </w:rPr>
        <w:t xml:space="preserve"> o których mowa w ust. </w:t>
      </w:r>
      <w:r>
        <w:t>7</w:t>
      </w:r>
      <w:r w:rsidR="00D86BAF" w:rsidRPr="00D86BAF">
        <w:rPr>
          <w:rFonts w:eastAsia="Calibri"/>
          <w:lang w:eastAsia="en-US"/>
        </w:rPr>
        <w:t>:</w:t>
      </w:r>
    </w:p>
    <w:p w14:paraId="784EAC14" w14:textId="3185455A" w:rsidR="00D86BAF" w:rsidRPr="00D86BAF" w:rsidRDefault="00D86BAF" w:rsidP="008C4FE3">
      <w:pPr>
        <w:pStyle w:val="ZPKTzmpktartykuempunktem"/>
        <w:rPr>
          <w:rFonts w:eastAsia="Calibri"/>
          <w:lang w:eastAsia="en-US"/>
        </w:rPr>
      </w:pPr>
      <w:r w:rsidRPr="00D86BAF">
        <w:rPr>
          <w:rFonts w:eastAsia="Calibri"/>
          <w:lang w:eastAsia="en-US"/>
        </w:rPr>
        <w:t>1)</w:t>
      </w:r>
      <w:r w:rsidR="009E55EB">
        <w:tab/>
      </w:r>
      <w:r w:rsidRPr="00A1586C">
        <w:rPr>
          <w:rFonts w:eastAsia="Calibri"/>
          <w:lang w:eastAsia="en-US"/>
        </w:rPr>
        <w:t xml:space="preserve">pkt 1 lit. a, </w:t>
      </w:r>
      <w:r w:rsidR="00FA5B4F" w:rsidRPr="00A1586C">
        <w:rPr>
          <w:rFonts w:eastAsia="Calibri"/>
          <w:lang w:eastAsia="en-US"/>
        </w:rPr>
        <w:t xml:space="preserve">lit. </w:t>
      </w:r>
      <w:r w:rsidRPr="00A1586C">
        <w:rPr>
          <w:rFonts w:eastAsia="Calibri"/>
          <w:lang w:eastAsia="en-US"/>
        </w:rPr>
        <w:t xml:space="preserve">b tiret pierwsze, </w:t>
      </w:r>
      <w:r w:rsidR="00FA5B4F" w:rsidRPr="00A1586C">
        <w:rPr>
          <w:rFonts w:eastAsia="Calibri"/>
          <w:lang w:eastAsia="en-US"/>
        </w:rPr>
        <w:t xml:space="preserve">lit. </w:t>
      </w:r>
      <w:r w:rsidRPr="00A1586C">
        <w:rPr>
          <w:rFonts w:eastAsia="Calibri"/>
          <w:lang w:eastAsia="en-US"/>
        </w:rPr>
        <w:t xml:space="preserve">c, </w:t>
      </w:r>
      <w:r w:rsidR="00FA5B4F" w:rsidRPr="00A1586C">
        <w:rPr>
          <w:rFonts w:eastAsia="Calibri"/>
          <w:lang w:eastAsia="en-US"/>
        </w:rPr>
        <w:t xml:space="preserve">lit. </w:t>
      </w:r>
      <w:r w:rsidRPr="00A1586C">
        <w:rPr>
          <w:rFonts w:eastAsia="Calibri"/>
          <w:lang w:eastAsia="en-US"/>
        </w:rPr>
        <w:t>e oraz pkt 2 lit. a, b tiret pierwsze</w:t>
      </w:r>
      <w:r w:rsidR="001354A5">
        <w:rPr>
          <w:rFonts w:eastAsia="Calibri"/>
          <w:lang w:eastAsia="en-US"/>
        </w:rPr>
        <w:t xml:space="preserve">, </w:t>
      </w:r>
      <w:r w:rsidR="00FA5B4F" w:rsidRPr="00A1586C">
        <w:rPr>
          <w:rFonts w:eastAsia="Calibri"/>
          <w:lang w:eastAsia="en-US"/>
        </w:rPr>
        <w:t>lit.</w:t>
      </w:r>
      <w:r w:rsidRPr="00A1586C">
        <w:rPr>
          <w:rFonts w:eastAsia="Calibri"/>
          <w:lang w:eastAsia="en-US"/>
        </w:rPr>
        <w:t xml:space="preserve"> d</w:t>
      </w:r>
      <w:r w:rsidR="001354A5">
        <w:rPr>
          <w:rFonts w:eastAsia="Calibri"/>
          <w:lang w:eastAsia="en-US"/>
        </w:rPr>
        <w:t xml:space="preserve"> oraz</w:t>
      </w:r>
      <w:r w:rsidR="00AE603A">
        <w:rPr>
          <w:rFonts w:eastAsia="Calibri"/>
          <w:lang w:eastAsia="en-US"/>
        </w:rPr>
        <w:t xml:space="preserve"> lit. e</w:t>
      </w:r>
      <w:r w:rsidRPr="00A1586C">
        <w:rPr>
          <w:rFonts w:eastAsia="Calibri"/>
          <w:lang w:eastAsia="en-US"/>
        </w:rPr>
        <w:t>,</w:t>
      </w:r>
      <w:r w:rsidRPr="00D86BAF">
        <w:rPr>
          <w:rFonts w:eastAsia="Calibri"/>
          <w:lang w:eastAsia="en-US"/>
        </w:rPr>
        <w:t xml:space="preserve"> podaje</w:t>
      </w:r>
      <w:r w:rsidR="00A11EA5">
        <w:rPr>
          <w:rFonts w:eastAsia="Calibri"/>
          <w:lang w:eastAsia="en-US"/>
        </w:rPr>
        <w:t xml:space="preserve"> się</w:t>
      </w:r>
      <w:r w:rsidRPr="00D86BAF">
        <w:rPr>
          <w:rFonts w:eastAsia="Calibri"/>
          <w:lang w:eastAsia="en-US"/>
        </w:rPr>
        <w:t xml:space="preserve">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 odpowiedzialności karnej za złożenie fałszywego oświadczenia</w:t>
      </w:r>
      <w:r w:rsidR="001C3B02">
        <w:rPr>
          <w:rFonts w:eastAsia="Calibri"/>
          <w:lang w:eastAsia="en-US"/>
        </w:rPr>
        <w:t>;</w:t>
      </w:r>
    </w:p>
    <w:p w14:paraId="7D2C6536" w14:textId="65D1666C" w:rsidR="00D86BAF" w:rsidRPr="00A1586C" w:rsidRDefault="00D86BAF" w:rsidP="008C4FE3">
      <w:pPr>
        <w:pStyle w:val="ZPKTzmpktartykuempunktem"/>
        <w:rPr>
          <w:rFonts w:eastAsia="Calibri"/>
          <w:lang w:eastAsia="en-US"/>
        </w:rPr>
      </w:pPr>
      <w:r w:rsidRPr="00D86BAF">
        <w:rPr>
          <w:rFonts w:eastAsia="Calibri"/>
          <w:lang w:eastAsia="en-US"/>
        </w:rPr>
        <w:t>2)</w:t>
      </w:r>
      <w:r w:rsidR="009E55EB">
        <w:tab/>
      </w:r>
      <w:r w:rsidRPr="00D86BAF">
        <w:rPr>
          <w:rFonts w:eastAsia="Calibri"/>
          <w:lang w:eastAsia="en-US"/>
        </w:rPr>
        <w:t xml:space="preserve">pkt 1 podlegają aktualizacji w systemie </w:t>
      </w:r>
      <w:r w:rsidR="00A11EA5">
        <w:rPr>
          <w:rFonts w:eastAsia="Calibri"/>
          <w:lang w:eastAsia="en-US"/>
        </w:rPr>
        <w:t xml:space="preserve">teleinformatycznym, </w:t>
      </w:r>
      <w:r w:rsidRPr="00D86BAF">
        <w:rPr>
          <w:rFonts w:eastAsia="Calibri"/>
          <w:lang w:eastAsia="en-US"/>
        </w:rPr>
        <w:t xml:space="preserve">o którym mowa w </w:t>
      </w:r>
      <w:r w:rsidRPr="00A1586C">
        <w:rPr>
          <w:rFonts w:eastAsia="Calibri"/>
          <w:lang w:eastAsia="en-US"/>
        </w:rPr>
        <w:t xml:space="preserve">ust. </w:t>
      </w:r>
      <w:r w:rsidR="000443E4" w:rsidRPr="00A1586C">
        <w:t>1</w:t>
      </w:r>
      <w:r w:rsidR="001C3B02" w:rsidRPr="00A1586C">
        <w:t>9</w:t>
      </w:r>
      <w:r w:rsidR="00F70CC4">
        <w:t>,</w:t>
      </w:r>
      <w:r w:rsidR="00730FFC" w:rsidRPr="00A1586C">
        <w:t xml:space="preserve"> p</w:t>
      </w:r>
      <w:r w:rsidRPr="00A1586C">
        <w:rPr>
          <w:rFonts w:eastAsia="Calibri"/>
          <w:lang w:eastAsia="en-US"/>
        </w:rPr>
        <w:t>rzez dostawcę usług telekomunikacyjnych niezwłocznie, nie później niż w ciągu 7 dni roboczych po ich zmianie. Do aktualizacji danych stosuje się oświadczenie, o którym mowa w pkt 1.</w:t>
      </w:r>
    </w:p>
    <w:p w14:paraId="2B33C2D4" w14:textId="7FC04524" w:rsidR="00D86BAF" w:rsidRPr="00A1586C" w:rsidRDefault="00596966" w:rsidP="008C4FE3">
      <w:pPr>
        <w:pStyle w:val="ZUSTzmustartykuempunktem"/>
        <w:rPr>
          <w:rFonts w:eastAsia="Calibri"/>
          <w:lang w:eastAsia="en-US"/>
        </w:rPr>
      </w:pPr>
      <w:r w:rsidRPr="00A1586C">
        <w:t>9</w:t>
      </w:r>
      <w:r w:rsidR="00D86BAF" w:rsidRPr="00A1586C">
        <w:rPr>
          <w:rFonts w:eastAsia="Calibri"/>
          <w:lang w:eastAsia="en-US"/>
        </w:rPr>
        <w:t xml:space="preserve">. Dostawca usług telekomunikacyjnych świadczonych w ruchomej publicznej sieci telekomunikacyjnej w rozumieniu przepisów ustawy z dnia 16 lipca 2004 r. – Prawo telekomunikacyjne, który świadczy abonentom usługi telekomunikacyjne w oparciu o numerację z planu numeracji krajowej dla publicznych sieci telekomunikacyjnych, jest obowiązany do nieodpłatnego udostępnienia tym abonentom możliwości skorzystania z usług, o których mowa w </w:t>
      </w:r>
      <w:r w:rsidR="00066D7D" w:rsidRPr="00A1586C">
        <w:t xml:space="preserve">ust. </w:t>
      </w:r>
      <w:r w:rsidR="00FA5B4F" w:rsidRPr="00A1586C">
        <w:t>4</w:t>
      </w:r>
      <w:r w:rsidR="00066D7D" w:rsidRPr="00A1586C">
        <w:t xml:space="preserve"> i w </w:t>
      </w:r>
      <w:r w:rsidR="00730FFC" w:rsidRPr="00A1586C">
        <w:t xml:space="preserve">art. 20c </w:t>
      </w:r>
      <w:r w:rsidR="00D86BAF" w:rsidRPr="00A1586C">
        <w:rPr>
          <w:rFonts w:eastAsia="Calibri"/>
          <w:lang w:eastAsia="en-US"/>
        </w:rPr>
        <w:t>ust. 11.</w:t>
      </w:r>
    </w:p>
    <w:p w14:paraId="549ED249" w14:textId="19D91332" w:rsidR="009E34AD" w:rsidRDefault="00596966" w:rsidP="009E34AD">
      <w:pPr>
        <w:ind w:left="425" w:firstLine="425"/>
        <w:jc w:val="both"/>
        <w:rPr>
          <w:rFonts w:cs="Times New Roman"/>
          <w:iCs/>
          <w:szCs w:val="24"/>
        </w:rPr>
      </w:pPr>
      <w:r w:rsidRPr="00A1586C">
        <w:rPr>
          <w:rFonts w:cs="Times New Roman"/>
          <w:iCs/>
          <w:szCs w:val="24"/>
        </w:rPr>
        <w:t>10</w:t>
      </w:r>
      <w:r w:rsidR="009E34AD" w:rsidRPr="00A1586C">
        <w:rPr>
          <w:rFonts w:cs="Times New Roman"/>
          <w:iCs/>
          <w:szCs w:val="24"/>
        </w:rPr>
        <w:t xml:space="preserve">. </w:t>
      </w:r>
      <w:r w:rsidR="00AE603A" w:rsidRPr="00AE603A">
        <w:rPr>
          <w:rFonts w:cs="Times New Roman"/>
          <w:iCs/>
          <w:szCs w:val="24"/>
        </w:rPr>
        <w:t>Użytkownik końcowy, przy użyciu usługi online udostępnionej przez ministra właściwego do spraw informatyzacji, po uwierzytelnieniu w sposób określony w art. 20a ust. 1, może złożyć żądanie:</w:t>
      </w:r>
    </w:p>
    <w:p w14:paraId="2694779A" w14:textId="37C22C92" w:rsidR="00AE603A" w:rsidRPr="00AE603A" w:rsidRDefault="00AE603A" w:rsidP="00AE603A">
      <w:pPr>
        <w:ind w:left="425" w:firstLine="425"/>
        <w:jc w:val="both"/>
        <w:rPr>
          <w:rFonts w:cs="Times New Roman"/>
          <w:iCs/>
          <w:szCs w:val="24"/>
        </w:rPr>
      </w:pPr>
      <w:r w:rsidRPr="00AE603A">
        <w:rPr>
          <w:rFonts w:cs="Times New Roman"/>
          <w:iCs/>
          <w:szCs w:val="24"/>
        </w:rPr>
        <w:t>1)</w:t>
      </w:r>
      <w:r w:rsidR="00AF0BD8">
        <w:rPr>
          <w:rFonts w:cs="Times New Roman"/>
          <w:iCs/>
          <w:szCs w:val="24"/>
        </w:rPr>
        <w:tab/>
      </w:r>
      <w:r w:rsidRPr="00AE603A">
        <w:rPr>
          <w:rFonts w:cs="Times New Roman"/>
          <w:iCs/>
          <w:szCs w:val="24"/>
        </w:rPr>
        <w:t>zaprzestania otrzymywania wszystkich komunikatów, o których mowa w ust. 1 pkt 1,</w:t>
      </w:r>
    </w:p>
    <w:p w14:paraId="28BD28DC" w14:textId="2F34BADA" w:rsidR="00AE603A" w:rsidRPr="00AE603A" w:rsidRDefault="00AE603A" w:rsidP="00AE603A">
      <w:pPr>
        <w:ind w:left="425" w:firstLine="425"/>
        <w:jc w:val="both"/>
        <w:rPr>
          <w:rFonts w:cs="Times New Roman"/>
          <w:iCs/>
          <w:szCs w:val="24"/>
        </w:rPr>
      </w:pPr>
      <w:r w:rsidRPr="00AE603A">
        <w:rPr>
          <w:rFonts w:cs="Times New Roman"/>
          <w:iCs/>
          <w:szCs w:val="24"/>
        </w:rPr>
        <w:t>2)</w:t>
      </w:r>
      <w:r w:rsidR="00AF0BD8">
        <w:rPr>
          <w:rFonts w:cs="Times New Roman"/>
          <w:iCs/>
          <w:szCs w:val="24"/>
        </w:rPr>
        <w:tab/>
      </w:r>
      <w:r w:rsidRPr="00AE603A">
        <w:rPr>
          <w:rFonts w:cs="Times New Roman"/>
          <w:iCs/>
          <w:szCs w:val="24"/>
        </w:rPr>
        <w:t>zaprzestania otrzymywania komunikatów, o których mowa w ust. 1 pkt 1 od niektórych podmiotów, wskazując jego nazwę i numer REGON,</w:t>
      </w:r>
    </w:p>
    <w:p w14:paraId="74DD9D42" w14:textId="14F1008F" w:rsidR="00AE603A" w:rsidRDefault="00AE603A" w:rsidP="00AE603A">
      <w:pPr>
        <w:ind w:left="425" w:firstLine="425"/>
        <w:jc w:val="both"/>
        <w:rPr>
          <w:rFonts w:cs="Times New Roman"/>
          <w:iCs/>
          <w:szCs w:val="24"/>
        </w:rPr>
      </w:pPr>
      <w:r w:rsidRPr="00AE603A">
        <w:rPr>
          <w:rFonts w:cs="Times New Roman"/>
          <w:iCs/>
          <w:szCs w:val="24"/>
        </w:rPr>
        <w:t>3)</w:t>
      </w:r>
      <w:r w:rsidR="00AF0BD8">
        <w:rPr>
          <w:rFonts w:cs="Times New Roman"/>
          <w:iCs/>
          <w:szCs w:val="24"/>
        </w:rPr>
        <w:tab/>
      </w:r>
      <w:r w:rsidRPr="00AE603A">
        <w:rPr>
          <w:rFonts w:cs="Times New Roman"/>
          <w:iCs/>
          <w:szCs w:val="24"/>
        </w:rPr>
        <w:t>rozpoczęcia otrzymywania wszystkich komunikatów, o których mowa w ust. 1 pkt 1, w przypadku gdy wcześniej złożył żądanie o którym mowa w pkt 1 lub 2.</w:t>
      </w:r>
    </w:p>
    <w:p w14:paraId="7BC5FC61" w14:textId="681B94EF" w:rsidR="00D86BAF" w:rsidRPr="00A1586C" w:rsidRDefault="00596966" w:rsidP="008C4FE3">
      <w:pPr>
        <w:pStyle w:val="ZUSTzmustartykuempunktem"/>
        <w:rPr>
          <w:rFonts w:eastAsia="Calibri"/>
          <w:lang w:eastAsia="en-US"/>
        </w:rPr>
      </w:pPr>
      <w:r w:rsidRPr="00A1586C">
        <w:lastRenderedPageBreak/>
        <w:t>11</w:t>
      </w:r>
      <w:r w:rsidR="00D86BAF" w:rsidRPr="00A1586C">
        <w:rPr>
          <w:rFonts w:eastAsia="Calibri"/>
          <w:lang w:eastAsia="en-US"/>
        </w:rPr>
        <w:t xml:space="preserve">. Dostawca usług telekomunikacyjnych udostępniający możliwość skorzystania z usług, o których mowa w </w:t>
      </w:r>
      <w:r w:rsidR="000443E4" w:rsidRPr="00A1586C">
        <w:t xml:space="preserve">art. 20c </w:t>
      </w:r>
      <w:r w:rsidR="00D86BAF" w:rsidRPr="00A1586C">
        <w:rPr>
          <w:rFonts w:eastAsia="Calibri"/>
          <w:lang w:eastAsia="en-US"/>
        </w:rPr>
        <w:t>ust. 11 pkt 1, może pobierać od abonenta opłaty związane z korzystaniem, w ramach tych usług, z roamingu międzynarodowego.</w:t>
      </w:r>
    </w:p>
    <w:p w14:paraId="75700C5F" w14:textId="14DE4747" w:rsidR="00D86BAF" w:rsidRPr="00A1586C" w:rsidRDefault="00596966" w:rsidP="008C4FE3">
      <w:pPr>
        <w:pStyle w:val="ZUSTzmustartykuempunktem"/>
        <w:rPr>
          <w:rFonts w:eastAsia="Calibri"/>
          <w:lang w:eastAsia="en-US"/>
        </w:rPr>
      </w:pPr>
      <w:r w:rsidRPr="00A1586C">
        <w:t>12</w:t>
      </w:r>
      <w:r w:rsidR="00D86BAF" w:rsidRPr="00A1586C">
        <w:rPr>
          <w:rFonts w:eastAsia="Calibri"/>
          <w:lang w:eastAsia="en-US"/>
        </w:rPr>
        <w:t>. W związku z realizacją obowiązków o których mowa w</w:t>
      </w:r>
      <w:r w:rsidR="009E55EB" w:rsidRPr="00A1586C">
        <w:t xml:space="preserve"> ust. </w:t>
      </w:r>
      <w:r w:rsidR="00FA5B4F" w:rsidRPr="00A1586C">
        <w:t>4</w:t>
      </w:r>
      <w:r w:rsidR="00066D7D" w:rsidRPr="00A1586C">
        <w:t xml:space="preserve"> i w</w:t>
      </w:r>
      <w:r w:rsidR="00D86BAF" w:rsidRPr="00A1586C">
        <w:rPr>
          <w:rFonts w:eastAsia="Calibri"/>
          <w:lang w:eastAsia="en-US"/>
        </w:rPr>
        <w:t xml:space="preserve"> </w:t>
      </w:r>
      <w:r w:rsidR="00730FFC" w:rsidRPr="00A1586C">
        <w:t xml:space="preserve">art. 20c </w:t>
      </w:r>
      <w:r w:rsidR="00D86BAF" w:rsidRPr="00A1586C">
        <w:rPr>
          <w:rFonts w:eastAsia="Calibri"/>
          <w:lang w:eastAsia="en-US"/>
        </w:rPr>
        <w:t>ust. 11, dostawcy usług telekomunikacyjnych przysługuje prawo do obniżenia opłaty za prawo do wykorzystywania zasobów numeracji w zakresie wysokości opłat za numer abonencki oraz za wyróżnik ruchomej sieci telekomunikacyjnej (PLMN).</w:t>
      </w:r>
    </w:p>
    <w:p w14:paraId="66979185" w14:textId="14B3FD34" w:rsidR="00D86BAF" w:rsidRPr="00D86BAF" w:rsidRDefault="00596966" w:rsidP="008C4FE3">
      <w:pPr>
        <w:pStyle w:val="ZUSTzmustartykuempunktem"/>
        <w:rPr>
          <w:rFonts w:eastAsia="Calibri"/>
          <w:lang w:eastAsia="en-US"/>
        </w:rPr>
      </w:pPr>
      <w:r w:rsidRPr="00A1586C">
        <w:t>13</w:t>
      </w:r>
      <w:r w:rsidR="00D86BAF" w:rsidRPr="00A1586C">
        <w:rPr>
          <w:rFonts w:eastAsia="Calibri"/>
          <w:lang w:eastAsia="en-US"/>
        </w:rPr>
        <w:t xml:space="preserve">. </w:t>
      </w:r>
      <w:r w:rsidR="008E03AB" w:rsidRPr="00A1586C">
        <w:rPr>
          <w:rFonts w:ascii="Times New Roman" w:hAnsi="Times New Roman" w:cs="Times New Roman"/>
          <w:iCs/>
          <w:szCs w:val="24"/>
        </w:rPr>
        <w:t xml:space="preserve">Dostawca usług telekomunikacyjnych udostępniający możliwość skorzystania z usług, o których mowa w </w:t>
      </w:r>
      <w:r w:rsidR="00FA5B4F" w:rsidRPr="00A1586C">
        <w:rPr>
          <w:rFonts w:ascii="Times New Roman" w:hAnsi="Times New Roman" w:cs="Times New Roman"/>
          <w:iCs/>
          <w:szCs w:val="24"/>
        </w:rPr>
        <w:t xml:space="preserve">ust. 4 oraz </w:t>
      </w:r>
      <w:r w:rsidR="00DE054F" w:rsidRPr="00A1586C">
        <w:rPr>
          <w:rFonts w:ascii="Times New Roman" w:hAnsi="Times New Roman" w:cs="Times New Roman"/>
          <w:iCs/>
          <w:szCs w:val="24"/>
        </w:rPr>
        <w:t xml:space="preserve">art. 20c </w:t>
      </w:r>
      <w:r w:rsidR="008E03AB" w:rsidRPr="00A1586C">
        <w:rPr>
          <w:rFonts w:ascii="Times New Roman" w:hAnsi="Times New Roman" w:cs="Times New Roman"/>
          <w:iCs/>
          <w:szCs w:val="24"/>
        </w:rPr>
        <w:t xml:space="preserve">ust. 11, może złożyć do Prezesa Urzędu Komunikacji Elektronicznej wniosek o obniżenie opłaty za prawo do wykorzystywania zasobów numeracji w zakresie wysokości opłat za numer abonencki oraz za wyróżnik ruchomej sieci telekomunikacyjnej (PLMN), o których mowa w przepisach wydanych na podstawie art. 184 ust. 4 ustawy z dnia 16 lipca 2004 r. – Prawo telekomunikacyjne w wysokości odpowiadającej </w:t>
      </w:r>
      <w:r w:rsidR="00DF7439" w:rsidRPr="00A1586C">
        <w:rPr>
          <w:rFonts w:ascii="Times New Roman" w:hAnsi="Times New Roman" w:cs="Times New Roman"/>
          <w:iCs/>
          <w:szCs w:val="24"/>
        </w:rPr>
        <w:t xml:space="preserve">iloczynowi </w:t>
      </w:r>
      <w:r w:rsidR="008E03AB" w:rsidRPr="00A1586C">
        <w:rPr>
          <w:rFonts w:ascii="Times New Roman" w:hAnsi="Times New Roman" w:cs="Times New Roman"/>
          <w:iCs/>
          <w:szCs w:val="24"/>
        </w:rPr>
        <w:t>trzech następujących czynników:</w:t>
      </w:r>
    </w:p>
    <w:p w14:paraId="5FB682A4" w14:textId="2266B742" w:rsidR="00D86BAF" w:rsidRPr="00D86BAF" w:rsidRDefault="00D86BAF" w:rsidP="008C4FE3">
      <w:pPr>
        <w:pStyle w:val="ZPKTzmpktartykuempunktem"/>
        <w:rPr>
          <w:rFonts w:eastAsia="Calibri"/>
          <w:lang w:eastAsia="en-US"/>
        </w:rPr>
      </w:pPr>
      <w:r w:rsidRPr="00D86BAF">
        <w:rPr>
          <w:rFonts w:eastAsia="Calibri"/>
          <w:lang w:eastAsia="en-US"/>
        </w:rPr>
        <w:t>1)</w:t>
      </w:r>
      <w:r w:rsidR="00BF322C">
        <w:tab/>
      </w:r>
      <w:r w:rsidRPr="00D86BAF">
        <w:rPr>
          <w:rFonts w:eastAsia="Calibri"/>
          <w:lang w:eastAsia="en-US"/>
        </w:rPr>
        <w:t>sumy wysokości opłaty za numer abonencki w ruchomej publicznej sieci telekomunikacyjnej oraz proporcjonalnej części opłaty za wyróżnik ruchomej publicznej sieci telekomunikacyjnej dla jednego numeru abonenckiego,</w:t>
      </w:r>
    </w:p>
    <w:p w14:paraId="77BEB9EC" w14:textId="16FEB8E3" w:rsidR="00D86BAF" w:rsidRPr="00D86BAF" w:rsidRDefault="00D86BAF" w:rsidP="008C4FE3">
      <w:pPr>
        <w:pStyle w:val="ZPKTzmpktartykuempunktem"/>
        <w:rPr>
          <w:rFonts w:eastAsia="Calibri"/>
          <w:lang w:eastAsia="en-US"/>
        </w:rPr>
      </w:pPr>
      <w:r w:rsidRPr="00D86BAF">
        <w:rPr>
          <w:rFonts w:eastAsia="Calibri"/>
          <w:lang w:eastAsia="en-US"/>
        </w:rPr>
        <w:t>2)</w:t>
      </w:r>
      <w:r w:rsidR="00BF322C">
        <w:tab/>
      </w:r>
      <w:r w:rsidRPr="00D86BAF">
        <w:rPr>
          <w:rFonts w:eastAsia="Calibri"/>
          <w:lang w:eastAsia="en-US"/>
        </w:rPr>
        <w:t>sumy numerów abonenckich</w:t>
      </w:r>
      <w:r w:rsidRPr="00D86BAF">
        <w:rPr>
          <w:rFonts w:eastAsia="Calibri"/>
          <w:i/>
          <w:lang w:eastAsia="en-US"/>
        </w:rPr>
        <w:t xml:space="preserve"> </w:t>
      </w:r>
      <w:r w:rsidR="00DD1C51" w:rsidRPr="00A1586C">
        <w:rPr>
          <w:rFonts w:eastAsia="Calibri"/>
          <w:lang w:eastAsia="en-US"/>
        </w:rPr>
        <w:t>w ruchomej publicznej sieci telekomunikacyjnej</w:t>
      </w:r>
      <w:r w:rsidR="00DD1C51" w:rsidRPr="00DD1C51">
        <w:rPr>
          <w:rFonts w:eastAsia="Calibri"/>
          <w:i/>
          <w:lang w:eastAsia="en-US"/>
        </w:rPr>
        <w:t xml:space="preserve"> </w:t>
      </w:r>
      <w:r w:rsidRPr="00D86BAF">
        <w:rPr>
          <w:rFonts w:eastAsia="Calibri"/>
          <w:lang w:eastAsia="en-US"/>
        </w:rPr>
        <w:t>za</w:t>
      </w:r>
      <w:r w:rsidRPr="00D86BAF">
        <w:rPr>
          <w:rFonts w:eastAsia="Calibri"/>
          <w:i/>
          <w:lang w:eastAsia="en-US"/>
        </w:rPr>
        <w:t xml:space="preserve"> </w:t>
      </w:r>
      <w:r w:rsidRPr="00D86BAF">
        <w:rPr>
          <w:rFonts w:eastAsia="Calibri"/>
          <w:lang w:eastAsia="en-US"/>
        </w:rPr>
        <w:t>które dostawca usług telekomunikacyjnych uiszcza opłaty za prawo do wykorzystywania zasobów numeracji z uwzględnieniem części roku za który ponosi opłatę,</w:t>
      </w:r>
    </w:p>
    <w:p w14:paraId="6AEF8599" w14:textId="2EA2F09F" w:rsidR="00D86BAF" w:rsidRPr="00D86BAF" w:rsidRDefault="00D86BAF" w:rsidP="008C4FE3">
      <w:pPr>
        <w:pStyle w:val="ZPKTzmpktartykuempunktem"/>
        <w:rPr>
          <w:rFonts w:eastAsia="Calibri"/>
          <w:lang w:eastAsia="en-US"/>
        </w:rPr>
      </w:pPr>
      <w:r w:rsidRPr="00D86BAF">
        <w:rPr>
          <w:rFonts w:eastAsia="Calibri"/>
          <w:lang w:eastAsia="en-US"/>
        </w:rPr>
        <w:t>3)</w:t>
      </w:r>
      <w:r w:rsidR="00BF322C">
        <w:tab/>
      </w:r>
      <w:r w:rsidRPr="00D86BAF">
        <w:rPr>
          <w:rFonts w:eastAsia="Calibri"/>
          <w:lang w:eastAsia="en-US"/>
        </w:rPr>
        <w:t>różnicy:</w:t>
      </w:r>
    </w:p>
    <w:p w14:paraId="01E529F5" w14:textId="3BF5DECD" w:rsidR="00D86BAF" w:rsidRPr="00D86BAF" w:rsidRDefault="00D86BAF" w:rsidP="00F70CC4">
      <w:pPr>
        <w:pStyle w:val="ZLITwPKTzmlitwpktartykuempunktem"/>
        <w:rPr>
          <w:rFonts w:eastAsia="Calibri"/>
          <w:lang w:eastAsia="en-US"/>
        </w:rPr>
      </w:pPr>
      <w:r w:rsidRPr="00D86BAF">
        <w:rPr>
          <w:rFonts w:eastAsia="Calibri"/>
          <w:lang w:eastAsia="en-US"/>
        </w:rPr>
        <w:t>a)</w:t>
      </w:r>
      <w:r w:rsidR="00BF322C">
        <w:tab/>
      </w:r>
      <w:r w:rsidRPr="00D86BAF">
        <w:rPr>
          <w:rFonts w:eastAsia="Calibri"/>
          <w:lang w:eastAsia="en-US"/>
        </w:rPr>
        <w:t xml:space="preserve">liczby 1 oraz </w:t>
      </w:r>
    </w:p>
    <w:p w14:paraId="4F875AB8" w14:textId="69704FD3" w:rsidR="00D86BAF" w:rsidRPr="00A1586C" w:rsidRDefault="00D86BAF" w:rsidP="00F70CC4">
      <w:pPr>
        <w:pStyle w:val="ZLITwPKTzmlitwpktartykuempunktem"/>
        <w:rPr>
          <w:rFonts w:eastAsia="Calibri"/>
          <w:lang w:eastAsia="en-US"/>
        </w:rPr>
      </w:pPr>
      <w:r w:rsidRPr="00D86BAF">
        <w:rPr>
          <w:rFonts w:eastAsia="Calibri"/>
          <w:lang w:eastAsia="en-US"/>
        </w:rPr>
        <w:t>b)</w:t>
      </w:r>
      <w:r w:rsidR="00BF322C">
        <w:tab/>
      </w:r>
      <w:r w:rsidRPr="00D86BAF">
        <w:rPr>
          <w:rFonts w:eastAsia="Calibri"/>
          <w:lang w:eastAsia="en-US"/>
        </w:rPr>
        <w:t xml:space="preserve">liczby 0,2 pomnożonej przez iloraz liczby numerów </w:t>
      </w:r>
      <w:r w:rsidR="00DD1C51">
        <w:rPr>
          <w:rFonts w:eastAsia="Calibri"/>
          <w:lang w:eastAsia="en-US"/>
        </w:rPr>
        <w:t>abonenckich</w:t>
      </w:r>
      <w:r w:rsidRPr="00D86BAF">
        <w:rPr>
          <w:rFonts w:eastAsia="Calibri"/>
          <w:lang w:eastAsia="en-US"/>
        </w:rPr>
        <w:t>, które zrealizowały usługę</w:t>
      </w:r>
      <w:r w:rsidR="000443E4">
        <w:t>,</w:t>
      </w:r>
      <w:r w:rsidRPr="00D86BAF">
        <w:rPr>
          <w:rFonts w:eastAsia="Calibri"/>
          <w:lang w:eastAsia="en-US"/>
        </w:rPr>
        <w:t xml:space="preserve"> o której mowa w </w:t>
      </w:r>
      <w:r w:rsidR="00730FFC" w:rsidRPr="00A1586C">
        <w:t xml:space="preserve">art. 20c </w:t>
      </w:r>
      <w:r w:rsidRPr="00A1586C">
        <w:rPr>
          <w:rFonts w:eastAsia="Calibri"/>
          <w:lang w:eastAsia="en-US"/>
        </w:rPr>
        <w:t xml:space="preserve">ust. 11 pkt 1 lub 2 albo do których został przekazany komunikat za pomocą usługi wskazanej w ust. </w:t>
      </w:r>
      <w:r w:rsidR="00FA5B4F" w:rsidRPr="00A1586C">
        <w:t>4</w:t>
      </w:r>
      <w:r w:rsidR="00066D7D" w:rsidRPr="00A1586C">
        <w:rPr>
          <w:rFonts w:eastAsia="Calibri"/>
          <w:lang w:eastAsia="en-US"/>
        </w:rPr>
        <w:t xml:space="preserve"> </w:t>
      </w:r>
      <w:r w:rsidRPr="00A1586C">
        <w:rPr>
          <w:rFonts w:eastAsia="Calibri"/>
          <w:lang w:eastAsia="en-US"/>
        </w:rPr>
        <w:t>w roku kalendarzowym poprzedzającym złożenie wniosku i sumy numerów</w:t>
      </w:r>
      <w:r w:rsidR="000443E4" w:rsidRPr="00A1586C">
        <w:t>,</w:t>
      </w:r>
      <w:r w:rsidRPr="00A1586C">
        <w:rPr>
          <w:rFonts w:eastAsia="Calibri"/>
          <w:lang w:eastAsia="en-US"/>
        </w:rPr>
        <w:t xml:space="preserve"> o której mowa w pkt 2.</w:t>
      </w:r>
    </w:p>
    <w:p w14:paraId="16B01FF6" w14:textId="2D5328FC" w:rsidR="00D86BAF" w:rsidRPr="00A1586C" w:rsidRDefault="00596966" w:rsidP="008C4FE3">
      <w:pPr>
        <w:pStyle w:val="ZUSTzmustartykuempunktem"/>
        <w:rPr>
          <w:rFonts w:eastAsia="Calibri"/>
          <w:lang w:eastAsia="en-US"/>
        </w:rPr>
      </w:pPr>
      <w:r w:rsidRPr="00A1586C">
        <w:t>14</w:t>
      </w:r>
      <w:r w:rsidR="00D86BAF" w:rsidRPr="00A1586C">
        <w:rPr>
          <w:rFonts w:eastAsia="Calibri"/>
          <w:lang w:eastAsia="en-US"/>
        </w:rPr>
        <w:t>. Przez zrealizowaną usługę</w:t>
      </w:r>
      <w:r w:rsidR="000443E4" w:rsidRPr="00A1586C">
        <w:t>,</w:t>
      </w:r>
      <w:r w:rsidR="00D86BAF" w:rsidRPr="00A1586C">
        <w:rPr>
          <w:rFonts w:eastAsia="Calibri"/>
          <w:lang w:eastAsia="en-US"/>
        </w:rPr>
        <w:t xml:space="preserve"> o której mowa w ust. </w:t>
      </w:r>
      <w:r w:rsidR="00260E54" w:rsidRPr="00A1586C">
        <w:t>1</w:t>
      </w:r>
      <w:r w:rsidR="000443E4" w:rsidRPr="00A1586C">
        <w:t>3</w:t>
      </w:r>
      <w:r w:rsidR="00260E54" w:rsidRPr="00A1586C">
        <w:rPr>
          <w:rFonts w:eastAsia="Calibri"/>
          <w:lang w:eastAsia="en-US"/>
        </w:rPr>
        <w:t xml:space="preserve"> </w:t>
      </w:r>
      <w:r w:rsidR="00D86BAF" w:rsidRPr="00A1586C">
        <w:rPr>
          <w:rFonts w:eastAsia="Calibri"/>
          <w:lang w:eastAsia="en-US"/>
        </w:rPr>
        <w:t>pkt 3 lit. b</w:t>
      </w:r>
      <w:r w:rsidR="00F70CC4">
        <w:rPr>
          <w:rFonts w:eastAsia="Calibri"/>
          <w:lang w:eastAsia="en-US"/>
        </w:rPr>
        <w:t>,</w:t>
      </w:r>
      <w:r w:rsidR="00D86BAF" w:rsidRPr="00A1586C">
        <w:rPr>
          <w:rFonts w:eastAsia="Calibri"/>
          <w:lang w:eastAsia="en-US"/>
        </w:rPr>
        <w:t xml:space="preserve"> należy rozumieć wysłanie wszystkich kodów</w:t>
      </w:r>
      <w:r w:rsidR="00260E54" w:rsidRPr="00A1586C">
        <w:t>,</w:t>
      </w:r>
      <w:r w:rsidR="00D86BAF" w:rsidRPr="00A1586C">
        <w:rPr>
          <w:rFonts w:eastAsia="Calibri"/>
          <w:lang w:eastAsia="en-US"/>
        </w:rPr>
        <w:t xml:space="preserve"> o których mowa w </w:t>
      </w:r>
      <w:r w:rsidR="00730FFC" w:rsidRPr="00A1586C">
        <w:t xml:space="preserve">art. 20c </w:t>
      </w:r>
      <w:r w:rsidR="00D86BAF" w:rsidRPr="00A1586C">
        <w:rPr>
          <w:rFonts w:eastAsia="Calibri"/>
          <w:lang w:eastAsia="en-US"/>
        </w:rPr>
        <w:t>ust. 11</w:t>
      </w:r>
      <w:r w:rsidR="00260E54" w:rsidRPr="00A1586C">
        <w:t>,</w:t>
      </w:r>
      <w:r w:rsidR="00D86BAF" w:rsidRPr="00A1586C">
        <w:rPr>
          <w:rFonts w:eastAsia="Calibri"/>
          <w:lang w:eastAsia="en-US"/>
        </w:rPr>
        <w:t xml:space="preserve"> </w:t>
      </w:r>
      <w:r w:rsidR="00DF7439" w:rsidRPr="00A1586C">
        <w:rPr>
          <w:rFonts w:eastAsia="Calibri"/>
          <w:lang w:eastAsia="en-US"/>
        </w:rPr>
        <w:t>i komunikatów informacyjnych</w:t>
      </w:r>
      <w:r w:rsidR="00260E54" w:rsidRPr="00A1586C">
        <w:t>,</w:t>
      </w:r>
      <w:r w:rsidR="00D86BAF" w:rsidRPr="00A1586C">
        <w:rPr>
          <w:rFonts w:eastAsia="Calibri"/>
          <w:lang w:eastAsia="en-US"/>
        </w:rPr>
        <w:t xml:space="preserve"> o których mowa w ust. 1.</w:t>
      </w:r>
    </w:p>
    <w:p w14:paraId="7DC6E60C" w14:textId="6A5E317A" w:rsidR="00D86BAF" w:rsidRPr="00A1586C" w:rsidRDefault="00596966" w:rsidP="008C4FE3">
      <w:pPr>
        <w:pStyle w:val="ZUSTzmustartykuempunktem"/>
        <w:rPr>
          <w:rFonts w:eastAsia="Calibri"/>
          <w:lang w:eastAsia="en-US"/>
        </w:rPr>
      </w:pPr>
      <w:r w:rsidRPr="00A1586C">
        <w:t>15</w:t>
      </w:r>
      <w:r w:rsidR="00D86BAF" w:rsidRPr="00A1586C">
        <w:rPr>
          <w:rFonts w:eastAsia="Calibri"/>
          <w:spacing w:val="-4"/>
          <w:lang w:eastAsia="en-US"/>
        </w:rPr>
        <w:t xml:space="preserve">. Wniosek dotyczący sumy wysokości opłat, o których mowa w ust. </w:t>
      </w:r>
      <w:r w:rsidR="00A0788F" w:rsidRPr="00A1586C">
        <w:rPr>
          <w:rFonts w:eastAsia="Calibri"/>
          <w:spacing w:val="-4"/>
          <w:lang w:eastAsia="en-US"/>
        </w:rPr>
        <w:t>1</w:t>
      </w:r>
      <w:r w:rsidR="00F71668">
        <w:t>2</w:t>
      </w:r>
      <w:r w:rsidR="00D86BAF" w:rsidRPr="00A1586C">
        <w:rPr>
          <w:rFonts w:eastAsia="Calibri"/>
          <w:spacing w:val="-4"/>
          <w:lang w:eastAsia="en-US"/>
        </w:rPr>
        <w:t xml:space="preserve">, należnych za dany </w:t>
      </w:r>
      <w:r w:rsidR="00D86BAF" w:rsidRPr="00A1586C">
        <w:rPr>
          <w:rFonts w:eastAsia="Calibri"/>
          <w:lang w:eastAsia="en-US"/>
        </w:rPr>
        <w:t>rok kalendarzowy</w:t>
      </w:r>
      <w:r w:rsidR="00F70CC4">
        <w:rPr>
          <w:rFonts w:eastAsia="Calibri"/>
          <w:lang w:eastAsia="en-US"/>
        </w:rPr>
        <w:t>,</w:t>
      </w:r>
      <w:r w:rsidR="00D86BAF" w:rsidRPr="00A1586C" w:rsidDel="00534452">
        <w:rPr>
          <w:rFonts w:eastAsia="Calibri"/>
          <w:lang w:eastAsia="en-US"/>
        </w:rPr>
        <w:t xml:space="preserve"> </w:t>
      </w:r>
      <w:r w:rsidR="00D86BAF" w:rsidRPr="00A1586C">
        <w:rPr>
          <w:rFonts w:eastAsia="Calibri"/>
          <w:lang w:eastAsia="en-US"/>
        </w:rPr>
        <w:t xml:space="preserve">składa się do dnia 31 marca roku, którego dotyczy wniosek, </w:t>
      </w:r>
      <w:r w:rsidR="00D86BAF" w:rsidRPr="00A1586C">
        <w:rPr>
          <w:rFonts w:eastAsia="Calibri"/>
          <w:lang w:eastAsia="en-US"/>
        </w:rPr>
        <w:lastRenderedPageBreak/>
        <w:t>uwzględniając liczbę numerów, które zrealizowały usług</w:t>
      </w:r>
      <w:r w:rsidR="00DD1C51" w:rsidRPr="00F71668">
        <w:rPr>
          <w:rFonts w:eastAsia="Calibri"/>
          <w:lang w:eastAsia="en-US"/>
        </w:rPr>
        <w:t>i</w:t>
      </w:r>
      <w:r w:rsidR="00F71668">
        <w:rPr>
          <w:rFonts w:eastAsia="Calibri"/>
          <w:lang w:eastAsia="en-US"/>
        </w:rPr>
        <w:t>,</w:t>
      </w:r>
      <w:r w:rsidR="00D86BAF" w:rsidRPr="00A1586C">
        <w:rPr>
          <w:rFonts w:eastAsia="Calibri"/>
          <w:lang w:eastAsia="en-US"/>
        </w:rPr>
        <w:t xml:space="preserve"> o których mowa </w:t>
      </w:r>
      <w:r w:rsidR="00066D7D" w:rsidRPr="00A1586C">
        <w:t xml:space="preserve">w ust. </w:t>
      </w:r>
      <w:r w:rsidR="00DF7439" w:rsidRPr="00A1586C">
        <w:t>4</w:t>
      </w:r>
      <w:r w:rsidR="00066D7D" w:rsidRPr="00A1586C">
        <w:t xml:space="preserve"> i </w:t>
      </w:r>
      <w:r w:rsidR="00D86BAF" w:rsidRPr="00A1586C">
        <w:rPr>
          <w:rFonts w:eastAsia="Calibri"/>
          <w:lang w:eastAsia="en-US"/>
        </w:rPr>
        <w:t xml:space="preserve">w </w:t>
      </w:r>
      <w:r w:rsidR="00730FFC" w:rsidRPr="00A1586C">
        <w:t xml:space="preserve">art. 20c </w:t>
      </w:r>
      <w:r w:rsidR="00D86BAF" w:rsidRPr="00A1586C">
        <w:rPr>
          <w:rFonts w:eastAsia="Calibri"/>
          <w:lang w:eastAsia="en-US"/>
        </w:rPr>
        <w:t>ust. 11 pkt 1 lub 2 w poprzednim roku kalendarzowym.</w:t>
      </w:r>
    </w:p>
    <w:p w14:paraId="527457B7" w14:textId="1107914F" w:rsidR="00D86BAF" w:rsidRPr="00D86BAF" w:rsidRDefault="00596966" w:rsidP="008C4FE3">
      <w:pPr>
        <w:pStyle w:val="ZUSTzmustartykuempunktem"/>
        <w:rPr>
          <w:rFonts w:eastAsia="Calibri"/>
          <w:lang w:eastAsia="en-US"/>
        </w:rPr>
      </w:pPr>
      <w:r w:rsidRPr="00A1586C">
        <w:t>16</w:t>
      </w:r>
      <w:r w:rsidR="00D86BAF" w:rsidRPr="00A1586C">
        <w:rPr>
          <w:rFonts w:eastAsia="Calibri"/>
          <w:lang w:eastAsia="en-US"/>
        </w:rPr>
        <w:t xml:space="preserve">. Wysokość obniżenia opłaty, o której mowa w ust. </w:t>
      </w:r>
      <w:r w:rsidR="00A0788F" w:rsidRPr="00A1586C">
        <w:t>1</w:t>
      </w:r>
      <w:r w:rsidR="00F71668">
        <w:t>2</w:t>
      </w:r>
      <w:r w:rsidR="00A0788F" w:rsidRPr="00A1586C">
        <w:rPr>
          <w:rFonts w:eastAsia="Calibri"/>
          <w:lang w:eastAsia="en-US"/>
        </w:rPr>
        <w:t>, w przypadku,</w:t>
      </w:r>
      <w:r w:rsidR="00D86BAF" w:rsidRPr="00A1586C">
        <w:rPr>
          <w:rFonts w:eastAsia="Calibri"/>
          <w:lang w:eastAsia="en-US"/>
        </w:rPr>
        <w:t xml:space="preserve"> o którym mowa w ust. </w:t>
      </w:r>
      <w:r w:rsidR="009E55EB" w:rsidRPr="00A1586C">
        <w:t>15</w:t>
      </w:r>
      <w:r w:rsidR="000443E4" w:rsidRPr="00A1586C">
        <w:t>,</w:t>
      </w:r>
      <w:r w:rsidR="00260E54" w:rsidRPr="00A1586C">
        <w:rPr>
          <w:rFonts w:eastAsia="Calibri"/>
          <w:lang w:eastAsia="en-US"/>
        </w:rPr>
        <w:t xml:space="preserve"> </w:t>
      </w:r>
      <w:r w:rsidR="00D86BAF" w:rsidRPr="00A1586C">
        <w:rPr>
          <w:rFonts w:eastAsia="Calibri"/>
          <w:lang w:eastAsia="en-US"/>
        </w:rPr>
        <w:t xml:space="preserve">wynosi nie więcej niż 20% tej opłaty i określona jest przez dostawcę usług telekomunikacyjnych zgodnie z mnożnikiem określonym w ust. </w:t>
      </w:r>
      <w:r w:rsidR="00260E54" w:rsidRPr="00A1586C">
        <w:t>1</w:t>
      </w:r>
      <w:r w:rsidR="000443E4" w:rsidRPr="00A1586C">
        <w:t>3</w:t>
      </w:r>
      <w:r w:rsidR="00D86BAF" w:rsidRPr="00A1586C">
        <w:rPr>
          <w:rFonts w:eastAsia="Calibri"/>
          <w:lang w:eastAsia="en-US"/>
        </w:rPr>
        <w:t xml:space="preserve"> pkt 1-3.</w:t>
      </w:r>
    </w:p>
    <w:p w14:paraId="5455DCF9" w14:textId="50838D33" w:rsidR="00D86BAF" w:rsidRPr="00A1586C" w:rsidRDefault="00596966" w:rsidP="008C4FE3">
      <w:pPr>
        <w:pStyle w:val="ZUSTzmustartykuempunktem"/>
        <w:rPr>
          <w:rFonts w:eastAsia="Calibri"/>
          <w:lang w:eastAsia="en-US"/>
        </w:rPr>
      </w:pPr>
      <w:r>
        <w:t>17</w:t>
      </w:r>
      <w:r w:rsidR="00D86BAF" w:rsidRPr="00D86BAF">
        <w:rPr>
          <w:rFonts w:eastAsia="Calibri"/>
          <w:lang w:eastAsia="en-US"/>
        </w:rPr>
        <w:t xml:space="preserve">. W przypadku utraty prawa do obniżenia opłaty, o którym mowa w </w:t>
      </w:r>
      <w:r w:rsidR="00D86BAF" w:rsidRPr="00A1586C">
        <w:rPr>
          <w:rFonts w:eastAsia="Calibri"/>
          <w:lang w:eastAsia="en-US"/>
        </w:rPr>
        <w:t xml:space="preserve">ust. </w:t>
      </w:r>
      <w:r w:rsidR="000443E4" w:rsidRPr="00A1586C">
        <w:t>1</w:t>
      </w:r>
      <w:r w:rsidR="00F17748">
        <w:t>2</w:t>
      </w:r>
      <w:r w:rsidR="00D86BAF" w:rsidRPr="00A1586C">
        <w:rPr>
          <w:rFonts w:eastAsia="Calibri"/>
          <w:lang w:eastAsia="en-US"/>
        </w:rPr>
        <w:t>, w trakcie roku kalendarzowego, dostawca usług jest zobowiązany wnieść opłaty</w:t>
      </w:r>
      <w:r w:rsidR="00F17748">
        <w:rPr>
          <w:rFonts w:eastAsia="Calibri"/>
          <w:lang w:eastAsia="en-US"/>
        </w:rPr>
        <w:t xml:space="preserve"> </w:t>
      </w:r>
      <w:r w:rsidR="00F17748" w:rsidRPr="00A1586C">
        <w:rPr>
          <w:rFonts w:eastAsia="Calibri"/>
          <w:lang w:eastAsia="en-US"/>
        </w:rPr>
        <w:t>za prawo do wykorzystywania zasobów numeracji w zakresie wysokości opłat za numer abonencki oraz za wyróżnik ruchomej sieci telekomunikacyjnej (PLMN)</w:t>
      </w:r>
      <w:r w:rsidR="00DD1C51" w:rsidRPr="00A1586C">
        <w:t>,</w:t>
      </w:r>
      <w:r w:rsidR="00D86BAF" w:rsidRPr="00A1586C">
        <w:rPr>
          <w:rFonts w:eastAsia="Calibri"/>
          <w:lang w:eastAsia="en-US"/>
        </w:rPr>
        <w:t xml:space="preserve"> w pełnej wysokości za cały rok kalendarzowy.</w:t>
      </w:r>
    </w:p>
    <w:p w14:paraId="7D0B1FF5" w14:textId="2E6B0A21" w:rsidR="00D86BAF" w:rsidRPr="00A1586C" w:rsidRDefault="00596966" w:rsidP="008C4FE3">
      <w:pPr>
        <w:pStyle w:val="ZUSTzmustartykuempunktem"/>
        <w:rPr>
          <w:rFonts w:eastAsia="Calibri"/>
          <w:lang w:eastAsia="en-US"/>
        </w:rPr>
      </w:pPr>
      <w:r w:rsidRPr="00A1586C">
        <w:t>18</w:t>
      </w:r>
      <w:r w:rsidR="00D86BAF" w:rsidRPr="00A1586C">
        <w:rPr>
          <w:rFonts w:eastAsia="Calibri"/>
          <w:lang w:eastAsia="en-US"/>
        </w:rPr>
        <w:t xml:space="preserve">. </w:t>
      </w:r>
      <w:r w:rsidR="00DF7439" w:rsidRPr="00A1586C">
        <w:rPr>
          <w:rFonts w:eastAsia="Calibri"/>
          <w:lang w:eastAsia="en-US"/>
        </w:rPr>
        <w:t xml:space="preserve">Zgłaszanie </w:t>
      </w:r>
      <w:r w:rsidR="00D86BAF" w:rsidRPr="00A1586C">
        <w:rPr>
          <w:rFonts w:eastAsia="Calibri"/>
          <w:lang w:eastAsia="en-US"/>
        </w:rPr>
        <w:t>żądań, o których mowa w ust. 1, przez podmioty</w:t>
      </w:r>
      <w:r w:rsidR="001C3B02" w:rsidRPr="00A1586C">
        <w:rPr>
          <w:rFonts w:eastAsia="Calibri"/>
          <w:lang w:eastAsia="en-US"/>
        </w:rPr>
        <w:t>, o których mowa w art. 2 ust. 1 pkt 1, 2 i 4-8</w:t>
      </w:r>
      <w:r w:rsidR="000443E4" w:rsidRPr="00A1586C">
        <w:t>,</w:t>
      </w:r>
      <w:r w:rsidR="00260E54" w:rsidRPr="00A1586C">
        <w:rPr>
          <w:rFonts w:eastAsia="Calibri"/>
          <w:lang w:eastAsia="en-US"/>
        </w:rPr>
        <w:t xml:space="preserve"> </w:t>
      </w:r>
      <w:r w:rsidR="00D86BAF" w:rsidRPr="00A1586C">
        <w:rPr>
          <w:rFonts w:eastAsia="Calibri"/>
          <w:lang w:eastAsia="en-US"/>
        </w:rPr>
        <w:t>odbywa się w systemie teleinformatycznym, którego funkcjonowanie zapewnia minister właściwy do spraw informatyzacji.</w:t>
      </w:r>
    </w:p>
    <w:p w14:paraId="226E9473" w14:textId="5B7054CD" w:rsidR="008E03AB" w:rsidRPr="00A1586C" w:rsidRDefault="00596966" w:rsidP="008E03AB">
      <w:pPr>
        <w:ind w:left="425" w:firstLine="425"/>
        <w:jc w:val="both"/>
        <w:rPr>
          <w:rFonts w:cs="Times New Roman"/>
          <w:iCs/>
          <w:szCs w:val="24"/>
        </w:rPr>
      </w:pPr>
      <w:r w:rsidRPr="00A1586C">
        <w:rPr>
          <w:rFonts w:cs="Times New Roman"/>
          <w:iCs/>
          <w:szCs w:val="24"/>
        </w:rPr>
        <w:t>19</w:t>
      </w:r>
      <w:r w:rsidR="008E03AB" w:rsidRPr="00A1586C">
        <w:rPr>
          <w:rFonts w:cs="Times New Roman"/>
          <w:iCs/>
          <w:szCs w:val="24"/>
        </w:rPr>
        <w:t>. Dostawca usług telekomunikacyjnych zobowiązany jest do</w:t>
      </w:r>
      <w:r w:rsidR="00C21F64" w:rsidRPr="00A1586C">
        <w:rPr>
          <w:rFonts w:cs="Times New Roman"/>
          <w:iCs/>
          <w:szCs w:val="24"/>
        </w:rPr>
        <w:t xml:space="preserve"> </w:t>
      </w:r>
      <w:r w:rsidR="00CC7D6F" w:rsidRPr="00A1586C">
        <w:rPr>
          <w:rFonts w:cs="Times New Roman"/>
          <w:iCs/>
          <w:szCs w:val="24"/>
        </w:rPr>
        <w:t>przyłączenia się</w:t>
      </w:r>
      <w:r w:rsidR="008E03AB" w:rsidRPr="00A1586C">
        <w:rPr>
          <w:rFonts w:cs="Times New Roman"/>
          <w:iCs/>
          <w:szCs w:val="24"/>
        </w:rPr>
        <w:t xml:space="preserve"> do systemu teleinformatycznego, o którym mowa w ust. </w:t>
      </w:r>
      <w:r w:rsidR="001C3B02" w:rsidRPr="00A1586C">
        <w:rPr>
          <w:rFonts w:cs="Times New Roman"/>
          <w:iCs/>
          <w:szCs w:val="24"/>
        </w:rPr>
        <w:t>1</w:t>
      </w:r>
      <w:r w:rsidR="00D844F9" w:rsidRPr="00A1586C">
        <w:rPr>
          <w:rFonts w:cs="Times New Roman"/>
          <w:iCs/>
          <w:szCs w:val="24"/>
        </w:rPr>
        <w:t>8</w:t>
      </w:r>
      <w:r w:rsidR="00CC7D6F" w:rsidRPr="00A1586C">
        <w:rPr>
          <w:rFonts w:cs="Times New Roman"/>
          <w:iCs/>
          <w:szCs w:val="24"/>
        </w:rPr>
        <w:t>,</w:t>
      </w:r>
      <w:r w:rsidR="00AB4BA0" w:rsidRPr="00A1586C">
        <w:rPr>
          <w:rFonts w:cs="Times New Roman"/>
          <w:iCs/>
          <w:szCs w:val="24"/>
        </w:rPr>
        <w:t xml:space="preserve"> w terminie 30 dni od dnia jego uruchomienia</w:t>
      </w:r>
      <w:r w:rsidR="00CC7D6F" w:rsidRPr="00A1586C">
        <w:rPr>
          <w:rFonts w:cs="Times New Roman"/>
          <w:iCs/>
          <w:szCs w:val="24"/>
        </w:rPr>
        <w:t>.</w:t>
      </w:r>
    </w:p>
    <w:p w14:paraId="0741C491" w14:textId="49D8C7F0" w:rsidR="008E03AB" w:rsidRDefault="00596966" w:rsidP="008E03AB">
      <w:pPr>
        <w:ind w:left="425" w:firstLine="425"/>
        <w:jc w:val="both"/>
        <w:rPr>
          <w:rFonts w:cs="Times New Roman"/>
          <w:iCs/>
          <w:szCs w:val="24"/>
        </w:rPr>
      </w:pPr>
      <w:r w:rsidRPr="00A1586C">
        <w:rPr>
          <w:rFonts w:cs="Times New Roman"/>
          <w:iCs/>
          <w:szCs w:val="24"/>
        </w:rPr>
        <w:t>20</w:t>
      </w:r>
      <w:r w:rsidR="008E03AB" w:rsidRPr="00A1586C">
        <w:rPr>
          <w:rFonts w:cs="Times New Roman"/>
          <w:iCs/>
          <w:szCs w:val="24"/>
        </w:rPr>
        <w:t xml:space="preserve">. Na potrzeby związane z funkcjonowaniem systemu teleinformatycznego, o którym mowa w ust. </w:t>
      </w:r>
      <w:r w:rsidR="001C3B02" w:rsidRPr="00A1586C">
        <w:rPr>
          <w:rFonts w:cs="Times New Roman"/>
          <w:iCs/>
          <w:szCs w:val="24"/>
        </w:rPr>
        <w:t>1</w:t>
      </w:r>
      <w:r w:rsidR="00D844F9" w:rsidRPr="00A1586C">
        <w:rPr>
          <w:rFonts w:cs="Times New Roman"/>
          <w:iCs/>
          <w:szCs w:val="24"/>
        </w:rPr>
        <w:t>8</w:t>
      </w:r>
      <w:r w:rsidR="008E03AB" w:rsidRPr="00A1586C">
        <w:rPr>
          <w:rFonts w:cs="Times New Roman"/>
          <w:iCs/>
          <w:szCs w:val="24"/>
        </w:rPr>
        <w:t>, zapewnia</w:t>
      </w:r>
      <w:r w:rsidR="008E03AB">
        <w:rPr>
          <w:rFonts w:cs="Times New Roman"/>
          <w:iCs/>
          <w:szCs w:val="24"/>
        </w:rPr>
        <w:t xml:space="preserve"> się połączenie tego systemu z bazą danych zawierającą numery przeniesione, o której mowa w art. 71 ust. 4 ustawy</w:t>
      </w:r>
      <w:r w:rsidR="008E03AB" w:rsidRPr="009C6F0E">
        <w:rPr>
          <w:rFonts w:cs="Times New Roman"/>
          <w:iCs/>
          <w:szCs w:val="24"/>
        </w:rPr>
        <w:t> z dnia 16 lipca 2004 r. - Prawo </w:t>
      </w:r>
      <w:bookmarkStart w:id="3" w:name="highlightHit_2"/>
      <w:bookmarkEnd w:id="3"/>
      <w:r w:rsidR="008E03AB" w:rsidRPr="009C6F0E">
        <w:rPr>
          <w:rFonts w:cs="Times New Roman"/>
          <w:iCs/>
          <w:szCs w:val="24"/>
        </w:rPr>
        <w:t>telekomunikacyjne</w:t>
      </w:r>
      <w:r w:rsidR="008E03AB">
        <w:rPr>
          <w:rFonts w:cs="Times New Roman"/>
          <w:iCs/>
          <w:szCs w:val="24"/>
        </w:rPr>
        <w:t>.</w:t>
      </w:r>
      <w:r w:rsidR="008E03AB" w:rsidRPr="00795B48">
        <w:rPr>
          <w:rFonts w:ascii="Arial" w:hAnsi="Arial"/>
          <w:color w:val="333333"/>
          <w:sz w:val="21"/>
          <w:szCs w:val="21"/>
          <w:shd w:val="clear" w:color="auto" w:fill="FFFFFF"/>
        </w:rPr>
        <w:t xml:space="preserve"> </w:t>
      </w:r>
      <w:bookmarkStart w:id="4" w:name="highlightHit_0"/>
      <w:bookmarkEnd w:id="4"/>
    </w:p>
    <w:p w14:paraId="2ED60299" w14:textId="577E24D8" w:rsidR="00D86BAF" w:rsidRPr="00D86BAF" w:rsidRDefault="00596966" w:rsidP="008C4FE3">
      <w:pPr>
        <w:pStyle w:val="ZUSTzmustartykuempunktem"/>
        <w:rPr>
          <w:rFonts w:eastAsia="Calibri"/>
          <w:lang w:eastAsia="en-US"/>
        </w:rPr>
      </w:pPr>
      <w:r>
        <w:t>21</w:t>
      </w:r>
      <w:r w:rsidR="00D86BAF" w:rsidRPr="00D86BAF">
        <w:rPr>
          <w:rFonts w:eastAsia="Calibri"/>
          <w:lang w:eastAsia="en-US"/>
        </w:rPr>
        <w:t>. System teleinformatyczny zapewnia bezpieczeństwo przetwarzanych danych osobowych oraz środki określone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F27379">
        <w:rPr>
          <w:rFonts w:eastAsia="Calibri"/>
          <w:lang w:eastAsia="en-US"/>
        </w:rPr>
        <w:t xml:space="preserve"> </w:t>
      </w:r>
      <w:r w:rsidR="00D86BAF" w:rsidRPr="00D86BAF">
        <w:rPr>
          <w:rFonts w:eastAsia="Calibri"/>
          <w:lang w:eastAsia="en-US"/>
        </w:rPr>
        <w:t>Urz. UE L 119 z 04.05.2016, str. 1, z późn. zm.).</w:t>
      </w:r>
    </w:p>
    <w:p w14:paraId="632E8684" w14:textId="1D585D18" w:rsidR="00D86BAF" w:rsidRPr="00D86BAF" w:rsidRDefault="00596966" w:rsidP="008C4FE3">
      <w:pPr>
        <w:pStyle w:val="ZUSTzmustartykuempunktem"/>
        <w:rPr>
          <w:rFonts w:eastAsia="Calibri"/>
          <w:lang w:eastAsia="en-US"/>
        </w:rPr>
      </w:pPr>
      <w:r>
        <w:t>22</w:t>
      </w:r>
      <w:r w:rsidR="00D86BAF" w:rsidRPr="00D86BAF">
        <w:rPr>
          <w:rFonts w:eastAsia="Calibri"/>
          <w:lang w:eastAsia="en-US"/>
        </w:rPr>
        <w:t>. Dane zgromadzone w systemie teleinformatycznym są usuwane po upływie 5 lat od zakończenia roku, w którym zostały wprowadzone do tego systemu.</w:t>
      </w:r>
    </w:p>
    <w:p w14:paraId="3467B112" w14:textId="77777777" w:rsidR="00535F39" w:rsidRDefault="00596966" w:rsidP="008C4FE3">
      <w:pPr>
        <w:pStyle w:val="ZUSTzmustartykuempunktem"/>
        <w:rPr>
          <w:rFonts w:eastAsia="Calibri"/>
          <w:lang w:eastAsia="en-US"/>
        </w:rPr>
      </w:pPr>
      <w:r>
        <w:t>23</w:t>
      </w:r>
      <w:r w:rsidR="00D86BAF" w:rsidRPr="00D86BAF">
        <w:rPr>
          <w:rFonts w:eastAsia="Calibri"/>
          <w:lang w:eastAsia="en-US"/>
        </w:rPr>
        <w:t xml:space="preserve">. Uwierzytelnianie osoby uprawnionej do </w:t>
      </w:r>
      <w:r w:rsidR="00D844F9">
        <w:rPr>
          <w:rFonts w:eastAsia="Calibri"/>
          <w:lang w:eastAsia="en-US"/>
        </w:rPr>
        <w:t>zgłoszenia</w:t>
      </w:r>
      <w:r w:rsidR="00D844F9" w:rsidRPr="00D86BAF">
        <w:rPr>
          <w:rFonts w:eastAsia="Calibri"/>
          <w:lang w:eastAsia="en-US"/>
        </w:rPr>
        <w:t xml:space="preserve"> </w:t>
      </w:r>
      <w:r w:rsidR="00D86BAF" w:rsidRPr="00D86BAF">
        <w:rPr>
          <w:rFonts w:eastAsia="Calibri"/>
          <w:lang w:eastAsia="en-US"/>
        </w:rPr>
        <w:t>żądania, o którym mowa w ust. 1, w imieniu podmiotu</w:t>
      </w:r>
      <w:r w:rsidR="001C3B02" w:rsidRPr="001C3B02">
        <w:rPr>
          <w:rFonts w:eastAsia="Calibri"/>
          <w:lang w:eastAsia="en-US"/>
        </w:rPr>
        <w:t xml:space="preserve">, </w:t>
      </w:r>
      <w:r w:rsidR="001C3B02" w:rsidRPr="00A1586C">
        <w:rPr>
          <w:rFonts w:eastAsia="Calibri"/>
          <w:lang w:eastAsia="en-US"/>
        </w:rPr>
        <w:t xml:space="preserve">o którym mowa w art. 2 ust. 1 pkt 1, 2 i 4-8, </w:t>
      </w:r>
      <w:r w:rsidR="00D86BAF" w:rsidRPr="00A1586C">
        <w:rPr>
          <w:rFonts w:eastAsia="Calibri"/>
          <w:lang w:eastAsia="en-US"/>
        </w:rPr>
        <w:t>w systemie teleinformatycznym</w:t>
      </w:r>
      <w:r w:rsidR="001C3B02" w:rsidRPr="00A1586C">
        <w:rPr>
          <w:rFonts w:eastAsia="Calibri"/>
          <w:lang w:eastAsia="en-US"/>
        </w:rPr>
        <w:t>, o którym mowa w ust. 1</w:t>
      </w:r>
      <w:r w:rsidR="00D844F9" w:rsidRPr="00A1586C">
        <w:rPr>
          <w:rFonts w:eastAsia="Calibri"/>
          <w:lang w:eastAsia="en-US"/>
        </w:rPr>
        <w:t>8</w:t>
      </w:r>
      <w:r w:rsidR="001C3B02" w:rsidRPr="00A1586C">
        <w:rPr>
          <w:rFonts w:eastAsia="Calibri"/>
          <w:lang w:eastAsia="en-US"/>
        </w:rPr>
        <w:t>,</w:t>
      </w:r>
      <w:r w:rsidR="00D86BAF" w:rsidRPr="00A1586C">
        <w:rPr>
          <w:rFonts w:eastAsia="Calibri"/>
          <w:lang w:eastAsia="en-US"/>
        </w:rPr>
        <w:t xml:space="preserve"> następuje w sposób, o którym mowa w art. 20a ust. 1 </w:t>
      </w:r>
      <w:r w:rsidR="00F27379" w:rsidRPr="00A1586C">
        <w:rPr>
          <w:rFonts w:eastAsia="Calibri"/>
          <w:lang w:eastAsia="en-US"/>
        </w:rPr>
        <w:t xml:space="preserve">lub </w:t>
      </w:r>
      <w:r w:rsidR="00D86BAF" w:rsidRPr="00A1586C">
        <w:rPr>
          <w:rFonts w:eastAsia="Calibri"/>
          <w:lang w:eastAsia="en-US"/>
        </w:rPr>
        <w:t>2.</w:t>
      </w:r>
    </w:p>
    <w:p w14:paraId="08E2E936" w14:textId="2E8F8434" w:rsidR="00F612BB" w:rsidRDefault="00F612BB" w:rsidP="008C4FE3">
      <w:pPr>
        <w:pStyle w:val="ZUSTzmustartykuempunktem"/>
        <w:rPr>
          <w:rFonts w:eastAsia="Calibri"/>
          <w:lang w:eastAsia="en-US"/>
        </w:rPr>
      </w:pPr>
      <w:r>
        <w:rPr>
          <w:rFonts w:eastAsia="Calibri"/>
          <w:lang w:eastAsia="en-US"/>
        </w:rPr>
        <w:lastRenderedPageBreak/>
        <w:t xml:space="preserve">24. </w:t>
      </w:r>
      <w:r w:rsidRPr="000A2ABA">
        <w:rPr>
          <w:rFonts w:eastAsia="Calibri"/>
          <w:lang w:eastAsia="en-US"/>
        </w:rPr>
        <w:t>Koszty związane z budową i utrzymaniem systemu teleinformatycznego, o</w:t>
      </w:r>
      <w:r>
        <w:rPr>
          <w:rFonts w:eastAsia="Calibri"/>
          <w:lang w:eastAsia="en-US"/>
        </w:rPr>
        <w:t> </w:t>
      </w:r>
      <w:r w:rsidRPr="000A2ABA">
        <w:rPr>
          <w:rFonts w:eastAsia="Calibri"/>
          <w:lang w:eastAsia="en-US"/>
        </w:rPr>
        <w:t>którym mowa w ust. 18, są finansowane ze środków Funduszu Szerokopasmowego, o</w:t>
      </w:r>
      <w:r>
        <w:rPr>
          <w:rFonts w:eastAsia="Calibri"/>
          <w:lang w:eastAsia="en-US"/>
        </w:rPr>
        <w:t> </w:t>
      </w:r>
      <w:r w:rsidRPr="000A2ABA">
        <w:rPr>
          <w:rFonts w:eastAsia="Calibri"/>
          <w:lang w:eastAsia="en-US"/>
        </w:rPr>
        <w:t>którym mowa w art. 16a ust. 1 ustawy z dnia 7 maja 2010 r. o wspieraniu rozwoju usług i sieci telekomunikacyjnych</w:t>
      </w:r>
      <w:r w:rsidRPr="00A1586C">
        <w:t>.</w:t>
      </w:r>
      <w:r>
        <w:t xml:space="preserve">, </w:t>
      </w:r>
      <w:r w:rsidRPr="00F612BB">
        <w:t>zwanego dalej „Funduszem</w:t>
      </w:r>
      <w:r>
        <w:t xml:space="preserve"> Szerokopasmowym</w:t>
      </w:r>
      <w:r w:rsidRPr="00F612BB">
        <w:t>”</w:t>
      </w:r>
      <w:r>
        <w:t>.</w:t>
      </w:r>
    </w:p>
    <w:p w14:paraId="4264B253" w14:textId="6C8CCF47" w:rsidR="0067557E" w:rsidRDefault="00535F39" w:rsidP="00CC7B0D">
      <w:pPr>
        <w:pStyle w:val="ZUSTzmustartykuempunktem"/>
        <w:rPr>
          <w:rFonts w:eastAsia="Calibri"/>
          <w:lang w:eastAsia="en-US"/>
        </w:rPr>
      </w:pPr>
      <w:r>
        <w:rPr>
          <w:rFonts w:eastAsia="Calibri"/>
          <w:lang w:eastAsia="en-US"/>
        </w:rPr>
        <w:t>2</w:t>
      </w:r>
      <w:r w:rsidR="00F612BB">
        <w:rPr>
          <w:rFonts w:eastAsia="Calibri"/>
          <w:lang w:eastAsia="en-US"/>
        </w:rPr>
        <w:t>5</w:t>
      </w:r>
      <w:r>
        <w:rPr>
          <w:rFonts w:eastAsia="Calibri"/>
          <w:lang w:eastAsia="en-US"/>
        </w:rPr>
        <w:t>.</w:t>
      </w:r>
      <w:r w:rsidR="00AD087D">
        <w:rPr>
          <w:rFonts w:eastAsia="Calibri"/>
          <w:lang w:eastAsia="en-US"/>
        </w:rPr>
        <w:t xml:space="preserve"> </w:t>
      </w:r>
      <w:r w:rsidR="00AD087D" w:rsidRPr="00AD087D">
        <w:rPr>
          <w:rFonts w:eastAsia="Calibri"/>
          <w:lang w:eastAsia="en-US"/>
        </w:rPr>
        <w:t xml:space="preserve">Minister właściwy do spraw informatyzacji </w:t>
      </w:r>
      <w:r w:rsidR="00207B9A">
        <w:rPr>
          <w:rFonts w:eastAsia="Calibri"/>
          <w:lang w:eastAsia="en-US"/>
        </w:rPr>
        <w:t>d</w:t>
      </w:r>
      <w:r w:rsidR="00207B9A" w:rsidRPr="00AD087D">
        <w:rPr>
          <w:rFonts w:eastAsia="Calibri"/>
          <w:lang w:eastAsia="en-US"/>
        </w:rPr>
        <w:t>okonuj</w:t>
      </w:r>
      <w:r w:rsidR="00207B9A">
        <w:rPr>
          <w:rFonts w:eastAsia="Calibri"/>
          <w:lang w:eastAsia="en-US"/>
        </w:rPr>
        <w:t>e</w:t>
      </w:r>
      <w:r w:rsidR="00AD087D" w:rsidRPr="00AD087D">
        <w:rPr>
          <w:rFonts w:eastAsia="Calibri"/>
          <w:lang w:eastAsia="en-US"/>
        </w:rPr>
        <w:t xml:space="preserve"> czynności sprawdzających, polegających na weryfikacji zasadności zgłoszenia żądania przekazania komunikatu z </w:t>
      </w:r>
      <w:r w:rsidR="00207B9A">
        <w:rPr>
          <w:rFonts w:eastAsia="Calibri"/>
          <w:lang w:eastAsia="en-US"/>
        </w:rPr>
        <w:t>celem</w:t>
      </w:r>
      <w:r w:rsidR="00AD087D" w:rsidRPr="00AD087D">
        <w:rPr>
          <w:rFonts w:eastAsia="Calibri"/>
          <w:lang w:eastAsia="en-US"/>
        </w:rPr>
        <w:t xml:space="preserve"> przedmiotowym komunikatu określonym w ust. 3</w:t>
      </w:r>
      <w:r w:rsidR="00207B9A">
        <w:rPr>
          <w:rFonts w:eastAsia="Calibri"/>
          <w:lang w:eastAsia="en-US"/>
        </w:rPr>
        <w:t xml:space="preserve"> oraz spełnienia wymagań technicznych komunikatu.</w:t>
      </w:r>
      <w:r w:rsidR="00AD087D">
        <w:rPr>
          <w:rFonts w:eastAsia="Calibri"/>
          <w:lang w:eastAsia="en-US"/>
        </w:rPr>
        <w:t xml:space="preserve"> Sprawdzenie to następuje w systemie, o którym mowa w ust. 18</w:t>
      </w:r>
      <w:r w:rsidR="001F0919">
        <w:rPr>
          <w:rFonts w:eastAsia="Calibri"/>
          <w:lang w:eastAsia="en-US"/>
        </w:rPr>
        <w:t>,</w:t>
      </w:r>
      <w:r w:rsidR="00AD087D">
        <w:rPr>
          <w:rFonts w:eastAsia="Calibri"/>
          <w:lang w:eastAsia="en-US"/>
        </w:rPr>
        <w:t xml:space="preserve"> po przekazaniu żądania, o którym mowa w ust. 1, a przed </w:t>
      </w:r>
      <w:r w:rsidR="00AD087D" w:rsidRPr="00AD087D">
        <w:rPr>
          <w:rFonts w:eastAsia="Calibri"/>
          <w:lang w:eastAsia="en-US"/>
        </w:rPr>
        <w:t>wysłaniem komunikatu informacyjnego</w:t>
      </w:r>
      <w:r w:rsidR="003D016A">
        <w:rPr>
          <w:rFonts w:eastAsia="Calibri"/>
          <w:lang w:eastAsia="en-US"/>
        </w:rPr>
        <w:t>, o którym mowa w ust. 1,</w:t>
      </w:r>
      <w:r w:rsidR="00AD087D" w:rsidRPr="00AD087D">
        <w:rPr>
          <w:rFonts w:eastAsia="Calibri"/>
          <w:lang w:eastAsia="en-US"/>
        </w:rPr>
        <w:t xml:space="preserve"> przez dostawcę usług telekomunikacyjnych</w:t>
      </w:r>
      <w:r w:rsidR="00AD087D">
        <w:rPr>
          <w:rFonts w:eastAsia="Calibri"/>
          <w:lang w:eastAsia="en-US"/>
        </w:rPr>
        <w:t>.</w:t>
      </w:r>
    </w:p>
    <w:p w14:paraId="4172F53D" w14:textId="3676B4E4" w:rsidR="003D016A" w:rsidRDefault="00207B9A" w:rsidP="00CC7B0D">
      <w:pPr>
        <w:pStyle w:val="ZUSTzmustartykuempunktem"/>
        <w:rPr>
          <w:rFonts w:eastAsia="Calibri"/>
          <w:lang w:eastAsia="en-US"/>
        </w:rPr>
      </w:pPr>
      <w:r>
        <w:rPr>
          <w:rFonts w:eastAsia="Calibri"/>
          <w:lang w:eastAsia="en-US"/>
        </w:rPr>
        <w:t xml:space="preserve">26. </w:t>
      </w:r>
      <w:r w:rsidR="00670A8A">
        <w:rPr>
          <w:rFonts w:eastAsia="Calibri"/>
          <w:lang w:eastAsia="en-US"/>
        </w:rPr>
        <w:t>W następstwie weryfikacji o której mowa w ust. 25, m</w:t>
      </w:r>
      <w:r>
        <w:rPr>
          <w:rFonts w:eastAsia="Calibri"/>
          <w:lang w:eastAsia="en-US"/>
        </w:rPr>
        <w:t xml:space="preserve">inister właściwy do spraw informatyzacji może odmówić </w:t>
      </w:r>
      <w:r w:rsidR="00670A8A">
        <w:rPr>
          <w:rFonts w:eastAsia="Calibri"/>
          <w:lang w:eastAsia="en-US"/>
        </w:rPr>
        <w:t>wysłania żądania przekazania komunikatu</w:t>
      </w:r>
      <w:r w:rsidR="003D016A">
        <w:rPr>
          <w:rFonts w:eastAsia="Calibri"/>
          <w:lang w:eastAsia="en-US"/>
        </w:rPr>
        <w:t xml:space="preserve"> informacyjnego, o którym mowa w ust. 1,</w:t>
      </w:r>
      <w:r w:rsidR="00670A8A">
        <w:rPr>
          <w:rFonts w:eastAsia="Calibri"/>
          <w:lang w:eastAsia="en-US"/>
        </w:rPr>
        <w:t xml:space="preserve"> do dostawcy usług </w:t>
      </w:r>
      <w:r w:rsidR="00670A8A" w:rsidRPr="00670A8A">
        <w:rPr>
          <w:rFonts w:eastAsia="Calibri"/>
          <w:lang w:eastAsia="en-US"/>
        </w:rPr>
        <w:t>telekomunikacyjnych</w:t>
      </w:r>
      <w:r w:rsidR="00670A8A">
        <w:rPr>
          <w:rFonts w:eastAsia="Calibri"/>
          <w:lang w:eastAsia="en-US"/>
        </w:rPr>
        <w:t xml:space="preserve"> w przypadku braku </w:t>
      </w:r>
      <w:r w:rsidR="00670A8A" w:rsidRPr="00670A8A">
        <w:rPr>
          <w:rFonts w:eastAsia="Calibri"/>
          <w:lang w:eastAsia="en-US"/>
        </w:rPr>
        <w:t>zasadności zgłoszenia żądania przekazania</w:t>
      </w:r>
      <w:r w:rsidR="003D016A">
        <w:rPr>
          <w:rFonts w:eastAsia="Calibri"/>
          <w:lang w:eastAsia="en-US"/>
        </w:rPr>
        <w:t xml:space="preserve"> tego</w:t>
      </w:r>
      <w:r w:rsidR="00670A8A" w:rsidRPr="00670A8A">
        <w:rPr>
          <w:rFonts w:eastAsia="Calibri"/>
          <w:lang w:eastAsia="en-US"/>
        </w:rPr>
        <w:t xml:space="preserve"> komunikatu </w:t>
      </w:r>
      <w:r w:rsidR="00670A8A">
        <w:rPr>
          <w:rFonts w:eastAsia="Calibri"/>
          <w:lang w:eastAsia="en-US"/>
        </w:rPr>
        <w:t>lub</w:t>
      </w:r>
      <w:r w:rsidR="00670A8A" w:rsidRPr="00670A8A">
        <w:rPr>
          <w:rFonts w:eastAsia="Calibri"/>
          <w:lang w:eastAsia="en-US"/>
        </w:rPr>
        <w:t xml:space="preserve"> </w:t>
      </w:r>
      <w:r w:rsidR="00670A8A">
        <w:rPr>
          <w:rFonts w:eastAsia="Calibri"/>
          <w:lang w:eastAsia="en-US"/>
        </w:rPr>
        <w:t>niespełnieniem</w:t>
      </w:r>
      <w:r w:rsidR="00670A8A" w:rsidRPr="00670A8A">
        <w:rPr>
          <w:rFonts w:eastAsia="Calibri"/>
          <w:lang w:eastAsia="en-US"/>
        </w:rPr>
        <w:t xml:space="preserve"> wymagań technicznych</w:t>
      </w:r>
      <w:r w:rsidR="003D016A">
        <w:rPr>
          <w:rFonts w:eastAsia="Calibri"/>
          <w:lang w:eastAsia="en-US"/>
        </w:rPr>
        <w:t xml:space="preserve"> tego</w:t>
      </w:r>
      <w:r w:rsidR="00670A8A" w:rsidRPr="00670A8A">
        <w:rPr>
          <w:rFonts w:eastAsia="Calibri"/>
          <w:lang w:eastAsia="en-US"/>
        </w:rPr>
        <w:t xml:space="preserve"> komunikatu</w:t>
      </w:r>
      <w:r w:rsidR="00670A8A">
        <w:rPr>
          <w:rFonts w:eastAsia="Calibri"/>
          <w:lang w:eastAsia="en-US"/>
        </w:rPr>
        <w:t xml:space="preserve">. </w:t>
      </w:r>
    </w:p>
    <w:p w14:paraId="287E9A29" w14:textId="5F0BD9B5" w:rsidR="00207B9A" w:rsidRDefault="003D016A" w:rsidP="00CC7B0D">
      <w:pPr>
        <w:pStyle w:val="ZUSTzmustartykuempunktem"/>
        <w:rPr>
          <w:rFonts w:eastAsia="Calibri"/>
          <w:lang w:eastAsia="en-US"/>
        </w:rPr>
      </w:pPr>
      <w:r>
        <w:rPr>
          <w:rFonts w:eastAsia="Calibri"/>
          <w:lang w:eastAsia="en-US"/>
        </w:rPr>
        <w:t>27. Odmowa wysłania żądania</w:t>
      </w:r>
      <w:r w:rsidR="00695B35">
        <w:rPr>
          <w:rFonts w:eastAsia="Calibri"/>
          <w:lang w:eastAsia="en-US"/>
        </w:rPr>
        <w:t>,</w:t>
      </w:r>
      <w:r>
        <w:rPr>
          <w:rFonts w:eastAsia="Calibri"/>
          <w:lang w:eastAsia="en-US"/>
        </w:rPr>
        <w:t xml:space="preserve"> o której mowa w ust. 26</w:t>
      </w:r>
      <w:r w:rsidR="00695B35">
        <w:rPr>
          <w:rFonts w:eastAsia="Calibri"/>
          <w:lang w:eastAsia="en-US"/>
        </w:rPr>
        <w:t>,</w:t>
      </w:r>
      <w:r>
        <w:rPr>
          <w:rFonts w:eastAsia="Calibri"/>
          <w:lang w:eastAsia="en-US"/>
        </w:rPr>
        <w:t xml:space="preserve"> stanowi czynność materialno-techniczną dokonywaną w systemie teleinformatycznym, o którym mowa w ust. 18</w:t>
      </w:r>
      <w:r w:rsidR="00695B35">
        <w:rPr>
          <w:rFonts w:eastAsia="Calibri"/>
          <w:lang w:eastAsia="en-US"/>
        </w:rPr>
        <w:t>,</w:t>
      </w:r>
      <w:r>
        <w:rPr>
          <w:rFonts w:eastAsia="Calibri"/>
          <w:lang w:eastAsia="en-US"/>
        </w:rPr>
        <w:t xml:space="preserve"> </w:t>
      </w:r>
      <w:r w:rsidR="00670A8A">
        <w:rPr>
          <w:rFonts w:eastAsia="Calibri"/>
          <w:lang w:eastAsia="en-US"/>
        </w:rPr>
        <w:t>i</w:t>
      </w:r>
      <w:r w:rsidR="00670A8A" w:rsidRPr="00670A8A">
        <w:rPr>
          <w:rFonts w:eastAsia="Calibri"/>
          <w:lang w:eastAsia="en-US"/>
        </w:rPr>
        <w:t xml:space="preserve"> nie wymaga wydania decyzji</w:t>
      </w:r>
      <w:r>
        <w:rPr>
          <w:rFonts w:eastAsia="Calibri"/>
          <w:lang w:eastAsia="en-US"/>
        </w:rPr>
        <w:t xml:space="preserve"> administracyjnej</w:t>
      </w:r>
      <w:r w:rsidR="00670A8A">
        <w:rPr>
          <w:rFonts w:eastAsia="Calibri"/>
          <w:lang w:eastAsia="en-US"/>
        </w:rPr>
        <w:t>.</w:t>
      </w:r>
    </w:p>
    <w:p w14:paraId="64DA8F70" w14:textId="28A3504F" w:rsidR="00410AD2" w:rsidRDefault="00AE603A" w:rsidP="00CC7B0D">
      <w:pPr>
        <w:pStyle w:val="ZUSTzmustartykuempunktem"/>
        <w:rPr>
          <w:rFonts w:eastAsia="Calibri"/>
          <w:lang w:eastAsia="en-US"/>
        </w:rPr>
      </w:pPr>
      <w:r>
        <w:rPr>
          <w:rFonts w:eastAsia="Calibri"/>
          <w:lang w:eastAsia="en-US"/>
        </w:rPr>
        <w:t>28</w:t>
      </w:r>
      <w:r w:rsidR="0067557E">
        <w:rPr>
          <w:rFonts w:eastAsia="Calibri"/>
          <w:lang w:eastAsia="en-US"/>
        </w:rPr>
        <w:t xml:space="preserve">. Minister właściwy do spraw informatyzacji </w:t>
      </w:r>
      <w:r w:rsidR="001F0919" w:rsidRPr="001F0919">
        <w:rPr>
          <w:rFonts w:eastAsia="Calibri"/>
          <w:lang w:eastAsia="en-US"/>
        </w:rPr>
        <w:t xml:space="preserve">ogłosi w swoim dzienniku urzędowym oraz w Biuletynie Informacji Publicznej </w:t>
      </w:r>
      <w:r w:rsidR="00410AD2">
        <w:rPr>
          <w:rFonts w:eastAsia="Calibri"/>
          <w:lang w:eastAsia="en-US"/>
        </w:rPr>
        <w:t xml:space="preserve">szczegółowy zakres </w:t>
      </w:r>
      <w:r w:rsidR="00207B9A">
        <w:rPr>
          <w:rFonts w:eastAsia="Calibri"/>
          <w:lang w:eastAsia="en-US"/>
        </w:rPr>
        <w:t>weryfikacji,</w:t>
      </w:r>
      <w:r w:rsidR="00410AD2">
        <w:rPr>
          <w:rFonts w:eastAsia="Calibri"/>
          <w:lang w:eastAsia="en-US"/>
        </w:rPr>
        <w:t xml:space="preserve"> o której mowa w ust. 25</w:t>
      </w:r>
      <w:r w:rsidR="00207B9A">
        <w:rPr>
          <w:rFonts w:eastAsia="Calibri"/>
          <w:lang w:eastAsia="en-US"/>
        </w:rPr>
        <w:t xml:space="preserve">, w tym </w:t>
      </w:r>
      <w:r w:rsidR="00410AD2">
        <w:rPr>
          <w:rFonts w:eastAsia="Calibri"/>
          <w:lang w:eastAsia="en-US"/>
        </w:rPr>
        <w:t>szczegółowy zakres wymagań technicznych komunikatów informacyjnych</w:t>
      </w:r>
      <w:r w:rsidR="00695B35">
        <w:rPr>
          <w:rFonts w:eastAsia="Calibri"/>
          <w:lang w:eastAsia="en-US"/>
        </w:rPr>
        <w:t>,</w:t>
      </w:r>
      <w:r w:rsidR="00410AD2">
        <w:rPr>
          <w:rFonts w:eastAsia="Calibri"/>
          <w:lang w:eastAsia="en-US"/>
        </w:rPr>
        <w:t xml:space="preserve"> o których mowa w ust. 1, w szczególności:</w:t>
      </w:r>
    </w:p>
    <w:p w14:paraId="3C594352" w14:textId="1573C55A" w:rsidR="00410AD2" w:rsidRDefault="00410AD2" w:rsidP="00CC7B0D">
      <w:pPr>
        <w:pStyle w:val="ZUSTzmustartykuempunktem"/>
        <w:rPr>
          <w:rFonts w:eastAsia="Calibri"/>
          <w:lang w:eastAsia="en-US"/>
        </w:rPr>
      </w:pPr>
      <w:r>
        <w:rPr>
          <w:rFonts w:eastAsia="Calibri"/>
          <w:lang w:eastAsia="en-US"/>
        </w:rPr>
        <w:t>1)</w:t>
      </w:r>
      <w:r w:rsidR="001F0919">
        <w:rPr>
          <w:rFonts w:eastAsia="Calibri"/>
          <w:lang w:eastAsia="en-US"/>
        </w:rPr>
        <w:tab/>
      </w:r>
      <w:r>
        <w:rPr>
          <w:rFonts w:eastAsia="Calibri"/>
          <w:lang w:eastAsia="en-US"/>
        </w:rPr>
        <w:t>maksymalną dopuszczalną częstotliwość zgłaszania przez podmiot uprawniony żądania przekazania komunikatów informacyjnych,</w:t>
      </w:r>
    </w:p>
    <w:p w14:paraId="4F332C6F" w14:textId="23D971F7" w:rsidR="00410AD2" w:rsidRDefault="00410AD2" w:rsidP="00CC7B0D">
      <w:pPr>
        <w:pStyle w:val="ZUSTzmustartykuempunktem"/>
        <w:rPr>
          <w:rFonts w:eastAsia="Calibri"/>
          <w:lang w:eastAsia="en-US"/>
        </w:rPr>
      </w:pPr>
      <w:r>
        <w:rPr>
          <w:rFonts w:eastAsia="Calibri"/>
          <w:lang w:eastAsia="en-US"/>
        </w:rPr>
        <w:t>2)</w:t>
      </w:r>
      <w:r w:rsidR="001F0919">
        <w:rPr>
          <w:rFonts w:eastAsia="Calibri"/>
          <w:lang w:eastAsia="en-US"/>
        </w:rPr>
        <w:tab/>
      </w:r>
      <w:r>
        <w:rPr>
          <w:rFonts w:eastAsia="Calibri"/>
          <w:lang w:eastAsia="en-US"/>
        </w:rPr>
        <w:t>dopuszczalnych czasów dostarczenia komunikatów informacyjnych,</w:t>
      </w:r>
    </w:p>
    <w:p w14:paraId="7196931D" w14:textId="5F0F81E7" w:rsidR="00410AD2" w:rsidRDefault="00410AD2" w:rsidP="00CC7B0D">
      <w:pPr>
        <w:pStyle w:val="ZUSTzmustartykuempunktem"/>
        <w:rPr>
          <w:rFonts w:eastAsia="Calibri"/>
          <w:lang w:eastAsia="en-US"/>
        </w:rPr>
      </w:pPr>
      <w:r>
        <w:rPr>
          <w:rFonts w:eastAsia="Calibri"/>
          <w:lang w:eastAsia="en-US"/>
        </w:rPr>
        <w:t>3)</w:t>
      </w:r>
      <w:r w:rsidR="001F0919">
        <w:rPr>
          <w:rFonts w:eastAsia="Calibri"/>
          <w:lang w:eastAsia="en-US"/>
        </w:rPr>
        <w:tab/>
      </w:r>
      <w:r>
        <w:rPr>
          <w:rFonts w:eastAsia="Calibri"/>
          <w:lang w:eastAsia="en-US"/>
        </w:rPr>
        <w:t>zakresu i dopuszczalnej długości znaków w komunikacie informacyjnym,</w:t>
      </w:r>
    </w:p>
    <w:p w14:paraId="0AEB551E" w14:textId="5B2AEBC5" w:rsidR="00D86BAF" w:rsidRPr="00A1586C" w:rsidRDefault="00410AD2" w:rsidP="00CC7B0D">
      <w:pPr>
        <w:pStyle w:val="ZUSTzmustartykuempunktem"/>
        <w:rPr>
          <w:rFonts w:eastAsia="Calibri"/>
          <w:lang w:eastAsia="en-US"/>
        </w:rPr>
      </w:pPr>
      <w:r>
        <w:rPr>
          <w:rFonts w:eastAsia="Calibri"/>
          <w:lang w:eastAsia="en-US"/>
        </w:rPr>
        <w:t>4)</w:t>
      </w:r>
      <w:r w:rsidR="001F0919">
        <w:rPr>
          <w:rFonts w:eastAsia="Calibri"/>
          <w:lang w:eastAsia="en-US"/>
        </w:rPr>
        <w:tab/>
      </w:r>
      <w:r>
        <w:rPr>
          <w:rFonts w:eastAsia="Calibri"/>
          <w:lang w:eastAsia="en-US"/>
        </w:rPr>
        <w:t>wymagań w zakresie umiejscawiania odnośników zewnętrznych w komunikatach informacyjnych.</w:t>
      </w:r>
      <w:r w:rsidR="00D86BAF" w:rsidRPr="00A1586C">
        <w:rPr>
          <w:rFonts w:eastAsia="Calibri"/>
          <w:lang w:eastAsia="en-US"/>
        </w:rPr>
        <w:t>”</w:t>
      </w:r>
      <w:r w:rsidR="00931AFD" w:rsidRPr="00A1586C">
        <w:t>.</w:t>
      </w:r>
    </w:p>
    <w:p w14:paraId="012D073D" w14:textId="37169013" w:rsidR="00D86BAF" w:rsidRPr="00A1586C" w:rsidRDefault="00D86BAF" w:rsidP="008C4FE3">
      <w:pPr>
        <w:pStyle w:val="ARTartustawynprozporzdzenia"/>
        <w:rPr>
          <w:rFonts w:eastAsia="Calibri"/>
          <w:lang w:eastAsia="en-US"/>
        </w:rPr>
      </w:pPr>
      <w:r w:rsidRPr="00A1586C">
        <w:rPr>
          <w:rFonts w:eastAsia="Calibri"/>
          <w:b/>
          <w:lang w:eastAsia="en-US"/>
        </w:rPr>
        <w:t>Art. 2.</w:t>
      </w:r>
      <w:r w:rsidRPr="00A1586C">
        <w:rPr>
          <w:rFonts w:eastAsia="Calibri"/>
          <w:lang w:eastAsia="en-US"/>
        </w:rPr>
        <w:t xml:space="preserve"> W </w:t>
      </w:r>
      <w:r w:rsidRPr="00A1586C">
        <w:rPr>
          <w:rFonts w:eastAsia="Calibri"/>
          <w:iCs/>
          <w:lang w:eastAsia="en-US"/>
        </w:rPr>
        <w:t>ustawy z dnia 16 lipca 2004 r. – Prawo telekomunikacyjne</w:t>
      </w:r>
      <w:r w:rsidRPr="00A1586C">
        <w:rPr>
          <w:rFonts w:eastAsia="Calibri"/>
          <w:lang w:eastAsia="en-US"/>
        </w:rPr>
        <w:t xml:space="preserve"> w art. 209 w ust. 1</w:t>
      </w:r>
      <w:r w:rsidRPr="00A1586C">
        <w:rPr>
          <w:rFonts w:eastAsia="Calibri"/>
          <w:vertAlign w:val="superscript"/>
          <w:lang w:eastAsia="en-US"/>
        </w:rPr>
        <w:t>1</w:t>
      </w:r>
      <w:r w:rsidRPr="00A1586C">
        <w:rPr>
          <w:rFonts w:eastAsia="Calibri"/>
          <w:lang w:eastAsia="en-US"/>
        </w:rPr>
        <w:t xml:space="preserve"> dodaje się pkt 4 w brzmieniu:</w:t>
      </w:r>
    </w:p>
    <w:p w14:paraId="3A4E5CDE" w14:textId="769DA9B0" w:rsidR="00F612BB" w:rsidRPr="00F612BB" w:rsidRDefault="00D86BAF" w:rsidP="00F612BB">
      <w:pPr>
        <w:pStyle w:val="ZPKTzmpktartykuempunktem"/>
        <w:rPr>
          <w:rFonts w:eastAsia="Calibri"/>
          <w:lang w:eastAsia="en-US"/>
        </w:rPr>
      </w:pPr>
      <w:r w:rsidRPr="00A1586C">
        <w:rPr>
          <w:rFonts w:eastAsia="Calibri"/>
          <w:lang w:eastAsia="en-US"/>
        </w:rPr>
        <w:lastRenderedPageBreak/>
        <w:t>„4)</w:t>
      </w:r>
      <w:r w:rsidR="00260E54" w:rsidRPr="00A1586C">
        <w:tab/>
      </w:r>
      <w:r w:rsidRPr="00A1586C">
        <w:rPr>
          <w:rFonts w:eastAsia="Calibri"/>
          <w:lang w:eastAsia="en-US"/>
        </w:rPr>
        <w:t xml:space="preserve">nie wypełnia obowiązku o którym mowa w art. 20c ust. 11 pkt 1 lub pkt 2 lub </w:t>
      </w:r>
      <w:r w:rsidR="00260E54" w:rsidRPr="00A1586C">
        <w:t xml:space="preserve">art. 20ga </w:t>
      </w:r>
      <w:r w:rsidRPr="00A1586C">
        <w:rPr>
          <w:rFonts w:eastAsia="Calibri"/>
          <w:lang w:eastAsia="en-US"/>
        </w:rPr>
        <w:t xml:space="preserve">ust. </w:t>
      </w:r>
      <w:r w:rsidR="00CC7D6F" w:rsidRPr="00A1586C">
        <w:t>1</w:t>
      </w:r>
      <w:r w:rsidRPr="00A1586C">
        <w:rPr>
          <w:rFonts w:eastAsia="Calibri"/>
          <w:lang w:eastAsia="en-US"/>
        </w:rPr>
        <w:t xml:space="preserve"> pkt 1 lub pkt 2 ustawy z dnia 17 lutego 2005 r. o informatyzacji działalności podmiotów realizujących zadania publiczne.”</w:t>
      </w:r>
      <w:r w:rsidR="00931AFD" w:rsidRPr="00A1586C">
        <w:t>.</w:t>
      </w:r>
    </w:p>
    <w:p w14:paraId="1597A0F7" w14:textId="57D11DA3" w:rsidR="00D86BAF" w:rsidRPr="00A1586C" w:rsidRDefault="00D86BAF">
      <w:pPr>
        <w:pStyle w:val="ARTartustawynprozporzdzenia"/>
        <w:rPr>
          <w:rFonts w:eastAsia="Calibri"/>
          <w:lang w:eastAsia="en-US"/>
        </w:rPr>
      </w:pPr>
      <w:r w:rsidRPr="00A1586C">
        <w:rPr>
          <w:rStyle w:val="Ppogrubienie"/>
        </w:rPr>
        <w:t>Art. 3.</w:t>
      </w:r>
      <w:r w:rsidRPr="00A1586C">
        <w:rPr>
          <w:rFonts w:eastAsia="Calibri"/>
          <w:lang w:eastAsia="en-US"/>
        </w:rPr>
        <w:t xml:space="preserve"> 1. Wniosek dotyczący sumy wysokości opłat, o których mowa w art. </w:t>
      </w:r>
      <w:r w:rsidR="00260E54" w:rsidRPr="00A1586C">
        <w:t>20ga</w:t>
      </w:r>
      <w:r w:rsidR="00260E54" w:rsidRPr="00A1586C">
        <w:rPr>
          <w:rFonts w:eastAsia="Calibri"/>
          <w:lang w:eastAsia="en-US"/>
        </w:rPr>
        <w:t xml:space="preserve"> </w:t>
      </w:r>
      <w:r w:rsidRPr="00A1586C">
        <w:rPr>
          <w:rFonts w:eastAsia="Calibri"/>
          <w:lang w:eastAsia="en-US"/>
        </w:rPr>
        <w:t xml:space="preserve">ust. </w:t>
      </w:r>
      <w:r w:rsidR="00260E54" w:rsidRPr="00A1586C">
        <w:t>12</w:t>
      </w:r>
      <w:r w:rsidRPr="00A1586C">
        <w:rPr>
          <w:rFonts w:eastAsia="Calibri"/>
          <w:lang w:eastAsia="en-US"/>
        </w:rPr>
        <w:t xml:space="preserve"> ustawy zmienianej</w:t>
      </w:r>
      <w:r w:rsidR="00260E54" w:rsidRPr="00A1586C">
        <w:t xml:space="preserve"> w art. 1</w:t>
      </w:r>
      <w:r w:rsidRPr="00A1586C">
        <w:rPr>
          <w:rFonts w:eastAsia="Calibri"/>
          <w:lang w:eastAsia="en-US"/>
        </w:rPr>
        <w:t xml:space="preserve">, należnych za część roku kalendarzowego składa się nie wcześniej niż w miesiącu następującym po miesiącu, w którym rozpoczęto udostępnianie możliwości skorzystania z usług, o których mowa w </w:t>
      </w:r>
      <w:r w:rsidR="00260E54" w:rsidRPr="00A1586C">
        <w:t xml:space="preserve">art. 20c </w:t>
      </w:r>
      <w:r w:rsidR="00F70CC4">
        <w:rPr>
          <w:rFonts w:eastAsia="Calibri"/>
          <w:lang w:eastAsia="en-US"/>
        </w:rPr>
        <w:t>ust. 11 lub</w:t>
      </w:r>
      <w:r w:rsidRPr="00A1586C">
        <w:rPr>
          <w:rFonts w:eastAsia="Calibri"/>
          <w:lang w:eastAsia="en-US"/>
        </w:rPr>
        <w:t xml:space="preserve"> </w:t>
      </w:r>
      <w:r w:rsidR="00260E54" w:rsidRPr="00A1586C">
        <w:t>art. 20ga ust. 1</w:t>
      </w:r>
      <w:r w:rsidR="000443E4" w:rsidRPr="00A1586C">
        <w:t>, j</w:t>
      </w:r>
      <w:r w:rsidR="00260E54" w:rsidRPr="00A1586C">
        <w:t xml:space="preserve">ednak </w:t>
      </w:r>
      <w:r w:rsidRPr="00A1586C">
        <w:rPr>
          <w:rFonts w:eastAsia="Calibri"/>
          <w:lang w:eastAsia="en-US"/>
        </w:rPr>
        <w:t xml:space="preserve">nie później niż trzy miesiące po upływie roku, którego dotyczy wniosek. </w:t>
      </w:r>
    </w:p>
    <w:p w14:paraId="7506E717" w14:textId="73E231E1" w:rsidR="00D86BAF" w:rsidRPr="00A1586C" w:rsidRDefault="00D86BAF" w:rsidP="008C4FE3">
      <w:pPr>
        <w:pStyle w:val="USTustnpkodeksu"/>
        <w:rPr>
          <w:rFonts w:eastAsia="Calibri"/>
          <w:lang w:eastAsia="en-US"/>
        </w:rPr>
      </w:pPr>
      <w:r w:rsidRPr="00A1586C">
        <w:rPr>
          <w:rFonts w:eastAsia="Calibri"/>
          <w:lang w:eastAsia="en-US"/>
        </w:rPr>
        <w:t>2. Wysokość obniżenia opłaty, o której mowa w art. 20</w:t>
      </w:r>
      <w:r w:rsidR="00260E54" w:rsidRPr="00A1586C">
        <w:t>ga</w:t>
      </w:r>
      <w:r w:rsidRPr="00A1586C">
        <w:rPr>
          <w:rFonts w:eastAsia="Calibri"/>
          <w:lang w:eastAsia="en-US"/>
        </w:rPr>
        <w:t xml:space="preserve"> ust. </w:t>
      </w:r>
      <w:r w:rsidR="00260E54" w:rsidRPr="00A1586C">
        <w:t>12</w:t>
      </w:r>
      <w:r w:rsidRPr="00A1586C">
        <w:rPr>
          <w:rFonts w:eastAsia="Calibri"/>
          <w:lang w:eastAsia="en-US"/>
        </w:rPr>
        <w:t xml:space="preserve"> ustawy zmienianej</w:t>
      </w:r>
      <w:r w:rsidR="00260E54" w:rsidRPr="00A1586C">
        <w:t xml:space="preserve"> w art. 1</w:t>
      </w:r>
      <w:r w:rsidRPr="00A1586C">
        <w:rPr>
          <w:rFonts w:eastAsia="Calibri"/>
          <w:lang w:eastAsia="en-US"/>
        </w:rPr>
        <w:t>, w przypadku, o którym mowa w ust. 1</w:t>
      </w:r>
      <w:r w:rsidR="00197CD0">
        <w:rPr>
          <w:rFonts w:eastAsia="Calibri"/>
          <w:lang w:eastAsia="en-US"/>
        </w:rPr>
        <w:t>,</w:t>
      </w:r>
      <w:r w:rsidRPr="00A1586C">
        <w:rPr>
          <w:rFonts w:eastAsia="Calibri"/>
          <w:lang w:eastAsia="en-US"/>
        </w:rPr>
        <w:t xml:space="preserve"> wynosi nie więcej niż 20% tej opłaty w części proporcjonalnej do ilości pełnych miesięcy roku, w których udostępniono możliwość skorzystania z usług, o których mowa w </w:t>
      </w:r>
      <w:r w:rsidR="00260E54" w:rsidRPr="00A1586C">
        <w:t xml:space="preserve">art. 20c </w:t>
      </w:r>
      <w:r w:rsidRPr="00A1586C">
        <w:rPr>
          <w:rFonts w:eastAsia="Calibri"/>
          <w:lang w:eastAsia="en-US"/>
        </w:rPr>
        <w:t xml:space="preserve">ust. 11 pkt 1 lub pkt 2 lub </w:t>
      </w:r>
      <w:r w:rsidR="00260E54" w:rsidRPr="00A1586C">
        <w:t xml:space="preserve">art. 20ga ust. </w:t>
      </w:r>
      <w:r w:rsidR="00D844F9" w:rsidRPr="00A1586C">
        <w:t>4</w:t>
      </w:r>
      <w:r w:rsidR="00260E54" w:rsidRPr="00A1586C">
        <w:t xml:space="preserve"> ustawy zmienianej w art. 1</w:t>
      </w:r>
      <w:r w:rsidR="00197CD0">
        <w:t>,</w:t>
      </w:r>
      <w:r w:rsidR="00260E54" w:rsidRPr="00A1586C">
        <w:t xml:space="preserve"> </w:t>
      </w:r>
      <w:r w:rsidRPr="00A1586C">
        <w:rPr>
          <w:rFonts w:eastAsia="Calibri"/>
          <w:lang w:eastAsia="en-US"/>
        </w:rPr>
        <w:t xml:space="preserve">oraz uzyskano prawo do obniżenia opłaty i określona jest przez dostawcę usług telekomunikacyjnych zgodnie z iloczynem określonym w </w:t>
      </w:r>
      <w:r w:rsidR="00260E54" w:rsidRPr="00A1586C">
        <w:t xml:space="preserve">art. 20ga </w:t>
      </w:r>
      <w:r w:rsidRPr="00A1586C">
        <w:rPr>
          <w:rFonts w:eastAsia="Calibri"/>
          <w:lang w:eastAsia="en-US"/>
        </w:rPr>
        <w:t xml:space="preserve">ust. </w:t>
      </w:r>
      <w:r w:rsidR="000443E4" w:rsidRPr="00A1586C">
        <w:t>13</w:t>
      </w:r>
      <w:r w:rsidR="00260E54" w:rsidRPr="00A1586C">
        <w:rPr>
          <w:rFonts w:eastAsia="Calibri"/>
          <w:lang w:eastAsia="en-US"/>
        </w:rPr>
        <w:t xml:space="preserve"> </w:t>
      </w:r>
      <w:r w:rsidRPr="00A1586C">
        <w:rPr>
          <w:rFonts w:eastAsia="Calibri"/>
          <w:lang w:eastAsia="en-US"/>
        </w:rPr>
        <w:t>pkt 1-3</w:t>
      </w:r>
      <w:r w:rsidR="00260E54" w:rsidRPr="00A1586C">
        <w:t xml:space="preserve"> ustawy zmienianej w art. 1</w:t>
      </w:r>
      <w:r w:rsidRPr="00A1586C">
        <w:rPr>
          <w:rFonts w:eastAsia="Calibri"/>
          <w:lang w:eastAsia="en-US"/>
        </w:rPr>
        <w:t>.</w:t>
      </w:r>
    </w:p>
    <w:p w14:paraId="1BFC1C9E" w14:textId="448B1FC9" w:rsidR="00D04F06" w:rsidRDefault="003736D5" w:rsidP="008C4FE3">
      <w:pPr>
        <w:pStyle w:val="USTustnpkodeksu"/>
        <w:rPr>
          <w:rFonts w:eastAsia="Times New Roman"/>
        </w:rPr>
      </w:pPr>
      <w:r>
        <w:rPr>
          <w:rFonts w:eastAsia="Times New Roman"/>
        </w:rPr>
        <w:t>3</w:t>
      </w:r>
      <w:r w:rsidR="00D86BAF" w:rsidRPr="00D86BAF">
        <w:rPr>
          <w:rFonts w:eastAsia="Times New Roman"/>
        </w:rPr>
        <w:t xml:space="preserve">. Minister właściwy do spraw informatyzacji ogłasza </w:t>
      </w:r>
      <w:r w:rsidR="00D04F06" w:rsidRPr="00D86BAF">
        <w:rPr>
          <w:rFonts w:eastAsia="Times New Roman"/>
        </w:rPr>
        <w:t xml:space="preserve">w swoim dzienniku urzędowym oraz w Biuletynie Informacji Publicznej, </w:t>
      </w:r>
      <w:r w:rsidR="00D86BAF" w:rsidRPr="00D86BAF">
        <w:rPr>
          <w:rFonts w:eastAsia="Times New Roman"/>
        </w:rPr>
        <w:t>termin</w:t>
      </w:r>
      <w:r w:rsidR="00D04F06">
        <w:rPr>
          <w:rFonts w:eastAsia="Times New Roman"/>
        </w:rPr>
        <w:t>y:</w:t>
      </w:r>
    </w:p>
    <w:p w14:paraId="329791B1" w14:textId="0A666468" w:rsidR="007E6BF4" w:rsidRPr="00A1586C" w:rsidRDefault="00D04F06" w:rsidP="00197CD0">
      <w:pPr>
        <w:pStyle w:val="PKTpunkt"/>
        <w:rPr>
          <w:rFonts w:eastAsia="Calibri"/>
          <w:lang w:eastAsia="en-US"/>
        </w:rPr>
      </w:pPr>
      <w:r w:rsidRPr="00A1586C">
        <w:rPr>
          <w:rFonts w:eastAsia="Times New Roman"/>
        </w:rPr>
        <w:t>1)</w:t>
      </w:r>
      <w:r w:rsidRPr="00A1586C">
        <w:rPr>
          <w:rFonts w:eastAsia="Times New Roman"/>
        </w:rPr>
        <w:tab/>
      </w:r>
      <w:r w:rsidR="007E6BF4" w:rsidRPr="00A1586C">
        <w:rPr>
          <w:rFonts w:eastAsia="Times New Roman"/>
        </w:rPr>
        <w:t xml:space="preserve">uruchomienia </w:t>
      </w:r>
      <w:r w:rsidR="007E6BF4" w:rsidRPr="00A1586C">
        <w:rPr>
          <w:rFonts w:eastAsia="Calibri"/>
          <w:lang w:eastAsia="en-US"/>
        </w:rPr>
        <w:t xml:space="preserve">systemu teleinformatycznego, o którym mowa w art. 20ga ust. </w:t>
      </w:r>
      <w:r w:rsidR="007E6BF4" w:rsidRPr="00A1586C">
        <w:t xml:space="preserve">18 </w:t>
      </w:r>
      <w:r w:rsidR="007E6BF4" w:rsidRPr="00A1586C">
        <w:rPr>
          <w:rFonts w:eastAsia="Calibri"/>
          <w:lang w:eastAsia="en-US"/>
        </w:rPr>
        <w:t>ustawy zmienianej w art. 1;</w:t>
      </w:r>
    </w:p>
    <w:p w14:paraId="4AE3A9F1" w14:textId="60CB80C6" w:rsidR="003736D5" w:rsidRPr="00A1586C" w:rsidRDefault="007E6BF4" w:rsidP="00197CD0">
      <w:pPr>
        <w:pStyle w:val="PKTpunkt"/>
        <w:rPr>
          <w:rFonts w:eastAsia="Times New Roman"/>
        </w:rPr>
      </w:pPr>
      <w:r w:rsidRPr="00A1586C">
        <w:rPr>
          <w:rFonts w:eastAsia="Times New Roman"/>
        </w:rPr>
        <w:t>2)</w:t>
      </w:r>
      <w:r w:rsidRPr="00A1586C">
        <w:rPr>
          <w:rFonts w:eastAsia="Times New Roman"/>
        </w:rPr>
        <w:tab/>
        <w:t>ud</w:t>
      </w:r>
      <w:r w:rsidR="003736D5" w:rsidRPr="00A1586C">
        <w:rPr>
          <w:rFonts w:eastAsia="Times New Roman"/>
        </w:rPr>
        <w:t xml:space="preserve">ostępnienia </w:t>
      </w:r>
      <w:r w:rsidR="00D86BAF" w:rsidRPr="00A1586C">
        <w:rPr>
          <w:rFonts w:eastAsia="Times New Roman"/>
        </w:rPr>
        <w:t>usług</w:t>
      </w:r>
      <w:r w:rsidRPr="00A1586C">
        <w:rPr>
          <w:rFonts w:eastAsia="Times New Roman"/>
        </w:rPr>
        <w:t xml:space="preserve"> umożliwiających</w:t>
      </w:r>
      <w:r w:rsidR="003736D5" w:rsidRPr="00A1586C">
        <w:rPr>
          <w:rFonts w:eastAsia="Times New Roman"/>
        </w:rPr>
        <w:t>:</w:t>
      </w:r>
    </w:p>
    <w:p w14:paraId="1836D993" w14:textId="332BB8D0" w:rsidR="003736D5" w:rsidRPr="00A1586C" w:rsidRDefault="007E6BF4" w:rsidP="00197CD0">
      <w:pPr>
        <w:pStyle w:val="LITlitera"/>
        <w:rPr>
          <w:rFonts w:eastAsia="Times New Roman"/>
        </w:rPr>
      </w:pPr>
      <w:r w:rsidRPr="00A1586C">
        <w:rPr>
          <w:rFonts w:eastAsia="Times New Roman"/>
        </w:rPr>
        <w:t>a</w:t>
      </w:r>
      <w:r w:rsidR="00A00287" w:rsidRPr="00A1586C">
        <w:rPr>
          <w:rFonts w:eastAsia="Times New Roman"/>
        </w:rPr>
        <w:t>)</w:t>
      </w:r>
      <w:r w:rsidR="00A00287" w:rsidRPr="00A1586C">
        <w:rPr>
          <w:rFonts w:eastAsia="Times New Roman"/>
        </w:rPr>
        <w:tab/>
      </w:r>
      <w:r w:rsidR="003736D5" w:rsidRPr="00A1586C">
        <w:rPr>
          <w:rFonts w:eastAsia="Times New Roman"/>
        </w:rPr>
        <w:t>dostawcom usług telekomunikacyjnych przyłączenie się do systemu teleinformatycznego, o którym mowa w art. 20ga ust. 18 ustawy zmienianej w art. 1</w:t>
      </w:r>
      <w:r w:rsidR="004D55D1">
        <w:rPr>
          <w:rFonts w:eastAsia="Times New Roman"/>
        </w:rPr>
        <w:t xml:space="preserve"> w terminie nie krótszym niż 1 miesiąc od dnia udostęp</w:t>
      </w:r>
      <w:r w:rsidR="00695B35">
        <w:rPr>
          <w:rFonts w:eastAsia="Times New Roman"/>
        </w:rPr>
        <w:t>nie</w:t>
      </w:r>
      <w:r w:rsidR="004D55D1">
        <w:rPr>
          <w:rFonts w:eastAsia="Times New Roman"/>
        </w:rPr>
        <w:t>nia usługi</w:t>
      </w:r>
      <w:r w:rsidR="003736D5" w:rsidRPr="00A1586C">
        <w:rPr>
          <w:rFonts w:eastAsia="Times New Roman"/>
        </w:rPr>
        <w:t>;</w:t>
      </w:r>
    </w:p>
    <w:p w14:paraId="30F05775" w14:textId="7F8C42FC" w:rsidR="00D86BAF" w:rsidRPr="00A1586C" w:rsidRDefault="007E6BF4" w:rsidP="00197CD0">
      <w:pPr>
        <w:pStyle w:val="LITlitera"/>
        <w:rPr>
          <w:rFonts w:eastAsia="Times New Roman"/>
        </w:rPr>
      </w:pPr>
      <w:r w:rsidRPr="00A1586C">
        <w:rPr>
          <w:rFonts w:eastAsia="Times New Roman"/>
        </w:rPr>
        <w:t>b</w:t>
      </w:r>
      <w:r w:rsidR="00A00287" w:rsidRPr="00A1586C">
        <w:rPr>
          <w:rFonts w:eastAsia="Times New Roman"/>
        </w:rPr>
        <w:t>)</w:t>
      </w:r>
      <w:r w:rsidR="00A00287" w:rsidRPr="00A1586C">
        <w:rPr>
          <w:rFonts w:eastAsia="Times New Roman"/>
        </w:rPr>
        <w:tab/>
      </w:r>
      <w:r w:rsidR="003736D5" w:rsidRPr="00A1586C">
        <w:rPr>
          <w:rFonts w:eastAsia="Times New Roman"/>
        </w:rPr>
        <w:t xml:space="preserve">podmiotom, o których mowa art. </w:t>
      </w:r>
      <w:r w:rsidR="003736D5" w:rsidRPr="00A1586C">
        <w:rPr>
          <w:rFonts w:cs="Times New Roman"/>
          <w:iCs/>
          <w:spacing w:val="-6"/>
          <w:szCs w:val="24"/>
        </w:rPr>
        <w:t>art. 2 ust. 1 pkt 1, 2 i 4-8</w:t>
      </w:r>
      <w:r w:rsidR="003736D5" w:rsidRPr="00A1586C">
        <w:rPr>
          <w:rFonts w:eastAsia="Calibri"/>
          <w:lang w:eastAsia="en-US"/>
        </w:rPr>
        <w:t xml:space="preserve"> ustawy zmienianej w art. 1</w:t>
      </w:r>
      <w:r w:rsidR="003736D5" w:rsidRPr="00A1586C">
        <w:rPr>
          <w:rFonts w:eastAsia="Times New Roman"/>
        </w:rPr>
        <w:t>, zgłaszanie żądań, o których mowa w art. 20ga ust. 1 ustawy zmienianej w art. 1, z wykorzystaniem systemu teleinformatycznego, o którym mowa w art. 20ga ust</w:t>
      </w:r>
      <w:r w:rsidR="00197CD0">
        <w:rPr>
          <w:rFonts w:eastAsia="Times New Roman"/>
        </w:rPr>
        <w:t>. 18 ustawy zmienianej w art. 1.</w:t>
      </w:r>
      <w:r w:rsidR="003736D5" w:rsidRPr="00A1586C">
        <w:rPr>
          <w:rFonts w:eastAsia="Times New Roman"/>
        </w:rPr>
        <w:t xml:space="preserve"> </w:t>
      </w:r>
    </w:p>
    <w:p w14:paraId="259837C1" w14:textId="125A7F4C" w:rsidR="003736D5" w:rsidRPr="00D86BAF" w:rsidRDefault="003736D5" w:rsidP="003736D5">
      <w:pPr>
        <w:pStyle w:val="USTustnpkodeksu"/>
        <w:rPr>
          <w:rFonts w:eastAsia="Times New Roman"/>
        </w:rPr>
      </w:pPr>
      <w:r w:rsidRPr="00A1586C">
        <w:rPr>
          <w:rFonts w:eastAsia="Times New Roman"/>
        </w:rPr>
        <w:t>4. Termin</w:t>
      </w:r>
      <w:r w:rsidR="00197CD0">
        <w:rPr>
          <w:rFonts w:eastAsia="Times New Roman"/>
        </w:rPr>
        <w:t>y, o których</w:t>
      </w:r>
      <w:r w:rsidRPr="00A1586C">
        <w:rPr>
          <w:rFonts w:eastAsia="Times New Roman"/>
        </w:rPr>
        <w:t xml:space="preserve"> mowa w ust. 3</w:t>
      </w:r>
      <w:r w:rsidR="00AB4BA0" w:rsidRPr="00A1586C">
        <w:rPr>
          <w:rFonts w:eastAsia="Times New Roman"/>
        </w:rPr>
        <w:t xml:space="preserve"> pkt 1 i 2</w:t>
      </w:r>
      <w:r w:rsidR="00197CD0">
        <w:rPr>
          <w:rFonts w:eastAsia="Times New Roman"/>
        </w:rPr>
        <w:t>, nie mogą</w:t>
      </w:r>
      <w:r w:rsidRPr="00A1586C">
        <w:rPr>
          <w:rFonts w:eastAsia="Times New Roman"/>
        </w:rPr>
        <w:t xml:space="preserve"> być późniejsz</w:t>
      </w:r>
      <w:r w:rsidR="00197CD0">
        <w:rPr>
          <w:rFonts w:eastAsia="Times New Roman"/>
        </w:rPr>
        <w:t>e</w:t>
      </w:r>
      <w:r w:rsidRPr="00A1586C">
        <w:rPr>
          <w:rFonts w:eastAsia="Times New Roman"/>
        </w:rPr>
        <w:t xml:space="preserve"> niż 24 miesiące od dnia ogłoszenia ustawy.</w:t>
      </w:r>
    </w:p>
    <w:p w14:paraId="0F6CEDFF" w14:textId="32933938" w:rsidR="00D86BAF" w:rsidRPr="00D86BAF" w:rsidRDefault="00D86BAF" w:rsidP="00AF0BD8">
      <w:pPr>
        <w:pStyle w:val="ARTartustawynprozporzdzenia"/>
        <w:rPr>
          <w:rFonts w:eastAsia="Times New Roman" w:cs="Times New Roman"/>
          <w:szCs w:val="24"/>
        </w:rPr>
      </w:pPr>
      <w:r w:rsidRPr="00D86BAF">
        <w:rPr>
          <w:rFonts w:eastAsia="Times New Roman"/>
          <w:b/>
        </w:rPr>
        <w:t>Art. 4.</w:t>
      </w:r>
      <w:r w:rsidRPr="00D86BAF">
        <w:rPr>
          <w:rFonts w:eastAsia="Times New Roman"/>
        </w:rPr>
        <w:t xml:space="preserve"> Ustawa wchodzi w życie po upływie 14 dni od dnia ogłoszenia.</w:t>
      </w:r>
      <w:r w:rsidRPr="00D86BAF">
        <w:rPr>
          <w:rFonts w:eastAsia="Calibri" w:cs="Times New Roman"/>
          <w:sz w:val="22"/>
          <w:szCs w:val="24"/>
          <w:lang w:eastAsia="en-US"/>
        </w:rPr>
        <w:br w:type="page"/>
      </w:r>
    </w:p>
    <w:p w14:paraId="60F2F613" w14:textId="77777777" w:rsidR="00D86BAF" w:rsidRPr="00D86BAF" w:rsidRDefault="00D86BAF" w:rsidP="00646A1E">
      <w:pPr>
        <w:widowControl/>
        <w:suppressAutoHyphens/>
        <w:spacing w:before="120" w:after="120"/>
        <w:ind w:firstLine="510"/>
        <w:jc w:val="center"/>
        <w:rPr>
          <w:rFonts w:eastAsia="Times New Roman" w:cs="Times New Roman"/>
        </w:rPr>
      </w:pPr>
      <w:r w:rsidRPr="00D86BAF">
        <w:rPr>
          <w:rFonts w:ascii="Times" w:eastAsia="Times New Roman" w:hAnsi="Times"/>
          <w:b/>
        </w:rPr>
        <w:lastRenderedPageBreak/>
        <w:t>Uzasadnienie</w:t>
      </w:r>
    </w:p>
    <w:p w14:paraId="63D717B5" w14:textId="77777777" w:rsidR="00D86BAF" w:rsidRPr="00D86BAF" w:rsidRDefault="00D86BAF" w:rsidP="00A0788F">
      <w:pPr>
        <w:widowControl/>
        <w:suppressAutoHyphens/>
        <w:spacing w:after="120"/>
        <w:ind w:firstLine="510"/>
        <w:jc w:val="both"/>
        <w:rPr>
          <w:rFonts w:eastAsia="MS Mincho" w:cs="Times New Roman"/>
          <w:bCs/>
        </w:rPr>
      </w:pPr>
      <w:r w:rsidRPr="00D86BAF">
        <w:rPr>
          <w:rFonts w:eastAsia="MS Mincho" w:cs="Times New Roman"/>
          <w:bCs/>
        </w:rPr>
        <w:t>Projektowane przepisy mają na celu umożliwienie zastosowania w procesach uwierzytelniania za pomocą profilu zaufanego wygodniejszego dla użytkowników sposobu wykorzystania posiadanego numeru telefonu komórkowego jako jednego z czynników uwierzytelniania. Profil zaufany jako środek identyfikacji elektronicznej przygotowywany do notyfikacji na średnim poziomie bezpieczeństwa, o którym mowa w art. 8 ust. 2 lit a rozporządzenia Parlamentu Europejskiego i Rady (UE) nr 910/2014 w sprawie identyfikacji elektronicznej i usług zaufania w odniesieniu do transakcji elektronicznych na rynku wewnętrznym oraz uchylającego dyrektywę 1999/93/WE (Dz. U. L 257 z 28.8.2014, s. 3–114), wymaga zastosowania co najmniej dwóch czynników uwierzytelniania należących do różnych kategorii wskazanych w przepisach wykonawczych wydanych na podstawie art. 8 ust. 3 tego rozporządzenia</w:t>
      </w:r>
      <w:r w:rsidRPr="00D86BAF">
        <w:rPr>
          <w:rFonts w:eastAsia="MS Mincho" w:cs="Times New Roman"/>
          <w:bCs/>
          <w:vertAlign w:val="superscript"/>
        </w:rPr>
        <w:footnoteReference w:id="2"/>
      </w:r>
      <w:r w:rsidRPr="00D86BAF">
        <w:rPr>
          <w:rFonts w:eastAsia="MS Mincho" w:cs="Times New Roman"/>
          <w:bCs/>
        </w:rPr>
        <w:t xml:space="preserve">. Wspomniane wyżej kategorie czynników uwierzytelniania to: </w:t>
      </w:r>
    </w:p>
    <w:p w14:paraId="4DB56EAB" w14:textId="77777777" w:rsidR="00D86BAF" w:rsidRPr="00D86BAF" w:rsidRDefault="00D86BAF" w:rsidP="00A0788F">
      <w:pPr>
        <w:widowControl/>
        <w:suppressAutoHyphens/>
        <w:spacing w:after="120"/>
        <w:ind w:left="851" w:hanging="425"/>
        <w:jc w:val="both"/>
        <w:rPr>
          <w:rFonts w:ascii="Times" w:eastAsia="Times New Roman" w:hAnsi="Times"/>
        </w:rPr>
      </w:pPr>
      <w:r w:rsidRPr="00D86BAF">
        <w:rPr>
          <w:rFonts w:ascii="Times" w:eastAsia="Times New Roman" w:hAnsi="Times"/>
        </w:rPr>
        <w:t>a)</w:t>
      </w:r>
      <w:r w:rsidRPr="00D86BAF">
        <w:rPr>
          <w:rFonts w:ascii="Times" w:eastAsia="Times New Roman" w:hAnsi="Times"/>
        </w:rPr>
        <w:tab/>
        <w:t>„czynnik uwierzytelniania na podstawie posiadania”, który oznacza czynnik uwierzytelniania, w przypadku którego od podmiotu podlegającego uwierzytelnieniu wymaga się wykazania jego posiadania,</w:t>
      </w:r>
    </w:p>
    <w:p w14:paraId="44636FE3" w14:textId="2623DDF5" w:rsidR="00D86BAF" w:rsidRPr="00D86BAF" w:rsidRDefault="00D86BAF" w:rsidP="00A0788F">
      <w:pPr>
        <w:widowControl/>
        <w:suppressAutoHyphens/>
        <w:spacing w:after="120"/>
        <w:ind w:left="851" w:hanging="425"/>
        <w:jc w:val="both"/>
        <w:rPr>
          <w:rFonts w:ascii="Times" w:eastAsia="Times New Roman" w:hAnsi="Times"/>
        </w:rPr>
      </w:pPr>
      <w:r w:rsidRPr="00D86BAF">
        <w:rPr>
          <w:rFonts w:ascii="Times" w:eastAsia="Times New Roman" w:hAnsi="Times"/>
        </w:rPr>
        <w:t>b)</w:t>
      </w:r>
      <w:r w:rsidRPr="00D86BAF">
        <w:rPr>
          <w:rFonts w:ascii="Times" w:eastAsia="Times New Roman" w:hAnsi="Times"/>
        </w:rPr>
        <w:tab/>
      </w:r>
      <w:r w:rsidR="00A0788F" w:rsidRPr="00D86BAF">
        <w:rPr>
          <w:rFonts w:ascii="Times" w:eastAsia="Times New Roman" w:hAnsi="Times"/>
        </w:rPr>
        <w:t>„</w:t>
      </w:r>
      <w:r w:rsidRPr="00D86BAF">
        <w:rPr>
          <w:rFonts w:ascii="Times" w:eastAsia="Times New Roman" w:hAnsi="Times"/>
        </w:rPr>
        <w:t>czynnik uwierzytelniania na podstawie wiedzy”, który oznacza czynnik uwierzytelniania, w przypadku którego od podmiotu podlegającego uwierzytelnieniu wymaga się wykazania jego znajomości,</w:t>
      </w:r>
    </w:p>
    <w:p w14:paraId="35C8222B" w14:textId="6D357F3F" w:rsidR="00D86BAF" w:rsidRPr="00D86BAF" w:rsidRDefault="00D86BAF" w:rsidP="00A0788F">
      <w:pPr>
        <w:widowControl/>
        <w:suppressAutoHyphens/>
        <w:spacing w:after="120"/>
        <w:ind w:left="851" w:hanging="425"/>
        <w:jc w:val="both"/>
        <w:rPr>
          <w:rFonts w:ascii="Times" w:eastAsia="Times New Roman" w:hAnsi="Times"/>
        </w:rPr>
      </w:pPr>
      <w:r w:rsidRPr="00D86BAF">
        <w:rPr>
          <w:rFonts w:ascii="Times" w:eastAsia="Times New Roman" w:hAnsi="Times"/>
        </w:rPr>
        <w:t>c)</w:t>
      </w:r>
      <w:r w:rsidRPr="00D86BAF">
        <w:rPr>
          <w:rFonts w:ascii="Times" w:eastAsia="Times New Roman" w:hAnsi="Times"/>
        </w:rPr>
        <w:tab/>
        <w:t>„czynnik uwierzytelniania na podstawie cech przyrodzonych”, który oznacza czynnik uwierzytelnienia, który opiera się na rzeczywistym atrybucie osoby fizycznej, w którego przypadku od podmiotu podlegającego uwierzytelnieniu wymaga się wykazania, że tę cechę fizyczną posiada</w:t>
      </w:r>
      <w:r w:rsidR="00D861E6">
        <w:rPr>
          <w:rFonts w:ascii="Times" w:eastAsia="Times New Roman" w:hAnsi="Times"/>
        </w:rPr>
        <w:t>.</w:t>
      </w:r>
    </w:p>
    <w:p w14:paraId="59D3A921" w14:textId="7CE2BABB" w:rsidR="00D86BAF" w:rsidRPr="00D86BAF" w:rsidRDefault="00D86BAF" w:rsidP="00A0788F">
      <w:pPr>
        <w:widowControl/>
        <w:suppressAutoHyphens/>
        <w:spacing w:after="120"/>
        <w:ind w:firstLine="510"/>
        <w:jc w:val="both"/>
        <w:rPr>
          <w:rFonts w:ascii="Times" w:eastAsia="Times New Roman" w:hAnsi="Times"/>
        </w:rPr>
      </w:pPr>
      <w:r w:rsidRPr="00D86BAF">
        <w:rPr>
          <w:rFonts w:ascii="Times" w:eastAsia="Times New Roman" w:hAnsi="Times"/>
        </w:rPr>
        <w:t xml:space="preserve">Aktualnie w profilu zaufanym jednym z tych czynników uwierzytelniania jest poufne, znane tylko użytkownikowi hasło (czynnik uwierzytelniania na podstawie wiedzy), a drugim numer telefonu komórkowego (czynnik uwierzytelniania na podstawie posiadania). Dzięki wysyłanym wiadomościom SMS z jednorazowymi kodami można dodatkowo zweryfikować, że osoba, która chce skorzystać z usługi online jest faktycznie tą, za którą się podaje. Jeżeli bowiem osoba ta odbierze wiadomość SMS z kodem, to znaczy że posiada określony numer </w:t>
      </w:r>
      <w:r w:rsidRPr="00D86BAF">
        <w:rPr>
          <w:rFonts w:ascii="Times" w:eastAsia="Times New Roman" w:hAnsi="Times"/>
        </w:rPr>
        <w:lastRenderedPageBreak/>
        <w:t>telefonu komórkowego. Wykorzystanie wiadomości SMS z jednorazowymi kodami autoryzacyjnymi jest metodą, której bezpieczeństwo jest podważane z uwagi na ryzyko podsłuchiwania i przejmowania ich treści przez przestępców dysponujących zaawansowanymi technologiami i co za tym idzie potrzebne jest zapewnienie alternatywnych mechanizmów uwierzytelniania. Obecnie powszechnie stosowane w bankowości elektronicznej aplikacje mobilne są jednym z takich mechanizmów, ale nie wszyscy użytkownicy profilu zaufanego wyrażają wolę korzystania z pośrednictwa banków. Analiza stosowanych mechanizmów uwierzytelnienia wykazuje, że od kilku lat około ¼ użytkowników profilu zaufanego wykorzystuje wiadomości SMS z kodami autoryzacyjnymi, a nie pośrednictwo banków. Z korespondencji napływającej do KPRM dotyczącej wykorzystywania profili zaufanych wynika, że są to głównie:</w:t>
      </w:r>
    </w:p>
    <w:p w14:paraId="280C4B34" w14:textId="77777777" w:rsidR="00D86BAF" w:rsidRPr="00D86BAF" w:rsidRDefault="00D86BAF" w:rsidP="00A0788F">
      <w:pPr>
        <w:widowControl/>
        <w:numPr>
          <w:ilvl w:val="0"/>
          <w:numId w:val="2"/>
        </w:numPr>
        <w:suppressAutoHyphens/>
        <w:autoSpaceDE/>
        <w:autoSpaceDN/>
        <w:adjustRightInd/>
        <w:spacing w:after="120"/>
        <w:ind w:left="567"/>
        <w:jc w:val="both"/>
        <w:rPr>
          <w:rFonts w:ascii="Times" w:eastAsia="Times New Roman" w:hAnsi="Times"/>
        </w:rPr>
      </w:pPr>
      <w:r w:rsidRPr="00D86BAF">
        <w:rPr>
          <w:rFonts w:ascii="Times" w:eastAsia="Times New Roman" w:hAnsi="Times"/>
        </w:rPr>
        <w:t>osoby, które nie korzystają z bankowości elektronicznej,</w:t>
      </w:r>
    </w:p>
    <w:p w14:paraId="7AADD929" w14:textId="77777777" w:rsidR="00D86BAF" w:rsidRPr="00D86BAF" w:rsidRDefault="00D86BAF" w:rsidP="00A0788F">
      <w:pPr>
        <w:widowControl/>
        <w:numPr>
          <w:ilvl w:val="0"/>
          <w:numId w:val="2"/>
        </w:numPr>
        <w:suppressAutoHyphens/>
        <w:autoSpaceDE/>
        <w:autoSpaceDN/>
        <w:adjustRightInd/>
        <w:spacing w:after="120"/>
        <w:ind w:left="567"/>
        <w:jc w:val="both"/>
        <w:rPr>
          <w:rFonts w:ascii="Times" w:eastAsia="Times New Roman" w:hAnsi="Times"/>
        </w:rPr>
      </w:pPr>
      <w:r w:rsidRPr="00D86BAF">
        <w:rPr>
          <w:rFonts w:ascii="Times" w:eastAsia="Times New Roman" w:hAnsi="Times"/>
        </w:rPr>
        <w:t xml:space="preserve">osoby używające profilu zaufanego bardzo często do celów związanych z pracą zawodową </w:t>
      </w:r>
      <w:r w:rsidRPr="00D86BAF">
        <w:rPr>
          <w:rFonts w:ascii="Times" w:eastAsia="Times New Roman" w:hAnsi="Times"/>
          <w:spacing w:val="-6"/>
        </w:rPr>
        <w:t>(lekarze, pracownicy inspekcji sanitarno-epidemiologicznej) – z uwagi na to, że pośrednictwo</w:t>
      </w:r>
      <w:r w:rsidRPr="00D86BAF">
        <w:rPr>
          <w:rFonts w:ascii="Times" w:eastAsia="Times New Roman" w:hAnsi="Times"/>
        </w:rPr>
        <w:t xml:space="preserve"> bankowości elektronicznej przy używaniu profilu zaufanego i składania podpisu zaufanego jest dłuższym procesem i wymaga wykonania większej liczby czynności niż odebranie wiadomości SMS z kodem i przepisanie go.</w:t>
      </w:r>
    </w:p>
    <w:p w14:paraId="7A7100D6" w14:textId="77777777" w:rsidR="00D86BAF" w:rsidRPr="00D86BAF" w:rsidRDefault="00D86BAF" w:rsidP="00A0788F">
      <w:pPr>
        <w:widowControl/>
        <w:suppressAutoHyphens/>
        <w:spacing w:after="120"/>
        <w:ind w:firstLine="510"/>
        <w:jc w:val="both"/>
        <w:rPr>
          <w:rFonts w:ascii="Times" w:eastAsia="Times New Roman" w:hAnsi="Times"/>
        </w:rPr>
      </w:pPr>
      <w:r w:rsidRPr="00D86BAF">
        <w:rPr>
          <w:rFonts w:ascii="Times" w:eastAsia="Times New Roman" w:hAnsi="Times"/>
        </w:rPr>
        <w:t>Mobile Connect jest innym niż wiadomość SMS sposobem umożliwiającym potwierdzenie posiadania określonego numeru telefonu komórkowego funkcjonującym dzięki wykorzystaniu przez przedsiębiorców telekomunikacyjnych warstwy komunikacyjnej służącej do rozpoznawania numeru telefonu abonenta w sieci komórkowej telefonu (MSISDN ang. Mobile Station International Subscriber Directory Number) celem ustalenia na jaki numer przekazać połączenie przychodzące lub wiadomość SMS. Dzięki temu można potwierdzić tożsamość szybko i wygodnie nie używając ani wiadomości SMS, ani aplikacji mobilnej. Użytkownik wykorzystujący Mobile Connect potwierdza posiadanie swojego numeru telefonu komórkowego nie za pomocą kodu autoryzacyjnego przekazanego w wiadomości SMS, tylko za pomocą ustalonego przez siebie poufnego kodu PIN. Dzięki wykorzystaniu tej możliwości potwierdzenie posiadania numeru będzie:</w:t>
      </w:r>
    </w:p>
    <w:p w14:paraId="5C3A1730" w14:textId="442E9A35" w:rsidR="00D86BAF" w:rsidRPr="00D86BAF" w:rsidRDefault="00D861E6" w:rsidP="00A0788F">
      <w:pPr>
        <w:widowControl/>
        <w:suppressAutoHyphens/>
        <w:spacing w:after="120"/>
        <w:ind w:left="567"/>
        <w:jc w:val="both"/>
        <w:rPr>
          <w:rFonts w:ascii="Times" w:eastAsia="Times New Roman" w:hAnsi="Times"/>
          <w:spacing w:val="-4"/>
        </w:rPr>
      </w:pPr>
      <w:r>
        <w:rPr>
          <w:rFonts w:ascii="Times" w:eastAsia="Times New Roman" w:hAnsi="Times"/>
          <w:spacing w:val="-4"/>
        </w:rPr>
        <w:t>a)</w:t>
      </w:r>
      <w:r>
        <w:rPr>
          <w:rFonts w:ascii="Times" w:eastAsia="Times New Roman" w:hAnsi="Times"/>
          <w:spacing w:val="-4"/>
        </w:rPr>
        <w:tab/>
      </w:r>
      <w:r w:rsidR="00D86BAF" w:rsidRPr="00D86BAF">
        <w:rPr>
          <w:rFonts w:ascii="Times" w:eastAsia="Times New Roman" w:hAnsi="Times"/>
          <w:spacing w:val="-4"/>
        </w:rPr>
        <w:t>prostsze dla użytkownika (przepisanie 8 cyfrowego kodu autoryzacyjnego nie jest wygodne),</w:t>
      </w:r>
    </w:p>
    <w:p w14:paraId="3B98799C" w14:textId="34A7FF05" w:rsidR="00D86BAF" w:rsidRPr="00D86BAF" w:rsidRDefault="00D861E6" w:rsidP="00A0788F">
      <w:pPr>
        <w:widowControl/>
        <w:suppressAutoHyphens/>
        <w:spacing w:after="120"/>
        <w:ind w:left="567"/>
        <w:jc w:val="both"/>
        <w:rPr>
          <w:rFonts w:ascii="Times" w:eastAsia="Times New Roman" w:hAnsi="Times"/>
        </w:rPr>
      </w:pPr>
      <w:r>
        <w:rPr>
          <w:rFonts w:ascii="Times" w:eastAsia="Times New Roman" w:hAnsi="Times"/>
          <w:spacing w:val="-4"/>
        </w:rPr>
        <w:t>b)</w:t>
      </w:r>
      <w:r>
        <w:rPr>
          <w:rFonts w:ascii="Times" w:eastAsia="Times New Roman" w:hAnsi="Times"/>
          <w:spacing w:val="-4"/>
        </w:rPr>
        <w:tab/>
      </w:r>
      <w:r w:rsidR="00D86BAF" w:rsidRPr="00D86BAF">
        <w:rPr>
          <w:rFonts w:ascii="Times" w:eastAsia="Times New Roman" w:hAnsi="Times"/>
          <w:spacing w:val="-4"/>
        </w:rPr>
        <w:t>wykluczy potencjalną możliwość podsłuchiwania (przechwytywania) kodu jednorazowego</w:t>
      </w:r>
      <w:r w:rsidR="00D86BAF" w:rsidRPr="00D86BAF">
        <w:rPr>
          <w:rFonts w:ascii="Times" w:eastAsia="Times New Roman" w:hAnsi="Times"/>
        </w:rPr>
        <w:t xml:space="preserve"> przesyłanego w treści wiadomości SMS.</w:t>
      </w:r>
    </w:p>
    <w:p w14:paraId="637E2219" w14:textId="77777777" w:rsidR="00D86BAF" w:rsidRPr="00D86BAF" w:rsidRDefault="00D86BAF" w:rsidP="00A0788F">
      <w:pPr>
        <w:widowControl/>
        <w:suppressAutoHyphens/>
        <w:spacing w:after="120"/>
        <w:jc w:val="both"/>
        <w:rPr>
          <w:rFonts w:ascii="Times" w:eastAsia="Times New Roman" w:hAnsi="Times"/>
        </w:rPr>
      </w:pPr>
      <w:r w:rsidRPr="00D86BAF">
        <w:rPr>
          <w:rFonts w:ascii="Times" w:eastAsia="Times New Roman" w:hAnsi="Times"/>
        </w:rPr>
        <w:lastRenderedPageBreak/>
        <w:t>Rozwiązanie będzie zatem wygodniejsze dla użytkowników przy jednoczesnym zachowaniu bezpieczeństwa. Istotne jest także to, że dla wykorzystania Mobile Connect nie będzie potrzebna zmiana aparatu telefonicznego – usługa będzie działała na wszystkich urządzeniach, na które można się dodzwonić (nie będzie potrzebny smartfon jak przypadku aplikacji mobilnych).</w:t>
      </w:r>
      <w:r w:rsidRPr="00D86BAF">
        <w:rPr>
          <w:rFonts w:ascii="Times" w:eastAsia="Times New Roman" w:hAnsi="Times"/>
          <w:vertAlign w:val="superscript"/>
        </w:rPr>
        <w:footnoteReference w:id="3"/>
      </w:r>
      <w:r w:rsidRPr="00D86BAF">
        <w:rPr>
          <w:rFonts w:ascii="Times" w:eastAsia="Times New Roman" w:hAnsi="Times"/>
        </w:rPr>
        <w:t xml:space="preserve"> </w:t>
      </w:r>
    </w:p>
    <w:p w14:paraId="78EEFD68" w14:textId="77777777" w:rsidR="00D86BAF" w:rsidRPr="00D86BAF" w:rsidRDefault="00D86BAF" w:rsidP="00A0788F">
      <w:pPr>
        <w:widowControl/>
        <w:suppressAutoHyphens/>
        <w:spacing w:after="120"/>
        <w:jc w:val="both"/>
        <w:rPr>
          <w:rFonts w:ascii="Times" w:eastAsia="Times New Roman" w:hAnsi="Times"/>
        </w:rPr>
      </w:pPr>
      <w:r w:rsidRPr="00D86BAF">
        <w:rPr>
          <w:rFonts w:ascii="Times" w:eastAsia="Times New Roman" w:hAnsi="Times"/>
        </w:rPr>
        <w:t xml:space="preserve">Aby rozwiązanie mogło zacząć funkcjonować jako alternatywny sposób potwierdzenia posiadania numeru telefonu komórkowego, przedsiębiorcy telekomunikacyjni powinni włączyć wykorzystanie tej usługi telekomunikacyjnej celem użycia jej w procesie uwierzytelniania za pomocą profilu zaufanego. Obecnie przekazują oni kody jednorazowe generowane losowo w systemie profilu zaufanego za pomocą tak zwanych bramek SMS pośredniczących pomiędzy systemem profilu zaufanego a wskazanymi numerami telefonów. Wykorzystanie tej nowej metody wiąże się jednak z trudnościami w rozliczeniach za świadczenie takiej usługi. Obecnie obsługę płatności za przesyłanie wiadomości SMS z kodami jednorazowymi realizuje, obsługujący technicznie cały system profilu zaufanego, Centralny Ośrodek Informatyki. </w:t>
      </w:r>
    </w:p>
    <w:p w14:paraId="037C874E" w14:textId="77777777" w:rsidR="00D86BAF" w:rsidRPr="00D86BAF" w:rsidRDefault="00D86BAF" w:rsidP="00A0788F">
      <w:pPr>
        <w:widowControl/>
        <w:suppressAutoHyphens/>
        <w:spacing w:after="120"/>
        <w:jc w:val="both"/>
        <w:rPr>
          <w:rFonts w:ascii="Times" w:eastAsia="Times New Roman" w:hAnsi="Times"/>
        </w:rPr>
      </w:pPr>
      <w:r w:rsidRPr="00D86BAF">
        <w:rPr>
          <w:rFonts w:ascii="Times" w:eastAsia="Times New Roman" w:hAnsi="Times"/>
        </w:rPr>
        <w:t>Zastępowanie wiadomości SMS usługą Mobile Connect, czyli wygodniejszą metodą stosowania czynnika uwierzytelniania, jakim jest posiadany numer telefonu komórkowego, z jednej strony nie powinno powodować żadnych dodatkowych kosztów po stronie użytkowników końcowych (bowiem nie wybiorą tej metody), ale z drugiej strony nie powinno wpływać negatywnie na przedsiębiorców telekomunikacyjnych, którzy po wybraniu przez użytkownika wygodniejszej metody pozbawieni byliby przychodów za przesyłanie wiadomości SMS (bo nie włączą tej możliwości). Mając na uwadze zalety Mobile Connect związane z wygodą i bezpieczeństwem opracowano projekt ustawy, w którym zaproponowano przepisy, które stworzą podstawę prawną dla wykorzystania tego sposobu komunikacji przez użytkowników profilu zaufanego nie powodując przy tym strat przedsiębiorców telekomunikacyjnych.</w:t>
      </w:r>
    </w:p>
    <w:p w14:paraId="5B5F6D03" w14:textId="069A7BA8" w:rsidR="00D86BAF" w:rsidRDefault="00D86BAF" w:rsidP="00A0788F">
      <w:pPr>
        <w:widowControl/>
        <w:suppressAutoHyphens/>
        <w:spacing w:after="120"/>
        <w:jc w:val="both"/>
        <w:rPr>
          <w:rFonts w:ascii="Times" w:eastAsia="Times New Roman" w:hAnsi="Times"/>
        </w:rPr>
      </w:pPr>
      <w:r w:rsidRPr="00D86BAF">
        <w:rPr>
          <w:rFonts w:ascii="Times" w:eastAsia="Times New Roman" w:hAnsi="Times"/>
        </w:rPr>
        <w:t>W nowym ust. 11, dodawanym w art. 20c ustawy z dnia 17 lutego 2005 r. o informatyzacji działalności podmiotów realizujących zadania publiczne (Dz. U. z 2021 r. poz. 2070</w:t>
      </w:r>
      <w:r w:rsidR="00D861E6">
        <w:rPr>
          <w:rFonts w:ascii="Times" w:eastAsia="Times New Roman" w:hAnsi="Times"/>
        </w:rPr>
        <w:t xml:space="preserve"> oraz z 2022 r. poz. 1087</w:t>
      </w:r>
      <w:r w:rsidRPr="00D86BAF">
        <w:rPr>
          <w:rFonts w:ascii="Times" w:eastAsia="Times New Roman" w:hAnsi="Times"/>
        </w:rPr>
        <w:t xml:space="preserve">), </w:t>
      </w:r>
      <w:r w:rsidR="003B5985">
        <w:rPr>
          <w:rFonts w:ascii="Times" w:eastAsia="Times New Roman" w:hAnsi="Times"/>
        </w:rPr>
        <w:t xml:space="preserve">zwanej dalej „ustawą o informatyzacji”, </w:t>
      </w:r>
      <w:r w:rsidRPr="00D86BAF">
        <w:rPr>
          <w:rFonts w:ascii="Times" w:eastAsia="Times New Roman" w:hAnsi="Times"/>
        </w:rPr>
        <w:t xml:space="preserve">przewiduje się, że do </w:t>
      </w:r>
      <w:r w:rsidRPr="00D86BAF">
        <w:rPr>
          <w:rFonts w:ascii="Times" w:eastAsia="Times New Roman" w:hAnsi="Times"/>
        </w:rPr>
        <w:lastRenderedPageBreak/>
        <w:t>uwierzytelnień i autoryzacji związanych z wykorzystaniem profilu zaufanego możliwe będzie zastosowania wiadomości SMS lub Mobile Connect.</w:t>
      </w:r>
      <w:r w:rsidR="006F1CBE">
        <w:rPr>
          <w:rFonts w:ascii="Times" w:eastAsia="Times New Roman" w:hAnsi="Times"/>
        </w:rPr>
        <w:t xml:space="preserve"> </w:t>
      </w:r>
    </w:p>
    <w:p w14:paraId="6F86919A" w14:textId="72A4EBBD" w:rsidR="006F1CBE" w:rsidRPr="00D86BAF" w:rsidRDefault="006F1CBE" w:rsidP="00A0788F">
      <w:pPr>
        <w:widowControl/>
        <w:suppressAutoHyphens/>
        <w:spacing w:after="120"/>
        <w:jc w:val="both"/>
        <w:rPr>
          <w:rFonts w:ascii="Times" w:eastAsia="Times New Roman" w:hAnsi="Times"/>
        </w:rPr>
      </w:pPr>
      <w:r>
        <w:rPr>
          <w:rFonts w:ascii="Times" w:eastAsia="Times New Roman" w:hAnsi="Times"/>
        </w:rPr>
        <w:t>Jednocześnie</w:t>
      </w:r>
      <w:r w:rsidR="00535922">
        <w:rPr>
          <w:rFonts w:ascii="Times" w:eastAsia="Times New Roman" w:hAnsi="Times"/>
        </w:rPr>
        <w:t>, należy zauważyć, że w procedowan</w:t>
      </w:r>
      <w:r w:rsidR="00C949A1">
        <w:rPr>
          <w:rFonts w:ascii="Times" w:eastAsia="Times New Roman" w:hAnsi="Times"/>
        </w:rPr>
        <w:t>ej</w:t>
      </w:r>
      <w:r w:rsidR="00535922">
        <w:rPr>
          <w:rFonts w:ascii="Times" w:eastAsia="Times New Roman" w:hAnsi="Times"/>
        </w:rPr>
        <w:t xml:space="preserve"> ustaw</w:t>
      </w:r>
      <w:r w:rsidR="00C949A1">
        <w:rPr>
          <w:rFonts w:ascii="Times" w:eastAsia="Times New Roman" w:hAnsi="Times"/>
        </w:rPr>
        <w:t>ie</w:t>
      </w:r>
      <w:r>
        <w:rPr>
          <w:rFonts w:ascii="Times" w:eastAsia="Times New Roman" w:hAnsi="Times"/>
        </w:rPr>
        <w:t xml:space="preserve"> o aplikacji mObywatel jest przepis mówiący o udostępnieniu w aplikacji mObywatel usługi, </w:t>
      </w:r>
      <w:r w:rsidRPr="004E7332">
        <w:rPr>
          <w:rFonts w:eastAsia="Calibri"/>
          <w:lang w:eastAsia="en-US"/>
        </w:rPr>
        <w:t>z któr</w:t>
      </w:r>
      <w:r>
        <w:rPr>
          <w:rFonts w:eastAsia="Calibri"/>
          <w:lang w:eastAsia="en-US"/>
        </w:rPr>
        <w:t xml:space="preserve">ej </w:t>
      </w:r>
      <w:r w:rsidRPr="004E7332">
        <w:rPr>
          <w:rFonts w:eastAsia="Calibri"/>
          <w:lang w:eastAsia="en-US"/>
        </w:rPr>
        <w:t xml:space="preserve">użytkownik tej aplikacji </w:t>
      </w:r>
      <w:r>
        <w:rPr>
          <w:rFonts w:eastAsia="Calibri"/>
          <w:lang w:eastAsia="en-US"/>
        </w:rPr>
        <w:t>będzie mógł</w:t>
      </w:r>
      <w:r w:rsidRPr="004E7332">
        <w:rPr>
          <w:rFonts w:eastAsia="Calibri"/>
          <w:lang w:eastAsia="en-US"/>
        </w:rPr>
        <w:t xml:space="preserve"> korzystać przy użyciu urządzenia mobilnego, </w:t>
      </w:r>
      <w:r>
        <w:rPr>
          <w:rFonts w:eastAsia="Calibri"/>
          <w:lang w:eastAsia="en-US"/>
        </w:rPr>
        <w:t xml:space="preserve">pozwalającej na </w:t>
      </w:r>
      <w:r w:rsidRPr="004E7332">
        <w:rPr>
          <w:rFonts w:eastAsia="Calibri"/>
          <w:spacing w:val="-4"/>
        </w:rPr>
        <w:t>wykorzystanie urządzenia mobilnego w procesie identyfikacji i uwierzytelnienia w usłudze online</w:t>
      </w:r>
      <w:r w:rsidRPr="004E7332">
        <w:rPr>
          <w:rFonts w:eastAsia="Calibri"/>
        </w:rPr>
        <w:t xml:space="preserve"> jako jednego z czynników uwierzytelniania profilu zaufanego</w:t>
      </w:r>
      <w:r w:rsidR="00C949A1">
        <w:rPr>
          <w:rFonts w:eastAsia="Calibri"/>
        </w:rPr>
        <w:t>, który będzie mógł być wykorzystywany przez użytkowników zamiast kodów odbieranych SMS-em</w:t>
      </w:r>
      <w:r>
        <w:rPr>
          <w:rFonts w:eastAsia="Calibri"/>
        </w:rPr>
        <w:t>. Powyższe przyczyni się do zmniejszenia</w:t>
      </w:r>
      <w:r w:rsidR="006A216F">
        <w:rPr>
          <w:rFonts w:eastAsia="Calibri"/>
        </w:rPr>
        <w:t xml:space="preserve"> dynamiki wzrostu</w:t>
      </w:r>
      <w:r>
        <w:rPr>
          <w:rFonts w:eastAsia="Calibri"/>
        </w:rPr>
        <w:t xml:space="preserve"> liczby uwierzytelnień z wykorzystaniem jednorazowych kodów autoryzacyjnych wysyłanych w wiadomości SMS.</w:t>
      </w:r>
    </w:p>
    <w:p w14:paraId="62A5AA2C" w14:textId="06C6623E" w:rsidR="003B5985" w:rsidRDefault="003B5985" w:rsidP="003B5985">
      <w:pPr>
        <w:pStyle w:val="ARTartustawynprozporzdzenia"/>
        <w:ind w:firstLine="0"/>
        <w:rPr>
          <w:iCs/>
        </w:rPr>
      </w:pPr>
      <w:r>
        <w:t xml:space="preserve">Natomiast zgodnie z dodawanym art. 20ga ustawy o informatyzacji dostawcy </w:t>
      </w:r>
      <w:r w:rsidRPr="004566FA">
        <w:rPr>
          <w:iCs/>
        </w:rPr>
        <w:t xml:space="preserve">usług telekomunikacyjnych świadczonych w </w:t>
      </w:r>
      <w:r>
        <w:rPr>
          <w:iCs/>
        </w:rPr>
        <w:t xml:space="preserve">sieciach ruchomych będą zobowiązani do przekazywania swoim abonentom komunikatów informacyjnych pochodzących od organów administracji dotyczących realizacji zadań publicznych oraz usług na rzecz obywateli. Komunikaty informacyjne będą wysyłane w zależności od potrzeb i ich treści do </w:t>
      </w:r>
      <w:r w:rsidRPr="00746CA9">
        <w:rPr>
          <w:iCs/>
        </w:rPr>
        <w:t xml:space="preserve">wszystkich </w:t>
      </w:r>
      <w:r>
        <w:rPr>
          <w:iCs/>
        </w:rPr>
        <w:t xml:space="preserve">użytkowników końcowych </w:t>
      </w:r>
      <w:r w:rsidRPr="00746CA9">
        <w:rPr>
          <w:iCs/>
        </w:rPr>
        <w:t xml:space="preserve">lub określonych grup użytkowników końcowych </w:t>
      </w:r>
      <w:r>
        <w:rPr>
          <w:iCs/>
        </w:rPr>
        <w:t>lub do</w:t>
      </w:r>
      <w:r w:rsidRPr="00746CA9">
        <w:rPr>
          <w:iCs/>
        </w:rPr>
        <w:t xml:space="preserve"> indywi</w:t>
      </w:r>
      <w:r>
        <w:rPr>
          <w:iCs/>
        </w:rPr>
        <w:t>dualnych użytkowników końcowych. Usługa otrzymywania komunikatów informacyjnych będzie nieodpłatna dla użytkowników końcowych, z wyłączeniem korzystania z usługi komunikatów informacyjnych w ramach roamingu międzynarodowego.</w:t>
      </w:r>
    </w:p>
    <w:p w14:paraId="087E5000" w14:textId="638CF0D3" w:rsidR="003B5985" w:rsidRPr="004566FA" w:rsidRDefault="003B5985" w:rsidP="003B5985">
      <w:pPr>
        <w:pStyle w:val="ARTartustawynprozporzdzenia"/>
        <w:ind w:firstLine="0"/>
        <w:rPr>
          <w:iCs/>
        </w:rPr>
      </w:pPr>
      <w:r>
        <w:rPr>
          <w:iCs/>
        </w:rPr>
        <w:t>Przedmiotem komunikatów mają być kwestie o istotnym znaczeniu społecznym związane z realizacją zadań przez administrację rządową lub samorządową</w:t>
      </w:r>
      <w:r w:rsidR="008D6B4F">
        <w:t xml:space="preserve"> </w:t>
      </w:r>
      <w:r w:rsidR="008D6B4F" w:rsidRPr="008D6B4F">
        <w:rPr>
          <w:iCs/>
        </w:rPr>
        <w:t>w zakresie swojej właściwości miejscowej</w:t>
      </w:r>
      <w:r>
        <w:rPr>
          <w:iCs/>
        </w:rPr>
        <w:t xml:space="preserve">. Jednocześnie komunikaty informacyjne mogą być wysyłane w związku </w:t>
      </w:r>
      <w:r w:rsidRPr="004566FA">
        <w:rPr>
          <w:iCs/>
        </w:rPr>
        <w:t>z wykonywaniem usług i zadań publicznych na rzecz osób fizycznych</w:t>
      </w:r>
      <w:r w:rsidR="00197CD0">
        <w:rPr>
          <w:iCs/>
        </w:rPr>
        <w:t xml:space="preserve"> w sprawach indywidu</w:t>
      </w:r>
      <w:r>
        <w:rPr>
          <w:iCs/>
        </w:rPr>
        <w:t>a</w:t>
      </w:r>
      <w:r w:rsidR="00197CD0">
        <w:rPr>
          <w:iCs/>
        </w:rPr>
        <w:t>l</w:t>
      </w:r>
      <w:r>
        <w:rPr>
          <w:iCs/>
        </w:rPr>
        <w:t xml:space="preserve">nych dotyczących tych osób. W tym przypadku komunikaty informacyjne o charakterze zindywidualizowanym będą wysyłane do osób, </w:t>
      </w:r>
      <w:r w:rsidRPr="004566FA">
        <w:rPr>
          <w:iCs/>
        </w:rPr>
        <w:t>które przekazały swoje dane do rejestru danych kontaktowych.</w:t>
      </w:r>
    </w:p>
    <w:p w14:paraId="70CFC6B2" w14:textId="3B38F23C" w:rsidR="003B5985" w:rsidRPr="004566FA" w:rsidRDefault="003B5985" w:rsidP="003B5985">
      <w:pPr>
        <w:pStyle w:val="ARTartustawynprozporzdzenia"/>
        <w:ind w:firstLine="0"/>
        <w:rPr>
          <w:iCs/>
        </w:rPr>
      </w:pPr>
      <w:r>
        <w:rPr>
          <w:iCs/>
        </w:rPr>
        <w:t>Żądanie wysłania komunikatu mogą złożyć wyłącznie podmioty wskazane</w:t>
      </w:r>
      <w:r w:rsidRPr="003B5985">
        <w:t xml:space="preserve"> </w:t>
      </w:r>
      <w:r w:rsidRPr="003B5985">
        <w:rPr>
          <w:iCs/>
        </w:rPr>
        <w:t>w art. 2 ust. 1 pkt 1, 2 i 4-8</w:t>
      </w:r>
      <w:r>
        <w:rPr>
          <w:iCs/>
        </w:rPr>
        <w:t xml:space="preserve"> ustawy o informatyzacji</w:t>
      </w:r>
      <w:r w:rsidR="00424922">
        <w:rPr>
          <w:iCs/>
        </w:rPr>
        <w:t xml:space="preserve"> (to jest:</w:t>
      </w:r>
      <w:r w:rsidR="00424922" w:rsidRPr="00424922">
        <w:rPr>
          <w:iCs/>
        </w:rPr>
        <w:t xml:space="preserve"> organów administracji rządowej, organów kontroli państwowej i ochrony prawa, sądów, jednostek organizacyjnych prokuratury, a także jednostek samorządu terytorialnego i ich organów, jednostek budżetowych i samorządowych zakładów budżetowych, samodzielnych publicznych zakładów opieki zdrowotnej oraz spółek wykonujących działalność leczniczą w rozumieniu przepisów o działalności leczniczej, </w:t>
      </w:r>
      <w:r w:rsidR="00424922" w:rsidRPr="00424922">
        <w:rPr>
          <w:iCs/>
        </w:rPr>
        <w:lastRenderedPageBreak/>
        <w:t>Zakładu Ubezpieczeń Społecznyc</w:t>
      </w:r>
      <w:r w:rsidR="00424922">
        <w:rPr>
          <w:iCs/>
        </w:rPr>
        <w:t xml:space="preserve">h, </w:t>
      </w:r>
      <w:r w:rsidR="00424922" w:rsidRPr="00424922">
        <w:rPr>
          <w:iCs/>
        </w:rPr>
        <w:t>państwowych lub samorządowych osób prawnych utworzonych na podstawie odrębnych ustaw w celu realizacji zadań publicznych,</w:t>
      </w:r>
      <w:r w:rsidR="00424922">
        <w:rPr>
          <w:iCs/>
        </w:rPr>
        <w:t xml:space="preserve"> uczelni)</w:t>
      </w:r>
      <w:r>
        <w:rPr>
          <w:iCs/>
        </w:rPr>
        <w:t xml:space="preserve">, z zastrzeżeniem zakresu i treści komunikatu, o którym mowa powyżej, wynikającym z art. 20ga ust. 3 ustawy o informatyzacji. Dostawcy usług telekomunikacyjnych świadczonych w sieciach ruchomych będą zobowiązani do niezwłocznego i nieodpłatnego wysyłania wskazanych przez uprawnione organy komunikatów informacyjnych z uwzględnieniem wskazanego przez te organy kręgu adresatów oraz okresu przez jaki komunikaty mają być wysyłane – w przypadku komunikatów o charakterze powtarzalnym. Wskazany obowiązek nie dotyczy wysyłania komunikatów do tych </w:t>
      </w:r>
      <w:r w:rsidRPr="004566FA">
        <w:rPr>
          <w:iCs/>
        </w:rPr>
        <w:t>numerów</w:t>
      </w:r>
      <w:r>
        <w:rPr>
          <w:iCs/>
        </w:rPr>
        <w:t>,</w:t>
      </w:r>
      <w:r w:rsidRPr="004566FA">
        <w:rPr>
          <w:iCs/>
        </w:rPr>
        <w:t xml:space="preserve"> do których połączenia są bezpłatne albo o podwyższonej opłacie.</w:t>
      </w:r>
    </w:p>
    <w:p w14:paraId="6E068B6E" w14:textId="560B39A7" w:rsidR="003B5985" w:rsidRDefault="003B5985" w:rsidP="003B5985">
      <w:pPr>
        <w:pStyle w:val="ARTartustawynprozporzdzenia"/>
        <w:ind w:firstLine="0"/>
        <w:rPr>
          <w:iCs/>
        </w:rPr>
      </w:pPr>
      <w:r>
        <w:rPr>
          <w:iCs/>
        </w:rPr>
        <w:t>W dodawanych przepisach wskazano, że komunikaty informacyjne mogą być przekazywane w drodze przesłania użytkownikowi końcowemu</w:t>
      </w:r>
      <w:r w:rsidRPr="00A24477">
        <w:rPr>
          <w:iCs/>
        </w:rPr>
        <w:t xml:space="preserve"> krótkiej wiadomości tekstowej (SMS).</w:t>
      </w:r>
    </w:p>
    <w:p w14:paraId="6712101B" w14:textId="77777777" w:rsidR="003B5985" w:rsidRDefault="003B5985" w:rsidP="003B5985">
      <w:pPr>
        <w:pStyle w:val="ARTartustawynprozporzdzenia"/>
        <w:ind w:firstLine="0"/>
        <w:rPr>
          <w:iCs/>
        </w:rPr>
      </w:pPr>
      <w:r>
        <w:rPr>
          <w:iCs/>
        </w:rPr>
        <w:t xml:space="preserve">Żądania wysyłania komunikatów do dostawców usług telekomunikacyjnych będą przekazywane i obsługiwane </w:t>
      </w:r>
      <w:r w:rsidRPr="00A24477">
        <w:rPr>
          <w:iCs/>
        </w:rPr>
        <w:t>za pośrednictwem usługi udostępnionej przez ministra właściwego do spraw informatyzacj</w:t>
      </w:r>
      <w:r>
        <w:rPr>
          <w:iCs/>
        </w:rPr>
        <w:t>i w systemie teleinformatycznym</w:t>
      </w:r>
      <w:r w:rsidRPr="00A24477">
        <w:rPr>
          <w:iCs/>
        </w:rPr>
        <w:t>.</w:t>
      </w:r>
      <w:r>
        <w:rPr>
          <w:iCs/>
        </w:rPr>
        <w:t xml:space="preserve"> Dostawcy usług telekomunikacyjnych będą zobowiązani do dokonania rejestracji w systemie teleinformatycznym z podaniem danych wskazanych w dodawanych przepisach</w:t>
      </w:r>
      <w:r w:rsidRPr="00A24477">
        <w:rPr>
          <w:iCs/>
        </w:rPr>
        <w:t>.</w:t>
      </w:r>
      <w:r>
        <w:rPr>
          <w:iCs/>
        </w:rPr>
        <w:t xml:space="preserve"> Rejestracji w systemie muszą dokonać również podmioty ustawowo uprawnione do przesyłania żądania wysłania komunikatów informacyjnych.</w:t>
      </w:r>
    </w:p>
    <w:p w14:paraId="42CF485E" w14:textId="3B00BBF2" w:rsidR="003B5985" w:rsidRDefault="003B5985" w:rsidP="003B5985">
      <w:pPr>
        <w:pStyle w:val="ARTartustawynprozporzdzenia"/>
        <w:ind w:firstLine="0"/>
        <w:rPr>
          <w:iCs/>
        </w:rPr>
      </w:pPr>
      <w:r>
        <w:rPr>
          <w:iCs/>
        </w:rPr>
        <w:t xml:space="preserve">Dostawcy usług telekomunikacyjnych zobowiązani będą do przyłączenia się do systemu teleinformatycznego udostępnianego przez ministra właściwego do spraw informatyzacji. </w:t>
      </w:r>
    </w:p>
    <w:p w14:paraId="1BECD7B6" w14:textId="630C4B5E" w:rsidR="003B5985" w:rsidRDefault="003B5985" w:rsidP="003B5985">
      <w:pPr>
        <w:pStyle w:val="ARTartustawynprozporzdzenia"/>
        <w:ind w:firstLine="0"/>
        <w:rPr>
          <w:iCs/>
        </w:rPr>
      </w:pPr>
      <w:r>
        <w:rPr>
          <w:iCs/>
        </w:rPr>
        <w:t xml:space="preserve">Uruchomienie </w:t>
      </w:r>
      <w:r w:rsidR="00197CD0">
        <w:rPr>
          <w:iCs/>
        </w:rPr>
        <w:t xml:space="preserve">systemu teleinformatycznego, a także </w:t>
      </w:r>
      <w:r w:rsidRPr="00564C6E">
        <w:rPr>
          <w:iCs/>
        </w:rPr>
        <w:t xml:space="preserve">usługi umożliwiającej dostawcom usług telekomunikacyjnych </w:t>
      </w:r>
      <w:r>
        <w:rPr>
          <w:iCs/>
        </w:rPr>
        <w:t>przyłączenie</w:t>
      </w:r>
      <w:r w:rsidRPr="00564C6E">
        <w:rPr>
          <w:iCs/>
        </w:rPr>
        <w:t xml:space="preserve"> </w:t>
      </w:r>
      <w:r>
        <w:rPr>
          <w:iCs/>
        </w:rPr>
        <w:t>do syste</w:t>
      </w:r>
      <w:r w:rsidRPr="00564C6E">
        <w:rPr>
          <w:iCs/>
        </w:rPr>
        <w:t>m</w:t>
      </w:r>
      <w:r>
        <w:rPr>
          <w:iCs/>
        </w:rPr>
        <w:t>u</w:t>
      </w:r>
      <w:r w:rsidRPr="00564C6E">
        <w:rPr>
          <w:iCs/>
        </w:rPr>
        <w:t xml:space="preserve"> teleinformatyczn</w:t>
      </w:r>
      <w:r>
        <w:rPr>
          <w:iCs/>
        </w:rPr>
        <w:t xml:space="preserve">ego oraz usługi przekazywania i obsługi żądań z wykorzystaniem systemu teleinformatycznego powinno nastąpić </w:t>
      </w:r>
      <w:r w:rsidRPr="00C5643D">
        <w:rPr>
          <w:iCs/>
        </w:rPr>
        <w:t>w terminie 24 miesięcy od dnia we</w:t>
      </w:r>
      <w:r>
        <w:rPr>
          <w:iCs/>
        </w:rPr>
        <w:t>jścia w życie niniejszej ustawy.</w:t>
      </w:r>
    </w:p>
    <w:p w14:paraId="7C62301F" w14:textId="57EC6126" w:rsidR="003B5985" w:rsidRDefault="00197CD0" w:rsidP="003B5985">
      <w:pPr>
        <w:pStyle w:val="ARTartustawynprozporzdzenia"/>
        <w:ind w:firstLine="0"/>
        <w:rPr>
          <w:iCs/>
        </w:rPr>
      </w:pPr>
      <w:r>
        <w:rPr>
          <w:iCs/>
        </w:rPr>
        <w:t>Ww. t</w:t>
      </w:r>
      <w:r w:rsidR="003B5985" w:rsidRPr="00C5643D">
        <w:rPr>
          <w:iCs/>
        </w:rPr>
        <w:t>ermin</w:t>
      </w:r>
      <w:r>
        <w:rPr>
          <w:iCs/>
        </w:rPr>
        <w:t>y zostaną określone w komunikacie ogłoszony</w:t>
      </w:r>
      <w:r w:rsidR="00D06161">
        <w:rPr>
          <w:iCs/>
        </w:rPr>
        <w:t>m</w:t>
      </w:r>
      <w:r>
        <w:rPr>
          <w:iCs/>
        </w:rPr>
        <w:t xml:space="preserve"> </w:t>
      </w:r>
      <w:r w:rsidR="003B5985">
        <w:rPr>
          <w:iCs/>
        </w:rPr>
        <w:t>w</w:t>
      </w:r>
      <w:r w:rsidR="003B5985" w:rsidRPr="00C5643D">
        <w:rPr>
          <w:iCs/>
        </w:rPr>
        <w:t xml:space="preserve"> dzienniku urzędowym </w:t>
      </w:r>
      <w:r w:rsidR="003B5985">
        <w:rPr>
          <w:iCs/>
        </w:rPr>
        <w:t xml:space="preserve">ministra właściwego do spraw informatyzacji </w:t>
      </w:r>
      <w:r w:rsidR="003B5985" w:rsidRPr="00C5643D">
        <w:rPr>
          <w:iCs/>
        </w:rPr>
        <w:t>oraz w B</w:t>
      </w:r>
      <w:r w:rsidR="00D06161">
        <w:rPr>
          <w:iCs/>
        </w:rPr>
        <w:t>iuletynie Informacji Publicznej</w:t>
      </w:r>
      <w:r w:rsidR="003B5985">
        <w:rPr>
          <w:iCs/>
        </w:rPr>
        <w:t>.</w:t>
      </w:r>
    </w:p>
    <w:p w14:paraId="285A3D75" w14:textId="77777777" w:rsidR="003B5985" w:rsidRDefault="003B5985" w:rsidP="003B5985">
      <w:pPr>
        <w:pStyle w:val="ARTartustawynprozporzdzenia"/>
        <w:ind w:firstLine="0"/>
        <w:rPr>
          <w:iCs/>
        </w:rPr>
      </w:pPr>
      <w:r>
        <w:rPr>
          <w:iCs/>
        </w:rPr>
        <w:t xml:space="preserve">System teleinformatyczny będzie posiadał połączenie z bazą danych zawierającą </w:t>
      </w:r>
      <w:r w:rsidRPr="00E4002D">
        <w:rPr>
          <w:iCs/>
        </w:rPr>
        <w:t>przeniesione numery</w:t>
      </w:r>
      <w:r>
        <w:rPr>
          <w:iCs/>
        </w:rPr>
        <w:t xml:space="preserve">, będącą częścią zarządzanej przez Prezesa UKE Platformy Lokalizacyjno – Informacyjnej z Centralną Bazą Danych. Połączenie to jest istotne z uwagi na umożliwienie wysyłania komunikatów o charakterze zindywidualizowanym. </w:t>
      </w:r>
    </w:p>
    <w:p w14:paraId="0C1FE30A" w14:textId="4470B03C" w:rsidR="003B5985" w:rsidRPr="008F2E2B" w:rsidRDefault="003B5985" w:rsidP="003B5985">
      <w:pPr>
        <w:pStyle w:val="ARTartustawynprozporzdzenia"/>
        <w:ind w:firstLine="0"/>
        <w:rPr>
          <w:iCs/>
        </w:rPr>
      </w:pPr>
      <w:r>
        <w:rPr>
          <w:iCs/>
        </w:rPr>
        <w:lastRenderedPageBreak/>
        <w:t>Przewidziano możliwość rezygnacji z otrzymywania komunikatów informacyjnych o charakterze powszechnym, z wyłączeniem komunikatów indywidualnych dotyczących spraw załatwianych na rzecz konkretnej osoby. Użytkownik końcowy w tym celu składa</w:t>
      </w:r>
      <w:r w:rsidRPr="008F2E2B">
        <w:rPr>
          <w:iCs/>
        </w:rPr>
        <w:t xml:space="preserve"> żądanie zaprzestania otrzymywania komunikatów</w:t>
      </w:r>
      <w:r>
        <w:rPr>
          <w:iCs/>
        </w:rPr>
        <w:t xml:space="preserve"> </w:t>
      </w:r>
      <w:r w:rsidRPr="00434EBD">
        <w:rPr>
          <w:iCs/>
        </w:rPr>
        <w:t>przy użyciu usługi online udostępnionej przez ministra właściwego do spraw informatyzacji, po uwierzytelnieniu w sposób określony w </w:t>
      </w:r>
      <w:r w:rsidRPr="008F736B">
        <w:rPr>
          <w:iCs/>
        </w:rPr>
        <w:t>art. 20a ust. 1</w:t>
      </w:r>
      <w:r>
        <w:rPr>
          <w:iCs/>
        </w:rPr>
        <w:t>.</w:t>
      </w:r>
      <w:r w:rsidRPr="008F2E2B">
        <w:rPr>
          <w:iCs/>
        </w:rPr>
        <w:t xml:space="preserve"> </w:t>
      </w:r>
    </w:p>
    <w:p w14:paraId="64CE117C" w14:textId="4CCFA7F7" w:rsidR="00CC0B2E" w:rsidRDefault="00CC0B2E" w:rsidP="003B5985">
      <w:pPr>
        <w:pStyle w:val="ARTartustawynprozporzdzenia"/>
        <w:ind w:firstLine="0"/>
        <w:rPr>
          <w:iCs/>
        </w:rPr>
      </w:pPr>
      <w:r>
        <w:rPr>
          <w:iCs/>
        </w:rPr>
        <w:t>Dostawcom usług telekomunikacyjnych, realizującym usługę wysyłania komunikatów informacyjnych oraz dokonywania uwierzytelnienia</w:t>
      </w:r>
      <w:r w:rsidRPr="00434EBD">
        <w:rPr>
          <w:iCs/>
        </w:rPr>
        <w:t xml:space="preserve"> i autoryzacji związanych z wykorzystaniem profilu zaufanego</w:t>
      </w:r>
      <w:r>
        <w:rPr>
          <w:iCs/>
        </w:rPr>
        <w:t xml:space="preserve"> </w:t>
      </w:r>
      <w:r w:rsidRPr="00CC0B2E">
        <w:rPr>
          <w:iCs/>
        </w:rPr>
        <w:t>przysługiwać będzie rekompensata równoważąca</w:t>
      </w:r>
      <w:r>
        <w:rPr>
          <w:iCs/>
        </w:rPr>
        <w:t xml:space="preserve"> koszty realizacji tych usług,</w:t>
      </w:r>
      <w:r w:rsidRPr="00CC0B2E">
        <w:rPr>
          <w:iCs/>
        </w:rPr>
        <w:t xml:space="preserve"> w postaci obniżenia opłaty za prawo do wykorzystywania zasobów numeracji w zakresie wysokości opłat za numer abonencki oraz za wyróżnik ruchomej sieci telekomunikacyjnej (PLMN), o których mowa w przepisach wydanych na podstawie art. 184 ust. 4 ustawy z dnia 16 lipca 2004 r. - Prawo telekomunikacyjne.</w:t>
      </w:r>
    </w:p>
    <w:p w14:paraId="3E55B5A6" w14:textId="556B9916" w:rsidR="003B5985" w:rsidRDefault="003B5985" w:rsidP="003B5985">
      <w:pPr>
        <w:pStyle w:val="ARTartustawynprozporzdzenia"/>
        <w:ind w:firstLine="0"/>
        <w:rPr>
          <w:iCs/>
        </w:rPr>
      </w:pPr>
      <w:r>
        <w:rPr>
          <w:iCs/>
        </w:rPr>
        <w:t>W celu</w:t>
      </w:r>
      <w:r w:rsidR="00CC0B2E">
        <w:rPr>
          <w:iCs/>
        </w:rPr>
        <w:t xml:space="preserve"> skorzystania z rekompensaty,</w:t>
      </w:r>
      <w:r>
        <w:rPr>
          <w:iCs/>
        </w:rPr>
        <w:t xml:space="preserve"> dostawca usług składa </w:t>
      </w:r>
      <w:r w:rsidRPr="008F2E2B">
        <w:rPr>
          <w:iCs/>
        </w:rPr>
        <w:t xml:space="preserve">do Prezesa Urzędu Komunikacji Elektronicznej wniosek o obniżenie opłaty za prawo do wykorzystywania zasobów numeracji w zakresie wysokości opłat za numer abonencki oraz za wyróżnik ruchomej </w:t>
      </w:r>
      <w:r>
        <w:rPr>
          <w:iCs/>
        </w:rPr>
        <w:t>sieci telekomunikacyjnej (PLMN).</w:t>
      </w:r>
      <w:r w:rsidRPr="008F2E2B">
        <w:rPr>
          <w:iCs/>
        </w:rPr>
        <w:t xml:space="preserve"> </w:t>
      </w:r>
      <w:r>
        <w:rPr>
          <w:iCs/>
        </w:rPr>
        <w:t xml:space="preserve">Wysokość obniżki będzie wyliczana przez dostawcę usług telekomunikacyjnych w sposób określony w dodawanych przepisach. </w:t>
      </w:r>
      <w:r w:rsidRPr="008F2E2B">
        <w:rPr>
          <w:iCs/>
        </w:rPr>
        <w:t>Wniosek za dany rok kalendarzowy</w:t>
      </w:r>
      <w:r w:rsidRPr="008F2E2B" w:rsidDel="00534452">
        <w:rPr>
          <w:iCs/>
        </w:rPr>
        <w:t xml:space="preserve"> </w:t>
      </w:r>
      <w:r w:rsidRPr="008F2E2B">
        <w:rPr>
          <w:iCs/>
        </w:rPr>
        <w:t>składa się do dnia 31 marca roku, którego dotyczy wniosek, uwzględniając liczbę numerów</w:t>
      </w:r>
      <w:r>
        <w:rPr>
          <w:iCs/>
        </w:rPr>
        <w:t xml:space="preserve"> względem których realizowano usługi w </w:t>
      </w:r>
      <w:r w:rsidRPr="008F2E2B">
        <w:rPr>
          <w:iCs/>
        </w:rPr>
        <w:t>poprzednim roku kalendarzowym.</w:t>
      </w:r>
      <w:r>
        <w:rPr>
          <w:iCs/>
        </w:rPr>
        <w:t xml:space="preserve"> Obniżenie opłaty za dany rok kalendarzowy nie może przekroczyć wysokości 20% opłaty za numerację, do uiszczenia której dostawca usług jest zobowiązany.</w:t>
      </w:r>
    </w:p>
    <w:p w14:paraId="792671ED" w14:textId="77777777" w:rsidR="003B5985" w:rsidRPr="00DD1FE6" w:rsidRDefault="003B5985" w:rsidP="003B5985">
      <w:pPr>
        <w:pStyle w:val="ARTartustawynprozporzdzenia"/>
        <w:ind w:firstLine="0"/>
        <w:rPr>
          <w:iCs/>
        </w:rPr>
      </w:pPr>
      <w:r>
        <w:rPr>
          <w:iCs/>
        </w:rPr>
        <w:t xml:space="preserve">Wysokość obniżki opłaty za </w:t>
      </w:r>
      <w:r w:rsidRPr="00A70F5A">
        <w:rPr>
          <w:iCs/>
        </w:rPr>
        <w:t>numerację może być wyliczona za pomocą następującego wzoru:</w:t>
      </w:r>
    </w:p>
    <w:p w14:paraId="52ED7C05" w14:textId="7613C4B2" w:rsidR="003B5985" w:rsidRDefault="003B5985" w:rsidP="003B5985">
      <w:pPr>
        <w:pStyle w:val="ARTartustawynprozporzdzenia"/>
        <w:ind w:firstLine="0"/>
      </w:pPr>
      <m:oMathPara>
        <m:oMath>
          <m:r>
            <w:rPr>
              <w:rFonts w:ascii="Cambria Math" w:hAnsi="Cambria Math"/>
            </w:rPr>
            <m:t>X=</m:t>
          </m:r>
          <m:d>
            <m:dPr>
              <m:ctrlPr>
                <w:rPr>
                  <w:rFonts w:ascii="Cambria Math" w:hAnsi="Cambria Math"/>
                  <w:i/>
                </w:rPr>
              </m:ctrlPr>
            </m:dPr>
            <m:e>
              <m:r>
                <w:rPr>
                  <w:rFonts w:ascii="Cambria Math" w:hAnsi="Cambria Math"/>
                </w:rPr>
                <m:t>a+b</m:t>
              </m:r>
            </m:e>
          </m:d>
          <m:r>
            <w:rPr>
              <w:rFonts w:ascii="Cambria Math" w:hAnsi="Cambria Math"/>
            </w:rPr>
            <m:t>×c×</m:t>
          </m:r>
          <m:d>
            <m:dPr>
              <m:ctrlPr>
                <w:rPr>
                  <w:rFonts w:ascii="Cambria Math" w:hAnsi="Cambria Math"/>
                  <w:i/>
                </w:rPr>
              </m:ctrlPr>
            </m:dPr>
            <m:e>
              <m:r>
                <w:rPr>
                  <w:rFonts w:ascii="Cambria Math" w:hAnsi="Cambria Math"/>
                </w:rPr>
                <m:t>0,2×</m:t>
              </m:r>
              <m:f>
                <m:fPr>
                  <m:ctrlPr>
                    <w:rPr>
                      <w:rFonts w:ascii="Cambria Math" w:hAnsi="Cambria Math"/>
                      <w:i/>
                    </w:rPr>
                  </m:ctrlPr>
                </m:fPr>
                <m:num>
                  <m:r>
                    <w:rPr>
                      <w:rFonts w:ascii="Cambria Math" w:hAnsi="Cambria Math"/>
                    </w:rPr>
                    <m:t>d</m:t>
                  </m:r>
                </m:num>
                <m:den>
                  <m:r>
                    <w:rPr>
                      <w:rFonts w:ascii="Cambria Math" w:hAnsi="Cambria Math"/>
                    </w:rPr>
                    <m:t>c</m:t>
                  </m:r>
                </m:den>
              </m:f>
            </m:e>
          </m:d>
        </m:oMath>
      </m:oMathPara>
    </w:p>
    <w:p w14:paraId="7BBBAD72" w14:textId="77777777" w:rsidR="003B5985" w:rsidRDefault="003B5985" w:rsidP="003B5985">
      <w:pPr>
        <w:pStyle w:val="ARTartustawynprozporzdzenia"/>
        <w:ind w:firstLine="0"/>
      </w:pPr>
      <w:r>
        <w:t>X - obniżka opłaty za numerację;</w:t>
      </w:r>
    </w:p>
    <w:p w14:paraId="3269AA8F" w14:textId="77777777" w:rsidR="003B5985" w:rsidRPr="00A70F5A" w:rsidRDefault="003B5985" w:rsidP="003B5985">
      <w:pPr>
        <w:pStyle w:val="ARTartustawynprozporzdzenia"/>
        <w:ind w:firstLine="0"/>
      </w:pPr>
      <w:r w:rsidRPr="00A70F5A">
        <w:t>a - wysokość opłaty za numer abonencki w ruchomej publicznej sieci telekomunikacyjnej</w:t>
      </w:r>
      <w:r>
        <w:t>;</w:t>
      </w:r>
    </w:p>
    <w:p w14:paraId="1AC10CB7" w14:textId="77777777" w:rsidR="003B5985" w:rsidRDefault="003B5985" w:rsidP="003B5985">
      <w:pPr>
        <w:pStyle w:val="ARTartustawynprozporzdzenia"/>
        <w:ind w:firstLine="0"/>
      </w:pPr>
      <w:r w:rsidRPr="00A70F5A">
        <w:t>b - proporcjonalna część opłaty za wyróżnik ruchomej publicznej sieci telekomunikacyjnej dla jednego numeru abonenckieg</w:t>
      </w:r>
      <w:r>
        <w:t>o;</w:t>
      </w:r>
    </w:p>
    <w:p w14:paraId="7B117702" w14:textId="77777777" w:rsidR="003B5985" w:rsidRDefault="003B5985" w:rsidP="003B5985">
      <w:pPr>
        <w:pStyle w:val="ARTartustawynprozporzdzenia"/>
        <w:ind w:firstLine="0"/>
      </w:pPr>
      <w:r>
        <w:t xml:space="preserve">c - </w:t>
      </w:r>
      <w:r w:rsidRPr="00A70F5A">
        <w:t>sum</w:t>
      </w:r>
      <w:r>
        <w:t>a</w:t>
      </w:r>
      <w:r w:rsidRPr="00A70F5A">
        <w:t xml:space="preserve"> numerów abonenckich za które dostawca usług telekomunikacyjnych uiszcza opłaty za prawo do wykorzystywania zasobów numeracji</w:t>
      </w:r>
      <w:r>
        <w:t>;</w:t>
      </w:r>
    </w:p>
    <w:p w14:paraId="680F8036" w14:textId="39DB9F3A" w:rsidR="003B5985" w:rsidRDefault="003B5985" w:rsidP="00C47663">
      <w:pPr>
        <w:pStyle w:val="ARTartustawynprozporzdzenia"/>
        <w:spacing w:after="120"/>
        <w:ind w:firstLine="0"/>
      </w:pPr>
      <w:r>
        <w:lastRenderedPageBreak/>
        <w:t xml:space="preserve">d - </w:t>
      </w:r>
      <w:r w:rsidR="000E5407" w:rsidRPr="000E5407">
        <w:t>liczby numerów abonenckich, które zrealizowały usługę, o której mowa w art. 20c ust. 11 pkt 1 lub 2 albo do których został przekazany komunikat za pomocą usługi wskazanej w ust. 4 w roku kalendarzowym poprzedzającym złożenie wniosku</w:t>
      </w:r>
      <w:r>
        <w:t>.</w:t>
      </w:r>
    </w:p>
    <w:p w14:paraId="41C2259A" w14:textId="7777777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Ustawa wejdzie w życie po upływie 14 dni od dnia ogłoszenia.</w:t>
      </w:r>
    </w:p>
    <w:p w14:paraId="50294FA6" w14:textId="7777777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 xml:space="preserve">Projektowane przepisy zostały przeanalizowane pod kątem wpływu na małe i średnie przedsiębiorstwa. Wpływ taki może wystąpić, gdyby takie przedsiębiorstwa świadczyły usługi telekomunikacyjne. W takim przypadku będą miały do nich zastosowanie wprost przepisy ustawy. </w:t>
      </w:r>
    </w:p>
    <w:p w14:paraId="5BE170D0" w14:textId="7777777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Wpływ ustawy na pozostałe małe i średnie przedsiębiorstwa, które korzystają z profilu zaufanego i podpisu zaufanego będzie niewielki, ale pozytywny, ponieważ korzystanie z usług publicznych stanie się wygodniejsze.</w:t>
      </w:r>
    </w:p>
    <w:p w14:paraId="72B1CFC6" w14:textId="7777777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Projektowana ustawa nie będzie mała wpływu na sytuację ekonomiczną i społeczną rodziny oraz osób starszych.</w:t>
      </w:r>
    </w:p>
    <w:p w14:paraId="2A7CD492" w14:textId="019736E5"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 xml:space="preserve">Projekt ustawy </w:t>
      </w:r>
      <w:r w:rsidR="002B0997">
        <w:t>nie jest sprzeczny</w:t>
      </w:r>
      <w:r w:rsidRPr="00D86BAF">
        <w:rPr>
          <w:rFonts w:eastAsia="MS Mincho" w:cs="Times New Roman"/>
          <w:bCs/>
        </w:rPr>
        <w:t xml:space="preserve"> z prawem Unii Europejskiej. </w:t>
      </w:r>
    </w:p>
    <w:p w14:paraId="11F39F69" w14:textId="7777777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Projekt ustawy nie wymaga przedstawienia właściwym instytucjom i organom Unii Europejskiej, w tym Europejskiemu Bankowi Centralnemu, celem uzyskania opinii, dokonania powiadomienia, konsultacji albo uzgodnienia.</w:t>
      </w:r>
    </w:p>
    <w:p w14:paraId="4A3745BA" w14:textId="1FFA87DC"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Projekt ustawy nie zawiera przepisów technicznych w rozumieniu rozporządzenia Rady Ministrów z dnia 23 grudnia 2002 r. w sprawie sposobu funkcjonowania krajowego systemu notyfikacji norm i aktów prawnych .</w:t>
      </w:r>
    </w:p>
    <w:p w14:paraId="457ACE75" w14:textId="0FE54117" w:rsidR="00D86BAF" w:rsidRPr="00D86BAF" w:rsidRDefault="00D86BAF" w:rsidP="00A0788F">
      <w:pPr>
        <w:widowControl/>
        <w:suppressAutoHyphens/>
        <w:spacing w:after="120"/>
        <w:jc w:val="both"/>
        <w:rPr>
          <w:rFonts w:eastAsia="MS Mincho" w:cs="Times New Roman"/>
          <w:bCs/>
        </w:rPr>
      </w:pPr>
      <w:r w:rsidRPr="00D86BAF">
        <w:rPr>
          <w:rFonts w:eastAsia="MS Mincho" w:cs="Times New Roman"/>
          <w:bCs/>
        </w:rPr>
        <w:t>Stosownie do postanowień art. 5 ustawy z dnia 7 lipca 2005 r. o działalności lobbingowej w procesie stanowienia prawa projekt ustawy zostanie udostępniony w Biuletynie Informacji Publicznej Ministra Cyfryzacji.</w:t>
      </w:r>
    </w:p>
    <w:p w14:paraId="55499BDD" w14:textId="440D606A" w:rsidR="00261A16" w:rsidRDefault="00D86BAF" w:rsidP="00D861E6">
      <w:pPr>
        <w:widowControl/>
        <w:suppressAutoHyphens/>
        <w:spacing w:after="120"/>
        <w:jc w:val="both"/>
        <w:rPr>
          <w:rFonts w:eastAsia="MS Mincho" w:cs="Times New Roman"/>
          <w:bCs/>
        </w:rPr>
      </w:pPr>
      <w:r w:rsidRPr="00D86BAF">
        <w:rPr>
          <w:rFonts w:eastAsia="MS Mincho" w:cs="Times New Roman"/>
          <w:bCs/>
        </w:rPr>
        <w:t>Zgodnie z § 52 ust. 1 uchwały nr 190 Rady Ministrów z dnia 29 października 2013 r. – Regulamin pracy Rady Ministrów projekt ustawy zostanie udostępniony w Biuletynie Informacji Publicznej na stronie podmiotowej Rządowego Centrum Legislacji, w serwisie Rządowy Proces Legislacyjny.</w:t>
      </w:r>
    </w:p>
    <w:p w14:paraId="27DF57A1" w14:textId="0F20AA5B" w:rsidR="00352548" w:rsidRDefault="00352548" w:rsidP="00D861E6">
      <w:pPr>
        <w:widowControl/>
        <w:suppressAutoHyphens/>
        <w:spacing w:after="120"/>
        <w:jc w:val="both"/>
        <w:rPr>
          <w:rFonts w:eastAsia="MS Mincho" w:cs="Times New Roman"/>
          <w:bCs/>
        </w:rPr>
      </w:pPr>
      <w:r>
        <w:rPr>
          <w:rFonts w:eastAsia="MS Mincho" w:cs="Times New Roman"/>
          <w:bCs/>
        </w:rPr>
        <w:br w:type="page"/>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352548" w:rsidRPr="0069119B" w14:paraId="6716D053" w14:textId="77777777" w:rsidTr="00B6663D">
        <w:trPr>
          <w:gridAfter w:val="1"/>
          <w:wAfter w:w="10" w:type="dxa"/>
          <w:trHeight w:val="3960"/>
          <w:jc w:val="center"/>
        </w:trPr>
        <w:tc>
          <w:tcPr>
            <w:tcW w:w="6631" w:type="dxa"/>
            <w:gridSpan w:val="17"/>
          </w:tcPr>
          <w:p w14:paraId="305BF46B" w14:textId="77777777" w:rsidR="00352548" w:rsidRPr="0069119B" w:rsidRDefault="00352548" w:rsidP="00B6663D">
            <w:pPr>
              <w:spacing w:line="240" w:lineRule="auto"/>
              <w:ind w:hanging="45"/>
              <w:rPr>
                <w:rFonts w:eastAsia="Calibri" w:cs="Times New Roman"/>
                <w:color w:val="000000"/>
              </w:rPr>
            </w:pPr>
            <w:bookmarkStart w:id="5" w:name="t1"/>
            <w:r w:rsidRPr="0069119B">
              <w:rPr>
                <w:rFonts w:eastAsia="Calibri" w:cs="Times New Roman"/>
                <w:b/>
                <w:color w:val="000000"/>
              </w:rPr>
              <w:lastRenderedPageBreak/>
              <w:t>Nazwa projektu</w:t>
            </w:r>
          </w:p>
          <w:p w14:paraId="52BC7207" w14:textId="77777777" w:rsidR="00352548" w:rsidRDefault="00352548" w:rsidP="00B6663D">
            <w:pPr>
              <w:spacing w:line="240" w:lineRule="auto"/>
              <w:ind w:hanging="34"/>
              <w:rPr>
                <w:rFonts w:eastAsia="Calibri" w:cs="Times New Roman"/>
                <w:color w:val="000000"/>
              </w:rPr>
            </w:pPr>
            <w:bookmarkStart w:id="6" w:name="t2"/>
            <w:r w:rsidRPr="0069119B">
              <w:rPr>
                <w:rFonts w:eastAsia="Calibri" w:cs="Times New Roman"/>
                <w:color w:val="000000"/>
              </w:rPr>
              <w:t>Ustawa o zmianie ustawy o informatyzacji działalności podmiotów realizujących zadania publiczne</w:t>
            </w:r>
            <w:bookmarkEnd w:id="6"/>
            <w:r>
              <w:rPr>
                <w:rFonts w:eastAsia="Calibri" w:cs="Times New Roman"/>
                <w:color w:val="000000"/>
              </w:rPr>
              <w:t xml:space="preserve"> oraz ustawy – Prawo telekomunikacyjne</w:t>
            </w:r>
          </w:p>
          <w:p w14:paraId="226F697C" w14:textId="77777777" w:rsidR="00352548" w:rsidRPr="0069119B" w:rsidRDefault="00352548" w:rsidP="00B6663D">
            <w:pPr>
              <w:spacing w:line="240" w:lineRule="auto"/>
              <w:ind w:hanging="34"/>
              <w:rPr>
                <w:rFonts w:eastAsia="Calibri" w:cs="Times New Roman"/>
                <w:color w:val="000000"/>
              </w:rPr>
            </w:pPr>
          </w:p>
          <w:p w14:paraId="272E85F3" w14:textId="77777777" w:rsidR="00352548" w:rsidRPr="0069119B" w:rsidRDefault="00352548" w:rsidP="00B6663D">
            <w:pPr>
              <w:spacing w:line="240" w:lineRule="auto"/>
              <w:ind w:hanging="45"/>
              <w:rPr>
                <w:rFonts w:eastAsia="Calibri" w:cs="Times New Roman"/>
                <w:b/>
                <w:color w:val="000000"/>
              </w:rPr>
            </w:pPr>
            <w:r w:rsidRPr="0069119B">
              <w:rPr>
                <w:rFonts w:eastAsia="Calibri" w:cs="Times New Roman"/>
                <w:b/>
                <w:color w:val="000000"/>
              </w:rPr>
              <w:t>Ministerstwo wiodące i ministerstwa współpracujące</w:t>
            </w:r>
          </w:p>
          <w:bookmarkEnd w:id="5"/>
          <w:p w14:paraId="3ED59531" w14:textId="77777777" w:rsidR="00352548" w:rsidRDefault="00352548" w:rsidP="00B6663D">
            <w:pPr>
              <w:spacing w:line="240" w:lineRule="auto"/>
              <w:ind w:hanging="34"/>
              <w:rPr>
                <w:rFonts w:eastAsia="Calibri" w:cs="Times New Roman"/>
                <w:color w:val="000000"/>
              </w:rPr>
            </w:pPr>
            <w:r w:rsidRPr="0069119B">
              <w:rPr>
                <w:rFonts w:eastAsia="Calibri" w:cs="Times New Roman"/>
                <w:color w:val="000000"/>
              </w:rPr>
              <w:t>Kancelaria Prezesa Rady Ministrów</w:t>
            </w:r>
          </w:p>
          <w:p w14:paraId="22C95171" w14:textId="77777777" w:rsidR="00352548" w:rsidRPr="0069119B" w:rsidRDefault="00352548" w:rsidP="00B6663D">
            <w:pPr>
              <w:spacing w:line="240" w:lineRule="auto"/>
              <w:ind w:hanging="34"/>
              <w:rPr>
                <w:rFonts w:eastAsia="Calibri" w:cs="Times New Roman"/>
                <w:color w:val="000000"/>
              </w:rPr>
            </w:pPr>
          </w:p>
          <w:p w14:paraId="20463152" w14:textId="77777777" w:rsidR="00352548" w:rsidRPr="0069119B" w:rsidRDefault="00352548" w:rsidP="00B6663D">
            <w:pPr>
              <w:spacing w:line="240" w:lineRule="auto"/>
              <w:ind w:hanging="34"/>
              <w:rPr>
                <w:rFonts w:eastAsia="Calibri" w:cs="Times New Roman"/>
                <w:color w:val="000000"/>
              </w:rPr>
            </w:pPr>
            <w:r w:rsidRPr="0069119B">
              <w:rPr>
                <w:rFonts w:eastAsia="Calibri" w:cs="Times New Roman"/>
                <w:b/>
              </w:rPr>
              <w:t xml:space="preserve">Osoba odpowiedzialna za projekt w randze Ministra, Sekretarza Stanu lub Podsekretarza Stanu </w:t>
            </w:r>
          </w:p>
          <w:p w14:paraId="3FDEE564" w14:textId="77777777" w:rsidR="00352548" w:rsidRDefault="00352548" w:rsidP="00B6663D">
            <w:pPr>
              <w:spacing w:line="240" w:lineRule="auto"/>
              <w:ind w:hanging="45"/>
              <w:rPr>
                <w:rFonts w:eastAsia="Calibri" w:cs="Times New Roman"/>
              </w:rPr>
            </w:pPr>
            <w:r w:rsidRPr="0069119B">
              <w:rPr>
                <w:rFonts w:eastAsia="Calibri" w:cs="Times New Roman"/>
              </w:rPr>
              <w:t>Pan Janusz Cieszyński, Sekretarz Stanu w Ka</w:t>
            </w:r>
            <w:r>
              <w:rPr>
                <w:rFonts w:eastAsia="Calibri" w:cs="Times New Roman"/>
              </w:rPr>
              <w:t>ncelarii Prezesa Rady Ministrów</w:t>
            </w:r>
          </w:p>
          <w:p w14:paraId="6512F58F" w14:textId="77777777" w:rsidR="00352548" w:rsidRPr="0069119B" w:rsidRDefault="00352548" w:rsidP="00B6663D">
            <w:pPr>
              <w:spacing w:line="240" w:lineRule="auto"/>
              <w:ind w:hanging="45"/>
              <w:rPr>
                <w:rFonts w:eastAsia="Calibri" w:cs="Times New Roman"/>
              </w:rPr>
            </w:pPr>
          </w:p>
          <w:p w14:paraId="23634CB0" w14:textId="77777777" w:rsidR="00352548" w:rsidRPr="0069119B" w:rsidRDefault="00352548" w:rsidP="00B6663D">
            <w:pPr>
              <w:spacing w:line="240" w:lineRule="auto"/>
              <w:ind w:hanging="45"/>
              <w:rPr>
                <w:rFonts w:eastAsia="Calibri" w:cs="Times New Roman"/>
                <w:b/>
                <w:color w:val="000000"/>
              </w:rPr>
            </w:pPr>
            <w:r w:rsidRPr="0069119B">
              <w:rPr>
                <w:rFonts w:eastAsia="Calibri" w:cs="Times New Roman"/>
                <w:b/>
                <w:color w:val="000000"/>
              </w:rPr>
              <w:t>Kontakt do opiekuna merytorycznego projektu</w:t>
            </w:r>
          </w:p>
          <w:p w14:paraId="3381B855" w14:textId="77777777" w:rsidR="00352548" w:rsidRDefault="00352548" w:rsidP="00B6663D">
            <w:pPr>
              <w:spacing w:line="240" w:lineRule="auto"/>
              <w:ind w:hanging="45"/>
              <w:rPr>
                <w:rFonts w:eastAsia="Calibri" w:cs="Times New Roman"/>
                <w:color w:val="000000"/>
              </w:rPr>
            </w:pPr>
            <w:r w:rsidRPr="0069119B">
              <w:rPr>
                <w:rFonts w:eastAsia="Calibri" w:cs="Times New Roman"/>
                <w:color w:val="000000"/>
              </w:rPr>
              <w:t>Pani Anna Weber, Dyrektor Departamentu Tożs</w:t>
            </w:r>
            <w:r>
              <w:rPr>
                <w:rFonts w:eastAsia="Calibri" w:cs="Times New Roman"/>
                <w:color w:val="000000"/>
              </w:rPr>
              <w:t>amości Cyfrowej</w:t>
            </w:r>
            <w:r w:rsidRPr="0069119B">
              <w:rPr>
                <w:rFonts w:eastAsia="Calibri" w:cs="Times New Roman"/>
              </w:rPr>
              <w:t xml:space="preserve"> w</w:t>
            </w:r>
            <w:r>
              <w:rPr>
                <w:rFonts w:eastAsia="Calibri" w:cs="Times New Roman"/>
              </w:rPr>
              <w:t> </w:t>
            </w:r>
            <w:r w:rsidRPr="0069119B">
              <w:rPr>
                <w:rFonts w:eastAsia="Calibri" w:cs="Times New Roman"/>
              </w:rPr>
              <w:t>Ka</w:t>
            </w:r>
            <w:r>
              <w:rPr>
                <w:rFonts w:eastAsia="Calibri" w:cs="Times New Roman"/>
              </w:rPr>
              <w:t>ncelarii Prezesa Rady Ministrów, t</w:t>
            </w:r>
            <w:r w:rsidRPr="0069119B">
              <w:rPr>
                <w:rFonts w:eastAsia="Calibri" w:cs="Times New Roman"/>
                <w:color w:val="000000"/>
              </w:rPr>
              <w:t>el. 22 245 58 52</w:t>
            </w:r>
            <w:r>
              <w:rPr>
                <w:rFonts w:eastAsia="Calibri" w:cs="Times New Roman"/>
                <w:color w:val="000000"/>
              </w:rPr>
              <w:t xml:space="preserve"> </w:t>
            </w:r>
          </w:p>
          <w:p w14:paraId="128957CB" w14:textId="77777777" w:rsidR="00352548" w:rsidRPr="00D45943" w:rsidRDefault="00352548" w:rsidP="00B6663D">
            <w:pPr>
              <w:spacing w:line="240" w:lineRule="auto"/>
              <w:ind w:hanging="45"/>
              <w:rPr>
                <w:rFonts w:eastAsia="Calibri" w:cs="Times New Roman"/>
              </w:rPr>
            </w:pPr>
          </w:p>
        </w:tc>
        <w:tc>
          <w:tcPr>
            <w:tcW w:w="4306" w:type="dxa"/>
            <w:gridSpan w:val="12"/>
            <w:shd w:val="clear" w:color="auto" w:fill="FFFFFF"/>
          </w:tcPr>
          <w:p w14:paraId="39F9C217" w14:textId="468F90B5" w:rsidR="00352548" w:rsidRPr="0069119B" w:rsidRDefault="00352548" w:rsidP="00B6663D">
            <w:pPr>
              <w:spacing w:line="240" w:lineRule="auto"/>
              <w:rPr>
                <w:rFonts w:eastAsia="Calibri" w:cs="Times New Roman"/>
                <w:b/>
                <w:sz w:val="21"/>
                <w:szCs w:val="21"/>
              </w:rPr>
            </w:pPr>
            <w:r w:rsidRPr="0069119B">
              <w:rPr>
                <w:rFonts w:eastAsia="Calibri" w:cs="Times New Roman"/>
                <w:b/>
                <w:sz w:val="21"/>
                <w:szCs w:val="21"/>
              </w:rPr>
              <w:t>Data sporządzenia</w:t>
            </w:r>
            <w:r w:rsidRPr="0069119B">
              <w:rPr>
                <w:rFonts w:eastAsia="Calibri" w:cs="Times New Roman"/>
                <w:b/>
                <w:sz w:val="21"/>
                <w:szCs w:val="21"/>
              </w:rPr>
              <w:br/>
            </w:r>
            <w:r w:rsidR="00424922">
              <w:rPr>
                <w:rFonts w:cs="Times New Roman"/>
              </w:rPr>
              <w:t>12</w:t>
            </w:r>
            <w:r>
              <w:rPr>
                <w:rFonts w:cs="Times New Roman"/>
              </w:rPr>
              <w:t>.12</w:t>
            </w:r>
            <w:r w:rsidRPr="0069119B">
              <w:rPr>
                <w:rFonts w:cs="Times New Roman"/>
              </w:rPr>
              <w:t>.2022</w:t>
            </w:r>
            <w:r w:rsidRPr="0069119B">
              <w:rPr>
                <w:rFonts w:eastAsia="Calibri" w:cs="Times New Roman"/>
                <w:sz w:val="21"/>
                <w:szCs w:val="21"/>
              </w:rPr>
              <w:t xml:space="preserve"> </w:t>
            </w:r>
            <w:r w:rsidRPr="0069119B">
              <w:rPr>
                <w:rFonts w:cs="Times New Roman"/>
              </w:rPr>
              <w:t>r.</w:t>
            </w:r>
          </w:p>
          <w:p w14:paraId="3D97C0CD" w14:textId="77777777" w:rsidR="00352548" w:rsidRPr="0069119B" w:rsidRDefault="00352548" w:rsidP="00B6663D">
            <w:pPr>
              <w:spacing w:line="240" w:lineRule="auto"/>
              <w:rPr>
                <w:rFonts w:eastAsia="Calibri" w:cs="Times New Roman"/>
                <w:b/>
              </w:rPr>
            </w:pPr>
            <w:r>
              <w:rPr>
                <w:rFonts w:eastAsia="Calibri" w:cs="Times New Roman"/>
                <w:b/>
              </w:rPr>
              <w:t>Źródło</w:t>
            </w:r>
            <w:r w:rsidRPr="0069119B">
              <w:rPr>
                <w:rFonts w:eastAsia="Calibri" w:cs="Times New Roman"/>
                <w:b/>
              </w:rPr>
              <w:t xml:space="preserve"> </w:t>
            </w:r>
            <w:bookmarkStart w:id="7" w:name="Lista1"/>
          </w:p>
          <w:bookmarkEnd w:id="7"/>
          <w:p w14:paraId="01CC4727" w14:textId="77777777" w:rsidR="00352548" w:rsidRPr="0069119B" w:rsidRDefault="00352548" w:rsidP="00B6663D">
            <w:pPr>
              <w:spacing w:line="240" w:lineRule="auto"/>
              <w:rPr>
                <w:rFonts w:eastAsia="Calibri" w:cs="Times New Roman"/>
              </w:rPr>
            </w:pPr>
            <w:r w:rsidRPr="0069119B">
              <w:rPr>
                <w:rFonts w:eastAsia="Calibri" w:cs="Times New Roman"/>
              </w:rPr>
              <w:t>Inicjatywa własna</w:t>
            </w:r>
          </w:p>
          <w:p w14:paraId="14D24C02" w14:textId="77777777" w:rsidR="00352548" w:rsidRPr="0069119B" w:rsidRDefault="00352548" w:rsidP="00B6663D">
            <w:pPr>
              <w:spacing w:before="120" w:line="240" w:lineRule="auto"/>
              <w:rPr>
                <w:rFonts w:eastAsia="Calibri" w:cs="Times New Roman"/>
                <w:b/>
                <w:color w:val="000000"/>
              </w:rPr>
            </w:pPr>
            <w:r w:rsidRPr="0069119B">
              <w:rPr>
                <w:rFonts w:eastAsia="Calibri" w:cs="Times New Roman"/>
                <w:b/>
                <w:color w:val="000000"/>
              </w:rPr>
              <w:t xml:space="preserve">Nr w wykazie prac </w:t>
            </w:r>
          </w:p>
          <w:p w14:paraId="62BA9BFA" w14:textId="0B14875E" w:rsidR="00352548" w:rsidRPr="0069119B" w:rsidRDefault="00424922" w:rsidP="00B6663D">
            <w:pPr>
              <w:spacing w:line="240" w:lineRule="auto"/>
              <w:rPr>
                <w:rFonts w:eastAsia="Calibri" w:cs="Times New Roman"/>
                <w:color w:val="000000"/>
              </w:rPr>
            </w:pPr>
            <w:r>
              <w:rPr>
                <w:rFonts w:eastAsia="Calibri" w:cs="Times New Roman"/>
                <w:color w:val="000000"/>
              </w:rPr>
              <w:t>UD471</w:t>
            </w:r>
          </w:p>
          <w:p w14:paraId="2BFEBFF4" w14:textId="77777777" w:rsidR="00352548" w:rsidRPr="0069119B" w:rsidRDefault="00352548" w:rsidP="00B6663D">
            <w:pPr>
              <w:spacing w:line="240" w:lineRule="auto"/>
              <w:rPr>
                <w:rFonts w:eastAsia="Calibri" w:cs="Times New Roman"/>
                <w:color w:val="000000"/>
                <w:sz w:val="28"/>
                <w:szCs w:val="28"/>
              </w:rPr>
            </w:pPr>
          </w:p>
        </w:tc>
      </w:tr>
      <w:tr w:rsidR="00352548" w:rsidRPr="0069119B" w14:paraId="30A8694B" w14:textId="77777777" w:rsidTr="00B6663D">
        <w:trPr>
          <w:gridAfter w:val="1"/>
          <w:wAfter w:w="10" w:type="dxa"/>
          <w:trHeight w:val="142"/>
          <w:jc w:val="center"/>
        </w:trPr>
        <w:tc>
          <w:tcPr>
            <w:tcW w:w="10937" w:type="dxa"/>
            <w:gridSpan w:val="29"/>
            <w:shd w:val="clear" w:color="auto" w:fill="99CCFF"/>
          </w:tcPr>
          <w:p w14:paraId="7142F470" w14:textId="77777777" w:rsidR="00352548" w:rsidRPr="0069119B" w:rsidRDefault="00352548" w:rsidP="00B6663D">
            <w:pPr>
              <w:spacing w:line="240" w:lineRule="auto"/>
              <w:ind w:left="57"/>
              <w:jc w:val="center"/>
              <w:rPr>
                <w:rFonts w:eastAsia="Calibri" w:cs="Times New Roman"/>
                <w:b/>
                <w:color w:val="FFFFFF"/>
                <w:sz w:val="32"/>
                <w:szCs w:val="32"/>
              </w:rPr>
            </w:pPr>
            <w:r w:rsidRPr="0069119B">
              <w:rPr>
                <w:rFonts w:eastAsia="Calibri" w:cs="Times New Roman"/>
                <w:b/>
                <w:color w:val="FFFFFF"/>
                <w:sz w:val="32"/>
                <w:szCs w:val="32"/>
              </w:rPr>
              <w:t>OCENA SKUTKÓW REGULACJI</w:t>
            </w:r>
          </w:p>
        </w:tc>
      </w:tr>
      <w:tr w:rsidR="00352548" w:rsidRPr="0069119B" w14:paraId="67616502" w14:textId="77777777" w:rsidTr="00B6663D">
        <w:trPr>
          <w:gridAfter w:val="1"/>
          <w:wAfter w:w="10" w:type="dxa"/>
          <w:trHeight w:val="333"/>
          <w:jc w:val="center"/>
        </w:trPr>
        <w:tc>
          <w:tcPr>
            <w:tcW w:w="10937" w:type="dxa"/>
            <w:gridSpan w:val="29"/>
            <w:shd w:val="clear" w:color="auto" w:fill="99CCFF"/>
            <w:vAlign w:val="center"/>
          </w:tcPr>
          <w:p w14:paraId="47DC3EC8"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rPr>
              <w:t>Jaki problem jest rozwiązywany?</w:t>
            </w:r>
            <w:bookmarkStart w:id="8" w:name="Wybór1"/>
            <w:bookmarkEnd w:id="8"/>
          </w:p>
        </w:tc>
      </w:tr>
      <w:tr w:rsidR="00352548" w:rsidRPr="0069119B" w14:paraId="5148DF54" w14:textId="77777777" w:rsidTr="00B6663D">
        <w:trPr>
          <w:gridAfter w:val="1"/>
          <w:wAfter w:w="10" w:type="dxa"/>
          <w:trHeight w:val="615"/>
          <w:jc w:val="center"/>
        </w:trPr>
        <w:tc>
          <w:tcPr>
            <w:tcW w:w="10937" w:type="dxa"/>
            <w:gridSpan w:val="29"/>
            <w:shd w:val="clear" w:color="auto" w:fill="FFFFFF"/>
          </w:tcPr>
          <w:p w14:paraId="1E6CDC37" w14:textId="77777777" w:rsidR="00352548" w:rsidRPr="0069119B" w:rsidRDefault="00352548" w:rsidP="00B6663D">
            <w:pPr>
              <w:spacing w:line="240" w:lineRule="auto"/>
              <w:jc w:val="both"/>
              <w:rPr>
                <w:rFonts w:eastAsia="Calibri" w:cs="Times New Roman"/>
                <w:color w:val="000000"/>
              </w:rPr>
            </w:pPr>
            <w:r w:rsidRPr="0069119B">
              <w:rPr>
                <w:rFonts w:eastAsia="Times New Roman" w:cs="Times New Roman"/>
                <w:szCs w:val="24"/>
              </w:rPr>
              <w:t xml:space="preserve">Potrzebne jest zapewnienie użytkownikom profilu zaufanego możliwości </w:t>
            </w:r>
            <w:r>
              <w:rPr>
                <w:rFonts w:eastAsia="Times New Roman" w:cs="Times New Roman"/>
                <w:szCs w:val="24"/>
              </w:rPr>
              <w:t>korzystania z</w:t>
            </w:r>
            <w:r w:rsidRPr="0069119B">
              <w:rPr>
                <w:rFonts w:eastAsia="Times New Roman" w:cs="Times New Roman"/>
                <w:szCs w:val="24"/>
              </w:rPr>
              <w:t xml:space="preserve"> nowego, wygodniejszego i bezpieczniejszego mechanizmu uwierzytelniania (Mobile Connect) z wykorzystaniem telefonu komórkowego.</w:t>
            </w:r>
          </w:p>
        </w:tc>
      </w:tr>
      <w:tr w:rsidR="00352548" w:rsidRPr="0069119B" w14:paraId="3BB52601" w14:textId="77777777" w:rsidTr="00B6663D">
        <w:trPr>
          <w:gridAfter w:val="1"/>
          <w:wAfter w:w="10" w:type="dxa"/>
          <w:trHeight w:val="142"/>
          <w:jc w:val="center"/>
        </w:trPr>
        <w:tc>
          <w:tcPr>
            <w:tcW w:w="10937" w:type="dxa"/>
            <w:gridSpan w:val="29"/>
            <w:shd w:val="clear" w:color="auto" w:fill="99CCFF"/>
            <w:vAlign w:val="center"/>
          </w:tcPr>
          <w:p w14:paraId="73AC7FF1"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spacing w:val="-2"/>
              </w:rPr>
              <w:t>Rekomendowane rozwiązanie, w tym planowane narzędzia interwencji, i oczekiwany efekt</w:t>
            </w:r>
          </w:p>
        </w:tc>
      </w:tr>
      <w:tr w:rsidR="00352548" w:rsidRPr="0069119B" w14:paraId="442330BE" w14:textId="77777777" w:rsidTr="00B6663D">
        <w:trPr>
          <w:gridAfter w:val="1"/>
          <w:wAfter w:w="10" w:type="dxa"/>
          <w:trHeight w:val="983"/>
          <w:jc w:val="center"/>
        </w:trPr>
        <w:tc>
          <w:tcPr>
            <w:tcW w:w="10937" w:type="dxa"/>
            <w:gridSpan w:val="29"/>
            <w:shd w:val="clear" w:color="auto" w:fill="auto"/>
          </w:tcPr>
          <w:p w14:paraId="2F7FCC1B" w14:textId="77777777" w:rsidR="00352548" w:rsidRDefault="00352548" w:rsidP="00B6663D">
            <w:pPr>
              <w:spacing w:line="240" w:lineRule="auto"/>
              <w:jc w:val="both"/>
              <w:rPr>
                <w:rFonts w:eastAsia="Calibri" w:cs="Times New Roman"/>
                <w:iCs/>
              </w:rPr>
            </w:pPr>
            <w:r w:rsidRPr="0069119B">
              <w:rPr>
                <w:rFonts w:eastAsia="Times New Roman" w:cs="Times New Roman"/>
              </w:rPr>
              <w:t>Rekomendowane rozwiązanie to nałożenie w drodze ustawy obowiązku na</w:t>
            </w:r>
            <w:r w:rsidRPr="0069119B">
              <w:rPr>
                <w:rFonts w:eastAsia="Calibri" w:cs="Times New Roman"/>
                <w:iCs/>
              </w:rPr>
              <w:t xml:space="preserve"> dostawców usług telekomunikacyjnych </w:t>
            </w:r>
            <w:r>
              <w:rPr>
                <w:rFonts w:eastAsia="Calibri" w:cs="Times New Roman"/>
                <w:iCs/>
              </w:rPr>
              <w:t>świadczenia usług</w:t>
            </w:r>
            <w:r w:rsidRPr="0069119B">
              <w:rPr>
                <w:rFonts w:eastAsia="Calibri" w:cs="Times New Roman"/>
                <w:iCs/>
              </w:rPr>
              <w:t xml:space="preserve"> Mobile Connect </w:t>
            </w:r>
            <w:r>
              <w:rPr>
                <w:rFonts w:eastAsia="Calibri" w:cs="Times New Roman"/>
                <w:iCs/>
              </w:rPr>
              <w:t xml:space="preserve">oraz SMS </w:t>
            </w:r>
            <w:r w:rsidRPr="0069119B">
              <w:rPr>
                <w:rFonts w:eastAsia="Calibri" w:cs="Times New Roman"/>
                <w:iCs/>
              </w:rPr>
              <w:t>w zakresie pozwalającym abonentowi na korzystanie z profilu zaufanego</w:t>
            </w:r>
            <w:r>
              <w:rPr>
                <w:rFonts w:eastAsia="Calibri" w:cs="Times New Roman"/>
                <w:iCs/>
              </w:rPr>
              <w:t xml:space="preserve"> oraz na otrzymywanie komunikatów informacyjnych od określonych podmiotów publicznych. Przedsiębiorcom przysługiwać będzie </w:t>
            </w:r>
            <w:r w:rsidRPr="0069119B">
              <w:rPr>
                <w:rFonts w:eastAsia="Calibri" w:cs="Times New Roman"/>
                <w:iCs/>
              </w:rPr>
              <w:t>rekompensat</w:t>
            </w:r>
            <w:r>
              <w:rPr>
                <w:rFonts w:eastAsia="Calibri" w:cs="Times New Roman"/>
                <w:iCs/>
              </w:rPr>
              <w:t>a</w:t>
            </w:r>
            <w:r w:rsidRPr="0069119B">
              <w:rPr>
                <w:rFonts w:eastAsia="Calibri" w:cs="Times New Roman"/>
                <w:iCs/>
              </w:rPr>
              <w:t xml:space="preserve"> równoważąc</w:t>
            </w:r>
            <w:r>
              <w:rPr>
                <w:rFonts w:eastAsia="Calibri" w:cs="Times New Roman"/>
                <w:iCs/>
              </w:rPr>
              <w:t>a</w:t>
            </w:r>
            <w:r w:rsidRPr="0069119B">
              <w:rPr>
                <w:rFonts w:eastAsia="Calibri" w:cs="Times New Roman"/>
                <w:iCs/>
              </w:rPr>
              <w:t xml:space="preserve"> w postaci obniżenia opłat za prawo do wykor</w:t>
            </w:r>
            <w:r>
              <w:rPr>
                <w:rFonts w:eastAsia="Calibri" w:cs="Times New Roman"/>
                <w:iCs/>
              </w:rPr>
              <w:t>z</w:t>
            </w:r>
            <w:r w:rsidRPr="0069119B">
              <w:rPr>
                <w:rFonts w:eastAsia="Calibri" w:cs="Times New Roman"/>
                <w:iCs/>
              </w:rPr>
              <w:t xml:space="preserve">ystywania zasobów numeracji w zakresie wysokości opłat za numer abonencki </w:t>
            </w:r>
            <w:r w:rsidRPr="0069119B">
              <w:rPr>
                <w:rFonts w:eastAsia="Calibri" w:cs="Times New Roman"/>
                <w:iCs/>
                <w:spacing w:val="-4"/>
              </w:rPr>
              <w:t>oraz za wyróżnik ruchomej sieci telekomunikacyjnej (PLMN), o których mowa w przepisach wydanych</w:t>
            </w:r>
            <w:r w:rsidRPr="0069119B">
              <w:rPr>
                <w:rFonts w:eastAsia="Calibri" w:cs="Times New Roman"/>
                <w:iCs/>
              </w:rPr>
              <w:t xml:space="preserve"> na podstawie art. 184 ust. 4 ustawy z dnia 16 lipca 2</w:t>
            </w:r>
            <w:r>
              <w:rPr>
                <w:rFonts w:eastAsia="Calibri" w:cs="Times New Roman"/>
                <w:iCs/>
              </w:rPr>
              <w:t>004 r. - Prawo telekomunikacyjne.</w:t>
            </w:r>
          </w:p>
          <w:p w14:paraId="54C5F62F" w14:textId="77777777" w:rsidR="00352548" w:rsidRPr="00887734" w:rsidRDefault="00352548" w:rsidP="00B6663D">
            <w:pPr>
              <w:spacing w:line="240" w:lineRule="auto"/>
              <w:rPr>
                <w:color w:val="000000"/>
                <w:spacing w:val="-2"/>
              </w:rPr>
            </w:pPr>
            <w:r>
              <w:rPr>
                <w:color w:val="000000"/>
                <w:spacing w:val="-2"/>
              </w:rPr>
              <w:t>Komunikaty informacyjne będą mogły</w:t>
            </w:r>
            <w:r w:rsidRPr="000D1AFF">
              <w:rPr>
                <w:color w:val="000000"/>
                <w:spacing w:val="-2"/>
              </w:rPr>
              <w:t xml:space="preserve"> być wysyłane wy</w:t>
            </w:r>
            <w:r>
              <w:rPr>
                <w:color w:val="000000"/>
                <w:spacing w:val="-2"/>
              </w:rPr>
              <w:t>łącznie</w:t>
            </w:r>
            <w:r>
              <w:t xml:space="preserve"> </w:t>
            </w:r>
            <w:r w:rsidRPr="00887734">
              <w:rPr>
                <w:color w:val="000000"/>
                <w:spacing w:val="-2"/>
              </w:rPr>
              <w:t>w celu:</w:t>
            </w:r>
          </w:p>
          <w:p w14:paraId="498242C3" w14:textId="77777777" w:rsidR="00352548" w:rsidRPr="00240F0B" w:rsidRDefault="00352548" w:rsidP="00B6663D">
            <w:pPr>
              <w:spacing w:line="240" w:lineRule="auto"/>
              <w:rPr>
                <w:color w:val="000000"/>
                <w:spacing w:val="-2"/>
              </w:rPr>
            </w:pPr>
            <w:r>
              <w:rPr>
                <w:color w:val="000000"/>
                <w:spacing w:val="-2"/>
              </w:rPr>
              <w:t xml:space="preserve">1) </w:t>
            </w:r>
            <w:r w:rsidRPr="00887734">
              <w:rPr>
                <w:color w:val="000000"/>
                <w:spacing w:val="-2"/>
              </w:rPr>
              <w:t>realizacji zadań wykonywanych przez administrację rządową lub</w:t>
            </w:r>
            <w:r>
              <w:rPr>
                <w:color w:val="000000"/>
                <w:spacing w:val="-2"/>
              </w:rPr>
              <w:t xml:space="preserve"> samorządową w zakresie</w:t>
            </w:r>
            <w:r w:rsidRPr="00887734">
              <w:rPr>
                <w:color w:val="000000"/>
                <w:spacing w:val="-2"/>
              </w:rPr>
              <w:t xml:space="preserve"> zadań własnych albo zleconych</w:t>
            </w:r>
            <w:r>
              <w:rPr>
                <w:color w:val="000000"/>
                <w:spacing w:val="-2"/>
              </w:rPr>
              <w:t xml:space="preserve"> </w:t>
            </w:r>
            <w:r w:rsidRPr="00240F0B">
              <w:rPr>
                <w:color w:val="000000"/>
                <w:spacing w:val="-2"/>
              </w:rPr>
              <w:t>na rzecz:</w:t>
            </w:r>
          </w:p>
          <w:p w14:paraId="25481CF1" w14:textId="77777777" w:rsidR="00352548" w:rsidRPr="00240F0B" w:rsidRDefault="00352548" w:rsidP="00B6663D">
            <w:pPr>
              <w:spacing w:line="240" w:lineRule="auto"/>
              <w:rPr>
                <w:color w:val="000000"/>
                <w:spacing w:val="-2"/>
              </w:rPr>
            </w:pPr>
            <w:r w:rsidRPr="00240F0B">
              <w:rPr>
                <w:color w:val="000000"/>
                <w:spacing w:val="-2"/>
              </w:rPr>
              <w:t>a) obronności oraz bezpieczeństwa państwa,</w:t>
            </w:r>
          </w:p>
          <w:p w14:paraId="5A8B04D1" w14:textId="77777777" w:rsidR="00352548" w:rsidRPr="00240F0B" w:rsidRDefault="00352548" w:rsidP="00B6663D">
            <w:pPr>
              <w:spacing w:line="240" w:lineRule="auto"/>
              <w:rPr>
                <w:color w:val="000000"/>
                <w:spacing w:val="-2"/>
              </w:rPr>
            </w:pPr>
            <w:r w:rsidRPr="00240F0B">
              <w:rPr>
                <w:color w:val="000000"/>
                <w:spacing w:val="-2"/>
              </w:rPr>
              <w:t>b) zapewnienia bezpieczeństwa i porządku publicznego oraz ochrony przeciwpożarowej i przeciwpowodziowej,</w:t>
            </w:r>
          </w:p>
          <w:p w14:paraId="2244B9C4" w14:textId="77777777" w:rsidR="00352548" w:rsidRPr="00240F0B" w:rsidRDefault="00352548" w:rsidP="00B6663D">
            <w:pPr>
              <w:spacing w:line="240" w:lineRule="auto"/>
              <w:rPr>
                <w:color w:val="000000"/>
                <w:spacing w:val="-2"/>
              </w:rPr>
            </w:pPr>
            <w:r w:rsidRPr="00240F0B">
              <w:rPr>
                <w:color w:val="000000"/>
                <w:spacing w:val="-2"/>
              </w:rPr>
              <w:t>c) ochrony zdrowia i życia oraz zabezpieczenia społecznego</w:t>
            </w:r>
            <w:r>
              <w:rPr>
                <w:color w:val="000000"/>
                <w:spacing w:val="-2"/>
              </w:rPr>
              <w:t>,</w:t>
            </w:r>
          </w:p>
          <w:p w14:paraId="41976700" w14:textId="77777777" w:rsidR="00352548" w:rsidRPr="00240F0B" w:rsidRDefault="00352548" w:rsidP="00B6663D">
            <w:pPr>
              <w:spacing w:line="240" w:lineRule="auto"/>
              <w:rPr>
                <w:color w:val="000000"/>
                <w:spacing w:val="-2"/>
              </w:rPr>
            </w:pPr>
            <w:r w:rsidRPr="00240F0B">
              <w:rPr>
                <w:color w:val="000000"/>
                <w:spacing w:val="-2"/>
              </w:rPr>
              <w:t>d) organizacji ruchu drogowego</w:t>
            </w:r>
            <w:r>
              <w:rPr>
                <w:color w:val="000000"/>
                <w:spacing w:val="-2"/>
              </w:rPr>
              <w:t>,</w:t>
            </w:r>
          </w:p>
          <w:p w14:paraId="685739D3" w14:textId="77777777" w:rsidR="00352548" w:rsidRPr="00240F0B" w:rsidRDefault="00352548" w:rsidP="00B6663D">
            <w:pPr>
              <w:spacing w:line="240" w:lineRule="auto"/>
              <w:rPr>
                <w:color w:val="000000"/>
                <w:spacing w:val="-2"/>
              </w:rPr>
            </w:pPr>
            <w:r w:rsidRPr="00240F0B">
              <w:rPr>
                <w:color w:val="000000"/>
                <w:spacing w:val="-2"/>
              </w:rPr>
              <w:t>e) zaopatrzenia w wodę, kanalizacji, usuwania i oczyszczania ścieków komunalnych,</w:t>
            </w:r>
          </w:p>
          <w:p w14:paraId="755230C9" w14:textId="77777777" w:rsidR="00352548" w:rsidRPr="00240F0B" w:rsidRDefault="00352548" w:rsidP="00B6663D">
            <w:pPr>
              <w:spacing w:line="240" w:lineRule="auto"/>
              <w:rPr>
                <w:color w:val="000000"/>
                <w:spacing w:val="-2"/>
              </w:rPr>
            </w:pPr>
            <w:r w:rsidRPr="00240F0B">
              <w:rPr>
                <w:color w:val="000000"/>
                <w:spacing w:val="-2"/>
              </w:rPr>
              <w:t>d) utrzymania czystości i porządku oraz urządzeń sanitarnych, wysypisk i unieszkodliwiania odpadów komunalnych,</w:t>
            </w:r>
          </w:p>
          <w:p w14:paraId="6D2686C1" w14:textId="77777777" w:rsidR="00352548" w:rsidRPr="00240F0B" w:rsidRDefault="00352548" w:rsidP="00B6663D">
            <w:pPr>
              <w:spacing w:line="240" w:lineRule="auto"/>
              <w:rPr>
                <w:color w:val="000000"/>
                <w:spacing w:val="-2"/>
              </w:rPr>
            </w:pPr>
            <w:r w:rsidRPr="00240F0B">
              <w:rPr>
                <w:color w:val="000000"/>
                <w:spacing w:val="-2"/>
              </w:rPr>
              <w:t>e) zaopatrzenia w energię elektryczną, cieplną oraz gaz</w:t>
            </w:r>
            <w:r>
              <w:rPr>
                <w:color w:val="000000"/>
                <w:spacing w:val="-2"/>
              </w:rPr>
              <w:t>,</w:t>
            </w:r>
          </w:p>
          <w:p w14:paraId="7A0C7E24" w14:textId="77777777" w:rsidR="00352548" w:rsidRPr="00240F0B" w:rsidRDefault="00352548" w:rsidP="00B6663D">
            <w:pPr>
              <w:spacing w:line="240" w:lineRule="auto"/>
              <w:rPr>
                <w:color w:val="000000"/>
                <w:spacing w:val="-2"/>
              </w:rPr>
            </w:pPr>
            <w:r w:rsidRPr="00240F0B">
              <w:rPr>
                <w:color w:val="000000"/>
                <w:spacing w:val="-2"/>
              </w:rPr>
              <w:t>f) telekomunikacji</w:t>
            </w:r>
            <w:r>
              <w:rPr>
                <w:color w:val="000000"/>
                <w:spacing w:val="-2"/>
              </w:rPr>
              <w:t>,</w:t>
            </w:r>
          </w:p>
          <w:p w14:paraId="4C5017CC" w14:textId="77777777" w:rsidR="00352548" w:rsidRPr="00240F0B" w:rsidRDefault="00352548" w:rsidP="00B6663D">
            <w:pPr>
              <w:spacing w:line="240" w:lineRule="auto"/>
              <w:rPr>
                <w:color w:val="000000"/>
                <w:spacing w:val="-2"/>
              </w:rPr>
            </w:pPr>
            <w:r w:rsidRPr="00240F0B">
              <w:rPr>
                <w:color w:val="000000"/>
                <w:spacing w:val="-2"/>
              </w:rPr>
              <w:t>g) transportu zbiorowego</w:t>
            </w:r>
            <w:r>
              <w:rPr>
                <w:color w:val="000000"/>
                <w:spacing w:val="-2"/>
              </w:rPr>
              <w:t>,</w:t>
            </w:r>
          </w:p>
          <w:p w14:paraId="37ADDC87" w14:textId="77777777" w:rsidR="00352548" w:rsidRPr="00887734" w:rsidRDefault="00352548" w:rsidP="00B6663D">
            <w:pPr>
              <w:spacing w:line="240" w:lineRule="auto"/>
              <w:rPr>
                <w:color w:val="000000"/>
                <w:spacing w:val="-2"/>
              </w:rPr>
            </w:pPr>
            <w:r w:rsidRPr="00240F0B">
              <w:rPr>
                <w:color w:val="000000"/>
                <w:spacing w:val="-2"/>
              </w:rPr>
              <w:t>h) edukacji publicznej, w tym szkolnictwa wyższego</w:t>
            </w:r>
            <w:r w:rsidRPr="00887734">
              <w:rPr>
                <w:color w:val="000000"/>
                <w:spacing w:val="-2"/>
              </w:rPr>
              <w:t>;</w:t>
            </w:r>
          </w:p>
          <w:p w14:paraId="23F204B5" w14:textId="77777777" w:rsidR="00352548" w:rsidRDefault="00352548" w:rsidP="00B6663D">
            <w:pPr>
              <w:spacing w:after="120" w:line="240" w:lineRule="auto"/>
              <w:rPr>
                <w:color w:val="000000"/>
                <w:spacing w:val="-2"/>
              </w:rPr>
            </w:pPr>
            <w:r>
              <w:rPr>
                <w:color w:val="000000"/>
                <w:spacing w:val="-2"/>
              </w:rPr>
              <w:t xml:space="preserve">2) </w:t>
            </w:r>
            <w:r w:rsidRPr="00887734">
              <w:rPr>
                <w:color w:val="000000"/>
                <w:spacing w:val="-2"/>
              </w:rPr>
              <w:t xml:space="preserve">kontaktu z osobami fizycznymi w związku z usługami i zadaniami publicznymi realizowanymi na rzecz tych osób, jeżeli dane kontaktowe tych osób znajdują się w </w:t>
            </w:r>
            <w:r>
              <w:rPr>
                <w:color w:val="000000"/>
                <w:spacing w:val="-2"/>
              </w:rPr>
              <w:t>R</w:t>
            </w:r>
            <w:r w:rsidRPr="00887734">
              <w:rPr>
                <w:color w:val="000000"/>
                <w:spacing w:val="-2"/>
              </w:rPr>
              <w:t xml:space="preserve">ejestrze </w:t>
            </w:r>
            <w:r>
              <w:rPr>
                <w:color w:val="000000"/>
                <w:spacing w:val="-2"/>
              </w:rPr>
              <w:t>D</w:t>
            </w:r>
            <w:r w:rsidRPr="00887734">
              <w:rPr>
                <w:color w:val="000000"/>
                <w:spacing w:val="-2"/>
              </w:rPr>
              <w:t xml:space="preserve">anych </w:t>
            </w:r>
            <w:r>
              <w:rPr>
                <w:color w:val="000000"/>
                <w:spacing w:val="-2"/>
              </w:rPr>
              <w:t>K</w:t>
            </w:r>
            <w:r w:rsidRPr="00887734">
              <w:rPr>
                <w:color w:val="000000"/>
                <w:spacing w:val="-2"/>
              </w:rPr>
              <w:t>ontaktowych.</w:t>
            </w:r>
          </w:p>
          <w:p w14:paraId="16AB492E" w14:textId="77777777" w:rsidR="00352548" w:rsidRPr="0069119B" w:rsidRDefault="00352548" w:rsidP="00B6663D">
            <w:pPr>
              <w:spacing w:after="120" w:line="240" w:lineRule="auto"/>
              <w:rPr>
                <w:rFonts w:eastAsia="Calibri" w:cs="Times New Roman"/>
                <w:color w:val="000000"/>
                <w:spacing w:val="-2"/>
              </w:rPr>
            </w:pPr>
            <w:bookmarkStart w:id="9" w:name="_Hlk118391156"/>
            <w:r w:rsidRPr="00ED4ADF">
              <w:rPr>
                <w:color w:val="000000"/>
                <w:spacing w:val="-2"/>
              </w:rPr>
              <w:t xml:space="preserve">Komunikaty te nie mają w żadnym wypadku zastąpić </w:t>
            </w:r>
            <w:r>
              <w:rPr>
                <w:color w:val="000000"/>
                <w:spacing w:val="-2"/>
              </w:rPr>
              <w:t>a</w:t>
            </w:r>
            <w:r w:rsidRPr="00ED4ADF">
              <w:rPr>
                <w:color w:val="000000"/>
                <w:spacing w:val="-2"/>
              </w:rPr>
              <w:t>lertów RCB i mogą ale nie muszą stanowić bezpośredniej reakcji na sytuacje kryzysowe</w:t>
            </w:r>
            <w:r>
              <w:rPr>
                <w:color w:val="000000"/>
                <w:spacing w:val="-2"/>
              </w:rPr>
              <w:t xml:space="preserve">. Nie mają ona na celu zastąpienie albo realizowanie identycznych albo podobnych </w:t>
            </w:r>
            <w:r>
              <w:rPr>
                <w:color w:val="000000"/>
                <w:spacing w:val="-2"/>
              </w:rPr>
              <w:lastRenderedPageBreak/>
              <w:t xml:space="preserve">funkcji co komunikaty przezywane przez Rządowe Centrum Bezpieczeństwa. Należy także wskazać, że niniejsza inicjatywa legislacyjna nie wpływa w jakikolwiek sposób na obowiązującą regulację – ustawę </w:t>
            </w:r>
            <w:r w:rsidRPr="00240F0B">
              <w:rPr>
                <w:color w:val="000000"/>
                <w:spacing w:val="-2"/>
              </w:rPr>
              <w:t>o zarządzaniu kryzysowym</w:t>
            </w:r>
            <w:r>
              <w:rPr>
                <w:color w:val="000000"/>
                <w:spacing w:val="-2"/>
              </w:rPr>
              <w:t xml:space="preserve"> </w:t>
            </w:r>
            <w:r w:rsidRPr="00240F0B">
              <w:rPr>
                <w:color w:val="000000"/>
                <w:spacing w:val="-2"/>
              </w:rPr>
              <w:t>z dnia 26 kwietnia 2007 r.</w:t>
            </w:r>
            <w:bookmarkEnd w:id="9"/>
          </w:p>
        </w:tc>
      </w:tr>
      <w:tr w:rsidR="00352548" w:rsidRPr="0069119B" w14:paraId="668CDD06" w14:textId="77777777" w:rsidTr="00B6663D">
        <w:trPr>
          <w:gridAfter w:val="1"/>
          <w:wAfter w:w="10" w:type="dxa"/>
          <w:trHeight w:val="307"/>
          <w:jc w:val="center"/>
        </w:trPr>
        <w:tc>
          <w:tcPr>
            <w:tcW w:w="10937" w:type="dxa"/>
            <w:gridSpan w:val="29"/>
            <w:shd w:val="clear" w:color="auto" w:fill="99CCFF"/>
            <w:vAlign w:val="center"/>
          </w:tcPr>
          <w:p w14:paraId="1511CA5C"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spacing w:val="-2"/>
              </w:rPr>
              <w:t>Jak problem został rozwiązany w innych krajach, w szczególności krajach członkowskich OECD/UE</w:t>
            </w:r>
            <w:r w:rsidRPr="0069119B">
              <w:rPr>
                <w:rFonts w:eastAsia="Calibri" w:cs="Times New Roman"/>
                <w:b/>
                <w:color w:val="000000"/>
              </w:rPr>
              <w:t>?</w:t>
            </w:r>
            <w:r w:rsidRPr="0069119B">
              <w:rPr>
                <w:rFonts w:eastAsia="Calibri" w:cs="Times New Roman"/>
                <w:i/>
                <w:color w:val="000000"/>
              </w:rPr>
              <w:t xml:space="preserve"> </w:t>
            </w:r>
          </w:p>
        </w:tc>
      </w:tr>
      <w:tr w:rsidR="00352548" w:rsidRPr="0069119B" w14:paraId="61B90631" w14:textId="77777777" w:rsidTr="00B6663D">
        <w:trPr>
          <w:gridAfter w:val="1"/>
          <w:wAfter w:w="10" w:type="dxa"/>
          <w:trHeight w:val="142"/>
          <w:jc w:val="center"/>
        </w:trPr>
        <w:tc>
          <w:tcPr>
            <w:tcW w:w="10937" w:type="dxa"/>
            <w:gridSpan w:val="29"/>
            <w:shd w:val="clear" w:color="auto" w:fill="auto"/>
          </w:tcPr>
          <w:p w14:paraId="45081276" w14:textId="77777777" w:rsidR="00352548" w:rsidRPr="0069119B" w:rsidRDefault="00352548" w:rsidP="00B6663D">
            <w:pPr>
              <w:spacing w:line="240" w:lineRule="auto"/>
              <w:jc w:val="both"/>
              <w:rPr>
                <w:rFonts w:eastAsia="Calibri" w:cs="Times New Roman"/>
                <w:color w:val="000000"/>
                <w:spacing w:val="-2"/>
              </w:rPr>
            </w:pPr>
            <w:r w:rsidRPr="0069119B">
              <w:rPr>
                <w:rFonts w:eastAsia="Times New Roman" w:cs="Times New Roman"/>
                <w:szCs w:val="24"/>
              </w:rPr>
              <w:t>Mobile Connect to mechanizm uwierzytelniania stosowany między innymi w większości państw Ameryki Południowej, w Australii, Chinach, Indiach, Meksyku a w Europie w Wielkiej Brytanii, Hiszpanii, Francji, Włoszech, Szwajcarii i Finlandii.</w:t>
            </w:r>
          </w:p>
        </w:tc>
      </w:tr>
      <w:tr w:rsidR="00352548" w:rsidRPr="0069119B" w14:paraId="410FCA3F" w14:textId="77777777" w:rsidTr="00B6663D">
        <w:trPr>
          <w:gridAfter w:val="1"/>
          <w:wAfter w:w="10" w:type="dxa"/>
          <w:trHeight w:val="359"/>
          <w:jc w:val="center"/>
        </w:trPr>
        <w:tc>
          <w:tcPr>
            <w:tcW w:w="10937" w:type="dxa"/>
            <w:gridSpan w:val="29"/>
            <w:shd w:val="clear" w:color="auto" w:fill="99CCFF"/>
            <w:vAlign w:val="center"/>
          </w:tcPr>
          <w:p w14:paraId="122F7107"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rPr>
              <w:t>Podmioty, na które oddziałuje projekt</w:t>
            </w:r>
          </w:p>
        </w:tc>
      </w:tr>
      <w:tr w:rsidR="00352548" w:rsidRPr="0069119B" w14:paraId="5B2AC318" w14:textId="77777777" w:rsidTr="00B6663D">
        <w:trPr>
          <w:gridAfter w:val="1"/>
          <w:wAfter w:w="10" w:type="dxa"/>
          <w:trHeight w:val="142"/>
          <w:jc w:val="center"/>
        </w:trPr>
        <w:tc>
          <w:tcPr>
            <w:tcW w:w="2668" w:type="dxa"/>
            <w:gridSpan w:val="3"/>
            <w:shd w:val="clear" w:color="auto" w:fill="auto"/>
          </w:tcPr>
          <w:p w14:paraId="15CEAF47" w14:textId="77777777" w:rsidR="00352548" w:rsidRPr="0069119B" w:rsidRDefault="00352548" w:rsidP="00B6663D">
            <w:pPr>
              <w:spacing w:before="40" w:line="240" w:lineRule="auto"/>
              <w:jc w:val="center"/>
              <w:rPr>
                <w:rFonts w:eastAsia="Calibri" w:cs="Times New Roman"/>
                <w:color w:val="000000"/>
                <w:spacing w:val="-2"/>
              </w:rPr>
            </w:pPr>
            <w:r w:rsidRPr="0069119B">
              <w:rPr>
                <w:rFonts w:eastAsia="Calibri" w:cs="Times New Roman"/>
                <w:color w:val="000000"/>
                <w:spacing w:val="-2"/>
              </w:rPr>
              <w:t>Grupa</w:t>
            </w:r>
          </w:p>
        </w:tc>
        <w:tc>
          <w:tcPr>
            <w:tcW w:w="2292" w:type="dxa"/>
            <w:gridSpan w:val="8"/>
            <w:shd w:val="clear" w:color="auto" w:fill="auto"/>
          </w:tcPr>
          <w:p w14:paraId="3526E8D9" w14:textId="77777777" w:rsidR="00352548" w:rsidRPr="0069119B" w:rsidRDefault="00352548" w:rsidP="00B6663D">
            <w:pPr>
              <w:spacing w:before="40" w:line="240" w:lineRule="auto"/>
              <w:jc w:val="center"/>
              <w:rPr>
                <w:rFonts w:eastAsia="Calibri" w:cs="Times New Roman"/>
                <w:color w:val="000000"/>
                <w:spacing w:val="-2"/>
              </w:rPr>
            </w:pPr>
            <w:r w:rsidRPr="0069119B">
              <w:rPr>
                <w:rFonts w:eastAsia="Calibri" w:cs="Times New Roman"/>
                <w:color w:val="000000"/>
                <w:spacing w:val="-2"/>
              </w:rPr>
              <w:t>Wielkość</w:t>
            </w:r>
          </w:p>
        </w:tc>
        <w:tc>
          <w:tcPr>
            <w:tcW w:w="2996" w:type="dxa"/>
            <w:gridSpan w:val="12"/>
            <w:shd w:val="clear" w:color="auto" w:fill="auto"/>
          </w:tcPr>
          <w:p w14:paraId="30BF8D32" w14:textId="77777777" w:rsidR="00352548" w:rsidRPr="0069119B" w:rsidRDefault="00352548" w:rsidP="00B6663D">
            <w:pPr>
              <w:spacing w:before="40" w:line="240" w:lineRule="auto"/>
              <w:jc w:val="center"/>
              <w:rPr>
                <w:rFonts w:eastAsia="Calibri" w:cs="Times New Roman"/>
                <w:color w:val="000000"/>
                <w:spacing w:val="-2"/>
              </w:rPr>
            </w:pPr>
            <w:r w:rsidRPr="0069119B">
              <w:rPr>
                <w:rFonts w:eastAsia="Calibri" w:cs="Times New Roman"/>
                <w:color w:val="000000"/>
                <w:spacing w:val="-2"/>
              </w:rPr>
              <w:t>Źródło danych</w:t>
            </w:r>
            <w:r w:rsidRPr="0069119B" w:rsidDel="00260F33">
              <w:rPr>
                <w:rFonts w:eastAsia="Calibri" w:cs="Times New Roman"/>
                <w:color w:val="000000"/>
                <w:spacing w:val="-2"/>
              </w:rPr>
              <w:t xml:space="preserve"> </w:t>
            </w:r>
          </w:p>
        </w:tc>
        <w:tc>
          <w:tcPr>
            <w:tcW w:w="2981" w:type="dxa"/>
            <w:gridSpan w:val="6"/>
            <w:shd w:val="clear" w:color="auto" w:fill="auto"/>
          </w:tcPr>
          <w:p w14:paraId="3F989221" w14:textId="77777777" w:rsidR="00352548" w:rsidRPr="0069119B" w:rsidRDefault="00352548" w:rsidP="00B6663D">
            <w:pPr>
              <w:spacing w:before="40" w:line="240" w:lineRule="auto"/>
              <w:jc w:val="center"/>
              <w:rPr>
                <w:rFonts w:eastAsia="Calibri" w:cs="Times New Roman"/>
                <w:color w:val="000000"/>
                <w:spacing w:val="-2"/>
              </w:rPr>
            </w:pPr>
            <w:r w:rsidRPr="0069119B">
              <w:rPr>
                <w:rFonts w:eastAsia="Calibri" w:cs="Times New Roman"/>
                <w:color w:val="000000"/>
                <w:spacing w:val="-2"/>
              </w:rPr>
              <w:t>Oddziaływanie</w:t>
            </w:r>
          </w:p>
        </w:tc>
      </w:tr>
      <w:tr w:rsidR="00352548" w:rsidRPr="0069119B" w14:paraId="359E8356" w14:textId="77777777" w:rsidTr="00B6663D">
        <w:trPr>
          <w:gridAfter w:val="1"/>
          <w:wAfter w:w="10" w:type="dxa"/>
          <w:trHeight w:val="142"/>
          <w:jc w:val="center"/>
        </w:trPr>
        <w:tc>
          <w:tcPr>
            <w:tcW w:w="2668" w:type="dxa"/>
            <w:gridSpan w:val="3"/>
            <w:shd w:val="clear" w:color="auto" w:fill="auto"/>
          </w:tcPr>
          <w:p w14:paraId="128B5806"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t>Przedsiębiorcy telekomunikacyjni</w:t>
            </w:r>
          </w:p>
        </w:tc>
        <w:tc>
          <w:tcPr>
            <w:tcW w:w="2292" w:type="dxa"/>
            <w:gridSpan w:val="8"/>
            <w:shd w:val="clear" w:color="auto" w:fill="auto"/>
          </w:tcPr>
          <w:p w14:paraId="06BC8BAA"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4104</w:t>
            </w:r>
          </w:p>
        </w:tc>
        <w:tc>
          <w:tcPr>
            <w:tcW w:w="2996" w:type="dxa"/>
            <w:gridSpan w:val="12"/>
            <w:shd w:val="clear" w:color="auto" w:fill="auto"/>
          </w:tcPr>
          <w:p w14:paraId="0A46B60E"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Rejestr Przedsiębiorców Telekomunikacyjnych prowadzony przez Prezesa UKE</w:t>
            </w:r>
          </w:p>
        </w:tc>
        <w:tc>
          <w:tcPr>
            <w:tcW w:w="2981" w:type="dxa"/>
            <w:gridSpan w:val="6"/>
            <w:shd w:val="clear" w:color="auto" w:fill="auto"/>
          </w:tcPr>
          <w:p w14:paraId="55C2DA87"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Uruchomienie usługi</w:t>
            </w:r>
            <w:r>
              <w:rPr>
                <w:rFonts w:eastAsia="Calibri" w:cs="Times New Roman"/>
                <w:color w:val="000000"/>
                <w:spacing w:val="-2"/>
              </w:rPr>
              <w:t xml:space="preserve"> przekazywania komunikatów</w:t>
            </w:r>
            <w:r w:rsidRPr="0069119B">
              <w:rPr>
                <w:rFonts w:eastAsia="Calibri" w:cs="Times New Roman"/>
                <w:color w:val="000000"/>
                <w:spacing w:val="-2"/>
              </w:rPr>
              <w:t>. Koniec przychodów z opłaty za smsy w ramach profilu zaufanego.</w:t>
            </w:r>
          </w:p>
          <w:p w14:paraId="2F4643A9"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Składanie wniosków o obniżenie opłaty za numerację</w:t>
            </w:r>
          </w:p>
        </w:tc>
      </w:tr>
      <w:tr w:rsidR="00352548" w:rsidRPr="0069119B" w14:paraId="22354DAD" w14:textId="77777777" w:rsidTr="00B6663D">
        <w:trPr>
          <w:gridAfter w:val="1"/>
          <w:wAfter w:w="10" w:type="dxa"/>
          <w:trHeight w:val="142"/>
          <w:jc w:val="center"/>
        </w:trPr>
        <w:tc>
          <w:tcPr>
            <w:tcW w:w="2668" w:type="dxa"/>
            <w:gridSpan w:val="3"/>
            <w:shd w:val="clear" w:color="auto" w:fill="auto"/>
          </w:tcPr>
          <w:p w14:paraId="1D214506"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t xml:space="preserve">Minister właściwy do spraw informatyzacji </w:t>
            </w:r>
          </w:p>
        </w:tc>
        <w:tc>
          <w:tcPr>
            <w:tcW w:w="2292" w:type="dxa"/>
            <w:gridSpan w:val="8"/>
            <w:shd w:val="clear" w:color="auto" w:fill="auto"/>
          </w:tcPr>
          <w:p w14:paraId="2061B54C"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t>1</w:t>
            </w:r>
          </w:p>
        </w:tc>
        <w:tc>
          <w:tcPr>
            <w:tcW w:w="2996" w:type="dxa"/>
            <w:gridSpan w:val="12"/>
            <w:shd w:val="clear" w:color="auto" w:fill="auto"/>
          </w:tcPr>
          <w:p w14:paraId="5F74EE56" w14:textId="77777777" w:rsidR="00352548" w:rsidRPr="0069119B" w:rsidRDefault="00352548" w:rsidP="00B6663D">
            <w:pPr>
              <w:spacing w:line="240" w:lineRule="auto"/>
              <w:rPr>
                <w:rFonts w:eastAsia="Calibri" w:cs="Times New Roman"/>
                <w:color w:val="000000"/>
              </w:rPr>
            </w:pPr>
          </w:p>
        </w:tc>
        <w:tc>
          <w:tcPr>
            <w:tcW w:w="2981" w:type="dxa"/>
            <w:gridSpan w:val="6"/>
            <w:shd w:val="clear" w:color="auto" w:fill="auto"/>
          </w:tcPr>
          <w:p w14:paraId="23E84F42"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t>Dostosowanie systemu profilu zaufanego do nowego mechanizmu uwierzytelniania</w:t>
            </w:r>
          </w:p>
        </w:tc>
      </w:tr>
      <w:tr w:rsidR="00352548" w:rsidRPr="0069119B" w14:paraId="63644F85" w14:textId="77777777" w:rsidTr="00B6663D">
        <w:trPr>
          <w:gridAfter w:val="1"/>
          <w:wAfter w:w="10" w:type="dxa"/>
          <w:trHeight w:val="142"/>
          <w:jc w:val="center"/>
        </w:trPr>
        <w:tc>
          <w:tcPr>
            <w:tcW w:w="2668" w:type="dxa"/>
            <w:gridSpan w:val="3"/>
            <w:shd w:val="clear" w:color="auto" w:fill="auto"/>
          </w:tcPr>
          <w:p w14:paraId="71F1B040" w14:textId="77777777" w:rsidR="00352548" w:rsidRPr="0069119B" w:rsidRDefault="00352548" w:rsidP="00B6663D">
            <w:pPr>
              <w:tabs>
                <w:tab w:val="left" w:pos="1560"/>
              </w:tabs>
              <w:spacing w:line="240" w:lineRule="auto"/>
              <w:rPr>
                <w:rFonts w:eastAsia="Calibri" w:cs="Times New Roman"/>
                <w:color w:val="000000"/>
              </w:rPr>
            </w:pPr>
            <w:r w:rsidRPr="0069119B">
              <w:rPr>
                <w:rFonts w:eastAsia="Calibri" w:cs="Times New Roman"/>
                <w:color w:val="000000"/>
              </w:rPr>
              <w:t xml:space="preserve">Prezes Urzędu Komunikacji Elektronicznej </w:t>
            </w:r>
          </w:p>
        </w:tc>
        <w:tc>
          <w:tcPr>
            <w:tcW w:w="2292" w:type="dxa"/>
            <w:gridSpan w:val="8"/>
            <w:shd w:val="clear" w:color="auto" w:fill="auto"/>
          </w:tcPr>
          <w:p w14:paraId="60036F40"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1</w:t>
            </w:r>
          </w:p>
        </w:tc>
        <w:tc>
          <w:tcPr>
            <w:tcW w:w="2996" w:type="dxa"/>
            <w:gridSpan w:val="12"/>
            <w:shd w:val="clear" w:color="auto" w:fill="auto"/>
          </w:tcPr>
          <w:p w14:paraId="7ECFC895" w14:textId="77777777" w:rsidR="00352548" w:rsidRPr="0069119B" w:rsidRDefault="00352548" w:rsidP="00B6663D">
            <w:pPr>
              <w:spacing w:line="240" w:lineRule="auto"/>
              <w:rPr>
                <w:rFonts w:eastAsia="Calibri" w:cs="Times New Roman"/>
                <w:color w:val="000000"/>
                <w:spacing w:val="-2"/>
              </w:rPr>
            </w:pPr>
          </w:p>
        </w:tc>
        <w:tc>
          <w:tcPr>
            <w:tcW w:w="2981" w:type="dxa"/>
            <w:gridSpan w:val="6"/>
            <w:shd w:val="clear" w:color="auto" w:fill="auto"/>
          </w:tcPr>
          <w:p w14:paraId="044EF046"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spacing w:val="-2"/>
              </w:rPr>
              <w:t xml:space="preserve">Zmniejszenie przychodów za numerację. Obsługa wniosków </w:t>
            </w:r>
            <w:r>
              <w:rPr>
                <w:rFonts w:eastAsia="Calibri" w:cs="Times New Roman"/>
                <w:color w:val="000000"/>
                <w:spacing w:val="-2"/>
              </w:rPr>
              <w:t>o obniżenie opłaty na numerację</w:t>
            </w:r>
          </w:p>
        </w:tc>
      </w:tr>
      <w:tr w:rsidR="00352548" w:rsidRPr="0069119B" w14:paraId="41776991" w14:textId="77777777" w:rsidTr="00B6663D">
        <w:trPr>
          <w:gridAfter w:val="1"/>
          <w:wAfter w:w="10" w:type="dxa"/>
          <w:trHeight w:val="142"/>
          <w:jc w:val="center"/>
        </w:trPr>
        <w:tc>
          <w:tcPr>
            <w:tcW w:w="2668" w:type="dxa"/>
            <w:gridSpan w:val="3"/>
            <w:shd w:val="clear" w:color="auto" w:fill="auto"/>
          </w:tcPr>
          <w:p w14:paraId="1A4B93F6" w14:textId="77777777" w:rsidR="00352548" w:rsidRPr="0069119B" w:rsidRDefault="00352548" w:rsidP="00B6663D">
            <w:pPr>
              <w:tabs>
                <w:tab w:val="left" w:pos="1560"/>
              </w:tabs>
              <w:spacing w:line="240" w:lineRule="auto"/>
              <w:rPr>
                <w:rFonts w:eastAsia="Calibri" w:cs="Times New Roman"/>
                <w:color w:val="000000"/>
              </w:rPr>
            </w:pPr>
            <w:bookmarkStart w:id="10" w:name="_Hlk118390850"/>
            <w:r w:rsidRPr="00240F0B">
              <w:rPr>
                <w:rFonts w:eastAsia="Calibri" w:cs="Times New Roman"/>
                <w:color w:val="000000"/>
              </w:rPr>
              <w:t>organy administracji rządowej, organy kontroli państwowej i ochrony prawa, sądy, jednostki organizacyjne prokuratury, jednostek samorządu terytorialnego i ich organy, jednostki budżetowe i samorządowe zakłady budżetowe,</w:t>
            </w:r>
            <w:r>
              <w:rPr>
                <w:rFonts w:eastAsia="Calibri" w:cs="Times New Roman"/>
                <w:color w:val="000000"/>
              </w:rPr>
              <w:t xml:space="preserve"> </w:t>
            </w:r>
            <w:r w:rsidRPr="00240F0B">
              <w:rPr>
                <w:rFonts w:eastAsia="Calibri" w:cs="Times New Roman"/>
                <w:color w:val="000000"/>
              </w:rPr>
              <w:t>samodzielne publiczne zakłady opieki zdrowotnej, spółki wykonujące działalność leczniczą w rozumieniu przepisów o działalności leczniczej,</w:t>
            </w:r>
            <w:r>
              <w:rPr>
                <w:rFonts w:eastAsia="Calibri" w:cs="Times New Roman"/>
                <w:color w:val="000000"/>
              </w:rPr>
              <w:t xml:space="preserve"> </w:t>
            </w:r>
            <w:r w:rsidRPr="00240F0B">
              <w:rPr>
                <w:rFonts w:eastAsia="Calibri" w:cs="Times New Roman"/>
                <w:color w:val="000000"/>
              </w:rPr>
              <w:t xml:space="preserve">Zakład Ubezpieczeń Społecznych, Kasa Rolniczego Ubezpieczenia </w:t>
            </w:r>
            <w:r w:rsidRPr="00240F0B">
              <w:rPr>
                <w:rFonts w:eastAsia="Calibri" w:cs="Times New Roman"/>
                <w:color w:val="000000"/>
              </w:rPr>
              <w:lastRenderedPageBreak/>
              <w:t>Społecznego,</w:t>
            </w:r>
            <w:r>
              <w:rPr>
                <w:rFonts w:eastAsia="Calibri" w:cs="Times New Roman"/>
                <w:color w:val="000000"/>
              </w:rPr>
              <w:t xml:space="preserve"> </w:t>
            </w:r>
            <w:r w:rsidRPr="00240F0B">
              <w:rPr>
                <w:rFonts w:eastAsia="Calibri" w:cs="Times New Roman"/>
                <w:color w:val="000000"/>
              </w:rPr>
              <w:t>Narodowy Funduszu Zdrowia,</w:t>
            </w:r>
            <w:r>
              <w:rPr>
                <w:rFonts w:eastAsia="Calibri" w:cs="Times New Roman"/>
                <w:color w:val="000000"/>
              </w:rPr>
              <w:t xml:space="preserve"> </w:t>
            </w:r>
            <w:r w:rsidRPr="00240F0B">
              <w:rPr>
                <w:rFonts w:eastAsia="Calibri" w:cs="Times New Roman"/>
                <w:color w:val="000000"/>
              </w:rPr>
              <w:t>państwowe lub samorządowe osoby prawne utworzone na podstawie odrębnych ustaw w celu realizacji zadań publicznych, uczelnie</w:t>
            </w:r>
            <w:bookmarkEnd w:id="10"/>
          </w:p>
        </w:tc>
        <w:tc>
          <w:tcPr>
            <w:tcW w:w="2292" w:type="dxa"/>
            <w:gridSpan w:val="8"/>
            <w:shd w:val="clear" w:color="auto" w:fill="auto"/>
          </w:tcPr>
          <w:p w14:paraId="6077F465" w14:textId="77777777" w:rsidR="00352548" w:rsidRPr="0069119B" w:rsidRDefault="00352548" w:rsidP="00B6663D">
            <w:pPr>
              <w:spacing w:line="240" w:lineRule="auto"/>
              <w:rPr>
                <w:rFonts w:eastAsia="Calibri" w:cs="Times New Roman"/>
                <w:color w:val="000000"/>
                <w:spacing w:val="-2"/>
              </w:rPr>
            </w:pPr>
            <w:r>
              <w:rPr>
                <w:rFonts w:eastAsia="Calibri" w:cs="Times New Roman"/>
                <w:color w:val="000000"/>
                <w:spacing w:val="-2"/>
              </w:rPr>
              <w:lastRenderedPageBreak/>
              <w:t>ok. 22 000</w:t>
            </w:r>
          </w:p>
        </w:tc>
        <w:tc>
          <w:tcPr>
            <w:tcW w:w="2996" w:type="dxa"/>
            <w:gridSpan w:val="12"/>
            <w:shd w:val="clear" w:color="auto" w:fill="auto"/>
          </w:tcPr>
          <w:p w14:paraId="74E7B116" w14:textId="77777777" w:rsidR="00352548" w:rsidRPr="0069119B" w:rsidRDefault="00352548" w:rsidP="00B6663D">
            <w:pPr>
              <w:spacing w:line="240" w:lineRule="auto"/>
              <w:rPr>
                <w:rFonts w:eastAsia="Calibri" w:cs="Times New Roman"/>
                <w:color w:val="000000"/>
                <w:spacing w:val="-2"/>
              </w:rPr>
            </w:pPr>
            <w:bookmarkStart w:id="11" w:name="_Hlk118390877"/>
            <w:r>
              <w:rPr>
                <w:rFonts w:eastAsia="Calibri" w:cs="Times New Roman"/>
                <w:color w:val="000000"/>
                <w:spacing w:val="-2"/>
              </w:rPr>
              <w:t xml:space="preserve">Baza podmiotów posiadających Elektroniczną Skrzynkę Podawczą </w:t>
            </w:r>
            <w:bookmarkEnd w:id="11"/>
          </w:p>
        </w:tc>
        <w:tc>
          <w:tcPr>
            <w:tcW w:w="2981" w:type="dxa"/>
            <w:gridSpan w:val="6"/>
            <w:shd w:val="clear" w:color="auto" w:fill="auto"/>
          </w:tcPr>
          <w:p w14:paraId="7781967E" w14:textId="77777777" w:rsidR="00352548" w:rsidRPr="0069119B" w:rsidRDefault="00352548" w:rsidP="00B6663D">
            <w:pPr>
              <w:spacing w:line="240" w:lineRule="auto"/>
              <w:rPr>
                <w:rFonts w:eastAsia="Calibri" w:cs="Times New Roman"/>
                <w:color w:val="000000"/>
                <w:spacing w:val="-2"/>
              </w:rPr>
            </w:pPr>
            <w:bookmarkStart w:id="12" w:name="_Hlk118390935"/>
            <w:r>
              <w:rPr>
                <w:rFonts w:eastAsia="Calibri" w:cs="Times New Roman"/>
                <w:color w:val="000000"/>
                <w:spacing w:val="-2"/>
              </w:rPr>
              <w:t>Możliwość przekazywania komunikatów informacyjnyc</w:t>
            </w:r>
            <w:bookmarkEnd w:id="12"/>
            <w:r>
              <w:rPr>
                <w:rFonts w:eastAsia="Calibri" w:cs="Times New Roman"/>
                <w:color w:val="000000"/>
                <w:spacing w:val="-2"/>
              </w:rPr>
              <w:t>h.</w:t>
            </w:r>
          </w:p>
        </w:tc>
      </w:tr>
      <w:tr w:rsidR="00352548" w:rsidRPr="0069119B" w14:paraId="7F284C09" w14:textId="77777777" w:rsidTr="00B6663D">
        <w:trPr>
          <w:gridAfter w:val="1"/>
          <w:wAfter w:w="10" w:type="dxa"/>
          <w:trHeight w:val="302"/>
          <w:jc w:val="center"/>
        </w:trPr>
        <w:tc>
          <w:tcPr>
            <w:tcW w:w="10937" w:type="dxa"/>
            <w:gridSpan w:val="29"/>
            <w:shd w:val="clear" w:color="auto" w:fill="99CCFF"/>
            <w:vAlign w:val="center"/>
          </w:tcPr>
          <w:p w14:paraId="1D19BB04"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rPr>
              <w:t>Informacje na temat zakresu, czasu trwania i podsumowanie wyników konsultacji</w:t>
            </w:r>
          </w:p>
        </w:tc>
      </w:tr>
      <w:tr w:rsidR="00352548" w:rsidRPr="0069119B" w14:paraId="48CF48F2" w14:textId="77777777" w:rsidTr="00B6663D">
        <w:trPr>
          <w:gridAfter w:val="1"/>
          <w:wAfter w:w="10" w:type="dxa"/>
          <w:trHeight w:val="342"/>
          <w:jc w:val="center"/>
        </w:trPr>
        <w:tc>
          <w:tcPr>
            <w:tcW w:w="10937" w:type="dxa"/>
            <w:gridSpan w:val="29"/>
            <w:shd w:val="clear" w:color="auto" w:fill="FFFFFF"/>
          </w:tcPr>
          <w:p w14:paraId="2D99D8F9" w14:textId="6E286EAD" w:rsidR="00424922" w:rsidRPr="0069119B" w:rsidRDefault="00352548" w:rsidP="00424922">
            <w:pPr>
              <w:spacing w:after="120" w:line="240" w:lineRule="auto"/>
              <w:jc w:val="both"/>
              <w:rPr>
                <w:rFonts w:eastAsia="Calibri" w:cs="Times New Roman"/>
                <w:color w:val="000000"/>
                <w:spacing w:val="-2"/>
              </w:rPr>
            </w:pPr>
            <w:r w:rsidRPr="0069119B">
              <w:rPr>
                <w:rFonts w:eastAsia="Calibri" w:cs="Times New Roman"/>
                <w:color w:val="000000"/>
                <w:spacing w:val="-2"/>
              </w:rPr>
              <w:t>Stosownie do postanowień art. 5 ustawy z dnia 7 lipca 2005 r. o działalności lobbingowe</w:t>
            </w:r>
            <w:r>
              <w:rPr>
                <w:rFonts w:eastAsia="Calibri" w:cs="Times New Roman"/>
                <w:color w:val="000000"/>
                <w:spacing w:val="-2"/>
              </w:rPr>
              <w:t xml:space="preserve">j w procesie stanowienia prawa </w:t>
            </w:r>
            <w:r w:rsidRPr="0069119B">
              <w:rPr>
                <w:rFonts w:eastAsia="Calibri" w:cs="Times New Roman"/>
                <w:color w:val="000000"/>
                <w:spacing w:val="-2"/>
              </w:rPr>
              <w:t xml:space="preserve">projekt ustawy zostanie udostępniony w Biuletynie Informacji Publicznej </w:t>
            </w:r>
            <w:r>
              <w:rPr>
                <w:rFonts w:eastAsia="Calibri" w:cs="Times New Roman"/>
                <w:color w:val="000000"/>
                <w:spacing w:val="-2"/>
              </w:rPr>
              <w:t xml:space="preserve">na stronie podmiotowej </w:t>
            </w:r>
            <w:r w:rsidRPr="0069119B">
              <w:rPr>
                <w:rFonts w:eastAsia="Calibri" w:cs="Times New Roman"/>
                <w:color w:val="000000"/>
                <w:spacing w:val="-2"/>
              </w:rPr>
              <w:t>Ministra Cyfryzacji.</w:t>
            </w:r>
          </w:p>
          <w:p w14:paraId="5A5F3F4F" w14:textId="77777777" w:rsidR="00352548" w:rsidRPr="0069119B" w:rsidRDefault="00352548" w:rsidP="00424922">
            <w:pPr>
              <w:spacing w:after="120" w:line="240" w:lineRule="auto"/>
              <w:jc w:val="both"/>
              <w:rPr>
                <w:rFonts w:eastAsia="Calibri" w:cs="Times New Roman"/>
                <w:color w:val="000000"/>
                <w:spacing w:val="-2"/>
              </w:rPr>
            </w:pPr>
            <w:r w:rsidRPr="0069119B">
              <w:rPr>
                <w:rFonts w:eastAsia="Calibri" w:cs="Times New Roman"/>
                <w:color w:val="000000"/>
                <w:spacing w:val="-2"/>
              </w:rPr>
              <w:t>Ponadto</w:t>
            </w:r>
            <w:r>
              <w:rPr>
                <w:rFonts w:eastAsia="Calibri" w:cs="Times New Roman"/>
                <w:color w:val="000000"/>
                <w:spacing w:val="-2"/>
              </w:rPr>
              <w:t>,</w:t>
            </w:r>
            <w:r w:rsidRPr="0069119B">
              <w:rPr>
                <w:rFonts w:eastAsia="Calibri" w:cs="Times New Roman"/>
                <w:color w:val="000000"/>
                <w:spacing w:val="-2"/>
              </w:rPr>
              <w:t xml:space="preserve"> zgodnie z § 52 ust. 1 uchwały nr 190 Rady Ministrów z dnia 29 października 2013 r. – </w:t>
            </w:r>
            <w:r>
              <w:rPr>
                <w:rFonts w:eastAsia="Calibri" w:cs="Times New Roman"/>
                <w:color w:val="000000"/>
                <w:spacing w:val="-2"/>
              </w:rPr>
              <w:t xml:space="preserve">Regulamin pracy Rady Ministrów </w:t>
            </w:r>
            <w:r w:rsidRPr="0069119B">
              <w:rPr>
                <w:rFonts w:eastAsia="Calibri" w:cs="Times New Roman"/>
                <w:color w:val="000000"/>
                <w:spacing w:val="-2"/>
              </w:rPr>
              <w:t>projekt ustawy zostanie udostępniony w Biuletynie Informacji Publicznej na stronie podmiotowej Rządowego Centrum Legislacji w serwisie Rządowy Proces Legislacyjny.</w:t>
            </w:r>
          </w:p>
          <w:p w14:paraId="130C92B8" w14:textId="77777777" w:rsidR="00352548" w:rsidRPr="0069119B" w:rsidRDefault="00352548" w:rsidP="00B6663D">
            <w:pPr>
              <w:spacing w:line="240" w:lineRule="auto"/>
              <w:jc w:val="both"/>
              <w:rPr>
                <w:rFonts w:eastAsia="Times New Roman" w:cs="Times New Roman"/>
                <w:szCs w:val="24"/>
              </w:rPr>
            </w:pPr>
            <w:r w:rsidRPr="0069119B">
              <w:rPr>
                <w:rFonts w:eastAsia="Times New Roman" w:cs="Times New Roman"/>
                <w:szCs w:val="24"/>
              </w:rPr>
              <w:t xml:space="preserve">W ramach opiniowania projekt zostanie skierowany do następujących podmiotów: </w:t>
            </w:r>
          </w:p>
          <w:p w14:paraId="6465483A" w14:textId="77777777" w:rsidR="00352548" w:rsidRPr="0069119B" w:rsidRDefault="00352548" w:rsidP="00B6663D">
            <w:pPr>
              <w:widowControl/>
              <w:numPr>
                <w:ilvl w:val="0"/>
                <w:numId w:val="6"/>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Prezes Urzędu Komunikacji Elektronicznej;</w:t>
            </w:r>
          </w:p>
          <w:p w14:paraId="1C90B96E" w14:textId="77777777" w:rsidR="00352548" w:rsidRPr="0069119B" w:rsidRDefault="00352548" w:rsidP="00B6663D">
            <w:pPr>
              <w:widowControl/>
              <w:numPr>
                <w:ilvl w:val="0"/>
                <w:numId w:val="6"/>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Prezes Urzędu Ochrony Konkurencji i Konsumentów;</w:t>
            </w:r>
          </w:p>
          <w:p w14:paraId="77267B10" w14:textId="77777777" w:rsidR="00352548" w:rsidRPr="0069119B" w:rsidRDefault="00352548" w:rsidP="00B6663D">
            <w:pPr>
              <w:widowControl/>
              <w:numPr>
                <w:ilvl w:val="0"/>
                <w:numId w:val="6"/>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Prezes Urzędu Ochrony Danych Osobowych;</w:t>
            </w:r>
          </w:p>
          <w:p w14:paraId="1A4C074E" w14:textId="77777777" w:rsidR="00352548" w:rsidRPr="0069119B" w:rsidRDefault="00352548" w:rsidP="00B6663D">
            <w:pPr>
              <w:widowControl/>
              <w:numPr>
                <w:ilvl w:val="0"/>
                <w:numId w:val="6"/>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Prezes Głównego Urzędu Statystycznego;</w:t>
            </w:r>
          </w:p>
          <w:p w14:paraId="71C103CA" w14:textId="17022D96" w:rsidR="00352548" w:rsidRDefault="00352548" w:rsidP="00424922">
            <w:pPr>
              <w:widowControl/>
              <w:numPr>
                <w:ilvl w:val="0"/>
                <w:numId w:val="6"/>
              </w:numPr>
              <w:autoSpaceDE/>
              <w:autoSpaceDN/>
              <w:adjustRightInd/>
              <w:spacing w:line="240" w:lineRule="auto"/>
              <w:ind w:left="714" w:hanging="357"/>
              <w:jc w:val="both"/>
              <w:rPr>
                <w:rFonts w:eastAsia="Times New Roman" w:cs="Times New Roman"/>
                <w:szCs w:val="24"/>
              </w:rPr>
            </w:pPr>
            <w:r w:rsidRPr="0069119B">
              <w:rPr>
                <w:rFonts w:eastAsia="Times New Roman" w:cs="Times New Roman"/>
                <w:szCs w:val="24"/>
              </w:rPr>
              <w:t>Rzecznik Ma</w:t>
            </w:r>
            <w:r w:rsidR="00424922">
              <w:rPr>
                <w:rFonts w:eastAsia="Times New Roman" w:cs="Times New Roman"/>
                <w:szCs w:val="24"/>
              </w:rPr>
              <w:t>łych i Średnich Przedsiębiorców;</w:t>
            </w:r>
          </w:p>
          <w:p w14:paraId="499B841F" w14:textId="341AEC71" w:rsidR="00424922" w:rsidRPr="0069119B" w:rsidRDefault="00424922" w:rsidP="00424922">
            <w:pPr>
              <w:widowControl/>
              <w:numPr>
                <w:ilvl w:val="0"/>
                <w:numId w:val="6"/>
              </w:numPr>
              <w:autoSpaceDE/>
              <w:autoSpaceDN/>
              <w:adjustRightInd/>
              <w:spacing w:after="120" w:line="240" w:lineRule="auto"/>
              <w:jc w:val="both"/>
              <w:rPr>
                <w:rFonts w:eastAsia="Times New Roman" w:cs="Times New Roman"/>
                <w:szCs w:val="24"/>
              </w:rPr>
            </w:pPr>
            <w:r w:rsidRPr="00424922">
              <w:rPr>
                <w:rFonts w:eastAsia="Times New Roman" w:cs="Times New Roman"/>
                <w:szCs w:val="24"/>
              </w:rPr>
              <w:t>Prezes Prokuratorii Generalnej RP .</w:t>
            </w:r>
          </w:p>
          <w:p w14:paraId="14BB4F07" w14:textId="77777777" w:rsidR="00352548" w:rsidRPr="0069119B" w:rsidRDefault="00352548" w:rsidP="00B6663D">
            <w:pPr>
              <w:spacing w:line="240" w:lineRule="auto"/>
              <w:jc w:val="both"/>
              <w:rPr>
                <w:rFonts w:eastAsia="Times New Roman" w:cs="Times New Roman"/>
                <w:szCs w:val="24"/>
              </w:rPr>
            </w:pPr>
            <w:r w:rsidRPr="0069119B">
              <w:rPr>
                <w:rFonts w:eastAsia="Times New Roman" w:cs="Times New Roman"/>
                <w:szCs w:val="24"/>
              </w:rPr>
              <w:t>W r</w:t>
            </w:r>
            <w:r>
              <w:rPr>
                <w:rFonts w:eastAsia="Times New Roman" w:cs="Times New Roman"/>
                <w:szCs w:val="24"/>
              </w:rPr>
              <w:t xml:space="preserve">amach konsultacji publicznych </w:t>
            </w:r>
            <w:r w:rsidRPr="0069119B">
              <w:rPr>
                <w:rFonts w:eastAsia="Times New Roman" w:cs="Times New Roman"/>
                <w:szCs w:val="24"/>
              </w:rPr>
              <w:t xml:space="preserve">projekt zostanie skierowany do następujących podmiotów: </w:t>
            </w:r>
          </w:p>
          <w:p w14:paraId="70D36FB8"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 xml:space="preserve">Polska Izba Informatyki i Telekomunikacji; </w:t>
            </w:r>
          </w:p>
          <w:p w14:paraId="7A71DE2D"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Krajowa Izba Gospodarcza Elektroniki i Telekomunikacji;</w:t>
            </w:r>
          </w:p>
          <w:p w14:paraId="7D6559C2"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Polska Izba Komunikacji Elektronicznej;</w:t>
            </w:r>
          </w:p>
          <w:p w14:paraId="34315998"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Krajowa Izba Gospodarcza;</w:t>
            </w:r>
          </w:p>
          <w:p w14:paraId="6446E845"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Krajowa Izba Komunikacji Ethernetowej;</w:t>
            </w:r>
          </w:p>
          <w:p w14:paraId="0F4986EC"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Rada Dialogu Społecznego;</w:t>
            </w:r>
          </w:p>
          <w:p w14:paraId="12C9B5C6"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Business Centre Club – Związek Pracodawców;</w:t>
            </w:r>
          </w:p>
          <w:p w14:paraId="5F4F1C95"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Niezależny Samorządowy Związek Zawodowy „Solidarność”;</w:t>
            </w:r>
          </w:p>
          <w:p w14:paraId="79086E0C"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 xml:space="preserve">Ogólnopolskie Porozumienie Związków Zawodowych; </w:t>
            </w:r>
          </w:p>
          <w:p w14:paraId="5372AE1B"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Forum Związków Zawodowych;</w:t>
            </w:r>
          </w:p>
          <w:p w14:paraId="718E2370"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Pracodawcy Rzeczypospolitej Polskiej;</w:t>
            </w:r>
          </w:p>
          <w:p w14:paraId="74F27386"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 xml:space="preserve">Konfederacja Lewiatan; </w:t>
            </w:r>
          </w:p>
          <w:p w14:paraId="1446D4FE"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 xml:space="preserve">Związek Rzemiosła Polskiego; </w:t>
            </w:r>
          </w:p>
          <w:p w14:paraId="7C65CABE"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Związek Przedsiębiorców i Pracodawców;</w:t>
            </w:r>
          </w:p>
          <w:p w14:paraId="681FDD3F"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Związek Pracodawców Mediów Publicznych;</w:t>
            </w:r>
          </w:p>
          <w:p w14:paraId="2977AE67"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Związek Pracodawców Branży Internetowej IAB Polska;</w:t>
            </w:r>
          </w:p>
          <w:p w14:paraId="6F6A6A33"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 xml:space="preserve">Federacja Związków Zawodowych Pracowników Telekomunikacji; </w:t>
            </w:r>
          </w:p>
          <w:p w14:paraId="60791CFD"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Polska Rada Biznesu;</w:t>
            </w:r>
          </w:p>
          <w:p w14:paraId="2159F67F"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Naczelna Organizacja Techniczna;</w:t>
            </w:r>
          </w:p>
          <w:p w14:paraId="13521EC9"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Związek Pracodawców Mediów Elektronicznych i Telekomunikacji Mediakom;</w:t>
            </w:r>
          </w:p>
          <w:p w14:paraId="5073C4C8"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Izba Gospodarki Elektronicznej;</w:t>
            </w:r>
          </w:p>
          <w:p w14:paraId="04511C9A"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Polska Izba Radiodyfuzji Cyfrowej;</w:t>
            </w:r>
          </w:p>
          <w:p w14:paraId="36C301A9"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Krajowy Związek Banków Spółdzielczych;</w:t>
            </w:r>
          </w:p>
          <w:p w14:paraId="72236F55"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lastRenderedPageBreak/>
              <w:t>Związek Banków Polskich;</w:t>
            </w:r>
          </w:p>
          <w:p w14:paraId="5472FFE5"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Polskie Towarzystwo Informatyczne;</w:t>
            </w:r>
          </w:p>
          <w:p w14:paraId="5ACFE34F"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Konfederacja Lewiatan;</w:t>
            </w:r>
          </w:p>
          <w:p w14:paraId="745035D9"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Fundacja Centrum Cyfrowe;</w:t>
            </w:r>
          </w:p>
          <w:p w14:paraId="442EB21A"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Fundacja na Rzecz Nauki Polskiej;</w:t>
            </w:r>
          </w:p>
          <w:p w14:paraId="4E737B6B" w14:textId="77777777" w:rsidR="00352548" w:rsidRPr="0069119B" w:rsidRDefault="00352548" w:rsidP="00B6663D">
            <w:pPr>
              <w:widowControl/>
              <w:numPr>
                <w:ilvl w:val="0"/>
                <w:numId w:val="7"/>
              </w:numPr>
              <w:autoSpaceDE/>
              <w:autoSpaceDN/>
              <w:adjustRightInd/>
              <w:spacing w:after="160" w:line="240" w:lineRule="auto"/>
              <w:contextualSpacing/>
              <w:jc w:val="both"/>
              <w:rPr>
                <w:rFonts w:eastAsia="Times New Roman" w:cs="Times New Roman"/>
                <w:szCs w:val="24"/>
              </w:rPr>
            </w:pPr>
            <w:r w:rsidRPr="0069119B">
              <w:rPr>
                <w:rFonts w:eastAsia="Times New Roman" w:cs="Times New Roman"/>
                <w:szCs w:val="24"/>
              </w:rPr>
              <w:t>Fundacja Nowoczesna Polska;</w:t>
            </w:r>
          </w:p>
          <w:p w14:paraId="3F5287E5" w14:textId="77777777" w:rsidR="00352548" w:rsidRPr="0069119B" w:rsidRDefault="00352548" w:rsidP="00B6663D">
            <w:pPr>
              <w:widowControl/>
              <w:numPr>
                <w:ilvl w:val="0"/>
                <w:numId w:val="7"/>
              </w:numPr>
              <w:autoSpaceDE/>
              <w:autoSpaceDN/>
              <w:adjustRightInd/>
              <w:spacing w:after="120" w:line="240" w:lineRule="auto"/>
              <w:ind w:left="714" w:hanging="357"/>
              <w:jc w:val="both"/>
              <w:rPr>
                <w:rFonts w:eastAsia="Times New Roman" w:cs="Times New Roman"/>
                <w:szCs w:val="24"/>
              </w:rPr>
            </w:pPr>
            <w:r w:rsidRPr="0069119B">
              <w:rPr>
                <w:rFonts w:eastAsia="Times New Roman" w:cs="Times New Roman"/>
                <w:szCs w:val="24"/>
              </w:rPr>
              <w:t>Fundacja Panoptykon.</w:t>
            </w:r>
          </w:p>
          <w:p w14:paraId="5C3435BB" w14:textId="77777777" w:rsidR="00352548" w:rsidRPr="0069119B" w:rsidRDefault="00352548" w:rsidP="00F25B7A">
            <w:pPr>
              <w:spacing w:after="120" w:line="240" w:lineRule="auto"/>
              <w:jc w:val="both"/>
              <w:rPr>
                <w:rFonts w:eastAsia="Calibri" w:cs="Times New Roman"/>
                <w:color w:val="000000"/>
                <w:spacing w:val="-2"/>
              </w:rPr>
            </w:pPr>
            <w:r w:rsidRPr="0069119B">
              <w:rPr>
                <w:rFonts w:eastAsia="Calibri" w:cs="Times New Roman"/>
                <w:color w:val="000000"/>
                <w:spacing w:val="-2"/>
              </w:rPr>
              <w:t>Prz</w:t>
            </w:r>
            <w:r>
              <w:rPr>
                <w:rFonts w:eastAsia="Calibri" w:cs="Times New Roman"/>
                <w:color w:val="000000"/>
                <w:spacing w:val="-2"/>
              </w:rPr>
              <w:t>ewiduje się, że okres trwania o</w:t>
            </w:r>
            <w:r w:rsidRPr="0069119B">
              <w:rPr>
                <w:rFonts w:eastAsia="Calibri" w:cs="Times New Roman"/>
                <w:color w:val="000000"/>
                <w:spacing w:val="-2"/>
              </w:rPr>
              <w:t xml:space="preserve">piniowania </w:t>
            </w:r>
            <w:r>
              <w:rPr>
                <w:rFonts w:eastAsia="Calibri" w:cs="Times New Roman"/>
                <w:color w:val="000000"/>
                <w:spacing w:val="-2"/>
              </w:rPr>
              <w:t xml:space="preserve">i konsultacji publicznych </w:t>
            </w:r>
            <w:r w:rsidRPr="0069119B">
              <w:rPr>
                <w:rFonts w:eastAsia="Calibri" w:cs="Times New Roman"/>
                <w:color w:val="000000"/>
                <w:spacing w:val="-2"/>
              </w:rPr>
              <w:t>będzie wynosił 21 dni.</w:t>
            </w:r>
          </w:p>
          <w:p w14:paraId="59FE2318" w14:textId="77777777" w:rsidR="00352548" w:rsidRPr="0069119B" w:rsidRDefault="00352548" w:rsidP="00F25B7A">
            <w:pPr>
              <w:spacing w:after="120" w:line="240" w:lineRule="auto"/>
              <w:rPr>
                <w:rFonts w:cs="Times New Roman"/>
              </w:rPr>
            </w:pPr>
            <w:r>
              <w:rPr>
                <w:rFonts w:cs="Times New Roman"/>
              </w:rPr>
              <w:t>U</w:t>
            </w:r>
            <w:r w:rsidRPr="0069119B">
              <w:rPr>
                <w:rFonts w:cs="Times New Roman"/>
              </w:rPr>
              <w:t>dostępnienie projektu na ww. stronach internetowych pozwoli także innym podmiotom zgłaszać uwagi do przedmiotowego projektu.</w:t>
            </w:r>
          </w:p>
          <w:p w14:paraId="05953999" w14:textId="77777777" w:rsidR="00352548" w:rsidRPr="0069119B" w:rsidRDefault="00352548" w:rsidP="00B6663D">
            <w:pPr>
              <w:spacing w:after="120" w:line="240" w:lineRule="auto"/>
              <w:jc w:val="both"/>
              <w:rPr>
                <w:rFonts w:eastAsia="Times New Roman" w:cs="Times New Roman"/>
                <w:szCs w:val="24"/>
              </w:rPr>
            </w:pPr>
            <w:r w:rsidRPr="0069119B">
              <w:rPr>
                <w:rFonts w:cs="Times New Roman"/>
              </w:rPr>
              <w:t>Projekt zostanie również przekazany Komisji Wspólnej Rządu i Samorządu Terytorialnego (KWRiST).</w:t>
            </w:r>
          </w:p>
        </w:tc>
      </w:tr>
      <w:tr w:rsidR="00352548" w:rsidRPr="0069119B" w14:paraId="3136CEC9" w14:textId="77777777" w:rsidTr="00B6663D">
        <w:trPr>
          <w:gridAfter w:val="1"/>
          <w:wAfter w:w="10" w:type="dxa"/>
          <w:trHeight w:val="363"/>
          <w:jc w:val="center"/>
        </w:trPr>
        <w:tc>
          <w:tcPr>
            <w:tcW w:w="10937" w:type="dxa"/>
            <w:gridSpan w:val="29"/>
            <w:shd w:val="clear" w:color="auto" w:fill="99CCFF"/>
            <w:vAlign w:val="center"/>
          </w:tcPr>
          <w:p w14:paraId="532E45C1"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rPr>
              <w:t xml:space="preserve"> Wpływ na sektor finansów publicznych</w:t>
            </w:r>
          </w:p>
        </w:tc>
      </w:tr>
      <w:tr w:rsidR="00352548" w:rsidRPr="0069119B" w14:paraId="57CBE843" w14:textId="77777777" w:rsidTr="00B6663D">
        <w:trPr>
          <w:gridAfter w:val="1"/>
          <w:wAfter w:w="10" w:type="dxa"/>
          <w:trHeight w:val="142"/>
          <w:jc w:val="center"/>
        </w:trPr>
        <w:tc>
          <w:tcPr>
            <w:tcW w:w="3133" w:type="dxa"/>
            <w:gridSpan w:val="4"/>
            <w:vMerge w:val="restart"/>
            <w:shd w:val="clear" w:color="auto" w:fill="auto"/>
          </w:tcPr>
          <w:p w14:paraId="1EA7CE69" w14:textId="77777777" w:rsidR="00352548" w:rsidRPr="0069119B" w:rsidRDefault="00352548" w:rsidP="00B6663D">
            <w:pPr>
              <w:spacing w:before="40" w:after="40" w:line="252" w:lineRule="auto"/>
              <w:rPr>
                <w:rFonts w:eastAsia="Calibri" w:cs="Times New Roman"/>
                <w:i/>
                <w:color w:val="000000"/>
                <w:sz w:val="21"/>
                <w:szCs w:val="21"/>
              </w:rPr>
            </w:pPr>
            <w:r w:rsidRPr="0069119B">
              <w:rPr>
                <w:rFonts w:eastAsia="Calibri" w:cs="Times New Roman"/>
                <w:color w:val="000000"/>
                <w:sz w:val="21"/>
                <w:szCs w:val="21"/>
              </w:rPr>
              <w:t>(ceny stałe z … r.)</w:t>
            </w:r>
          </w:p>
        </w:tc>
        <w:tc>
          <w:tcPr>
            <w:tcW w:w="7804" w:type="dxa"/>
            <w:gridSpan w:val="25"/>
            <w:shd w:val="clear" w:color="auto" w:fill="FFFFFF"/>
          </w:tcPr>
          <w:p w14:paraId="26A6605F" w14:textId="77777777" w:rsidR="00352548" w:rsidRPr="0069119B" w:rsidRDefault="00352548" w:rsidP="00B6663D">
            <w:pPr>
              <w:spacing w:before="40" w:after="40" w:line="240" w:lineRule="auto"/>
              <w:jc w:val="center"/>
              <w:rPr>
                <w:rFonts w:eastAsia="Calibri" w:cs="Times New Roman"/>
                <w:i/>
                <w:color w:val="000000"/>
                <w:spacing w:val="-2"/>
                <w:sz w:val="21"/>
                <w:szCs w:val="21"/>
              </w:rPr>
            </w:pPr>
            <w:r w:rsidRPr="0069119B">
              <w:rPr>
                <w:rFonts w:eastAsia="Calibri" w:cs="Times New Roman"/>
                <w:color w:val="000000"/>
                <w:sz w:val="21"/>
                <w:szCs w:val="21"/>
              </w:rPr>
              <w:t>Skutki w okresie 10 lat od wejścia w życie zmian [mln zł]</w:t>
            </w:r>
          </w:p>
        </w:tc>
      </w:tr>
      <w:tr w:rsidR="00352548" w:rsidRPr="0069119B" w14:paraId="6C672C66" w14:textId="77777777" w:rsidTr="00B6663D">
        <w:trPr>
          <w:gridAfter w:val="1"/>
          <w:wAfter w:w="10" w:type="dxa"/>
          <w:trHeight w:val="142"/>
          <w:jc w:val="center"/>
        </w:trPr>
        <w:tc>
          <w:tcPr>
            <w:tcW w:w="3133" w:type="dxa"/>
            <w:gridSpan w:val="4"/>
            <w:vMerge/>
            <w:shd w:val="clear" w:color="auto" w:fill="auto"/>
          </w:tcPr>
          <w:p w14:paraId="449A44AE" w14:textId="77777777" w:rsidR="00352548" w:rsidRPr="0069119B" w:rsidRDefault="00352548" w:rsidP="00B6663D">
            <w:pPr>
              <w:spacing w:before="40" w:after="40" w:line="240" w:lineRule="auto"/>
              <w:rPr>
                <w:rFonts w:eastAsia="Calibri" w:cs="Times New Roman"/>
                <w:i/>
                <w:color w:val="000000"/>
                <w:sz w:val="21"/>
                <w:szCs w:val="21"/>
              </w:rPr>
            </w:pPr>
          </w:p>
        </w:tc>
        <w:tc>
          <w:tcPr>
            <w:tcW w:w="569" w:type="dxa"/>
            <w:gridSpan w:val="2"/>
            <w:shd w:val="clear" w:color="auto" w:fill="FFFFFF"/>
          </w:tcPr>
          <w:p w14:paraId="6D49A817"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0</w:t>
            </w:r>
          </w:p>
        </w:tc>
        <w:tc>
          <w:tcPr>
            <w:tcW w:w="570" w:type="dxa"/>
            <w:gridSpan w:val="2"/>
            <w:shd w:val="clear" w:color="auto" w:fill="FFFFFF"/>
          </w:tcPr>
          <w:p w14:paraId="3DC2753D"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1</w:t>
            </w:r>
          </w:p>
        </w:tc>
        <w:tc>
          <w:tcPr>
            <w:tcW w:w="570" w:type="dxa"/>
            <w:gridSpan w:val="2"/>
            <w:shd w:val="clear" w:color="auto" w:fill="FFFFFF"/>
          </w:tcPr>
          <w:p w14:paraId="68187ACD"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2</w:t>
            </w:r>
          </w:p>
        </w:tc>
        <w:tc>
          <w:tcPr>
            <w:tcW w:w="569" w:type="dxa"/>
            <w:gridSpan w:val="3"/>
            <w:shd w:val="clear" w:color="auto" w:fill="FFFFFF"/>
          </w:tcPr>
          <w:p w14:paraId="0E2BFBEB"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3</w:t>
            </w:r>
          </w:p>
        </w:tc>
        <w:tc>
          <w:tcPr>
            <w:tcW w:w="570" w:type="dxa"/>
            <w:gridSpan w:val="2"/>
            <w:shd w:val="clear" w:color="auto" w:fill="FFFFFF"/>
          </w:tcPr>
          <w:p w14:paraId="486C19FF"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4</w:t>
            </w:r>
          </w:p>
        </w:tc>
        <w:tc>
          <w:tcPr>
            <w:tcW w:w="570" w:type="dxa"/>
            <w:shd w:val="clear" w:color="auto" w:fill="FFFFFF"/>
          </w:tcPr>
          <w:p w14:paraId="762E2B3E"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5</w:t>
            </w:r>
          </w:p>
        </w:tc>
        <w:tc>
          <w:tcPr>
            <w:tcW w:w="570" w:type="dxa"/>
            <w:gridSpan w:val="3"/>
            <w:shd w:val="clear" w:color="auto" w:fill="FFFFFF"/>
          </w:tcPr>
          <w:p w14:paraId="643DE108"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6</w:t>
            </w:r>
          </w:p>
        </w:tc>
        <w:tc>
          <w:tcPr>
            <w:tcW w:w="569" w:type="dxa"/>
            <w:gridSpan w:val="3"/>
            <w:shd w:val="clear" w:color="auto" w:fill="FFFFFF"/>
          </w:tcPr>
          <w:p w14:paraId="34EEE552"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7</w:t>
            </w:r>
          </w:p>
        </w:tc>
        <w:tc>
          <w:tcPr>
            <w:tcW w:w="570" w:type="dxa"/>
            <w:gridSpan w:val="2"/>
            <w:shd w:val="clear" w:color="auto" w:fill="FFFFFF"/>
          </w:tcPr>
          <w:p w14:paraId="4BE04677"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8</w:t>
            </w:r>
          </w:p>
        </w:tc>
        <w:tc>
          <w:tcPr>
            <w:tcW w:w="570" w:type="dxa"/>
            <w:gridSpan w:val="2"/>
            <w:shd w:val="clear" w:color="auto" w:fill="FFFFFF"/>
          </w:tcPr>
          <w:p w14:paraId="75FC2E9A"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9</w:t>
            </w:r>
          </w:p>
        </w:tc>
        <w:tc>
          <w:tcPr>
            <w:tcW w:w="570" w:type="dxa"/>
            <w:shd w:val="clear" w:color="auto" w:fill="FFFFFF"/>
          </w:tcPr>
          <w:p w14:paraId="6694AEF2"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10</w:t>
            </w:r>
          </w:p>
        </w:tc>
        <w:tc>
          <w:tcPr>
            <w:tcW w:w="1537" w:type="dxa"/>
            <w:gridSpan w:val="2"/>
            <w:shd w:val="clear" w:color="auto" w:fill="FFFFFF"/>
          </w:tcPr>
          <w:p w14:paraId="7108746B" w14:textId="77777777" w:rsidR="00352548" w:rsidRPr="0069119B" w:rsidRDefault="00352548" w:rsidP="00B6663D">
            <w:pPr>
              <w:spacing w:before="40" w:after="40" w:line="240" w:lineRule="auto"/>
              <w:jc w:val="center"/>
              <w:rPr>
                <w:rFonts w:eastAsia="Calibri" w:cs="Times New Roman"/>
                <w:i/>
                <w:color w:val="000000"/>
                <w:spacing w:val="-2"/>
                <w:sz w:val="21"/>
                <w:szCs w:val="21"/>
              </w:rPr>
            </w:pPr>
            <w:r w:rsidRPr="0069119B">
              <w:rPr>
                <w:rFonts w:eastAsia="Calibri" w:cs="Times New Roman"/>
                <w:i/>
                <w:color w:val="000000"/>
                <w:spacing w:val="-2"/>
                <w:sz w:val="21"/>
                <w:szCs w:val="21"/>
              </w:rPr>
              <w:t>Łącznie (0-10)</w:t>
            </w:r>
          </w:p>
        </w:tc>
      </w:tr>
      <w:tr w:rsidR="00352548" w:rsidRPr="0069119B" w14:paraId="65D9A455" w14:textId="77777777" w:rsidTr="00B6663D">
        <w:trPr>
          <w:trHeight w:val="321"/>
          <w:jc w:val="center"/>
        </w:trPr>
        <w:tc>
          <w:tcPr>
            <w:tcW w:w="3133" w:type="dxa"/>
            <w:gridSpan w:val="4"/>
            <w:shd w:val="clear" w:color="auto" w:fill="FFFFFF"/>
            <w:vAlign w:val="center"/>
          </w:tcPr>
          <w:p w14:paraId="4D1F24E3"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b/>
                <w:color w:val="000000"/>
                <w:sz w:val="21"/>
                <w:szCs w:val="21"/>
              </w:rPr>
              <w:t>Dochody ogółem</w:t>
            </w:r>
          </w:p>
        </w:tc>
        <w:tc>
          <w:tcPr>
            <w:tcW w:w="569" w:type="dxa"/>
            <w:gridSpan w:val="2"/>
            <w:shd w:val="clear" w:color="auto" w:fill="FFFFFF"/>
          </w:tcPr>
          <w:p w14:paraId="3ED6FE9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w:t>
            </w:r>
            <w:r>
              <w:rPr>
                <w:rFonts w:eastAsia="Calibri" w:cs="Times New Roman"/>
                <w:color w:val="000000"/>
                <w:sz w:val="16"/>
                <w:szCs w:val="16"/>
              </w:rPr>
              <w:t>11,4</w:t>
            </w:r>
          </w:p>
        </w:tc>
        <w:tc>
          <w:tcPr>
            <w:tcW w:w="570" w:type="dxa"/>
            <w:gridSpan w:val="2"/>
            <w:shd w:val="clear" w:color="auto" w:fill="FFFFFF"/>
          </w:tcPr>
          <w:p w14:paraId="58F1D6CC"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gridSpan w:val="2"/>
            <w:shd w:val="clear" w:color="auto" w:fill="FFFFFF"/>
          </w:tcPr>
          <w:p w14:paraId="50CA382F"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69" w:type="dxa"/>
            <w:gridSpan w:val="3"/>
            <w:shd w:val="clear" w:color="auto" w:fill="FFFFFF"/>
          </w:tcPr>
          <w:p w14:paraId="78DA486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gridSpan w:val="2"/>
            <w:shd w:val="clear" w:color="auto" w:fill="FFFFFF"/>
          </w:tcPr>
          <w:p w14:paraId="69177AE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shd w:val="clear" w:color="auto" w:fill="FFFFFF"/>
          </w:tcPr>
          <w:p w14:paraId="44D26BF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gridSpan w:val="3"/>
            <w:shd w:val="clear" w:color="auto" w:fill="FFFFFF"/>
          </w:tcPr>
          <w:p w14:paraId="57840B1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69" w:type="dxa"/>
            <w:gridSpan w:val="3"/>
            <w:shd w:val="clear" w:color="auto" w:fill="FFFFFF"/>
          </w:tcPr>
          <w:p w14:paraId="7FA95115"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gridSpan w:val="2"/>
            <w:shd w:val="clear" w:color="auto" w:fill="FFFFFF"/>
          </w:tcPr>
          <w:p w14:paraId="1D987E8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gridSpan w:val="2"/>
            <w:shd w:val="clear" w:color="auto" w:fill="FFFFFF"/>
          </w:tcPr>
          <w:p w14:paraId="7E3ACA1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570" w:type="dxa"/>
            <w:shd w:val="clear" w:color="auto" w:fill="FFFFFF"/>
          </w:tcPr>
          <w:p w14:paraId="3067FEB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-1</w:t>
            </w:r>
            <w:r>
              <w:rPr>
                <w:rFonts w:eastAsia="Calibri" w:cs="Times New Roman"/>
                <w:color w:val="000000"/>
                <w:sz w:val="16"/>
                <w:szCs w:val="16"/>
              </w:rPr>
              <w:t>1,4</w:t>
            </w:r>
          </w:p>
        </w:tc>
        <w:tc>
          <w:tcPr>
            <w:tcW w:w="1547" w:type="dxa"/>
            <w:gridSpan w:val="3"/>
            <w:shd w:val="clear" w:color="auto" w:fill="FFFFFF"/>
          </w:tcPr>
          <w:p w14:paraId="20A49AF6" w14:textId="77777777" w:rsidR="00352548" w:rsidRPr="0069119B" w:rsidRDefault="00352548" w:rsidP="00B6663D">
            <w:pPr>
              <w:spacing w:line="240" w:lineRule="auto"/>
              <w:rPr>
                <w:rFonts w:eastAsia="Calibri" w:cs="Times New Roman"/>
                <w:color w:val="000000"/>
                <w:spacing w:val="-2"/>
                <w:sz w:val="16"/>
                <w:szCs w:val="16"/>
              </w:rPr>
            </w:pPr>
            <w:r w:rsidRPr="0069119B">
              <w:rPr>
                <w:rFonts w:eastAsia="Calibri" w:cs="Times New Roman"/>
                <w:color w:val="000000"/>
                <w:sz w:val="16"/>
                <w:szCs w:val="16"/>
              </w:rPr>
              <w:t>-</w:t>
            </w:r>
            <w:r>
              <w:rPr>
                <w:rFonts w:eastAsia="Calibri" w:cs="Times New Roman"/>
                <w:color w:val="000000"/>
                <w:sz w:val="16"/>
                <w:szCs w:val="16"/>
              </w:rPr>
              <w:t>125,4</w:t>
            </w:r>
          </w:p>
        </w:tc>
      </w:tr>
      <w:tr w:rsidR="00352548" w:rsidRPr="0069119B" w14:paraId="1D5EDFB3" w14:textId="77777777" w:rsidTr="00B6663D">
        <w:trPr>
          <w:trHeight w:val="321"/>
          <w:jc w:val="center"/>
        </w:trPr>
        <w:tc>
          <w:tcPr>
            <w:tcW w:w="3133" w:type="dxa"/>
            <w:gridSpan w:val="4"/>
            <w:shd w:val="clear" w:color="auto" w:fill="FFFFFF"/>
            <w:vAlign w:val="center"/>
          </w:tcPr>
          <w:p w14:paraId="69825054"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budżet państwa</w:t>
            </w:r>
          </w:p>
        </w:tc>
        <w:tc>
          <w:tcPr>
            <w:tcW w:w="569" w:type="dxa"/>
            <w:gridSpan w:val="2"/>
            <w:shd w:val="clear" w:color="auto" w:fill="FFFFFF"/>
          </w:tcPr>
          <w:p w14:paraId="4750A59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7BED947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646516F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69" w:type="dxa"/>
            <w:gridSpan w:val="3"/>
            <w:shd w:val="clear" w:color="auto" w:fill="FFFFFF"/>
          </w:tcPr>
          <w:p w14:paraId="152F8A4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5BD9941F"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shd w:val="clear" w:color="auto" w:fill="FFFFFF"/>
          </w:tcPr>
          <w:p w14:paraId="4514558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3"/>
            <w:shd w:val="clear" w:color="auto" w:fill="FFFFFF"/>
          </w:tcPr>
          <w:p w14:paraId="38222E4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69" w:type="dxa"/>
            <w:gridSpan w:val="3"/>
            <w:shd w:val="clear" w:color="auto" w:fill="FFFFFF"/>
          </w:tcPr>
          <w:p w14:paraId="12572F65"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35C1ECF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6BAD81B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shd w:val="clear" w:color="auto" w:fill="FFFFFF"/>
          </w:tcPr>
          <w:p w14:paraId="7A55770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1547" w:type="dxa"/>
            <w:gridSpan w:val="3"/>
            <w:shd w:val="clear" w:color="auto" w:fill="FFFFFF"/>
          </w:tcPr>
          <w:p w14:paraId="3BC55BC8" w14:textId="77777777" w:rsidR="00352548" w:rsidRPr="0069119B" w:rsidRDefault="00352548" w:rsidP="00B6663D">
            <w:pPr>
              <w:spacing w:line="240" w:lineRule="auto"/>
              <w:rPr>
                <w:rFonts w:eastAsia="Calibri" w:cs="Times New Roman"/>
                <w:color w:val="000000"/>
                <w:spacing w:val="-2"/>
                <w:sz w:val="16"/>
                <w:szCs w:val="16"/>
              </w:rPr>
            </w:pPr>
            <w:r w:rsidRPr="0069119B">
              <w:rPr>
                <w:rFonts w:eastAsia="Calibri" w:cs="Times New Roman"/>
                <w:sz w:val="16"/>
                <w:szCs w:val="16"/>
              </w:rPr>
              <w:t>0</w:t>
            </w:r>
          </w:p>
        </w:tc>
      </w:tr>
      <w:tr w:rsidR="00352548" w:rsidRPr="0069119B" w14:paraId="3741D821" w14:textId="77777777" w:rsidTr="00B6663D">
        <w:trPr>
          <w:trHeight w:val="344"/>
          <w:jc w:val="center"/>
        </w:trPr>
        <w:tc>
          <w:tcPr>
            <w:tcW w:w="3133" w:type="dxa"/>
            <w:gridSpan w:val="4"/>
            <w:shd w:val="clear" w:color="auto" w:fill="FFFFFF"/>
            <w:vAlign w:val="center"/>
          </w:tcPr>
          <w:p w14:paraId="5BB899E9"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JST</w:t>
            </w:r>
          </w:p>
        </w:tc>
        <w:tc>
          <w:tcPr>
            <w:tcW w:w="569" w:type="dxa"/>
            <w:gridSpan w:val="2"/>
            <w:shd w:val="clear" w:color="auto" w:fill="FFFFFF"/>
          </w:tcPr>
          <w:p w14:paraId="53F56F36"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09B8563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7FD04F86"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69" w:type="dxa"/>
            <w:gridSpan w:val="3"/>
            <w:shd w:val="clear" w:color="auto" w:fill="FFFFFF"/>
          </w:tcPr>
          <w:p w14:paraId="7587B5D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72573A1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shd w:val="clear" w:color="auto" w:fill="FFFFFF"/>
          </w:tcPr>
          <w:p w14:paraId="175C677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3"/>
            <w:shd w:val="clear" w:color="auto" w:fill="FFFFFF"/>
          </w:tcPr>
          <w:p w14:paraId="4EFAE5E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69" w:type="dxa"/>
            <w:gridSpan w:val="3"/>
            <w:shd w:val="clear" w:color="auto" w:fill="FFFFFF"/>
          </w:tcPr>
          <w:p w14:paraId="0A51967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7705659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gridSpan w:val="2"/>
            <w:shd w:val="clear" w:color="auto" w:fill="FFFFFF"/>
          </w:tcPr>
          <w:p w14:paraId="2517F57A"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570" w:type="dxa"/>
            <w:shd w:val="clear" w:color="auto" w:fill="FFFFFF"/>
          </w:tcPr>
          <w:p w14:paraId="2331211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c>
          <w:tcPr>
            <w:tcW w:w="1547" w:type="dxa"/>
            <w:gridSpan w:val="3"/>
            <w:shd w:val="clear" w:color="auto" w:fill="FFFFFF"/>
          </w:tcPr>
          <w:p w14:paraId="2ECE313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0</w:t>
            </w:r>
          </w:p>
        </w:tc>
      </w:tr>
      <w:tr w:rsidR="00352548" w:rsidRPr="0069119B" w14:paraId="246B64A4" w14:textId="77777777" w:rsidTr="00B6663D">
        <w:trPr>
          <w:trHeight w:val="344"/>
          <w:jc w:val="center"/>
        </w:trPr>
        <w:tc>
          <w:tcPr>
            <w:tcW w:w="3133" w:type="dxa"/>
            <w:gridSpan w:val="4"/>
            <w:shd w:val="clear" w:color="auto" w:fill="FFFFFF"/>
            <w:vAlign w:val="center"/>
          </w:tcPr>
          <w:p w14:paraId="740D2DB8" w14:textId="77777777" w:rsidR="00352548" w:rsidRPr="0069119B" w:rsidRDefault="00352548" w:rsidP="00B6663D">
            <w:pPr>
              <w:spacing w:line="240" w:lineRule="auto"/>
              <w:rPr>
                <w:rFonts w:eastAsia="Calibri" w:cs="Times New Roman"/>
                <w:color w:val="000000"/>
                <w:sz w:val="21"/>
                <w:szCs w:val="21"/>
              </w:rPr>
            </w:pPr>
            <w:bookmarkStart w:id="13" w:name="_Hlk116377130"/>
            <w:r>
              <w:rPr>
                <w:rFonts w:eastAsia="Calibri" w:cs="Times New Roman"/>
                <w:color w:val="000000"/>
                <w:sz w:val="21"/>
                <w:szCs w:val="21"/>
              </w:rPr>
              <w:t>Fundusz Szerokopasmowy</w:t>
            </w:r>
          </w:p>
        </w:tc>
        <w:tc>
          <w:tcPr>
            <w:tcW w:w="569" w:type="dxa"/>
            <w:gridSpan w:val="2"/>
            <w:shd w:val="clear" w:color="auto" w:fill="FFFFFF"/>
          </w:tcPr>
          <w:p w14:paraId="389FF3D7"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2"/>
            <w:shd w:val="clear" w:color="auto" w:fill="FFFFFF"/>
          </w:tcPr>
          <w:p w14:paraId="6B5A4CA7"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2"/>
            <w:shd w:val="clear" w:color="auto" w:fill="FFFFFF"/>
          </w:tcPr>
          <w:p w14:paraId="023BA2CD"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69" w:type="dxa"/>
            <w:gridSpan w:val="3"/>
            <w:shd w:val="clear" w:color="auto" w:fill="FFFFFF"/>
          </w:tcPr>
          <w:p w14:paraId="44E136F6"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2"/>
            <w:shd w:val="clear" w:color="auto" w:fill="FFFFFF"/>
          </w:tcPr>
          <w:p w14:paraId="0F0666D2"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shd w:val="clear" w:color="auto" w:fill="FFFFFF"/>
          </w:tcPr>
          <w:p w14:paraId="03A33C8B"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3"/>
            <w:shd w:val="clear" w:color="auto" w:fill="FFFFFF"/>
          </w:tcPr>
          <w:p w14:paraId="28564117"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69" w:type="dxa"/>
            <w:gridSpan w:val="3"/>
            <w:shd w:val="clear" w:color="auto" w:fill="FFFFFF"/>
          </w:tcPr>
          <w:p w14:paraId="100BE9B9"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2"/>
            <w:shd w:val="clear" w:color="auto" w:fill="FFFFFF"/>
          </w:tcPr>
          <w:p w14:paraId="341213EF"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gridSpan w:val="2"/>
            <w:shd w:val="clear" w:color="auto" w:fill="FFFFFF"/>
          </w:tcPr>
          <w:p w14:paraId="3493745E"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570" w:type="dxa"/>
            <w:shd w:val="clear" w:color="auto" w:fill="FFFFFF"/>
          </w:tcPr>
          <w:p w14:paraId="17E40B00"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-11,4</w:t>
            </w:r>
          </w:p>
        </w:tc>
        <w:tc>
          <w:tcPr>
            <w:tcW w:w="1547" w:type="dxa"/>
            <w:gridSpan w:val="3"/>
            <w:shd w:val="clear" w:color="auto" w:fill="FFFFFF"/>
          </w:tcPr>
          <w:p w14:paraId="2286B21A" w14:textId="77777777" w:rsidR="00352548" w:rsidRPr="0069119B" w:rsidRDefault="00352548" w:rsidP="00B6663D">
            <w:pPr>
              <w:spacing w:line="240" w:lineRule="auto"/>
              <w:rPr>
                <w:rFonts w:eastAsia="Calibri" w:cs="Times New Roman"/>
                <w:color w:val="000000"/>
                <w:sz w:val="16"/>
                <w:szCs w:val="16"/>
              </w:rPr>
            </w:pPr>
            <w:r>
              <w:rPr>
                <w:rFonts w:eastAsia="Calibri" w:cs="Times New Roman"/>
                <w:sz w:val="16"/>
                <w:szCs w:val="16"/>
              </w:rPr>
              <w:t>-125,4</w:t>
            </w:r>
          </w:p>
        </w:tc>
      </w:tr>
      <w:bookmarkEnd w:id="13"/>
      <w:tr w:rsidR="00352548" w:rsidRPr="0069119B" w14:paraId="19397868" w14:textId="77777777" w:rsidTr="00B6663D">
        <w:trPr>
          <w:trHeight w:val="330"/>
          <w:jc w:val="center"/>
        </w:trPr>
        <w:tc>
          <w:tcPr>
            <w:tcW w:w="3133" w:type="dxa"/>
            <w:gridSpan w:val="4"/>
            <w:shd w:val="clear" w:color="auto" w:fill="FFFFFF"/>
            <w:vAlign w:val="center"/>
          </w:tcPr>
          <w:p w14:paraId="4700AF36"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b/>
                <w:color w:val="000000"/>
                <w:sz w:val="21"/>
                <w:szCs w:val="21"/>
              </w:rPr>
              <w:t>Wydatki ogółem</w:t>
            </w:r>
          </w:p>
        </w:tc>
        <w:tc>
          <w:tcPr>
            <w:tcW w:w="569" w:type="dxa"/>
            <w:gridSpan w:val="2"/>
            <w:shd w:val="clear" w:color="auto" w:fill="FFFFFF"/>
          </w:tcPr>
          <w:p w14:paraId="004E76F9" w14:textId="77777777" w:rsidR="00352548" w:rsidRPr="0069119B" w:rsidRDefault="00352548" w:rsidP="00B6663D">
            <w:pPr>
              <w:spacing w:line="240" w:lineRule="auto"/>
              <w:rPr>
                <w:rFonts w:eastAsia="Calibri" w:cs="Times New Roman"/>
                <w:color w:val="000000"/>
                <w:sz w:val="16"/>
                <w:szCs w:val="16"/>
              </w:rPr>
            </w:pPr>
          </w:p>
          <w:p w14:paraId="5D36E57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w:t>
            </w:r>
            <w:r>
              <w:rPr>
                <w:rFonts w:eastAsia="Calibri" w:cs="Times New Roman"/>
                <w:color w:val="000000"/>
                <w:sz w:val="16"/>
                <w:szCs w:val="16"/>
              </w:rPr>
              <w:t>10,4</w:t>
            </w:r>
          </w:p>
        </w:tc>
        <w:tc>
          <w:tcPr>
            <w:tcW w:w="570" w:type="dxa"/>
            <w:gridSpan w:val="2"/>
            <w:shd w:val="clear" w:color="auto" w:fill="FFFFFF"/>
          </w:tcPr>
          <w:p w14:paraId="1E0D796C" w14:textId="77777777" w:rsidR="00352548" w:rsidRPr="0069119B" w:rsidRDefault="00352548" w:rsidP="00B6663D">
            <w:pPr>
              <w:spacing w:line="240" w:lineRule="auto"/>
              <w:rPr>
                <w:rFonts w:eastAsia="Calibri" w:cs="Times New Roman"/>
                <w:sz w:val="16"/>
                <w:szCs w:val="16"/>
              </w:rPr>
            </w:pPr>
          </w:p>
          <w:p w14:paraId="05F7E3C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-12,5</w:t>
            </w:r>
          </w:p>
        </w:tc>
        <w:tc>
          <w:tcPr>
            <w:tcW w:w="570" w:type="dxa"/>
            <w:gridSpan w:val="2"/>
            <w:shd w:val="clear" w:color="auto" w:fill="FFFFFF"/>
          </w:tcPr>
          <w:p w14:paraId="11E9FDF8" w14:textId="77777777" w:rsidR="00352548" w:rsidRPr="0069119B" w:rsidRDefault="00352548" w:rsidP="00B6663D">
            <w:pPr>
              <w:spacing w:line="240" w:lineRule="auto"/>
              <w:rPr>
                <w:rFonts w:eastAsia="Calibri" w:cs="Times New Roman"/>
                <w:sz w:val="16"/>
                <w:szCs w:val="16"/>
              </w:rPr>
            </w:pPr>
          </w:p>
          <w:p w14:paraId="58C0E12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-14,4</w:t>
            </w:r>
          </w:p>
        </w:tc>
        <w:tc>
          <w:tcPr>
            <w:tcW w:w="569" w:type="dxa"/>
            <w:gridSpan w:val="3"/>
            <w:shd w:val="clear" w:color="auto" w:fill="FFFFFF"/>
          </w:tcPr>
          <w:p w14:paraId="7A8B12CC" w14:textId="77777777" w:rsidR="00352548" w:rsidRPr="0069119B" w:rsidRDefault="00352548" w:rsidP="00B6663D">
            <w:pPr>
              <w:spacing w:line="240" w:lineRule="auto"/>
              <w:rPr>
                <w:rFonts w:eastAsia="Calibri" w:cs="Times New Roman"/>
                <w:sz w:val="16"/>
                <w:szCs w:val="16"/>
              </w:rPr>
            </w:pPr>
          </w:p>
          <w:p w14:paraId="445D16B1"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-15,8</w:t>
            </w:r>
          </w:p>
        </w:tc>
        <w:tc>
          <w:tcPr>
            <w:tcW w:w="570" w:type="dxa"/>
            <w:gridSpan w:val="2"/>
            <w:shd w:val="clear" w:color="auto" w:fill="FFFFFF"/>
          </w:tcPr>
          <w:p w14:paraId="423C646F" w14:textId="77777777" w:rsidR="00352548" w:rsidRPr="0069119B" w:rsidRDefault="00352548" w:rsidP="00B6663D">
            <w:pPr>
              <w:spacing w:line="240" w:lineRule="auto"/>
              <w:rPr>
                <w:rFonts w:eastAsia="Calibri" w:cs="Times New Roman"/>
                <w:sz w:val="16"/>
                <w:szCs w:val="16"/>
              </w:rPr>
            </w:pPr>
          </w:p>
          <w:p w14:paraId="21E5D1E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-17,4</w:t>
            </w:r>
          </w:p>
        </w:tc>
        <w:tc>
          <w:tcPr>
            <w:tcW w:w="570" w:type="dxa"/>
            <w:shd w:val="clear" w:color="auto" w:fill="FFFFFF"/>
          </w:tcPr>
          <w:p w14:paraId="08B1C9F5" w14:textId="77777777" w:rsidR="00352548" w:rsidRPr="0069119B" w:rsidRDefault="00352548" w:rsidP="00B6663D">
            <w:pPr>
              <w:spacing w:line="240" w:lineRule="auto"/>
              <w:rPr>
                <w:rFonts w:eastAsia="Calibri" w:cs="Times New Roman"/>
                <w:sz w:val="16"/>
                <w:szCs w:val="16"/>
              </w:rPr>
            </w:pPr>
          </w:p>
          <w:p w14:paraId="279D8356"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3"/>
            <w:shd w:val="clear" w:color="auto" w:fill="FFFFFF"/>
          </w:tcPr>
          <w:p w14:paraId="60C45115" w14:textId="77777777" w:rsidR="00352548" w:rsidRPr="0069119B" w:rsidRDefault="00352548" w:rsidP="00B6663D">
            <w:pPr>
              <w:spacing w:line="240" w:lineRule="auto"/>
              <w:rPr>
                <w:rFonts w:eastAsia="Calibri" w:cs="Times New Roman"/>
                <w:sz w:val="16"/>
                <w:szCs w:val="16"/>
              </w:rPr>
            </w:pPr>
          </w:p>
          <w:p w14:paraId="66678079"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69" w:type="dxa"/>
            <w:gridSpan w:val="3"/>
            <w:shd w:val="clear" w:color="auto" w:fill="FFFFFF"/>
          </w:tcPr>
          <w:p w14:paraId="2BB886BD" w14:textId="77777777" w:rsidR="00352548" w:rsidRPr="0069119B" w:rsidRDefault="00352548" w:rsidP="00B6663D">
            <w:pPr>
              <w:spacing w:line="240" w:lineRule="auto"/>
              <w:rPr>
                <w:rFonts w:eastAsia="Calibri" w:cs="Times New Roman"/>
                <w:sz w:val="16"/>
                <w:szCs w:val="16"/>
              </w:rPr>
            </w:pPr>
          </w:p>
          <w:p w14:paraId="6115BFE6"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2"/>
            <w:shd w:val="clear" w:color="auto" w:fill="FFFFFF"/>
          </w:tcPr>
          <w:p w14:paraId="1A6FC016" w14:textId="77777777" w:rsidR="00352548" w:rsidRPr="0069119B" w:rsidRDefault="00352548" w:rsidP="00B6663D">
            <w:pPr>
              <w:spacing w:line="240" w:lineRule="auto"/>
              <w:rPr>
                <w:rFonts w:eastAsia="Calibri" w:cs="Times New Roman"/>
                <w:sz w:val="16"/>
                <w:szCs w:val="16"/>
              </w:rPr>
            </w:pPr>
          </w:p>
          <w:p w14:paraId="4C28C43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2"/>
            <w:shd w:val="clear" w:color="auto" w:fill="FFFFFF"/>
          </w:tcPr>
          <w:p w14:paraId="52FB481E" w14:textId="77777777" w:rsidR="00352548" w:rsidRPr="0069119B" w:rsidRDefault="00352548" w:rsidP="00B6663D">
            <w:pPr>
              <w:spacing w:line="240" w:lineRule="auto"/>
              <w:rPr>
                <w:rFonts w:eastAsia="Calibri" w:cs="Times New Roman"/>
                <w:sz w:val="16"/>
                <w:szCs w:val="16"/>
              </w:rPr>
            </w:pPr>
          </w:p>
          <w:p w14:paraId="0D0A8935"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shd w:val="clear" w:color="auto" w:fill="FFFFFF"/>
          </w:tcPr>
          <w:p w14:paraId="683E75B7" w14:textId="77777777" w:rsidR="00352548" w:rsidRPr="0069119B" w:rsidRDefault="00352548" w:rsidP="00B6663D">
            <w:pPr>
              <w:spacing w:line="240" w:lineRule="auto"/>
              <w:rPr>
                <w:rFonts w:eastAsia="Calibri" w:cs="Times New Roman"/>
                <w:sz w:val="16"/>
                <w:szCs w:val="16"/>
              </w:rPr>
            </w:pPr>
          </w:p>
          <w:p w14:paraId="3F36E7EA"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1547" w:type="dxa"/>
            <w:gridSpan w:val="3"/>
            <w:shd w:val="clear" w:color="auto" w:fill="FFFFFF"/>
          </w:tcPr>
          <w:p w14:paraId="386BCE34" w14:textId="77777777" w:rsidR="00352548" w:rsidRPr="0069119B" w:rsidRDefault="00352548" w:rsidP="00B6663D">
            <w:pPr>
              <w:spacing w:line="240" w:lineRule="auto"/>
              <w:rPr>
                <w:rFonts w:eastAsia="Calibri" w:cs="Times New Roman"/>
                <w:color w:val="000000"/>
                <w:sz w:val="16"/>
                <w:szCs w:val="16"/>
              </w:rPr>
            </w:pPr>
          </w:p>
          <w:p w14:paraId="1AD284B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w:t>
            </w:r>
            <w:r>
              <w:rPr>
                <w:rFonts w:eastAsia="Calibri" w:cs="Times New Roman"/>
                <w:color w:val="000000"/>
                <w:sz w:val="16"/>
                <w:szCs w:val="16"/>
              </w:rPr>
              <w:t>180,3</w:t>
            </w:r>
          </w:p>
        </w:tc>
      </w:tr>
      <w:tr w:rsidR="00352548" w:rsidRPr="0069119B" w14:paraId="194F0D7F" w14:textId="77777777" w:rsidTr="00B6663D">
        <w:trPr>
          <w:trHeight w:val="330"/>
          <w:jc w:val="center"/>
        </w:trPr>
        <w:tc>
          <w:tcPr>
            <w:tcW w:w="3133" w:type="dxa"/>
            <w:gridSpan w:val="4"/>
            <w:shd w:val="clear" w:color="auto" w:fill="FFFFFF"/>
            <w:vAlign w:val="center"/>
          </w:tcPr>
          <w:p w14:paraId="4CCCFC28"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budżet państwa</w:t>
            </w:r>
          </w:p>
        </w:tc>
        <w:tc>
          <w:tcPr>
            <w:tcW w:w="569" w:type="dxa"/>
            <w:gridSpan w:val="2"/>
            <w:shd w:val="clear" w:color="auto" w:fill="FFFFFF"/>
          </w:tcPr>
          <w:p w14:paraId="6EF26438" w14:textId="77777777" w:rsidR="00352548" w:rsidRPr="0069119B" w:rsidRDefault="00352548" w:rsidP="00B6663D">
            <w:pPr>
              <w:spacing w:line="240" w:lineRule="auto"/>
              <w:rPr>
                <w:rFonts w:eastAsia="Calibri" w:cs="Times New Roman"/>
                <w:color w:val="000000"/>
                <w:sz w:val="16"/>
                <w:szCs w:val="16"/>
              </w:rPr>
            </w:pPr>
          </w:p>
          <w:p w14:paraId="63FBA271"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w:t>
            </w:r>
            <w:r>
              <w:rPr>
                <w:rFonts w:eastAsia="Calibri" w:cs="Times New Roman"/>
                <w:color w:val="000000"/>
                <w:sz w:val="16"/>
                <w:szCs w:val="16"/>
              </w:rPr>
              <w:t>10,4</w:t>
            </w:r>
          </w:p>
        </w:tc>
        <w:tc>
          <w:tcPr>
            <w:tcW w:w="570" w:type="dxa"/>
            <w:gridSpan w:val="2"/>
            <w:shd w:val="clear" w:color="auto" w:fill="FFFFFF"/>
          </w:tcPr>
          <w:p w14:paraId="4793AAAF" w14:textId="77777777" w:rsidR="00352548" w:rsidRPr="0069119B" w:rsidRDefault="00352548" w:rsidP="00B6663D">
            <w:pPr>
              <w:spacing w:line="240" w:lineRule="auto"/>
              <w:rPr>
                <w:rFonts w:eastAsia="Calibri" w:cs="Times New Roman"/>
                <w:sz w:val="16"/>
                <w:szCs w:val="16"/>
              </w:rPr>
            </w:pPr>
          </w:p>
          <w:p w14:paraId="0707C90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-12,5</w:t>
            </w:r>
          </w:p>
        </w:tc>
        <w:tc>
          <w:tcPr>
            <w:tcW w:w="570" w:type="dxa"/>
            <w:gridSpan w:val="2"/>
            <w:shd w:val="clear" w:color="auto" w:fill="FFFFFF"/>
          </w:tcPr>
          <w:p w14:paraId="50B8CA85" w14:textId="77777777" w:rsidR="00352548" w:rsidRPr="0069119B" w:rsidRDefault="00352548" w:rsidP="00B6663D">
            <w:pPr>
              <w:spacing w:line="240" w:lineRule="auto"/>
              <w:rPr>
                <w:rFonts w:eastAsia="Calibri" w:cs="Times New Roman"/>
                <w:sz w:val="16"/>
                <w:szCs w:val="16"/>
              </w:rPr>
            </w:pPr>
          </w:p>
          <w:p w14:paraId="5C3E1F2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-14,4</w:t>
            </w:r>
          </w:p>
        </w:tc>
        <w:tc>
          <w:tcPr>
            <w:tcW w:w="569" w:type="dxa"/>
            <w:gridSpan w:val="3"/>
            <w:shd w:val="clear" w:color="auto" w:fill="FFFFFF"/>
          </w:tcPr>
          <w:p w14:paraId="563D8537" w14:textId="77777777" w:rsidR="00352548" w:rsidRPr="0069119B" w:rsidRDefault="00352548" w:rsidP="00B6663D">
            <w:pPr>
              <w:spacing w:line="240" w:lineRule="auto"/>
              <w:rPr>
                <w:rFonts w:eastAsia="Calibri" w:cs="Times New Roman"/>
                <w:sz w:val="16"/>
                <w:szCs w:val="16"/>
              </w:rPr>
            </w:pPr>
          </w:p>
          <w:p w14:paraId="112C605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-15,8</w:t>
            </w:r>
          </w:p>
        </w:tc>
        <w:tc>
          <w:tcPr>
            <w:tcW w:w="570" w:type="dxa"/>
            <w:gridSpan w:val="2"/>
            <w:shd w:val="clear" w:color="auto" w:fill="FFFFFF"/>
          </w:tcPr>
          <w:p w14:paraId="6E794092" w14:textId="77777777" w:rsidR="00352548" w:rsidRPr="0069119B" w:rsidRDefault="00352548" w:rsidP="00B6663D">
            <w:pPr>
              <w:spacing w:line="240" w:lineRule="auto"/>
              <w:rPr>
                <w:rFonts w:eastAsia="Calibri" w:cs="Times New Roman"/>
                <w:sz w:val="16"/>
                <w:szCs w:val="16"/>
              </w:rPr>
            </w:pPr>
          </w:p>
          <w:p w14:paraId="3CAF261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-17,4</w:t>
            </w:r>
          </w:p>
        </w:tc>
        <w:tc>
          <w:tcPr>
            <w:tcW w:w="570" w:type="dxa"/>
            <w:shd w:val="clear" w:color="auto" w:fill="FFFFFF"/>
          </w:tcPr>
          <w:p w14:paraId="2655F0CA" w14:textId="77777777" w:rsidR="00352548" w:rsidRPr="0069119B" w:rsidRDefault="00352548" w:rsidP="00B6663D">
            <w:pPr>
              <w:spacing w:line="240" w:lineRule="auto"/>
              <w:rPr>
                <w:rFonts w:eastAsia="Calibri" w:cs="Times New Roman"/>
                <w:sz w:val="16"/>
                <w:szCs w:val="16"/>
              </w:rPr>
            </w:pPr>
          </w:p>
          <w:p w14:paraId="4A034F7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3"/>
            <w:shd w:val="clear" w:color="auto" w:fill="FFFFFF"/>
          </w:tcPr>
          <w:p w14:paraId="7C0BAEFD" w14:textId="77777777" w:rsidR="00352548" w:rsidRPr="0069119B" w:rsidRDefault="00352548" w:rsidP="00B6663D">
            <w:pPr>
              <w:spacing w:line="240" w:lineRule="auto"/>
              <w:rPr>
                <w:rFonts w:eastAsia="Calibri" w:cs="Times New Roman"/>
                <w:sz w:val="16"/>
                <w:szCs w:val="16"/>
              </w:rPr>
            </w:pPr>
          </w:p>
          <w:p w14:paraId="6745134C"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69" w:type="dxa"/>
            <w:gridSpan w:val="3"/>
            <w:shd w:val="clear" w:color="auto" w:fill="FFFFFF"/>
          </w:tcPr>
          <w:p w14:paraId="60024052" w14:textId="77777777" w:rsidR="00352548" w:rsidRPr="0069119B" w:rsidRDefault="00352548" w:rsidP="00B6663D">
            <w:pPr>
              <w:spacing w:line="240" w:lineRule="auto"/>
              <w:rPr>
                <w:rFonts w:eastAsia="Calibri" w:cs="Times New Roman"/>
                <w:sz w:val="16"/>
                <w:szCs w:val="16"/>
              </w:rPr>
            </w:pPr>
          </w:p>
          <w:p w14:paraId="516A715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2"/>
            <w:shd w:val="clear" w:color="auto" w:fill="FFFFFF"/>
          </w:tcPr>
          <w:p w14:paraId="7B8AF17D" w14:textId="77777777" w:rsidR="00352548" w:rsidRPr="0069119B" w:rsidRDefault="00352548" w:rsidP="00B6663D">
            <w:pPr>
              <w:spacing w:line="240" w:lineRule="auto"/>
              <w:rPr>
                <w:rFonts w:eastAsia="Calibri" w:cs="Times New Roman"/>
                <w:sz w:val="16"/>
                <w:szCs w:val="16"/>
              </w:rPr>
            </w:pPr>
          </w:p>
          <w:p w14:paraId="1C5F554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gridSpan w:val="2"/>
            <w:shd w:val="clear" w:color="auto" w:fill="FFFFFF"/>
          </w:tcPr>
          <w:p w14:paraId="10574ADB" w14:textId="77777777" w:rsidR="00352548" w:rsidRPr="0069119B" w:rsidRDefault="00352548" w:rsidP="00B6663D">
            <w:pPr>
              <w:spacing w:line="240" w:lineRule="auto"/>
              <w:rPr>
                <w:rFonts w:eastAsia="Calibri" w:cs="Times New Roman"/>
                <w:sz w:val="16"/>
                <w:szCs w:val="16"/>
              </w:rPr>
            </w:pPr>
          </w:p>
          <w:p w14:paraId="7FDF60A9"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570" w:type="dxa"/>
            <w:shd w:val="clear" w:color="auto" w:fill="FFFFFF"/>
          </w:tcPr>
          <w:p w14:paraId="378C40EF" w14:textId="77777777" w:rsidR="00352548" w:rsidRPr="0069119B" w:rsidRDefault="00352548" w:rsidP="00B6663D">
            <w:pPr>
              <w:spacing w:line="240" w:lineRule="auto"/>
              <w:rPr>
                <w:rFonts w:eastAsia="Calibri" w:cs="Times New Roman"/>
                <w:sz w:val="16"/>
                <w:szCs w:val="16"/>
              </w:rPr>
            </w:pPr>
          </w:p>
          <w:p w14:paraId="1AA3EF5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sz w:val="16"/>
                <w:szCs w:val="16"/>
              </w:rPr>
              <w:t>-18,3</w:t>
            </w:r>
          </w:p>
        </w:tc>
        <w:tc>
          <w:tcPr>
            <w:tcW w:w="1547" w:type="dxa"/>
            <w:gridSpan w:val="3"/>
            <w:shd w:val="clear" w:color="auto" w:fill="FFFFFF"/>
          </w:tcPr>
          <w:p w14:paraId="1E20856A" w14:textId="77777777" w:rsidR="00352548" w:rsidRPr="0069119B" w:rsidRDefault="00352548" w:rsidP="00B6663D">
            <w:pPr>
              <w:spacing w:line="240" w:lineRule="auto"/>
              <w:rPr>
                <w:rFonts w:eastAsia="Calibri" w:cs="Times New Roman"/>
                <w:color w:val="000000"/>
                <w:sz w:val="16"/>
                <w:szCs w:val="16"/>
              </w:rPr>
            </w:pPr>
          </w:p>
          <w:p w14:paraId="60AAF39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w:t>
            </w:r>
            <w:r>
              <w:rPr>
                <w:rFonts w:eastAsia="Calibri" w:cs="Times New Roman"/>
                <w:color w:val="000000"/>
                <w:sz w:val="16"/>
                <w:szCs w:val="16"/>
              </w:rPr>
              <w:t>180,3</w:t>
            </w:r>
          </w:p>
        </w:tc>
      </w:tr>
      <w:tr w:rsidR="00352548" w:rsidRPr="0069119B" w14:paraId="1B39FACB" w14:textId="77777777" w:rsidTr="00B6663D">
        <w:trPr>
          <w:trHeight w:val="351"/>
          <w:jc w:val="center"/>
        </w:trPr>
        <w:tc>
          <w:tcPr>
            <w:tcW w:w="3133" w:type="dxa"/>
            <w:gridSpan w:val="4"/>
            <w:shd w:val="clear" w:color="auto" w:fill="FFFFFF"/>
            <w:vAlign w:val="center"/>
          </w:tcPr>
          <w:p w14:paraId="08C5725E"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JST</w:t>
            </w:r>
          </w:p>
        </w:tc>
        <w:tc>
          <w:tcPr>
            <w:tcW w:w="569" w:type="dxa"/>
            <w:gridSpan w:val="2"/>
            <w:shd w:val="clear" w:color="auto" w:fill="FFFFFF"/>
          </w:tcPr>
          <w:p w14:paraId="19C14097"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25D79C6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5B98C495"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0EBA70CF"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21865F29"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3AFD76F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3"/>
            <w:shd w:val="clear" w:color="auto" w:fill="FFFFFF"/>
          </w:tcPr>
          <w:p w14:paraId="28C8ED9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3F4FA53A"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6D82871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4384B80C"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55957D99"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1547" w:type="dxa"/>
            <w:gridSpan w:val="3"/>
            <w:shd w:val="clear" w:color="auto" w:fill="FFFFFF"/>
          </w:tcPr>
          <w:p w14:paraId="63003D3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r>
      <w:tr w:rsidR="00352548" w:rsidRPr="0069119B" w14:paraId="12721524" w14:textId="77777777" w:rsidTr="00B6663D">
        <w:trPr>
          <w:trHeight w:val="351"/>
          <w:jc w:val="center"/>
        </w:trPr>
        <w:tc>
          <w:tcPr>
            <w:tcW w:w="3133" w:type="dxa"/>
            <w:gridSpan w:val="4"/>
            <w:shd w:val="clear" w:color="auto" w:fill="FFFFFF"/>
            <w:vAlign w:val="center"/>
          </w:tcPr>
          <w:p w14:paraId="1A5708FA" w14:textId="77777777" w:rsidR="00352548" w:rsidRPr="0069119B" w:rsidRDefault="00352548" w:rsidP="00B6663D">
            <w:pPr>
              <w:spacing w:line="240" w:lineRule="auto"/>
              <w:rPr>
                <w:rFonts w:eastAsia="Calibri" w:cs="Times New Roman"/>
                <w:color w:val="000000"/>
                <w:sz w:val="21"/>
                <w:szCs w:val="21"/>
              </w:rPr>
            </w:pPr>
            <w:r>
              <w:rPr>
                <w:rFonts w:eastAsia="Calibri" w:cs="Times New Roman"/>
                <w:color w:val="000000"/>
                <w:sz w:val="21"/>
                <w:szCs w:val="21"/>
              </w:rPr>
              <w:t>Fundusz Szerokopasmowy</w:t>
            </w:r>
          </w:p>
        </w:tc>
        <w:tc>
          <w:tcPr>
            <w:tcW w:w="569" w:type="dxa"/>
            <w:gridSpan w:val="2"/>
            <w:shd w:val="clear" w:color="auto" w:fill="FFFFFF"/>
          </w:tcPr>
          <w:p w14:paraId="1800206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57E726F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59CEC9F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6D27DD3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2D5DFC1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099DD7DA"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3"/>
            <w:shd w:val="clear" w:color="auto" w:fill="FFFFFF"/>
          </w:tcPr>
          <w:p w14:paraId="076E8E94"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3760891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0D77786B"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3B53648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0944901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1547" w:type="dxa"/>
            <w:gridSpan w:val="3"/>
            <w:shd w:val="clear" w:color="auto" w:fill="FFFFFF"/>
          </w:tcPr>
          <w:p w14:paraId="2657D423"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r>
      <w:tr w:rsidR="00352548" w:rsidRPr="0069119B" w14:paraId="2516D68E" w14:textId="77777777" w:rsidTr="00B6663D">
        <w:trPr>
          <w:trHeight w:val="360"/>
          <w:jc w:val="center"/>
        </w:trPr>
        <w:tc>
          <w:tcPr>
            <w:tcW w:w="3133" w:type="dxa"/>
            <w:gridSpan w:val="4"/>
            <w:shd w:val="clear" w:color="auto" w:fill="FFFFFF"/>
            <w:vAlign w:val="center"/>
          </w:tcPr>
          <w:p w14:paraId="3DA1B210"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b/>
                <w:color w:val="000000"/>
                <w:sz w:val="21"/>
                <w:szCs w:val="21"/>
              </w:rPr>
              <w:t>Saldo ogółem</w:t>
            </w:r>
          </w:p>
        </w:tc>
        <w:tc>
          <w:tcPr>
            <w:tcW w:w="569" w:type="dxa"/>
            <w:gridSpan w:val="2"/>
            <w:shd w:val="clear" w:color="auto" w:fill="FFFFFF"/>
          </w:tcPr>
          <w:p w14:paraId="7F38DB30"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w:t>
            </w:r>
          </w:p>
        </w:tc>
        <w:tc>
          <w:tcPr>
            <w:tcW w:w="570" w:type="dxa"/>
            <w:gridSpan w:val="2"/>
            <w:shd w:val="clear" w:color="auto" w:fill="FFFFFF"/>
          </w:tcPr>
          <w:p w14:paraId="433DB64D"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w:t>
            </w:r>
          </w:p>
        </w:tc>
        <w:tc>
          <w:tcPr>
            <w:tcW w:w="570" w:type="dxa"/>
            <w:gridSpan w:val="2"/>
            <w:shd w:val="clear" w:color="auto" w:fill="FFFFFF"/>
          </w:tcPr>
          <w:p w14:paraId="3187772C"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3</w:t>
            </w:r>
          </w:p>
        </w:tc>
        <w:tc>
          <w:tcPr>
            <w:tcW w:w="569" w:type="dxa"/>
            <w:gridSpan w:val="3"/>
            <w:shd w:val="clear" w:color="auto" w:fill="FFFFFF"/>
          </w:tcPr>
          <w:p w14:paraId="34F3AC9A"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4,4</w:t>
            </w:r>
          </w:p>
        </w:tc>
        <w:tc>
          <w:tcPr>
            <w:tcW w:w="570" w:type="dxa"/>
            <w:gridSpan w:val="2"/>
            <w:shd w:val="clear" w:color="auto" w:fill="FFFFFF"/>
          </w:tcPr>
          <w:p w14:paraId="03314CB7"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w:t>
            </w:r>
          </w:p>
        </w:tc>
        <w:tc>
          <w:tcPr>
            <w:tcW w:w="570" w:type="dxa"/>
            <w:shd w:val="clear" w:color="auto" w:fill="FFFFFF"/>
          </w:tcPr>
          <w:p w14:paraId="1558C7DF"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570" w:type="dxa"/>
            <w:gridSpan w:val="3"/>
            <w:shd w:val="clear" w:color="auto" w:fill="FFFFFF"/>
          </w:tcPr>
          <w:p w14:paraId="09F8831E"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569" w:type="dxa"/>
            <w:gridSpan w:val="3"/>
            <w:shd w:val="clear" w:color="auto" w:fill="FFFFFF"/>
          </w:tcPr>
          <w:p w14:paraId="1DCADCDC"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570" w:type="dxa"/>
            <w:gridSpan w:val="2"/>
            <w:shd w:val="clear" w:color="auto" w:fill="FFFFFF"/>
          </w:tcPr>
          <w:p w14:paraId="0A8797ED"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570" w:type="dxa"/>
            <w:gridSpan w:val="2"/>
            <w:shd w:val="clear" w:color="auto" w:fill="FFFFFF"/>
          </w:tcPr>
          <w:p w14:paraId="0EDC14D3"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570" w:type="dxa"/>
            <w:shd w:val="clear" w:color="auto" w:fill="FFFFFF"/>
          </w:tcPr>
          <w:p w14:paraId="2C179F32"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6,9</w:t>
            </w:r>
          </w:p>
        </w:tc>
        <w:tc>
          <w:tcPr>
            <w:tcW w:w="1547" w:type="dxa"/>
            <w:gridSpan w:val="3"/>
            <w:shd w:val="clear" w:color="auto" w:fill="FFFFFF"/>
          </w:tcPr>
          <w:p w14:paraId="21431204" w14:textId="77777777" w:rsidR="00352548" w:rsidRPr="0069119B" w:rsidRDefault="00352548" w:rsidP="00B6663D">
            <w:pPr>
              <w:spacing w:line="240" w:lineRule="auto"/>
              <w:rPr>
                <w:rFonts w:eastAsia="Calibri" w:cs="Times New Roman"/>
                <w:color w:val="000000"/>
                <w:sz w:val="16"/>
                <w:szCs w:val="16"/>
              </w:rPr>
            </w:pPr>
            <w:r w:rsidRPr="00AC083E">
              <w:rPr>
                <w:rFonts w:eastAsia="Calibri" w:cs="Times New Roman"/>
                <w:color w:val="000000"/>
                <w:sz w:val="16"/>
                <w:szCs w:val="16"/>
              </w:rPr>
              <w:t>54,9</w:t>
            </w:r>
          </w:p>
        </w:tc>
      </w:tr>
      <w:tr w:rsidR="00352548" w:rsidRPr="0069119B" w14:paraId="00AB6DFC" w14:textId="77777777" w:rsidTr="00B6663D">
        <w:trPr>
          <w:trHeight w:val="360"/>
          <w:jc w:val="center"/>
        </w:trPr>
        <w:tc>
          <w:tcPr>
            <w:tcW w:w="3133" w:type="dxa"/>
            <w:gridSpan w:val="4"/>
            <w:shd w:val="clear" w:color="auto" w:fill="FFFFFF"/>
            <w:vAlign w:val="center"/>
          </w:tcPr>
          <w:p w14:paraId="7831DAC7"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budżet państwa</w:t>
            </w:r>
          </w:p>
        </w:tc>
        <w:tc>
          <w:tcPr>
            <w:tcW w:w="569" w:type="dxa"/>
            <w:gridSpan w:val="2"/>
            <w:shd w:val="clear" w:color="auto" w:fill="FFFFFF"/>
          </w:tcPr>
          <w:p w14:paraId="2BA2F24A"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10,4</w:t>
            </w:r>
          </w:p>
        </w:tc>
        <w:tc>
          <w:tcPr>
            <w:tcW w:w="570" w:type="dxa"/>
            <w:gridSpan w:val="2"/>
            <w:shd w:val="clear" w:color="auto" w:fill="FFFFFF"/>
          </w:tcPr>
          <w:p w14:paraId="2535CD3D"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12,5</w:t>
            </w:r>
          </w:p>
        </w:tc>
        <w:tc>
          <w:tcPr>
            <w:tcW w:w="570" w:type="dxa"/>
            <w:gridSpan w:val="2"/>
            <w:shd w:val="clear" w:color="auto" w:fill="FFFFFF"/>
          </w:tcPr>
          <w:p w14:paraId="1C0F5429"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14,4</w:t>
            </w:r>
          </w:p>
        </w:tc>
        <w:tc>
          <w:tcPr>
            <w:tcW w:w="569" w:type="dxa"/>
            <w:gridSpan w:val="3"/>
            <w:shd w:val="clear" w:color="auto" w:fill="FFFFFF"/>
          </w:tcPr>
          <w:p w14:paraId="131C68D0"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15,8</w:t>
            </w:r>
          </w:p>
        </w:tc>
        <w:tc>
          <w:tcPr>
            <w:tcW w:w="570" w:type="dxa"/>
            <w:gridSpan w:val="2"/>
            <w:shd w:val="clear" w:color="auto" w:fill="FFFFFF"/>
          </w:tcPr>
          <w:p w14:paraId="43EDA4B7"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17,4</w:t>
            </w:r>
          </w:p>
        </w:tc>
        <w:tc>
          <w:tcPr>
            <w:tcW w:w="570" w:type="dxa"/>
            <w:shd w:val="clear" w:color="auto" w:fill="FFFFFF"/>
          </w:tcPr>
          <w:p w14:paraId="0ED4E051"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570" w:type="dxa"/>
            <w:gridSpan w:val="3"/>
            <w:shd w:val="clear" w:color="auto" w:fill="FFFFFF"/>
          </w:tcPr>
          <w:p w14:paraId="17AE431E"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569" w:type="dxa"/>
            <w:gridSpan w:val="3"/>
            <w:shd w:val="clear" w:color="auto" w:fill="FFFFFF"/>
          </w:tcPr>
          <w:p w14:paraId="13519883"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570" w:type="dxa"/>
            <w:gridSpan w:val="2"/>
            <w:shd w:val="clear" w:color="auto" w:fill="FFFFFF"/>
          </w:tcPr>
          <w:p w14:paraId="3C549F6C"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570" w:type="dxa"/>
            <w:gridSpan w:val="2"/>
            <w:shd w:val="clear" w:color="auto" w:fill="FFFFFF"/>
          </w:tcPr>
          <w:p w14:paraId="1574D72A"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570" w:type="dxa"/>
            <w:shd w:val="clear" w:color="auto" w:fill="FFFFFF"/>
          </w:tcPr>
          <w:p w14:paraId="3E6F336F"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18,3</w:t>
            </w:r>
          </w:p>
        </w:tc>
        <w:tc>
          <w:tcPr>
            <w:tcW w:w="1547" w:type="dxa"/>
            <w:gridSpan w:val="3"/>
            <w:shd w:val="clear" w:color="auto" w:fill="FFFFFF"/>
          </w:tcPr>
          <w:p w14:paraId="4B15069C"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180,3</w:t>
            </w:r>
          </w:p>
        </w:tc>
      </w:tr>
      <w:tr w:rsidR="00352548" w:rsidRPr="0069119B" w14:paraId="01BCE51F" w14:textId="77777777" w:rsidTr="00B6663D">
        <w:trPr>
          <w:trHeight w:val="357"/>
          <w:jc w:val="center"/>
        </w:trPr>
        <w:tc>
          <w:tcPr>
            <w:tcW w:w="3133" w:type="dxa"/>
            <w:gridSpan w:val="4"/>
            <w:shd w:val="clear" w:color="auto" w:fill="FFFFFF"/>
            <w:vAlign w:val="center"/>
          </w:tcPr>
          <w:p w14:paraId="4BA711D2"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JST</w:t>
            </w:r>
          </w:p>
        </w:tc>
        <w:tc>
          <w:tcPr>
            <w:tcW w:w="569" w:type="dxa"/>
            <w:gridSpan w:val="2"/>
            <w:shd w:val="clear" w:color="auto" w:fill="FFFFFF"/>
          </w:tcPr>
          <w:p w14:paraId="636384BF"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7BE8886C"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22C68CC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361447C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43134735"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559F9DE2"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3"/>
            <w:shd w:val="clear" w:color="auto" w:fill="FFFFFF"/>
          </w:tcPr>
          <w:p w14:paraId="6778DAF0"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69" w:type="dxa"/>
            <w:gridSpan w:val="3"/>
            <w:shd w:val="clear" w:color="auto" w:fill="FFFFFF"/>
          </w:tcPr>
          <w:p w14:paraId="22742259"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5C567F28"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gridSpan w:val="2"/>
            <w:shd w:val="clear" w:color="auto" w:fill="FFFFFF"/>
          </w:tcPr>
          <w:p w14:paraId="7D58FEAA"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570" w:type="dxa"/>
            <w:shd w:val="clear" w:color="auto" w:fill="FFFFFF"/>
          </w:tcPr>
          <w:p w14:paraId="5A2EB77E"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c>
          <w:tcPr>
            <w:tcW w:w="1547" w:type="dxa"/>
            <w:gridSpan w:val="3"/>
            <w:shd w:val="clear" w:color="auto" w:fill="FFFFFF"/>
          </w:tcPr>
          <w:p w14:paraId="4D4240CD" w14:textId="77777777" w:rsidR="00352548" w:rsidRPr="0069119B" w:rsidRDefault="00352548" w:rsidP="00B6663D">
            <w:pPr>
              <w:spacing w:line="240" w:lineRule="auto"/>
              <w:rPr>
                <w:rFonts w:eastAsia="Calibri" w:cs="Times New Roman"/>
                <w:color w:val="000000"/>
                <w:sz w:val="16"/>
                <w:szCs w:val="16"/>
              </w:rPr>
            </w:pPr>
            <w:r w:rsidRPr="0069119B">
              <w:rPr>
                <w:rFonts w:eastAsia="Calibri" w:cs="Times New Roman"/>
                <w:color w:val="000000"/>
                <w:sz w:val="16"/>
                <w:szCs w:val="16"/>
              </w:rPr>
              <w:t>0</w:t>
            </w:r>
          </w:p>
        </w:tc>
      </w:tr>
      <w:tr w:rsidR="00352548" w:rsidRPr="0069119B" w14:paraId="24C17483" w14:textId="77777777" w:rsidTr="00B6663D">
        <w:trPr>
          <w:trHeight w:val="357"/>
          <w:jc w:val="center"/>
        </w:trPr>
        <w:tc>
          <w:tcPr>
            <w:tcW w:w="3133" w:type="dxa"/>
            <w:gridSpan w:val="4"/>
            <w:shd w:val="clear" w:color="auto" w:fill="FFFFFF"/>
            <w:vAlign w:val="center"/>
          </w:tcPr>
          <w:p w14:paraId="46AE9846" w14:textId="77777777" w:rsidR="00352548" w:rsidRPr="0069119B" w:rsidRDefault="00352548" w:rsidP="00B6663D">
            <w:pPr>
              <w:spacing w:line="240" w:lineRule="auto"/>
              <w:rPr>
                <w:rFonts w:eastAsia="Calibri" w:cs="Times New Roman"/>
                <w:color w:val="000000"/>
                <w:sz w:val="21"/>
                <w:szCs w:val="21"/>
              </w:rPr>
            </w:pPr>
            <w:r>
              <w:rPr>
                <w:rFonts w:eastAsia="Calibri" w:cs="Times New Roman"/>
                <w:color w:val="000000"/>
                <w:sz w:val="21"/>
                <w:szCs w:val="21"/>
              </w:rPr>
              <w:t xml:space="preserve">Fundusz Szerokopasmowy </w:t>
            </w:r>
          </w:p>
        </w:tc>
        <w:tc>
          <w:tcPr>
            <w:tcW w:w="569" w:type="dxa"/>
            <w:gridSpan w:val="2"/>
            <w:shd w:val="clear" w:color="auto" w:fill="FFFFFF"/>
          </w:tcPr>
          <w:p w14:paraId="3314903F"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2"/>
            <w:shd w:val="clear" w:color="auto" w:fill="FFFFFF"/>
          </w:tcPr>
          <w:p w14:paraId="36EE9110"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2"/>
            <w:shd w:val="clear" w:color="auto" w:fill="FFFFFF"/>
          </w:tcPr>
          <w:p w14:paraId="793FD3EC"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69" w:type="dxa"/>
            <w:gridSpan w:val="3"/>
            <w:shd w:val="clear" w:color="auto" w:fill="FFFFFF"/>
          </w:tcPr>
          <w:p w14:paraId="20B1FF05"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2"/>
            <w:shd w:val="clear" w:color="auto" w:fill="FFFFFF"/>
          </w:tcPr>
          <w:p w14:paraId="67912713"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shd w:val="clear" w:color="auto" w:fill="FFFFFF"/>
          </w:tcPr>
          <w:p w14:paraId="4694EFF3"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3"/>
            <w:shd w:val="clear" w:color="auto" w:fill="FFFFFF"/>
          </w:tcPr>
          <w:p w14:paraId="5AC61445"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69" w:type="dxa"/>
            <w:gridSpan w:val="3"/>
            <w:shd w:val="clear" w:color="auto" w:fill="FFFFFF"/>
          </w:tcPr>
          <w:p w14:paraId="7C04707B"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2"/>
            <w:shd w:val="clear" w:color="auto" w:fill="FFFFFF"/>
          </w:tcPr>
          <w:p w14:paraId="515C2195"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gridSpan w:val="2"/>
            <w:shd w:val="clear" w:color="auto" w:fill="FFFFFF"/>
          </w:tcPr>
          <w:p w14:paraId="5681378E"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570" w:type="dxa"/>
            <w:shd w:val="clear" w:color="auto" w:fill="FFFFFF"/>
          </w:tcPr>
          <w:p w14:paraId="363D280A"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-11,4</w:t>
            </w:r>
          </w:p>
        </w:tc>
        <w:tc>
          <w:tcPr>
            <w:tcW w:w="1547" w:type="dxa"/>
            <w:gridSpan w:val="3"/>
            <w:shd w:val="clear" w:color="auto" w:fill="FFFFFF"/>
          </w:tcPr>
          <w:p w14:paraId="6335DF39" w14:textId="77777777" w:rsidR="00352548" w:rsidRPr="0069119B" w:rsidRDefault="00352548" w:rsidP="00B6663D">
            <w:pPr>
              <w:spacing w:line="240" w:lineRule="auto"/>
              <w:rPr>
                <w:rFonts w:eastAsia="Calibri" w:cs="Times New Roman"/>
                <w:color w:val="000000"/>
                <w:sz w:val="16"/>
                <w:szCs w:val="16"/>
              </w:rPr>
            </w:pPr>
            <w:r>
              <w:rPr>
                <w:rFonts w:eastAsia="Calibri" w:cs="Times New Roman"/>
                <w:color w:val="000000"/>
                <w:sz w:val="16"/>
                <w:szCs w:val="16"/>
              </w:rPr>
              <w:t>-125,4</w:t>
            </w:r>
          </w:p>
        </w:tc>
      </w:tr>
      <w:tr w:rsidR="00352548" w:rsidRPr="0069119B" w14:paraId="49CFD46A" w14:textId="77777777" w:rsidTr="00B6663D">
        <w:trPr>
          <w:gridAfter w:val="1"/>
          <w:wAfter w:w="10" w:type="dxa"/>
          <w:trHeight w:val="348"/>
          <w:jc w:val="center"/>
        </w:trPr>
        <w:tc>
          <w:tcPr>
            <w:tcW w:w="2243" w:type="dxa"/>
            <w:gridSpan w:val="2"/>
            <w:shd w:val="clear" w:color="auto" w:fill="FFFFFF"/>
            <w:vAlign w:val="center"/>
          </w:tcPr>
          <w:p w14:paraId="2C9F8129"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 xml:space="preserve">Źródła finansowania </w:t>
            </w:r>
          </w:p>
        </w:tc>
        <w:tc>
          <w:tcPr>
            <w:tcW w:w="8694" w:type="dxa"/>
            <w:gridSpan w:val="27"/>
            <w:shd w:val="clear" w:color="auto" w:fill="FFFFFF"/>
            <w:vAlign w:val="center"/>
          </w:tcPr>
          <w:p w14:paraId="7E2AC4E1" w14:textId="77777777" w:rsidR="00352548" w:rsidRPr="0069119B" w:rsidRDefault="00352548" w:rsidP="00B6663D">
            <w:pPr>
              <w:spacing w:line="240" w:lineRule="auto"/>
              <w:jc w:val="both"/>
              <w:rPr>
                <w:rFonts w:eastAsia="Calibri" w:cs="Times New Roman"/>
                <w:color w:val="000000"/>
                <w:sz w:val="21"/>
                <w:szCs w:val="21"/>
              </w:rPr>
            </w:pPr>
            <w:r w:rsidRPr="00AC2DB7">
              <w:rPr>
                <w:rFonts w:eastAsia="Calibri" w:cs="Times New Roman"/>
                <w:color w:val="000000"/>
                <w:sz w:val="21"/>
                <w:szCs w:val="21"/>
              </w:rPr>
              <w:t>Przedstawione rozwiązanie prawne nie będzie generowało zwiększenia wydatków budżetu państwa. Efektem wprowadzonych zmian będzie zmniejszenie wydatków budżetu państwa w części 27 – informatyzacja.</w:t>
            </w:r>
          </w:p>
        </w:tc>
      </w:tr>
      <w:tr w:rsidR="00352548" w:rsidRPr="0069119B" w14:paraId="355E6D6A" w14:textId="77777777" w:rsidTr="00B6663D">
        <w:trPr>
          <w:gridAfter w:val="1"/>
          <w:wAfter w:w="10" w:type="dxa"/>
          <w:trHeight w:val="1266"/>
          <w:jc w:val="center"/>
        </w:trPr>
        <w:tc>
          <w:tcPr>
            <w:tcW w:w="2243" w:type="dxa"/>
            <w:gridSpan w:val="2"/>
            <w:shd w:val="clear" w:color="auto" w:fill="FFFFFF"/>
          </w:tcPr>
          <w:p w14:paraId="4514B6E8"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Dodatkowe informacje, w tym wskazanie źródeł danych i przyjętych do obliczeń założeń</w:t>
            </w:r>
          </w:p>
        </w:tc>
        <w:tc>
          <w:tcPr>
            <w:tcW w:w="8694" w:type="dxa"/>
            <w:gridSpan w:val="27"/>
            <w:shd w:val="clear" w:color="auto" w:fill="FFFFFF"/>
          </w:tcPr>
          <w:p w14:paraId="46B9B84D"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 xml:space="preserve">Przedstawione wyliczenia co do kwot zmniejszenia przychodów Funduszu Szerokopasmowego z tytułu opłat za numerację wynikają z dotychczasowych stawek za korzystanie z zasobu numeracji. Maksymalne kwoty wynikają aktualnie z ustawy </w:t>
            </w:r>
            <w:r>
              <w:rPr>
                <w:rFonts w:eastAsia="Calibri" w:cs="Times New Roman"/>
                <w:color w:val="000000"/>
                <w:sz w:val="21"/>
                <w:szCs w:val="21"/>
              </w:rPr>
              <w:t xml:space="preserve">- </w:t>
            </w:r>
            <w:r w:rsidRPr="0069119B">
              <w:rPr>
                <w:rFonts w:eastAsia="Calibri" w:cs="Times New Roman"/>
                <w:color w:val="000000"/>
                <w:sz w:val="21"/>
                <w:szCs w:val="21"/>
              </w:rPr>
              <w:t>Prawo telekomunikacyjne, a stawki obowiązujące z rozporządzenia Ministra Cyfryzacji z dnia 18 grudnia 2013 r. w sprawie wysokości, terminów i sposobu uiszczania opłat za prawo do wykorzystywania zasobów numeracji i nie są określone w maksymalnej dopuszczalnej ustawą wysokości. Opłaty z tytułu wykorzystania numeracji mają charakter opłat stałych rocznych, uiszczanych w całości lub w dwóch ratach. Opłaty te w ubiegłym, 2021 r.</w:t>
            </w:r>
            <w:r>
              <w:rPr>
                <w:rFonts w:eastAsia="Calibri" w:cs="Times New Roman"/>
                <w:color w:val="000000"/>
                <w:sz w:val="21"/>
                <w:szCs w:val="21"/>
              </w:rPr>
              <w:t>,</w:t>
            </w:r>
            <w:r w:rsidRPr="0069119B">
              <w:rPr>
                <w:rFonts w:eastAsia="Calibri" w:cs="Times New Roman"/>
                <w:color w:val="000000"/>
                <w:sz w:val="21"/>
                <w:szCs w:val="21"/>
              </w:rPr>
              <w:t xml:space="preserve"> wynosiły łącznie ok. 85 mln zł. W obliczeni</w:t>
            </w:r>
            <w:r>
              <w:rPr>
                <w:rFonts w:eastAsia="Calibri" w:cs="Times New Roman"/>
                <w:color w:val="000000"/>
                <w:sz w:val="21"/>
                <w:szCs w:val="21"/>
              </w:rPr>
              <w:t>ach uwzględniono wejście w życie</w:t>
            </w:r>
            <w:r w:rsidRPr="0069119B">
              <w:rPr>
                <w:rFonts w:eastAsia="Calibri" w:cs="Times New Roman"/>
                <w:color w:val="000000"/>
                <w:sz w:val="21"/>
                <w:szCs w:val="21"/>
              </w:rPr>
              <w:t xml:space="preserve"> projektowanych przepisów </w:t>
            </w:r>
            <w:r>
              <w:rPr>
                <w:rFonts w:eastAsia="Calibri" w:cs="Times New Roman"/>
                <w:color w:val="000000"/>
                <w:sz w:val="21"/>
                <w:szCs w:val="21"/>
              </w:rPr>
              <w:t>z początkiem roku</w:t>
            </w:r>
            <w:r w:rsidRPr="0069119B">
              <w:rPr>
                <w:rFonts w:eastAsia="Calibri" w:cs="Times New Roman"/>
                <w:color w:val="000000"/>
                <w:sz w:val="21"/>
                <w:szCs w:val="21"/>
              </w:rPr>
              <w:t>j.</w:t>
            </w:r>
          </w:p>
          <w:p w14:paraId="5DE02987"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 xml:space="preserve">Według danych Centralnego Ośrodka Informatyki zapewniającego techniczną obsługę profilu zaufanego średniomiesięczne wydatki na przesyłanie kodów autoryzacyjnych w wiadomościach SMS wyniosły w pierwszym kwartale 2022 r. 788 207 zł. W 2021 roku średniomiesięczne wydatki na ten cel wyniosły 687 746 zł a w 2020 roku 628 373 zł. </w:t>
            </w:r>
          </w:p>
          <w:p w14:paraId="7BA60BC9"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 xml:space="preserve">Dynamika kosztów kształtuje się następująco: 2020 =100%, 2021=109%, 2022 (I kwartał)= 125%. Do obliczeń wskazujących potencjalne wydatki w kolejnych latach przyjęto założenie, że dynamika wzrostowa w kolejnych latach (rok do roku) będzie się stopniowo zmniejszać w związku z </w:t>
            </w:r>
            <w:r w:rsidRPr="0069119B">
              <w:rPr>
                <w:rFonts w:eastAsia="Calibri" w:cs="Times New Roman"/>
                <w:color w:val="000000"/>
                <w:sz w:val="21"/>
                <w:szCs w:val="21"/>
              </w:rPr>
              <w:lastRenderedPageBreak/>
              <w:t>wprowadzaniem alternatywnych mechanizmów uwierzytelniania</w:t>
            </w:r>
            <w:r>
              <w:rPr>
                <w:rFonts w:eastAsia="Calibri" w:cs="Times New Roman"/>
                <w:color w:val="000000"/>
                <w:sz w:val="21"/>
                <w:szCs w:val="21"/>
              </w:rPr>
              <w:t xml:space="preserve"> (w szczególności wykorzystania aplikacji mObywatel, o której mowa w uzasadnieniu)</w:t>
            </w:r>
            <w:r w:rsidRPr="0069119B">
              <w:rPr>
                <w:rFonts w:eastAsia="Calibri" w:cs="Times New Roman"/>
                <w:color w:val="000000"/>
                <w:sz w:val="21"/>
                <w:szCs w:val="21"/>
              </w:rPr>
              <w:t xml:space="preserve"> i nasycenia usługami online:</w:t>
            </w:r>
          </w:p>
          <w:p w14:paraId="2C1F25DE" w14:textId="77777777" w:rsidR="00352548" w:rsidRPr="0069119B" w:rsidRDefault="00352548" w:rsidP="00B6663D">
            <w:pPr>
              <w:widowControl/>
              <w:numPr>
                <w:ilvl w:val="0"/>
                <w:numId w:val="4"/>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w 2023 na poziomie 120%</w:t>
            </w:r>
          </w:p>
          <w:p w14:paraId="41FC7543" w14:textId="77777777" w:rsidR="00352548" w:rsidRPr="0069119B" w:rsidRDefault="00352548" w:rsidP="00B6663D">
            <w:pPr>
              <w:widowControl/>
              <w:numPr>
                <w:ilvl w:val="0"/>
                <w:numId w:val="4"/>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w 2024 - 115%</w:t>
            </w:r>
          </w:p>
          <w:p w14:paraId="0D2B6D59" w14:textId="77777777" w:rsidR="00352548" w:rsidRPr="0069119B" w:rsidRDefault="00352548" w:rsidP="00B6663D">
            <w:pPr>
              <w:widowControl/>
              <w:numPr>
                <w:ilvl w:val="0"/>
                <w:numId w:val="4"/>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w latach 2025 - 2026- 110%</w:t>
            </w:r>
          </w:p>
          <w:p w14:paraId="560EB949" w14:textId="77777777" w:rsidR="00352548" w:rsidRPr="0069119B" w:rsidRDefault="00352548" w:rsidP="00B6663D">
            <w:pPr>
              <w:widowControl/>
              <w:numPr>
                <w:ilvl w:val="0"/>
                <w:numId w:val="4"/>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w 2027 – 105%</w:t>
            </w:r>
          </w:p>
          <w:p w14:paraId="0DE70A14" w14:textId="77777777" w:rsidR="00352548" w:rsidRPr="0069119B" w:rsidRDefault="00352548" w:rsidP="00B6663D">
            <w:pPr>
              <w:widowControl/>
              <w:numPr>
                <w:ilvl w:val="0"/>
                <w:numId w:val="4"/>
              </w:numPr>
              <w:autoSpaceDE/>
              <w:autoSpaceDN/>
              <w:adjustRightInd/>
              <w:spacing w:after="120" w:line="240" w:lineRule="auto"/>
              <w:ind w:left="714" w:hanging="357"/>
              <w:jc w:val="both"/>
              <w:rPr>
                <w:rFonts w:eastAsia="Calibri" w:cs="Times New Roman"/>
                <w:color w:val="000000"/>
                <w:sz w:val="21"/>
                <w:szCs w:val="21"/>
              </w:rPr>
            </w:pPr>
            <w:r w:rsidRPr="0069119B">
              <w:rPr>
                <w:rFonts w:eastAsia="Calibri" w:cs="Times New Roman"/>
                <w:color w:val="000000"/>
                <w:sz w:val="21"/>
                <w:szCs w:val="21"/>
              </w:rPr>
              <w:t>2028 - 2032 – bez wzrostu</w:t>
            </w:r>
          </w:p>
          <w:p w14:paraId="737A4B99"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Takie założenie oznacza że w kolejnych latach wydatki kształtowałyby się następująco (w mln zł) :</w:t>
            </w:r>
          </w:p>
          <w:p w14:paraId="35B31E79"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2022</w:t>
            </w:r>
            <w:r w:rsidRPr="0069119B">
              <w:rPr>
                <w:rFonts w:eastAsia="Calibri" w:cs="Times New Roman"/>
                <w:color w:val="000000"/>
                <w:sz w:val="21"/>
                <w:szCs w:val="21"/>
              </w:rPr>
              <w:tab/>
            </w:r>
            <w:r>
              <w:rPr>
                <w:rFonts w:eastAsia="Calibri" w:cs="Times New Roman"/>
                <w:color w:val="000000"/>
                <w:sz w:val="21"/>
                <w:szCs w:val="21"/>
              </w:rPr>
              <w:t>10,4</w:t>
            </w:r>
          </w:p>
          <w:p w14:paraId="33A4E565"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2023</w:t>
            </w:r>
            <w:r w:rsidRPr="0069119B">
              <w:rPr>
                <w:rFonts w:eastAsia="Calibri" w:cs="Times New Roman"/>
                <w:color w:val="000000"/>
                <w:sz w:val="21"/>
                <w:szCs w:val="21"/>
              </w:rPr>
              <w:tab/>
              <w:t>12,5</w:t>
            </w:r>
          </w:p>
          <w:p w14:paraId="58011A93"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2024</w:t>
            </w:r>
            <w:r w:rsidRPr="0069119B">
              <w:rPr>
                <w:rFonts w:eastAsia="Calibri" w:cs="Times New Roman"/>
                <w:color w:val="000000"/>
                <w:sz w:val="21"/>
                <w:szCs w:val="21"/>
              </w:rPr>
              <w:tab/>
              <w:t>14,4</w:t>
            </w:r>
          </w:p>
          <w:p w14:paraId="3D654CCC"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2025</w:t>
            </w:r>
            <w:r w:rsidRPr="0069119B">
              <w:rPr>
                <w:rFonts w:eastAsia="Calibri" w:cs="Times New Roman"/>
                <w:color w:val="000000"/>
                <w:sz w:val="21"/>
                <w:szCs w:val="21"/>
              </w:rPr>
              <w:tab/>
              <w:t>15,8</w:t>
            </w:r>
          </w:p>
          <w:p w14:paraId="72400E51"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2026</w:t>
            </w:r>
            <w:r w:rsidRPr="0069119B">
              <w:rPr>
                <w:rFonts w:eastAsia="Calibri" w:cs="Times New Roman"/>
                <w:color w:val="000000"/>
                <w:sz w:val="21"/>
                <w:szCs w:val="21"/>
              </w:rPr>
              <w:tab/>
              <w:t>17,4</w:t>
            </w:r>
          </w:p>
          <w:p w14:paraId="1E721BF5"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2027</w:t>
            </w:r>
            <w:r w:rsidRPr="0069119B">
              <w:rPr>
                <w:rFonts w:eastAsia="Calibri" w:cs="Times New Roman"/>
                <w:color w:val="000000"/>
                <w:sz w:val="21"/>
                <w:szCs w:val="21"/>
              </w:rPr>
              <w:tab/>
              <w:t>18,3</w:t>
            </w:r>
          </w:p>
          <w:p w14:paraId="1AA75A73"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2028</w:t>
            </w:r>
            <w:r w:rsidRPr="0069119B">
              <w:rPr>
                <w:rFonts w:eastAsia="Calibri" w:cs="Times New Roman"/>
                <w:color w:val="000000"/>
                <w:sz w:val="21"/>
                <w:szCs w:val="21"/>
              </w:rPr>
              <w:tab/>
              <w:t>18,3</w:t>
            </w:r>
          </w:p>
          <w:p w14:paraId="2145BC74"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2029</w:t>
            </w:r>
            <w:r w:rsidRPr="0069119B">
              <w:rPr>
                <w:rFonts w:eastAsia="Calibri" w:cs="Times New Roman"/>
                <w:color w:val="000000"/>
                <w:sz w:val="21"/>
                <w:szCs w:val="21"/>
              </w:rPr>
              <w:tab/>
              <w:t>18,3</w:t>
            </w:r>
          </w:p>
          <w:p w14:paraId="0B5B7D58"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2030</w:t>
            </w:r>
            <w:r w:rsidRPr="0069119B">
              <w:rPr>
                <w:rFonts w:eastAsia="Calibri" w:cs="Times New Roman"/>
                <w:color w:val="000000"/>
                <w:sz w:val="21"/>
                <w:szCs w:val="21"/>
              </w:rPr>
              <w:tab/>
              <w:t>18,3</w:t>
            </w:r>
          </w:p>
          <w:p w14:paraId="4FE44C38" w14:textId="77777777" w:rsidR="00352548" w:rsidRPr="0069119B" w:rsidRDefault="00352548" w:rsidP="00B6663D">
            <w:pPr>
              <w:widowControl/>
              <w:numPr>
                <w:ilvl w:val="0"/>
                <w:numId w:val="5"/>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2031</w:t>
            </w:r>
            <w:r w:rsidRPr="0069119B">
              <w:rPr>
                <w:rFonts w:eastAsia="Calibri" w:cs="Times New Roman"/>
                <w:color w:val="000000"/>
                <w:sz w:val="21"/>
                <w:szCs w:val="21"/>
              </w:rPr>
              <w:tab/>
              <w:t>18,3</w:t>
            </w:r>
          </w:p>
          <w:p w14:paraId="044CE37A" w14:textId="77777777" w:rsidR="00352548" w:rsidRPr="0069119B" w:rsidRDefault="00352548" w:rsidP="00B6663D">
            <w:pPr>
              <w:widowControl/>
              <w:numPr>
                <w:ilvl w:val="0"/>
                <w:numId w:val="5"/>
              </w:numPr>
              <w:autoSpaceDE/>
              <w:autoSpaceDN/>
              <w:adjustRightInd/>
              <w:spacing w:after="120" w:line="240" w:lineRule="auto"/>
              <w:ind w:left="714" w:hanging="357"/>
              <w:jc w:val="both"/>
              <w:rPr>
                <w:rFonts w:eastAsia="Calibri" w:cs="Times New Roman"/>
                <w:color w:val="000000"/>
                <w:sz w:val="21"/>
                <w:szCs w:val="21"/>
              </w:rPr>
            </w:pPr>
            <w:r w:rsidRPr="0069119B">
              <w:rPr>
                <w:rFonts w:eastAsia="Calibri" w:cs="Times New Roman"/>
                <w:color w:val="000000"/>
                <w:sz w:val="21"/>
                <w:szCs w:val="21"/>
              </w:rPr>
              <w:t>2032</w:t>
            </w:r>
            <w:r w:rsidRPr="0069119B">
              <w:rPr>
                <w:rFonts w:eastAsia="Calibri" w:cs="Times New Roman"/>
                <w:color w:val="000000"/>
                <w:sz w:val="21"/>
                <w:szCs w:val="21"/>
              </w:rPr>
              <w:tab/>
              <w:t>18,3</w:t>
            </w:r>
          </w:p>
          <w:p w14:paraId="14BF7EB6"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Z wyliczeń wynika zatem, że wejście w życie projektowanych przepisów zmniejszy koszty ponoszone z budżetu państwa związane z obsługą profilu zaufanego o ok. 1</w:t>
            </w:r>
            <w:r>
              <w:rPr>
                <w:rFonts w:eastAsia="Calibri" w:cs="Times New Roman"/>
                <w:color w:val="000000"/>
                <w:sz w:val="21"/>
                <w:szCs w:val="21"/>
              </w:rPr>
              <w:t>80</w:t>
            </w:r>
            <w:r w:rsidRPr="0069119B">
              <w:rPr>
                <w:rFonts w:eastAsia="Calibri" w:cs="Times New Roman"/>
                <w:color w:val="000000"/>
                <w:sz w:val="21"/>
                <w:szCs w:val="21"/>
              </w:rPr>
              <w:t>,</w:t>
            </w:r>
            <w:r>
              <w:rPr>
                <w:rFonts w:eastAsia="Calibri" w:cs="Times New Roman"/>
                <w:color w:val="000000"/>
                <w:sz w:val="21"/>
                <w:szCs w:val="21"/>
              </w:rPr>
              <w:t>3</w:t>
            </w:r>
            <w:r w:rsidRPr="0069119B">
              <w:rPr>
                <w:rFonts w:eastAsia="Calibri" w:cs="Times New Roman"/>
                <w:color w:val="000000"/>
                <w:sz w:val="21"/>
                <w:szCs w:val="21"/>
              </w:rPr>
              <w:t xml:space="preserve"> mln zł kosztem zmniejszenia przychodów z tytułu numeracji dla Funduszu Szerokopasmowego o ok. </w:t>
            </w:r>
            <w:r>
              <w:rPr>
                <w:rFonts w:eastAsia="Calibri" w:cs="Times New Roman"/>
                <w:color w:val="000000"/>
                <w:sz w:val="21"/>
                <w:szCs w:val="21"/>
              </w:rPr>
              <w:t> 125,4</w:t>
            </w:r>
            <w:r w:rsidRPr="0069119B">
              <w:rPr>
                <w:rFonts w:eastAsia="Calibri" w:cs="Times New Roman"/>
                <w:color w:val="000000"/>
                <w:sz w:val="21"/>
                <w:szCs w:val="21"/>
              </w:rPr>
              <w:t xml:space="preserve"> mln zł.</w:t>
            </w:r>
          </w:p>
          <w:p w14:paraId="116CD939"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Podstawowym celem wejścia w życie projektowanych przepisów jest zwiększenie wygody użytkowników przy zachowaniu bezpieczeństwa i zapewnienie stopniowego odchodzenia od starzejącej się technologii przesyłania kodów smsami.</w:t>
            </w:r>
          </w:p>
          <w:p w14:paraId="17D60FAA"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Jednocześnie w przypadku ewentualnego podwyższenia stawek opłat za numerację po wejściu w życie procedowanej ustawy – Prawo komunikacji elektronicznej, stawki te będą mogły zostać odpowiednio zwaloryzowane.</w:t>
            </w:r>
          </w:p>
          <w:p w14:paraId="0A23A9D4"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W obliczeniach uwzględniono wejście w życie projektowanych przepisów w połowie 2022 roku.</w:t>
            </w:r>
          </w:p>
          <w:p w14:paraId="1536DEEB"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Dodatkowe dane potwierdzające przyjęcie powyższych założeń to liczba uwierzytelnień za pośrednictwem węzła krajowego. W całym roku 2021 przekroczyła 364 miliony z czego 290 milionów to uwierzytelnienia za pomocą profilu zaufanego (prawie 80%), pozostałe uwierzytelnienia to w większości system mojeID (prawie 20%). Dowody osobiste z warstwą elektroniczną były użyte 1,2 miliona razy, co stanowiło 0,33 % wszystkich uwierzytelnień. Średniomiesięcznie logowano się przez węzeł krajowy ponad 30 milionów razy, z czego profilem zaufanym ponad 24 miliony razy.</w:t>
            </w:r>
          </w:p>
          <w:p w14:paraId="751299FC"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 xml:space="preserve">Porównując te dane do danych za pierwsze dwa miesiące roku 2022 (łącznie prawie 70 milionów logowań, z czego 53,5 miliona profilem zaufanym, 16 milionów mojeID oraz 0,34 miliona dowodem osobistym) można zauważyć trend wzrostowy w ilości uwierzytelnień (35 milionów miesięcznie, co oznacza wzrost uwierzytelnień na poziomie 145%) oraz niewielki procentowy spadek udziału profilu zaufanego w tych uwierzytelnieniach (niecałe 77% zamiast 80%). </w:t>
            </w:r>
          </w:p>
          <w:p w14:paraId="65AA56B9"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t xml:space="preserve">Przedstawione powyżej liczby pokazujące liczby uwierzytelnień i faktyczne wydatki związane z kosztami obsługi kodów jednorazowych nie pokazują jednak indywidualnych celów (usług) w jakich kody te są wykorzystywane. Nie wszystkie przedstawione powyżej dane dotyczące uwierzytelniania profilem zaufanym przekładają się bowiem na koszty związane z wysyłaniem smsów. Oprócz ujętej w ww. danych możliwości bezpośredniego logowania się przez węzeł krajowy za pomocą systemu mojeID istnieje także możliwość używania profilu zaufanego za pośrednictwem bankowości elektronicznej. W takim przypadku mechanizm uwierzytelniania zapewnia system banku lub innego przedsiębiorcy i smsy nie są wysyłane. </w:t>
            </w:r>
          </w:p>
          <w:p w14:paraId="52CDF2EA" w14:textId="77777777" w:rsidR="00352548" w:rsidRPr="0069119B" w:rsidRDefault="00352548" w:rsidP="00B6663D">
            <w:pPr>
              <w:spacing w:after="120" w:line="240" w:lineRule="auto"/>
              <w:jc w:val="both"/>
              <w:rPr>
                <w:rFonts w:eastAsia="Calibri" w:cs="Times New Roman"/>
                <w:color w:val="000000"/>
                <w:sz w:val="21"/>
                <w:szCs w:val="21"/>
              </w:rPr>
            </w:pPr>
            <w:r w:rsidRPr="0069119B">
              <w:rPr>
                <w:rFonts w:eastAsia="Calibri" w:cs="Times New Roman"/>
                <w:color w:val="000000"/>
                <w:sz w:val="21"/>
                <w:szCs w:val="21"/>
              </w:rPr>
              <w:lastRenderedPageBreak/>
              <w:t xml:space="preserve">Z innych danych statystycznych udostępnionych na portalu </w:t>
            </w:r>
            <w:hyperlink r:id="rId9" w:history="1">
              <w:r w:rsidRPr="0069119B">
                <w:rPr>
                  <w:rFonts w:eastAsia="Calibri" w:cs="Times New Roman"/>
                  <w:color w:val="0563C1"/>
                  <w:sz w:val="21"/>
                  <w:szCs w:val="21"/>
                  <w:u w:val="single"/>
                </w:rPr>
                <w:t>https://dane.gov.pl/</w:t>
              </w:r>
            </w:hyperlink>
            <w:r w:rsidRPr="0069119B">
              <w:rPr>
                <w:rFonts w:eastAsia="Calibri" w:cs="Times New Roman"/>
                <w:color w:val="000000"/>
                <w:sz w:val="21"/>
                <w:szCs w:val="21"/>
              </w:rPr>
              <w:t xml:space="preserve"> </w:t>
            </w:r>
            <w:r w:rsidRPr="0069119B">
              <w:rPr>
                <w:rFonts w:eastAsia="Calibri" w:cs="Times New Roman"/>
                <w:color w:val="000000"/>
                <w:sz w:val="21"/>
                <w:szCs w:val="21"/>
                <w:vertAlign w:val="superscript"/>
              </w:rPr>
              <w:footnoteReference w:id="4"/>
            </w:r>
            <w:r w:rsidRPr="0069119B">
              <w:rPr>
                <w:rFonts w:eastAsia="Calibri" w:cs="Times New Roman"/>
                <w:sz w:val="21"/>
                <w:szCs w:val="21"/>
              </w:rPr>
              <w:t xml:space="preserve"> wynika że do końca stycznia 2022 r funkcjonowało 13,7 miliona profili zaufanych, z czego tylko 3,38 miliona (nieco ponad 26,5 %) to profile zaufane, w których użytkownicy wybrali mechanizm uwierzytelniania wykorzystujący kody wysyłane smsem.</w:t>
            </w:r>
          </w:p>
          <w:p w14:paraId="41ECD093"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Liczba przesyłanych smsów autoryzacyjnych zależy od wielu czynników:</w:t>
            </w:r>
          </w:p>
          <w:p w14:paraId="350A81E0"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 xml:space="preserve">rozwoju usług online, w tym wygody korzystania z nich (np. e-recepta po stronie pacjenta), </w:t>
            </w:r>
          </w:p>
          <w:p w14:paraId="6F254C7B"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obowiązku korzystania z niektórych usług (np. e-recepta po stronie lekarza, baza danych o odpadach),</w:t>
            </w:r>
          </w:p>
          <w:p w14:paraId="04F41049"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możliwości korzystania z usług w inny sposób niż z wykorzystaniem profilu zaufanego lub podpisu zaufanego,</w:t>
            </w:r>
          </w:p>
          <w:p w14:paraId="22216EE7"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ergonomii interfejsu systemów bankowości elektronicznej za pośrednictwem których można składać podpis zaufany,</w:t>
            </w:r>
          </w:p>
          <w:p w14:paraId="77A8581A"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tworzenia usług online niewymagających podpisu,</w:t>
            </w:r>
          </w:p>
          <w:p w14:paraId="1048C287" w14:textId="77777777" w:rsidR="00352548" w:rsidRPr="0069119B" w:rsidRDefault="00352548" w:rsidP="00B6663D">
            <w:pPr>
              <w:widowControl/>
              <w:numPr>
                <w:ilvl w:val="0"/>
                <w:numId w:val="3"/>
              </w:numPr>
              <w:autoSpaceDE/>
              <w:autoSpaceDN/>
              <w:adjustRightInd/>
              <w:spacing w:after="160" w:line="240" w:lineRule="auto"/>
              <w:contextualSpacing/>
              <w:jc w:val="both"/>
              <w:rPr>
                <w:rFonts w:eastAsia="Calibri" w:cs="Times New Roman"/>
                <w:color w:val="000000"/>
                <w:sz w:val="21"/>
                <w:szCs w:val="21"/>
              </w:rPr>
            </w:pPr>
            <w:r w:rsidRPr="0069119B">
              <w:rPr>
                <w:rFonts w:eastAsia="Calibri" w:cs="Times New Roman"/>
                <w:color w:val="000000"/>
                <w:sz w:val="21"/>
                <w:szCs w:val="21"/>
              </w:rPr>
              <w:t>niechęci użytkowników do zmiany przyzwyczajeń,</w:t>
            </w:r>
          </w:p>
          <w:p w14:paraId="525B69DE" w14:textId="77777777" w:rsidR="00352548" w:rsidRPr="0069119B" w:rsidRDefault="00352548" w:rsidP="00B6663D">
            <w:pPr>
              <w:widowControl/>
              <w:numPr>
                <w:ilvl w:val="0"/>
                <w:numId w:val="3"/>
              </w:numPr>
              <w:autoSpaceDE/>
              <w:autoSpaceDN/>
              <w:adjustRightInd/>
              <w:spacing w:after="120" w:line="240" w:lineRule="auto"/>
              <w:ind w:left="357" w:hanging="357"/>
              <w:jc w:val="both"/>
              <w:rPr>
                <w:rFonts w:eastAsia="Calibri" w:cs="Times New Roman"/>
                <w:color w:val="000000"/>
                <w:sz w:val="21"/>
                <w:szCs w:val="21"/>
              </w:rPr>
            </w:pPr>
            <w:r w:rsidRPr="0069119B">
              <w:rPr>
                <w:rFonts w:eastAsia="Calibri" w:cs="Times New Roman"/>
                <w:color w:val="000000"/>
                <w:sz w:val="21"/>
                <w:szCs w:val="21"/>
              </w:rPr>
              <w:t>bezpieczeństwa procesu uwierzytelniania – w tym wymuszania drugiego składnika uwierzytelniania, gdy jest to potrzebne.</w:t>
            </w:r>
          </w:p>
          <w:p w14:paraId="17F945AA"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Wysyłanie smsów autoryzacyjnych generują głównie osoby, które często korzystają z profilu zaufanego (kilka razy dziennie), gdyż dwuskładnikowe uwierzytelnianie w taki sposób jest nieco wygodniejsze mimo, że wymaga nauczenia się innego sposobu logowania niż za pośrednictwem banku.</w:t>
            </w:r>
          </w:p>
          <w:p w14:paraId="50F24055"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Z pośrednictwa bankowości elektronicznej korzystają zwykle osoby sporadycznie korzystające z profilu zaufanego, ponieważ mogą zastosować znany z banku mechanizm uwierzytelniania, nie muszą zapamiętywać nowego hasła ani uczyć się innego interfejsu użytkownika.</w:t>
            </w:r>
          </w:p>
          <w:p w14:paraId="789AD1D8" w14:textId="77777777" w:rsidR="00352548" w:rsidRPr="0069119B"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 xml:space="preserve">W przypadku umożliwienia włączenia mechanizmu Mobile Connect używanie profilu zaufanego bez pośrednictwa banku stanie się jeszcze wygodniejsze i bardziej bezpieczne niż w przypadku kodów przesyłanych smsami, co przypuszczalnie wpłynie na wybór tej metody także przez osoby, które rzadziej korzystają z profilu zaufanego. </w:t>
            </w:r>
          </w:p>
          <w:p w14:paraId="66714AEB" w14:textId="77777777" w:rsidR="00352548" w:rsidRDefault="00352548" w:rsidP="00B6663D">
            <w:pPr>
              <w:spacing w:line="240" w:lineRule="auto"/>
              <w:jc w:val="both"/>
              <w:rPr>
                <w:rFonts w:eastAsia="Calibri" w:cs="Times New Roman"/>
                <w:color w:val="000000"/>
                <w:sz w:val="21"/>
                <w:szCs w:val="21"/>
              </w:rPr>
            </w:pPr>
            <w:r w:rsidRPr="0069119B">
              <w:rPr>
                <w:rFonts w:eastAsia="Calibri" w:cs="Times New Roman"/>
                <w:color w:val="000000"/>
                <w:sz w:val="21"/>
                <w:szCs w:val="21"/>
              </w:rPr>
              <w:t>20% obniżenie opłaty za numerację wynika z przyjętego założenia że gdyby nie wprowadzono mechanizmu Mobile Connect liczba wysyłanych smsów zwiększałaby się, mimo istnienia alternatywnych metod uwierzytelniania, wraz tworzeniem nowych usług, jak również z tego powodu że mechanizm ten z uwagi na znacząco zwiększoną ergonomię w stosunku do pozostałych mechanizmów może zastępować nie tylko smsy autoryzacyjne, ale też aplikacje mobilne.</w:t>
            </w:r>
          </w:p>
          <w:p w14:paraId="23541887" w14:textId="77777777" w:rsidR="00352548" w:rsidRDefault="00352548" w:rsidP="00B6663D">
            <w:pPr>
              <w:spacing w:line="240" w:lineRule="auto"/>
              <w:jc w:val="both"/>
              <w:rPr>
                <w:rFonts w:eastAsia="Calibri" w:cs="Times New Roman"/>
                <w:color w:val="000000"/>
                <w:sz w:val="21"/>
                <w:szCs w:val="21"/>
              </w:rPr>
            </w:pPr>
            <w:bookmarkStart w:id="14" w:name="_Hlk118393667"/>
            <w:r>
              <w:rPr>
                <w:rFonts w:eastAsia="Calibri" w:cs="Times New Roman"/>
                <w:color w:val="000000"/>
                <w:sz w:val="21"/>
                <w:szCs w:val="21"/>
              </w:rPr>
              <w:t>Aktualnie, opłata za</w:t>
            </w:r>
            <w:r>
              <w:t xml:space="preserve"> </w:t>
            </w:r>
            <w:r w:rsidRPr="00796336">
              <w:rPr>
                <w:rFonts w:eastAsia="Calibri" w:cs="Times New Roman"/>
                <w:color w:val="000000"/>
                <w:sz w:val="21"/>
                <w:szCs w:val="21"/>
              </w:rPr>
              <w:t xml:space="preserve">numer abonencki w ruchomej publicznej sieci telefonicznej wynosi 0,32 zł za numer, a proporcjonalna wysokość opłaty za wyróżnik ruchomej publicznej sieci telefonicznej wynosi 0,179 zł. Daje to sumę </w:t>
            </w:r>
            <w:r>
              <w:rPr>
                <w:rFonts w:eastAsia="Calibri" w:cs="Times New Roman"/>
                <w:color w:val="000000"/>
                <w:sz w:val="21"/>
                <w:szCs w:val="21"/>
              </w:rPr>
              <w:t xml:space="preserve">opłat w wysokości </w:t>
            </w:r>
            <w:r w:rsidRPr="00796336">
              <w:rPr>
                <w:rFonts w:eastAsia="Calibri" w:cs="Times New Roman"/>
                <w:color w:val="000000"/>
                <w:sz w:val="21"/>
                <w:szCs w:val="21"/>
              </w:rPr>
              <w:t>0,499 zł za jeden numer abonencki.</w:t>
            </w:r>
            <w:r>
              <w:rPr>
                <w:rFonts w:eastAsia="Calibri" w:cs="Times New Roman"/>
                <w:color w:val="000000"/>
                <w:sz w:val="21"/>
                <w:szCs w:val="21"/>
              </w:rPr>
              <w:t xml:space="preserve"> Wolumen numerów abonenckich w ruchomej publicznej sieci telefonicznej, który został przydzielony przez Prezesa UKE, wynosi ok. 114 mln, (jest zmienny). Wpływ do Funduszu Szerokopasmowego z tego tytułu wynosi ok. </w:t>
            </w:r>
            <w:r w:rsidRPr="00796336">
              <w:rPr>
                <w:rFonts w:eastAsia="Calibri" w:cs="Times New Roman"/>
                <w:color w:val="000000"/>
                <w:sz w:val="21"/>
                <w:szCs w:val="21"/>
              </w:rPr>
              <w:t>56</w:t>
            </w:r>
            <w:r>
              <w:rPr>
                <w:rFonts w:eastAsia="Calibri" w:cs="Times New Roman"/>
                <w:color w:val="000000"/>
                <w:sz w:val="21"/>
                <w:szCs w:val="21"/>
              </w:rPr>
              <w:t> </w:t>
            </w:r>
            <w:r w:rsidRPr="00796336">
              <w:rPr>
                <w:rFonts w:eastAsia="Calibri" w:cs="Times New Roman"/>
                <w:color w:val="000000"/>
                <w:sz w:val="21"/>
                <w:szCs w:val="21"/>
              </w:rPr>
              <w:t>886</w:t>
            </w:r>
            <w:r>
              <w:rPr>
                <w:rFonts w:eastAsia="Calibri" w:cs="Times New Roman"/>
                <w:color w:val="000000"/>
                <w:sz w:val="21"/>
                <w:szCs w:val="21"/>
              </w:rPr>
              <w:t xml:space="preserve"> tyś zł. W toku analiz przyjęto, że do wszystkich użytkowników w publicznej sieci ruchomej zostanie przekazany co najmniej jeden komunikat w roku, dlatego uwzględniono zastosowanie maksymalnego możliwego opustu. W określeniu obniżki opłaty za numerację w ujęciu nominalnym oparto wyliczenia na dotychczasowej wysokości stawek. Należy zatem stwierdzić, że ewentualne zmniejszenie wpływu z tytułu numeracji zostałoby zmniejszone o ok. </w:t>
            </w:r>
            <w:r w:rsidRPr="00AC083E">
              <w:rPr>
                <w:rFonts w:eastAsia="Calibri" w:cs="Times New Roman"/>
                <w:color w:val="000000"/>
                <w:sz w:val="21"/>
                <w:szCs w:val="21"/>
              </w:rPr>
              <w:t>11</w:t>
            </w:r>
            <w:r>
              <w:rPr>
                <w:rFonts w:eastAsia="Calibri" w:cs="Times New Roman"/>
                <w:color w:val="000000"/>
                <w:sz w:val="21"/>
                <w:szCs w:val="21"/>
              </w:rPr>
              <w:t> </w:t>
            </w:r>
            <w:r w:rsidRPr="00AC083E">
              <w:rPr>
                <w:rFonts w:eastAsia="Calibri" w:cs="Times New Roman"/>
                <w:color w:val="000000"/>
                <w:sz w:val="21"/>
                <w:szCs w:val="21"/>
              </w:rPr>
              <w:t>377</w:t>
            </w:r>
            <w:r>
              <w:rPr>
                <w:rFonts w:eastAsia="Calibri" w:cs="Times New Roman"/>
                <w:color w:val="000000"/>
                <w:sz w:val="21"/>
                <w:szCs w:val="21"/>
              </w:rPr>
              <w:t xml:space="preserve"> tyś zł rocznie. </w:t>
            </w:r>
          </w:p>
          <w:p w14:paraId="6C3DAFE2" w14:textId="77777777" w:rsidR="00352548" w:rsidRDefault="00352548" w:rsidP="00B6663D">
            <w:pPr>
              <w:spacing w:line="240" w:lineRule="auto"/>
              <w:jc w:val="both"/>
              <w:rPr>
                <w:rFonts w:eastAsia="Calibri" w:cs="Times New Roman"/>
                <w:color w:val="000000"/>
                <w:sz w:val="21"/>
                <w:szCs w:val="21"/>
              </w:rPr>
            </w:pPr>
            <w:bookmarkStart w:id="15" w:name="_Hlk118394085"/>
            <w:r>
              <w:rPr>
                <w:rFonts w:eastAsia="Calibri" w:cs="Times New Roman"/>
                <w:color w:val="000000"/>
                <w:sz w:val="21"/>
                <w:szCs w:val="21"/>
              </w:rPr>
              <w:t>Podmioty publiczne, które będą zaangażowane w proces, tj.</w:t>
            </w:r>
            <w:r>
              <w:t xml:space="preserve"> </w:t>
            </w:r>
            <w:r w:rsidRPr="00994B93">
              <w:rPr>
                <w:rFonts w:eastAsia="Calibri" w:cs="Times New Roman"/>
                <w:color w:val="000000"/>
                <w:sz w:val="21"/>
                <w:szCs w:val="21"/>
              </w:rPr>
              <w:t>Minister właściwy do spraw informatyzacji oraz Prezes Urzędu Komunikacji Elektronicznej</w:t>
            </w:r>
            <w:r>
              <w:rPr>
                <w:rFonts w:eastAsia="Calibri" w:cs="Times New Roman"/>
                <w:color w:val="000000"/>
                <w:sz w:val="21"/>
                <w:szCs w:val="21"/>
              </w:rPr>
              <w:t xml:space="preserve"> nie zostaną obciążone nowymi zadaniami o charakterze ciągłym. </w:t>
            </w:r>
            <w:r w:rsidRPr="00994B93">
              <w:rPr>
                <w:rFonts w:eastAsia="Calibri" w:cs="Times New Roman"/>
                <w:color w:val="000000"/>
                <w:sz w:val="21"/>
                <w:szCs w:val="21"/>
              </w:rPr>
              <w:t>Minister właściwy do spraw informatyzacji</w:t>
            </w:r>
            <w:r>
              <w:rPr>
                <w:rFonts w:eastAsia="Calibri" w:cs="Times New Roman"/>
                <w:color w:val="000000"/>
                <w:sz w:val="21"/>
                <w:szCs w:val="21"/>
              </w:rPr>
              <w:t xml:space="preserve"> będzie zobowiązany do budowy i utrzymania systemu do obsługi żądań przekazania komunikatu, w tym opracowanie analizy biznesowej, budowę systemu dziedzinowego, stworzenie sieci akceptacji (dostawców usług telekomunikacyjnych) i sieci klienckiej (podmiotów publicznych), nadzoru nad działalnością systemu oraz obsługą żądań użytkowników, naprawą błędów i incydentów. </w:t>
            </w:r>
            <w:bookmarkStart w:id="16" w:name="_Hlk118394126"/>
            <w:r>
              <w:rPr>
                <w:rFonts w:eastAsia="Calibri" w:cs="Times New Roman"/>
                <w:color w:val="000000"/>
                <w:sz w:val="21"/>
                <w:szCs w:val="21"/>
              </w:rPr>
              <w:t>W celu nie zostaną wygospodarowane nowe etaty ani nie będzie niezbędne dodatkowe finansowanie.</w:t>
            </w:r>
            <w:bookmarkEnd w:id="16"/>
          </w:p>
          <w:p w14:paraId="15915DD3" w14:textId="77777777" w:rsidR="00352548" w:rsidRDefault="00352548" w:rsidP="00B6663D">
            <w:pPr>
              <w:spacing w:line="240" w:lineRule="auto"/>
              <w:jc w:val="both"/>
              <w:rPr>
                <w:rFonts w:eastAsia="Calibri" w:cs="Times New Roman"/>
                <w:color w:val="000000"/>
                <w:sz w:val="21"/>
                <w:szCs w:val="21"/>
              </w:rPr>
            </w:pPr>
            <w:bookmarkStart w:id="17" w:name="_Hlk118390783"/>
            <w:bookmarkEnd w:id="14"/>
            <w:bookmarkEnd w:id="15"/>
            <w:r>
              <w:rPr>
                <w:rFonts w:eastAsia="Calibri" w:cs="Times New Roman"/>
                <w:color w:val="000000"/>
                <w:sz w:val="21"/>
                <w:szCs w:val="21"/>
              </w:rPr>
              <w:t xml:space="preserve">Według stanu obecnego, przekazywanie autoryzacyjnych kodów SMS dla potrzeb profilu zaufanego realizowane jest za pomocą zewnętrznych podmiotów z którymi Centralny Ośrodek Informatyki – </w:t>
            </w:r>
            <w:r>
              <w:rPr>
                <w:rFonts w:eastAsia="Calibri" w:cs="Times New Roman"/>
                <w:color w:val="000000"/>
                <w:sz w:val="21"/>
                <w:szCs w:val="21"/>
              </w:rPr>
              <w:lastRenderedPageBreak/>
              <w:t>podmiot finansowany z budżetu państwa, zawiera stosowne umowy. Powoduje to także po stronie COI obciążenia administracyjne. Proponowane rozwiązanie zdejmie z COI obowiązek zawierania umów i przeznaczania na nie z środków pochodzących z budżetu państwa. W zamian, przedsiębiorcy realizujący tę czynności otrzymają obniżkę numeracji z tytułu opłaty za numerację w publicznej sieci ruchomej, która uiszczana jest na rzecz Funduszu Szerokopasmowego, który jest funduszem celowym. Zdejmie to też z przedsiębiorców ryzyko i obciążenia związane z składaniem ofert w zamówieniu publicznym.</w:t>
            </w:r>
            <w:bookmarkEnd w:id="17"/>
          </w:p>
          <w:p w14:paraId="04C930B6" w14:textId="77777777" w:rsidR="00352548" w:rsidRPr="0069119B" w:rsidRDefault="00352548" w:rsidP="00B6663D">
            <w:pPr>
              <w:spacing w:line="240" w:lineRule="auto"/>
              <w:jc w:val="both"/>
              <w:rPr>
                <w:rFonts w:eastAsia="Calibri" w:cs="Times New Roman"/>
                <w:color w:val="000000"/>
                <w:sz w:val="21"/>
                <w:szCs w:val="21"/>
              </w:rPr>
            </w:pPr>
            <w:bookmarkStart w:id="18" w:name="_Hlk118391553"/>
            <w:r>
              <w:rPr>
                <w:rFonts w:eastAsia="Calibri" w:cs="Times New Roman"/>
                <w:color w:val="000000"/>
                <w:sz w:val="21"/>
                <w:szCs w:val="21"/>
              </w:rPr>
              <w:t>Zmniejszenie przychodów Funduszu Szerokopasmowego z tytułu zmniejszenia wpływów z tytułu opłat</w:t>
            </w:r>
            <w:r>
              <w:t xml:space="preserve"> </w:t>
            </w:r>
            <w:r w:rsidRPr="00DB6C00">
              <w:rPr>
                <w:rFonts w:eastAsia="Calibri" w:cs="Times New Roman"/>
                <w:color w:val="000000"/>
                <w:sz w:val="21"/>
                <w:szCs w:val="21"/>
              </w:rPr>
              <w:t>za prawo do wykorzystywania zasobów numeracji w zakresie wysokości opłat za numer abonencki oraz za wyróżnik ruchomej sieci telekomunikacyjnej (PLMN)</w:t>
            </w:r>
            <w:r>
              <w:rPr>
                <w:rFonts w:eastAsia="Calibri" w:cs="Times New Roman"/>
                <w:color w:val="000000"/>
                <w:sz w:val="21"/>
                <w:szCs w:val="21"/>
              </w:rPr>
              <w:t xml:space="preserve"> nie wpłynie w znaczący sposób na inicjatywy podejmowane w ramach tego funduszu ze względu na prognozowane zwiększenie wpływów z tytułu innych przychodów tego funduszu celowego.</w:t>
            </w:r>
            <w:bookmarkEnd w:id="18"/>
          </w:p>
        </w:tc>
      </w:tr>
      <w:tr w:rsidR="00352548" w:rsidRPr="0069119B" w14:paraId="2959C5A5" w14:textId="77777777" w:rsidTr="00B6663D">
        <w:trPr>
          <w:gridAfter w:val="1"/>
          <w:wAfter w:w="10" w:type="dxa"/>
          <w:trHeight w:val="345"/>
          <w:jc w:val="center"/>
        </w:trPr>
        <w:tc>
          <w:tcPr>
            <w:tcW w:w="10937" w:type="dxa"/>
            <w:gridSpan w:val="29"/>
            <w:shd w:val="clear" w:color="auto" w:fill="99CCFF"/>
          </w:tcPr>
          <w:p w14:paraId="0298574D" w14:textId="77777777" w:rsidR="00352548" w:rsidRPr="0069119B" w:rsidRDefault="00352548" w:rsidP="00B6663D">
            <w:pPr>
              <w:widowControl/>
              <w:numPr>
                <w:ilvl w:val="0"/>
                <w:numId w:val="1"/>
              </w:numPr>
              <w:autoSpaceDE/>
              <w:autoSpaceDN/>
              <w:adjustRightInd/>
              <w:spacing w:before="120" w:after="120" w:line="240" w:lineRule="auto"/>
              <w:jc w:val="both"/>
              <w:rPr>
                <w:rFonts w:eastAsia="Calibri" w:cs="Times New Roman"/>
                <w:b/>
                <w:color w:val="000000"/>
                <w:spacing w:val="-2"/>
              </w:rPr>
            </w:pPr>
            <w:r w:rsidRPr="0069119B">
              <w:rPr>
                <w:rFonts w:eastAsia="Calibri" w:cs="Times New Roman"/>
                <w:b/>
                <w:color w:val="000000"/>
                <w:spacing w:val="-2"/>
              </w:rPr>
              <w:lastRenderedPageBreak/>
              <w:t xml:space="preserve">Wpływ na </w:t>
            </w:r>
            <w:r w:rsidRPr="0069119B">
              <w:rPr>
                <w:rFonts w:eastAsia="Calibri" w:cs="Times New Roman"/>
                <w:b/>
                <w:color w:val="000000"/>
              </w:rPr>
              <w:t xml:space="preserve">konkurencyjność gospodarki i przedsiębiorczość, w tym funkcjonowanie przedsiębiorców oraz na rodzinę, obywateli i gospodarstwa domowe </w:t>
            </w:r>
          </w:p>
        </w:tc>
      </w:tr>
      <w:tr w:rsidR="00352548" w:rsidRPr="0069119B" w14:paraId="3FEFAA9D" w14:textId="77777777" w:rsidTr="00B6663D">
        <w:trPr>
          <w:gridAfter w:val="1"/>
          <w:wAfter w:w="10" w:type="dxa"/>
          <w:trHeight w:val="215"/>
          <w:jc w:val="center"/>
        </w:trPr>
        <w:tc>
          <w:tcPr>
            <w:tcW w:w="10937" w:type="dxa"/>
            <w:gridSpan w:val="29"/>
            <w:shd w:val="clear" w:color="auto" w:fill="FFFFFF"/>
          </w:tcPr>
          <w:p w14:paraId="740005E9" w14:textId="77777777" w:rsidR="00352548" w:rsidRPr="0069119B" w:rsidRDefault="00352548" w:rsidP="00B6663D">
            <w:pPr>
              <w:spacing w:line="240" w:lineRule="auto"/>
              <w:jc w:val="center"/>
              <w:rPr>
                <w:rFonts w:eastAsia="Calibri" w:cs="Times New Roman"/>
                <w:color w:val="000000"/>
                <w:spacing w:val="-2"/>
                <w:sz w:val="21"/>
                <w:szCs w:val="21"/>
              </w:rPr>
            </w:pPr>
            <w:r w:rsidRPr="0069119B">
              <w:rPr>
                <w:rFonts w:eastAsia="Calibri" w:cs="Times New Roman"/>
                <w:color w:val="000000"/>
                <w:spacing w:val="-2"/>
                <w:sz w:val="21"/>
                <w:szCs w:val="21"/>
              </w:rPr>
              <w:t>Skutki</w:t>
            </w:r>
          </w:p>
        </w:tc>
      </w:tr>
      <w:tr w:rsidR="00352548" w:rsidRPr="0069119B" w14:paraId="64AC1616" w14:textId="77777777" w:rsidTr="00B6663D">
        <w:trPr>
          <w:gridAfter w:val="1"/>
          <w:wAfter w:w="10" w:type="dxa"/>
          <w:trHeight w:val="142"/>
          <w:jc w:val="center"/>
        </w:trPr>
        <w:tc>
          <w:tcPr>
            <w:tcW w:w="3889" w:type="dxa"/>
            <w:gridSpan w:val="7"/>
            <w:shd w:val="clear" w:color="auto" w:fill="FFFFFF"/>
          </w:tcPr>
          <w:p w14:paraId="68712352"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Czas w latach od wejścia w życie zmian</w:t>
            </w:r>
          </w:p>
        </w:tc>
        <w:tc>
          <w:tcPr>
            <w:tcW w:w="937" w:type="dxa"/>
            <w:gridSpan w:val="2"/>
            <w:shd w:val="clear" w:color="auto" w:fill="FFFFFF"/>
          </w:tcPr>
          <w:p w14:paraId="5764FC45"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0</w:t>
            </w:r>
          </w:p>
        </w:tc>
        <w:tc>
          <w:tcPr>
            <w:tcW w:w="938" w:type="dxa"/>
            <w:gridSpan w:val="5"/>
            <w:shd w:val="clear" w:color="auto" w:fill="FFFFFF"/>
          </w:tcPr>
          <w:p w14:paraId="582ECA17"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1</w:t>
            </w:r>
          </w:p>
        </w:tc>
        <w:tc>
          <w:tcPr>
            <w:tcW w:w="938" w:type="dxa"/>
            <w:gridSpan w:val="4"/>
            <w:shd w:val="clear" w:color="auto" w:fill="FFFFFF"/>
          </w:tcPr>
          <w:p w14:paraId="160BCB32"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2</w:t>
            </w:r>
          </w:p>
        </w:tc>
        <w:tc>
          <w:tcPr>
            <w:tcW w:w="937" w:type="dxa"/>
            <w:gridSpan w:val="3"/>
            <w:shd w:val="clear" w:color="auto" w:fill="FFFFFF"/>
          </w:tcPr>
          <w:p w14:paraId="5D7EF3C9"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3</w:t>
            </w:r>
          </w:p>
        </w:tc>
        <w:tc>
          <w:tcPr>
            <w:tcW w:w="938" w:type="dxa"/>
            <w:gridSpan w:val="4"/>
            <w:shd w:val="clear" w:color="auto" w:fill="FFFFFF"/>
          </w:tcPr>
          <w:p w14:paraId="6A5B4FD1"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5</w:t>
            </w:r>
          </w:p>
        </w:tc>
        <w:tc>
          <w:tcPr>
            <w:tcW w:w="938" w:type="dxa"/>
            <w:gridSpan w:val="3"/>
            <w:shd w:val="clear" w:color="auto" w:fill="FFFFFF"/>
          </w:tcPr>
          <w:p w14:paraId="4C11F10C" w14:textId="77777777" w:rsidR="00352548" w:rsidRPr="0069119B" w:rsidRDefault="00352548" w:rsidP="00B6663D">
            <w:pPr>
              <w:spacing w:line="240" w:lineRule="auto"/>
              <w:jc w:val="center"/>
              <w:rPr>
                <w:rFonts w:eastAsia="Calibri" w:cs="Times New Roman"/>
                <w:color w:val="000000"/>
                <w:sz w:val="21"/>
                <w:szCs w:val="21"/>
              </w:rPr>
            </w:pPr>
            <w:r w:rsidRPr="0069119B">
              <w:rPr>
                <w:rFonts w:eastAsia="Calibri" w:cs="Times New Roman"/>
                <w:color w:val="000000"/>
                <w:sz w:val="21"/>
                <w:szCs w:val="21"/>
              </w:rPr>
              <w:t>10</w:t>
            </w:r>
          </w:p>
        </w:tc>
        <w:tc>
          <w:tcPr>
            <w:tcW w:w="1422" w:type="dxa"/>
            <w:shd w:val="clear" w:color="auto" w:fill="FFFFFF"/>
          </w:tcPr>
          <w:p w14:paraId="67593751" w14:textId="77777777" w:rsidR="00352548" w:rsidRPr="0069119B" w:rsidRDefault="00352548" w:rsidP="00B6663D">
            <w:pPr>
              <w:spacing w:line="240" w:lineRule="auto"/>
              <w:jc w:val="center"/>
              <w:rPr>
                <w:rFonts w:eastAsia="Calibri" w:cs="Times New Roman"/>
                <w:i/>
                <w:color w:val="000000"/>
                <w:spacing w:val="-2"/>
                <w:sz w:val="21"/>
                <w:szCs w:val="21"/>
              </w:rPr>
            </w:pPr>
            <w:r w:rsidRPr="0069119B">
              <w:rPr>
                <w:rFonts w:eastAsia="Calibri" w:cs="Times New Roman"/>
                <w:i/>
                <w:color w:val="000000"/>
                <w:spacing w:val="-2"/>
                <w:sz w:val="21"/>
                <w:szCs w:val="21"/>
              </w:rPr>
              <w:t>Łącznie</w:t>
            </w:r>
            <w:r w:rsidRPr="0069119B" w:rsidDel="0073273A">
              <w:rPr>
                <w:rFonts w:eastAsia="Calibri" w:cs="Times New Roman"/>
                <w:i/>
                <w:color w:val="000000"/>
                <w:spacing w:val="-2"/>
                <w:sz w:val="21"/>
                <w:szCs w:val="21"/>
              </w:rPr>
              <w:t xml:space="preserve"> </w:t>
            </w:r>
            <w:r w:rsidRPr="0069119B">
              <w:rPr>
                <w:rFonts w:eastAsia="Calibri" w:cs="Times New Roman"/>
                <w:i/>
                <w:color w:val="000000"/>
                <w:spacing w:val="-2"/>
                <w:sz w:val="21"/>
                <w:szCs w:val="21"/>
              </w:rPr>
              <w:t>(0-10)</w:t>
            </w:r>
          </w:p>
        </w:tc>
      </w:tr>
      <w:tr w:rsidR="00352548" w:rsidRPr="0069119B" w14:paraId="2F20090D" w14:textId="77777777" w:rsidTr="00B6663D">
        <w:trPr>
          <w:gridAfter w:val="1"/>
          <w:wAfter w:w="10" w:type="dxa"/>
          <w:trHeight w:val="142"/>
          <w:jc w:val="center"/>
        </w:trPr>
        <w:tc>
          <w:tcPr>
            <w:tcW w:w="1596" w:type="dxa"/>
            <w:vMerge w:val="restart"/>
            <w:shd w:val="clear" w:color="auto" w:fill="FFFFFF"/>
          </w:tcPr>
          <w:p w14:paraId="38D826E7" w14:textId="77777777" w:rsidR="00352548" w:rsidRPr="0069119B" w:rsidRDefault="00352548" w:rsidP="00B6663D">
            <w:pPr>
              <w:spacing w:line="252" w:lineRule="auto"/>
              <w:rPr>
                <w:rFonts w:eastAsia="Calibri" w:cs="Times New Roman"/>
                <w:color w:val="000000"/>
                <w:sz w:val="21"/>
                <w:szCs w:val="21"/>
              </w:rPr>
            </w:pPr>
            <w:r w:rsidRPr="0069119B">
              <w:rPr>
                <w:rFonts w:eastAsia="Calibri" w:cs="Times New Roman"/>
                <w:color w:val="000000"/>
                <w:sz w:val="21"/>
                <w:szCs w:val="21"/>
              </w:rPr>
              <w:t>W ujęciu pieniężnym</w:t>
            </w:r>
          </w:p>
          <w:p w14:paraId="57594EBF" w14:textId="77777777" w:rsidR="00352548" w:rsidRPr="0069119B" w:rsidRDefault="00352548" w:rsidP="00B6663D">
            <w:pPr>
              <w:spacing w:line="252" w:lineRule="auto"/>
              <w:rPr>
                <w:rFonts w:eastAsia="Calibri" w:cs="Times New Roman"/>
                <w:spacing w:val="-2"/>
                <w:sz w:val="21"/>
                <w:szCs w:val="21"/>
              </w:rPr>
            </w:pPr>
            <w:r w:rsidRPr="0069119B">
              <w:rPr>
                <w:rFonts w:eastAsia="Calibri" w:cs="Times New Roman"/>
                <w:spacing w:val="-2"/>
                <w:sz w:val="21"/>
                <w:szCs w:val="21"/>
              </w:rPr>
              <w:t xml:space="preserve">(w mln zł, </w:t>
            </w:r>
          </w:p>
          <w:p w14:paraId="182EE5A2"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spacing w:val="-2"/>
                <w:sz w:val="21"/>
                <w:szCs w:val="21"/>
              </w:rPr>
              <w:t>ceny stałe z … r.)</w:t>
            </w:r>
          </w:p>
        </w:tc>
        <w:tc>
          <w:tcPr>
            <w:tcW w:w="2293" w:type="dxa"/>
            <w:gridSpan w:val="6"/>
            <w:shd w:val="clear" w:color="auto" w:fill="FFFFFF"/>
          </w:tcPr>
          <w:p w14:paraId="5A2C2F13"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duże przedsiębiorstwa</w:t>
            </w:r>
          </w:p>
        </w:tc>
        <w:tc>
          <w:tcPr>
            <w:tcW w:w="937" w:type="dxa"/>
            <w:gridSpan w:val="2"/>
            <w:shd w:val="clear" w:color="auto" w:fill="FFFFFF"/>
          </w:tcPr>
          <w:p w14:paraId="6C16C0B8"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2,5</w:t>
            </w:r>
          </w:p>
        </w:tc>
        <w:tc>
          <w:tcPr>
            <w:tcW w:w="938" w:type="dxa"/>
            <w:gridSpan w:val="5"/>
            <w:shd w:val="clear" w:color="auto" w:fill="FFFFFF"/>
          </w:tcPr>
          <w:p w14:paraId="3FEC445C"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5</w:t>
            </w:r>
          </w:p>
        </w:tc>
        <w:tc>
          <w:tcPr>
            <w:tcW w:w="938" w:type="dxa"/>
            <w:gridSpan w:val="4"/>
            <w:shd w:val="clear" w:color="auto" w:fill="FFFFFF"/>
          </w:tcPr>
          <w:p w14:paraId="66075E74"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1,4</w:t>
            </w:r>
          </w:p>
        </w:tc>
        <w:tc>
          <w:tcPr>
            <w:tcW w:w="937" w:type="dxa"/>
            <w:gridSpan w:val="3"/>
            <w:shd w:val="clear" w:color="auto" w:fill="FFFFFF"/>
          </w:tcPr>
          <w:p w14:paraId="43BF6A99"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-2,2</w:t>
            </w:r>
          </w:p>
        </w:tc>
        <w:tc>
          <w:tcPr>
            <w:tcW w:w="938" w:type="dxa"/>
            <w:gridSpan w:val="4"/>
            <w:shd w:val="clear" w:color="auto" w:fill="FFFFFF"/>
          </w:tcPr>
          <w:p w14:paraId="21693CFC"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-9,4</w:t>
            </w:r>
          </w:p>
        </w:tc>
        <w:tc>
          <w:tcPr>
            <w:tcW w:w="938" w:type="dxa"/>
            <w:gridSpan w:val="3"/>
            <w:shd w:val="clear" w:color="auto" w:fill="FFFFFF"/>
          </w:tcPr>
          <w:p w14:paraId="5D555B5F"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-27,4</w:t>
            </w:r>
          </w:p>
        </w:tc>
        <w:tc>
          <w:tcPr>
            <w:tcW w:w="1422" w:type="dxa"/>
            <w:shd w:val="clear" w:color="auto" w:fill="FFFFFF"/>
          </w:tcPr>
          <w:p w14:paraId="2E9F44D2" w14:textId="77777777" w:rsidR="00352548" w:rsidRPr="0069119B" w:rsidRDefault="00352548" w:rsidP="00B6663D">
            <w:pPr>
              <w:spacing w:line="240" w:lineRule="auto"/>
              <w:rPr>
                <w:rFonts w:eastAsia="Calibri" w:cs="Times New Roman"/>
                <w:color w:val="000000"/>
                <w:spacing w:val="-2"/>
                <w:sz w:val="21"/>
                <w:szCs w:val="21"/>
              </w:rPr>
            </w:pPr>
            <w:r w:rsidRPr="0069119B">
              <w:rPr>
                <w:rFonts w:eastAsia="Calibri" w:cs="Times New Roman"/>
                <w:color w:val="000000"/>
                <w:spacing w:val="-2"/>
                <w:sz w:val="21"/>
                <w:szCs w:val="21"/>
              </w:rPr>
              <w:t>-107,5</w:t>
            </w:r>
          </w:p>
        </w:tc>
      </w:tr>
      <w:tr w:rsidR="00352548" w:rsidRPr="0069119B" w14:paraId="2EE4F349" w14:textId="77777777" w:rsidTr="00B6663D">
        <w:trPr>
          <w:gridAfter w:val="1"/>
          <w:wAfter w:w="10" w:type="dxa"/>
          <w:trHeight w:val="142"/>
          <w:jc w:val="center"/>
        </w:trPr>
        <w:tc>
          <w:tcPr>
            <w:tcW w:w="1596" w:type="dxa"/>
            <w:vMerge/>
            <w:shd w:val="clear" w:color="auto" w:fill="FFFFFF"/>
          </w:tcPr>
          <w:p w14:paraId="7B080C9D"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7ED8DB84"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sektor mikro-, małych i średnich przedsiębiorstw</w:t>
            </w:r>
          </w:p>
        </w:tc>
        <w:tc>
          <w:tcPr>
            <w:tcW w:w="937" w:type="dxa"/>
            <w:gridSpan w:val="2"/>
            <w:shd w:val="clear" w:color="auto" w:fill="FFFFFF"/>
          </w:tcPr>
          <w:p w14:paraId="606A5A27"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5"/>
            <w:shd w:val="clear" w:color="auto" w:fill="FFFFFF"/>
          </w:tcPr>
          <w:p w14:paraId="6B11661A"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4"/>
            <w:shd w:val="clear" w:color="auto" w:fill="FFFFFF"/>
          </w:tcPr>
          <w:p w14:paraId="1586EEC8"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7" w:type="dxa"/>
            <w:gridSpan w:val="3"/>
            <w:shd w:val="clear" w:color="auto" w:fill="FFFFFF"/>
          </w:tcPr>
          <w:p w14:paraId="74832188"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4"/>
            <w:shd w:val="clear" w:color="auto" w:fill="FFFFFF"/>
          </w:tcPr>
          <w:p w14:paraId="65AA450E"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3"/>
            <w:shd w:val="clear" w:color="auto" w:fill="FFFFFF"/>
          </w:tcPr>
          <w:p w14:paraId="50282498"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1422" w:type="dxa"/>
            <w:shd w:val="clear" w:color="auto" w:fill="FFFFFF"/>
          </w:tcPr>
          <w:p w14:paraId="2F10B463" w14:textId="77777777" w:rsidR="00352548" w:rsidRPr="0069119B" w:rsidRDefault="00352548" w:rsidP="00B6663D">
            <w:pPr>
              <w:spacing w:line="240" w:lineRule="auto"/>
              <w:rPr>
                <w:rFonts w:eastAsia="Calibri" w:cs="Times New Roman"/>
                <w:color w:val="000000"/>
                <w:spacing w:val="-2"/>
                <w:sz w:val="20"/>
              </w:rPr>
            </w:pPr>
            <w:r w:rsidRPr="0069119B">
              <w:rPr>
                <w:rFonts w:eastAsia="Calibri" w:cs="Times New Roman"/>
                <w:color w:val="000000"/>
                <w:sz w:val="20"/>
              </w:rPr>
              <w:t>0</w:t>
            </w:r>
          </w:p>
        </w:tc>
      </w:tr>
      <w:tr w:rsidR="00352548" w:rsidRPr="0069119B" w14:paraId="19A80FAA" w14:textId="77777777" w:rsidTr="00B6663D">
        <w:trPr>
          <w:gridAfter w:val="1"/>
          <w:wAfter w:w="10" w:type="dxa"/>
          <w:trHeight w:val="142"/>
          <w:jc w:val="center"/>
        </w:trPr>
        <w:tc>
          <w:tcPr>
            <w:tcW w:w="1596" w:type="dxa"/>
            <w:vMerge/>
            <w:shd w:val="clear" w:color="auto" w:fill="FFFFFF"/>
          </w:tcPr>
          <w:p w14:paraId="20560FA3"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20A2AB12"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sz w:val="21"/>
                <w:szCs w:val="21"/>
              </w:rPr>
              <w:t>rodzina, obywatele oraz gospodarstwa domowe</w:t>
            </w:r>
          </w:p>
        </w:tc>
        <w:tc>
          <w:tcPr>
            <w:tcW w:w="937" w:type="dxa"/>
            <w:gridSpan w:val="2"/>
            <w:shd w:val="clear" w:color="auto" w:fill="FFFFFF"/>
          </w:tcPr>
          <w:p w14:paraId="1B8996A0"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5"/>
            <w:shd w:val="clear" w:color="auto" w:fill="FFFFFF"/>
          </w:tcPr>
          <w:p w14:paraId="08643DBD"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4"/>
            <w:shd w:val="clear" w:color="auto" w:fill="FFFFFF"/>
          </w:tcPr>
          <w:p w14:paraId="08A12553"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7" w:type="dxa"/>
            <w:gridSpan w:val="3"/>
            <w:shd w:val="clear" w:color="auto" w:fill="FFFFFF"/>
          </w:tcPr>
          <w:p w14:paraId="29219455"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4"/>
            <w:shd w:val="clear" w:color="auto" w:fill="FFFFFF"/>
          </w:tcPr>
          <w:p w14:paraId="084436AE"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938" w:type="dxa"/>
            <w:gridSpan w:val="3"/>
            <w:shd w:val="clear" w:color="auto" w:fill="FFFFFF"/>
          </w:tcPr>
          <w:p w14:paraId="3BF274B9" w14:textId="77777777" w:rsidR="00352548" w:rsidRPr="0069119B" w:rsidRDefault="00352548" w:rsidP="00B6663D">
            <w:pPr>
              <w:spacing w:line="240" w:lineRule="auto"/>
              <w:rPr>
                <w:rFonts w:eastAsia="Calibri" w:cs="Times New Roman"/>
                <w:color w:val="000000"/>
                <w:sz w:val="20"/>
              </w:rPr>
            </w:pPr>
            <w:r w:rsidRPr="0069119B">
              <w:rPr>
                <w:rFonts w:eastAsia="Calibri" w:cs="Times New Roman"/>
                <w:color w:val="000000"/>
                <w:sz w:val="20"/>
              </w:rPr>
              <w:t>0</w:t>
            </w:r>
          </w:p>
        </w:tc>
        <w:tc>
          <w:tcPr>
            <w:tcW w:w="1422" w:type="dxa"/>
            <w:shd w:val="clear" w:color="auto" w:fill="FFFFFF"/>
          </w:tcPr>
          <w:p w14:paraId="5F74A9EF" w14:textId="77777777" w:rsidR="00352548" w:rsidRPr="0069119B" w:rsidRDefault="00352548" w:rsidP="00B6663D">
            <w:pPr>
              <w:spacing w:line="240" w:lineRule="auto"/>
              <w:rPr>
                <w:rFonts w:eastAsia="Calibri" w:cs="Times New Roman"/>
                <w:color w:val="000000"/>
                <w:spacing w:val="-2"/>
                <w:sz w:val="20"/>
              </w:rPr>
            </w:pPr>
            <w:r w:rsidRPr="0069119B">
              <w:rPr>
                <w:rFonts w:eastAsia="Calibri" w:cs="Times New Roman"/>
                <w:color w:val="000000"/>
                <w:sz w:val="20"/>
              </w:rPr>
              <w:t>0</w:t>
            </w:r>
          </w:p>
        </w:tc>
      </w:tr>
      <w:tr w:rsidR="00352548" w:rsidRPr="0069119B" w14:paraId="49A1C44D" w14:textId="77777777" w:rsidTr="00B6663D">
        <w:trPr>
          <w:gridAfter w:val="1"/>
          <w:wAfter w:w="10" w:type="dxa"/>
          <w:trHeight w:val="142"/>
          <w:jc w:val="center"/>
        </w:trPr>
        <w:tc>
          <w:tcPr>
            <w:tcW w:w="1596" w:type="dxa"/>
            <w:vMerge/>
            <w:shd w:val="clear" w:color="auto" w:fill="FFFFFF"/>
          </w:tcPr>
          <w:p w14:paraId="5F6DBE6E"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102F5B5B"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119B">
              <w:rPr>
                <w:rFonts w:eastAsia="Calibri" w:cs="Times New Roman"/>
                <w:color w:val="000000"/>
                <w:sz w:val="21"/>
                <w:szCs w:val="21"/>
              </w:rPr>
              <w:instrText xml:space="preserve"> FORMTEXT </w:instrText>
            </w:r>
            <w:r w:rsidRPr="0069119B">
              <w:rPr>
                <w:rFonts w:eastAsia="Calibri" w:cs="Times New Roman"/>
                <w:color w:val="000000"/>
                <w:sz w:val="21"/>
                <w:szCs w:val="21"/>
              </w:rPr>
            </w:r>
            <w:r w:rsidRPr="0069119B">
              <w:rPr>
                <w:rFonts w:eastAsia="Calibri" w:cs="Times New Roman"/>
                <w:color w:val="000000"/>
                <w:sz w:val="21"/>
                <w:szCs w:val="21"/>
              </w:rPr>
              <w:fldChar w:fldCharType="separate"/>
            </w:r>
            <w:r w:rsidRPr="0069119B">
              <w:rPr>
                <w:rFonts w:eastAsia="Calibri" w:cs="Times New Roman"/>
                <w:noProof/>
                <w:color w:val="000000"/>
                <w:sz w:val="21"/>
                <w:szCs w:val="21"/>
              </w:rPr>
              <w:t>(dodaj/usuń)</w:t>
            </w:r>
            <w:r w:rsidRPr="0069119B">
              <w:rPr>
                <w:rFonts w:eastAsia="Calibri" w:cs="Times New Roman"/>
                <w:color w:val="000000"/>
                <w:sz w:val="21"/>
                <w:szCs w:val="21"/>
              </w:rPr>
              <w:fldChar w:fldCharType="end"/>
            </w:r>
          </w:p>
        </w:tc>
        <w:tc>
          <w:tcPr>
            <w:tcW w:w="937" w:type="dxa"/>
            <w:gridSpan w:val="2"/>
            <w:shd w:val="clear" w:color="auto" w:fill="FFFFFF"/>
          </w:tcPr>
          <w:p w14:paraId="03D059ED" w14:textId="77777777" w:rsidR="00352548" w:rsidRPr="0069119B" w:rsidRDefault="00352548" w:rsidP="00B6663D">
            <w:pPr>
              <w:spacing w:line="240" w:lineRule="auto"/>
              <w:rPr>
                <w:rFonts w:eastAsia="Calibri" w:cs="Times New Roman"/>
                <w:color w:val="000000"/>
                <w:sz w:val="21"/>
                <w:szCs w:val="21"/>
              </w:rPr>
            </w:pPr>
          </w:p>
        </w:tc>
        <w:tc>
          <w:tcPr>
            <w:tcW w:w="938" w:type="dxa"/>
            <w:gridSpan w:val="5"/>
            <w:shd w:val="clear" w:color="auto" w:fill="FFFFFF"/>
          </w:tcPr>
          <w:p w14:paraId="6B167E7C" w14:textId="77777777" w:rsidR="00352548" w:rsidRPr="0069119B" w:rsidRDefault="00352548" w:rsidP="00B6663D">
            <w:pPr>
              <w:spacing w:line="240" w:lineRule="auto"/>
              <w:rPr>
                <w:rFonts w:eastAsia="Calibri" w:cs="Times New Roman"/>
                <w:color w:val="000000"/>
                <w:sz w:val="21"/>
                <w:szCs w:val="21"/>
              </w:rPr>
            </w:pPr>
          </w:p>
        </w:tc>
        <w:tc>
          <w:tcPr>
            <w:tcW w:w="938" w:type="dxa"/>
            <w:gridSpan w:val="4"/>
            <w:shd w:val="clear" w:color="auto" w:fill="FFFFFF"/>
          </w:tcPr>
          <w:p w14:paraId="58FF4D63" w14:textId="77777777" w:rsidR="00352548" w:rsidRPr="0069119B" w:rsidRDefault="00352548" w:rsidP="00B6663D">
            <w:pPr>
              <w:spacing w:line="240" w:lineRule="auto"/>
              <w:rPr>
                <w:rFonts w:eastAsia="Calibri" w:cs="Times New Roman"/>
                <w:color w:val="000000"/>
                <w:sz w:val="21"/>
                <w:szCs w:val="21"/>
              </w:rPr>
            </w:pPr>
          </w:p>
        </w:tc>
        <w:tc>
          <w:tcPr>
            <w:tcW w:w="937" w:type="dxa"/>
            <w:gridSpan w:val="3"/>
            <w:shd w:val="clear" w:color="auto" w:fill="FFFFFF"/>
          </w:tcPr>
          <w:p w14:paraId="5548AFFF" w14:textId="77777777" w:rsidR="00352548" w:rsidRPr="0069119B" w:rsidRDefault="00352548" w:rsidP="00B6663D">
            <w:pPr>
              <w:spacing w:line="240" w:lineRule="auto"/>
              <w:rPr>
                <w:rFonts w:eastAsia="Calibri" w:cs="Times New Roman"/>
                <w:color w:val="000000"/>
                <w:sz w:val="21"/>
                <w:szCs w:val="21"/>
              </w:rPr>
            </w:pPr>
          </w:p>
        </w:tc>
        <w:tc>
          <w:tcPr>
            <w:tcW w:w="938" w:type="dxa"/>
            <w:gridSpan w:val="4"/>
            <w:shd w:val="clear" w:color="auto" w:fill="FFFFFF"/>
          </w:tcPr>
          <w:p w14:paraId="6094AC17" w14:textId="77777777" w:rsidR="00352548" w:rsidRPr="0069119B" w:rsidRDefault="00352548" w:rsidP="00B6663D">
            <w:pPr>
              <w:spacing w:line="240" w:lineRule="auto"/>
              <w:rPr>
                <w:rFonts w:eastAsia="Calibri" w:cs="Times New Roman"/>
                <w:color w:val="000000"/>
                <w:sz w:val="21"/>
                <w:szCs w:val="21"/>
              </w:rPr>
            </w:pPr>
          </w:p>
        </w:tc>
        <w:tc>
          <w:tcPr>
            <w:tcW w:w="938" w:type="dxa"/>
            <w:gridSpan w:val="3"/>
            <w:shd w:val="clear" w:color="auto" w:fill="FFFFFF"/>
          </w:tcPr>
          <w:p w14:paraId="429AE21F" w14:textId="77777777" w:rsidR="00352548" w:rsidRPr="0069119B" w:rsidRDefault="00352548" w:rsidP="00B6663D">
            <w:pPr>
              <w:spacing w:line="240" w:lineRule="auto"/>
              <w:rPr>
                <w:rFonts w:eastAsia="Calibri" w:cs="Times New Roman"/>
                <w:color w:val="000000"/>
                <w:sz w:val="21"/>
                <w:szCs w:val="21"/>
              </w:rPr>
            </w:pPr>
          </w:p>
        </w:tc>
        <w:tc>
          <w:tcPr>
            <w:tcW w:w="1422" w:type="dxa"/>
            <w:shd w:val="clear" w:color="auto" w:fill="FFFFFF"/>
          </w:tcPr>
          <w:p w14:paraId="4AE18B17" w14:textId="77777777" w:rsidR="00352548" w:rsidRPr="0069119B" w:rsidRDefault="00352548" w:rsidP="00B6663D">
            <w:pPr>
              <w:spacing w:line="240" w:lineRule="auto"/>
              <w:rPr>
                <w:rFonts w:eastAsia="Calibri" w:cs="Times New Roman"/>
                <w:color w:val="000000"/>
                <w:spacing w:val="-2"/>
                <w:sz w:val="21"/>
                <w:szCs w:val="21"/>
              </w:rPr>
            </w:pPr>
          </w:p>
        </w:tc>
      </w:tr>
      <w:tr w:rsidR="00352548" w:rsidRPr="0069119B" w14:paraId="2299BEE7" w14:textId="77777777" w:rsidTr="00B6663D">
        <w:trPr>
          <w:gridAfter w:val="1"/>
          <w:wAfter w:w="10" w:type="dxa"/>
          <w:trHeight w:val="142"/>
          <w:jc w:val="center"/>
        </w:trPr>
        <w:tc>
          <w:tcPr>
            <w:tcW w:w="1596" w:type="dxa"/>
            <w:vMerge w:val="restart"/>
            <w:shd w:val="clear" w:color="auto" w:fill="FFFFFF"/>
          </w:tcPr>
          <w:p w14:paraId="5DF49ABB"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W ujęciu niepieniężnym</w:t>
            </w:r>
          </w:p>
        </w:tc>
        <w:tc>
          <w:tcPr>
            <w:tcW w:w="2293" w:type="dxa"/>
            <w:gridSpan w:val="6"/>
            <w:shd w:val="clear" w:color="auto" w:fill="FFFFFF"/>
          </w:tcPr>
          <w:p w14:paraId="0BE0F332"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duże przedsiębiorstwa</w:t>
            </w:r>
          </w:p>
        </w:tc>
        <w:tc>
          <w:tcPr>
            <w:tcW w:w="7048" w:type="dxa"/>
            <w:gridSpan w:val="22"/>
            <w:shd w:val="clear" w:color="auto" w:fill="FFFFFF"/>
          </w:tcPr>
          <w:p w14:paraId="4FDE70EC" w14:textId="77777777" w:rsidR="00352548" w:rsidRDefault="00352548" w:rsidP="00B6663D">
            <w:pPr>
              <w:spacing w:line="240" w:lineRule="auto"/>
              <w:rPr>
                <w:rFonts w:eastAsia="Calibri" w:cs="Times New Roman"/>
                <w:color w:val="000000"/>
                <w:spacing w:val="-2"/>
              </w:rPr>
            </w:pPr>
            <w:r w:rsidRPr="0069119B">
              <w:rPr>
                <w:rFonts w:eastAsia="Calibri" w:cs="Times New Roman"/>
                <w:color w:val="000000"/>
                <w:spacing w:val="-2"/>
                <w:sz w:val="21"/>
                <w:szCs w:val="21"/>
              </w:rPr>
              <w:t xml:space="preserve">Przedsiębiorcy telekomunikacyjni zostaną </w:t>
            </w:r>
            <w:r w:rsidRPr="0069119B">
              <w:rPr>
                <w:rFonts w:eastAsia="Calibri" w:cs="Times New Roman"/>
                <w:color w:val="000000"/>
                <w:spacing w:val="-2"/>
              </w:rPr>
              <w:t>zobowiązani do uruchomienia Mobile Connect i nieopłatnego świadczenia tej usługi na rzecz profilu zaufanego. Nie będą mieli dochodów z smsów za wysyłanie kodów autoryzacyjnych.</w:t>
            </w:r>
            <w:r>
              <w:rPr>
                <w:rFonts w:eastAsia="Calibri" w:cs="Times New Roman"/>
                <w:color w:val="000000"/>
                <w:spacing w:val="-2"/>
              </w:rPr>
              <w:t xml:space="preserve"> Przedsiębiorcy będą również zobligowani do nieodpłatnego wysyłania komunikatów informacyjnych do obywateli.</w:t>
            </w:r>
          </w:p>
          <w:p w14:paraId="239EEA93" w14:textId="77777777" w:rsidR="00352548" w:rsidRPr="0069119B" w:rsidRDefault="00352548" w:rsidP="00B6663D">
            <w:pPr>
              <w:spacing w:line="240" w:lineRule="auto"/>
              <w:rPr>
                <w:rFonts w:eastAsia="Calibri" w:cs="Times New Roman"/>
                <w:color w:val="000000"/>
                <w:spacing w:val="-2"/>
                <w:sz w:val="21"/>
                <w:szCs w:val="21"/>
              </w:rPr>
            </w:pPr>
            <w:r w:rsidRPr="0069119B">
              <w:rPr>
                <w:rFonts w:eastAsia="Calibri" w:cs="Times New Roman"/>
                <w:color w:val="000000"/>
                <w:spacing w:val="-2"/>
              </w:rPr>
              <w:t>Powyższe zostanie zrównoważone dzięki obniżeniu opłaty za numerację. Zakłada się równowagę w tym zakresie to znaczy przedsiębiorca nie straci i nie zyska lub będą to niewielkie wahania.</w:t>
            </w:r>
          </w:p>
        </w:tc>
      </w:tr>
      <w:tr w:rsidR="00352548" w:rsidRPr="0069119B" w14:paraId="126CC06E" w14:textId="77777777" w:rsidTr="00B6663D">
        <w:trPr>
          <w:gridAfter w:val="1"/>
          <w:wAfter w:w="10" w:type="dxa"/>
          <w:trHeight w:val="142"/>
          <w:jc w:val="center"/>
        </w:trPr>
        <w:tc>
          <w:tcPr>
            <w:tcW w:w="1596" w:type="dxa"/>
            <w:vMerge/>
            <w:shd w:val="clear" w:color="auto" w:fill="FFFFFF"/>
          </w:tcPr>
          <w:p w14:paraId="7F3D71EA"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73482194"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sektor mikro-, małych i średnich przedsiębiorstw</w:t>
            </w:r>
          </w:p>
        </w:tc>
        <w:tc>
          <w:tcPr>
            <w:tcW w:w="7048" w:type="dxa"/>
            <w:gridSpan w:val="22"/>
            <w:shd w:val="clear" w:color="auto" w:fill="FFFFFF"/>
          </w:tcPr>
          <w:p w14:paraId="313D2978" w14:textId="77777777" w:rsidR="00352548" w:rsidRPr="0069119B" w:rsidRDefault="00352548" w:rsidP="00B6663D">
            <w:pPr>
              <w:spacing w:line="240" w:lineRule="auto"/>
              <w:rPr>
                <w:rFonts w:eastAsia="Calibri" w:cs="Times New Roman"/>
                <w:color w:val="000000"/>
                <w:spacing w:val="-2"/>
                <w:sz w:val="21"/>
                <w:szCs w:val="21"/>
              </w:rPr>
            </w:pPr>
            <w:r w:rsidRPr="0069119B">
              <w:rPr>
                <w:rFonts w:eastAsia="Times New Roman" w:cs="Times New Roman"/>
                <w:szCs w:val="24"/>
              </w:rPr>
              <w:t>Wybór nowego wygodniejszego i bezpiecznego mechanizmu uwierzytelniania (Mobile Connect) z wykorzystaniem telefonu komórkowego, bez potrzeby zmiany tego telefonu.</w:t>
            </w:r>
          </w:p>
        </w:tc>
      </w:tr>
      <w:tr w:rsidR="00352548" w:rsidRPr="0069119B" w14:paraId="69C159B5" w14:textId="77777777" w:rsidTr="00B6663D">
        <w:trPr>
          <w:gridAfter w:val="1"/>
          <w:wAfter w:w="10" w:type="dxa"/>
          <w:trHeight w:val="596"/>
          <w:jc w:val="center"/>
        </w:trPr>
        <w:tc>
          <w:tcPr>
            <w:tcW w:w="1596" w:type="dxa"/>
            <w:vMerge/>
            <w:shd w:val="clear" w:color="auto" w:fill="FFFFFF"/>
          </w:tcPr>
          <w:p w14:paraId="711EFBA6"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4CA8F847" w14:textId="77777777" w:rsidR="00352548" w:rsidRPr="0069119B" w:rsidRDefault="00352548" w:rsidP="00B6663D">
            <w:pPr>
              <w:tabs>
                <w:tab w:val="right" w:pos="1936"/>
              </w:tabs>
              <w:spacing w:line="240" w:lineRule="auto"/>
              <w:rPr>
                <w:rFonts w:eastAsia="Calibri" w:cs="Times New Roman"/>
                <w:color w:val="000000"/>
                <w:sz w:val="21"/>
                <w:szCs w:val="21"/>
              </w:rPr>
            </w:pPr>
            <w:r w:rsidRPr="0069119B">
              <w:rPr>
                <w:rFonts w:eastAsia="Calibri" w:cs="Times New Roman"/>
                <w:sz w:val="21"/>
                <w:szCs w:val="21"/>
              </w:rPr>
              <w:t>rodzina, obywatele oraz gospodarstwa domowe</w:t>
            </w:r>
            <w:r w:rsidRPr="0069119B">
              <w:rPr>
                <w:rFonts w:eastAsia="Calibri" w:cs="Times New Roman"/>
                <w:color w:val="000000"/>
                <w:sz w:val="21"/>
                <w:szCs w:val="21"/>
              </w:rPr>
              <w:t xml:space="preserve"> </w:t>
            </w:r>
          </w:p>
        </w:tc>
        <w:tc>
          <w:tcPr>
            <w:tcW w:w="7048" w:type="dxa"/>
            <w:gridSpan w:val="22"/>
            <w:shd w:val="clear" w:color="auto" w:fill="FFFFFF"/>
          </w:tcPr>
          <w:p w14:paraId="0949A811" w14:textId="77777777" w:rsidR="00352548" w:rsidRPr="0069119B" w:rsidRDefault="00352548" w:rsidP="00B6663D">
            <w:pPr>
              <w:spacing w:line="240" w:lineRule="auto"/>
              <w:rPr>
                <w:rFonts w:eastAsia="Calibri" w:cs="Times New Roman"/>
                <w:color w:val="000000"/>
                <w:spacing w:val="-2"/>
                <w:sz w:val="21"/>
                <w:szCs w:val="21"/>
              </w:rPr>
            </w:pPr>
            <w:r w:rsidRPr="0069119B">
              <w:rPr>
                <w:rFonts w:eastAsia="Times New Roman" w:cs="Times New Roman"/>
                <w:szCs w:val="24"/>
              </w:rPr>
              <w:t>Wybór nowego wygodniejszego i bezpiecznego mechanizmu uwierzytelniania (Mobile Connect) z wykorzystaniem telefonu komórkowego, bez potrzeby zmiany tego telefonu</w:t>
            </w:r>
          </w:p>
        </w:tc>
      </w:tr>
      <w:tr w:rsidR="00352548" w:rsidRPr="0069119B" w14:paraId="68BEBEF7" w14:textId="77777777" w:rsidTr="00B6663D">
        <w:trPr>
          <w:gridAfter w:val="1"/>
          <w:wAfter w:w="10" w:type="dxa"/>
          <w:trHeight w:val="240"/>
          <w:jc w:val="center"/>
        </w:trPr>
        <w:tc>
          <w:tcPr>
            <w:tcW w:w="1596" w:type="dxa"/>
            <w:vMerge/>
            <w:shd w:val="clear" w:color="auto" w:fill="FFFFFF"/>
          </w:tcPr>
          <w:p w14:paraId="399B642C"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195EC9A6" w14:textId="77777777" w:rsidR="00352548" w:rsidRPr="0069119B" w:rsidRDefault="00352548" w:rsidP="00B6663D">
            <w:pPr>
              <w:tabs>
                <w:tab w:val="right" w:pos="1936"/>
              </w:tabs>
              <w:spacing w:line="252" w:lineRule="auto"/>
              <w:rPr>
                <w:rFonts w:eastAsia="Calibri" w:cs="Times New Roman"/>
                <w:sz w:val="21"/>
                <w:szCs w:val="21"/>
              </w:rPr>
            </w:pPr>
            <w:r w:rsidRPr="0069119B">
              <w:rPr>
                <w:rFonts w:eastAsia="Calibri"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119B">
              <w:rPr>
                <w:rFonts w:eastAsia="Calibri" w:cs="Times New Roman"/>
                <w:color w:val="000000"/>
                <w:sz w:val="21"/>
                <w:szCs w:val="21"/>
              </w:rPr>
              <w:instrText xml:space="preserve"> FORMTEXT </w:instrText>
            </w:r>
            <w:r w:rsidRPr="0069119B">
              <w:rPr>
                <w:rFonts w:eastAsia="Calibri" w:cs="Times New Roman"/>
                <w:color w:val="000000"/>
                <w:sz w:val="21"/>
                <w:szCs w:val="21"/>
              </w:rPr>
            </w:r>
            <w:r w:rsidRPr="0069119B">
              <w:rPr>
                <w:rFonts w:eastAsia="Calibri" w:cs="Times New Roman"/>
                <w:color w:val="000000"/>
                <w:sz w:val="21"/>
                <w:szCs w:val="21"/>
              </w:rPr>
              <w:fldChar w:fldCharType="separate"/>
            </w:r>
            <w:r w:rsidRPr="0069119B">
              <w:rPr>
                <w:rFonts w:eastAsia="Calibri" w:cs="Times New Roman"/>
                <w:noProof/>
                <w:color w:val="000000"/>
                <w:sz w:val="21"/>
                <w:szCs w:val="21"/>
              </w:rPr>
              <w:t>(dodaj/usuń)</w:t>
            </w:r>
            <w:r w:rsidRPr="0069119B">
              <w:rPr>
                <w:rFonts w:eastAsia="Calibri" w:cs="Times New Roman"/>
                <w:color w:val="000000"/>
                <w:sz w:val="21"/>
                <w:szCs w:val="21"/>
              </w:rPr>
              <w:fldChar w:fldCharType="end"/>
            </w:r>
          </w:p>
        </w:tc>
        <w:tc>
          <w:tcPr>
            <w:tcW w:w="7048" w:type="dxa"/>
            <w:gridSpan w:val="22"/>
            <w:shd w:val="clear" w:color="auto" w:fill="FFFFFF"/>
          </w:tcPr>
          <w:p w14:paraId="646A9ABA" w14:textId="77777777" w:rsidR="00352548" w:rsidRPr="0069119B" w:rsidRDefault="00352548" w:rsidP="00B6663D">
            <w:pPr>
              <w:tabs>
                <w:tab w:val="left" w:pos="3000"/>
              </w:tabs>
              <w:spacing w:line="252" w:lineRule="auto"/>
              <w:rPr>
                <w:rFonts w:eastAsia="Calibri" w:cs="Times New Roman"/>
                <w:color w:val="000000"/>
                <w:spacing w:val="-2"/>
                <w:sz w:val="21"/>
                <w:szCs w:val="21"/>
              </w:rPr>
            </w:pPr>
          </w:p>
        </w:tc>
      </w:tr>
      <w:tr w:rsidR="00352548" w:rsidRPr="0069119B" w14:paraId="1696D179" w14:textId="77777777" w:rsidTr="00B6663D">
        <w:trPr>
          <w:gridAfter w:val="1"/>
          <w:wAfter w:w="10" w:type="dxa"/>
          <w:trHeight w:val="142"/>
          <w:jc w:val="center"/>
        </w:trPr>
        <w:tc>
          <w:tcPr>
            <w:tcW w:w="1596" w:type="dxa"/>
            <w:vMerge w:val="restart"/>
            <w:shd w:val="clear" w:color="auto" w:fill="FFFFFF"/>
          </w:tcPr>
          <w:p w14:paraId="78B0EB0F"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Niemierzalne</w:t>
            </w:r>
          </w:p>
        </w:tc>
        <w:tc>
          <w:tcPr>
            <w:tcW w:w="2293" w:type="dxa"/>
            <w:gridSpan w:val="6"/>
            <w:shd w:val="clear" w:color="auto" w:fill="FFFFFF"/>
          </w:tcPr>
          <w:p w14:paraId="36369CC7"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119B">
              <w:rPr>
                <w:rFonts w:eastAsia="Calibri" w:cs="Times New Roman"/>
                <w:color w:val="000000"/>
                <w:sz w:val="21"/>
                <w:szCs w:val="21"/>
              </w:rPr>
              <w:instrText xml:space="preserve"> FORMTEXT </w:instrText>
            </w:r>
            <w:r w:rsidRPr="0069119B">
              <w:rPr>
                <w:rFonts w:eastAsia="Calibri" w:cs="Times New Roman"/>
                <w:color w:val="000000"/>
                <w:sz w:val="21"/>
                <w:szCs w:val="21"/>
              </w:rPr>
            </w:r>
            <w:r w:rsidRPr="0069119B">
              <w:rPr>
                <w:rFonts w:eastAsia="Calibri" w:cs="Times New Roman"/>
                <w:color w:val="000000"/>
                <w:sz w:val="21"/>
                <w:szCs w:val="21"/>
              </w:rPr>
              <w:fldChar w:fldCharType="separate"/>
            </w:r>
            <w:r w:rsidRPr="0069119B">
              <w:rPr>
                <w:rFonts w:eastAsia="Calibri" w:cs="Times New Roman"/>
                <w:noProof/>
                <w:color w:val="000000"/>
                <w:sz w:val="21"/>
                <w:szCs w:val="21"/>
              </w:rPr>
              <w:t>(dodaj/usuń)</w:t>
            </w:r>
            <w:r w:rsidRPr="0069119B">
              <w:rPr>
                <w:rFonts w:eastAsia="Calibri" w:cs="Times New Roman"/>
                <w:color w:val="000000"/>
                <w:sz w:val="21"/>
                <w:szCs w:val="21"/>
              </w:rPr>
              <w:fldChar w:fldCharType="end"/>
            </w:r>
          </w:p>
        </w:tc>
        <w:tc>
          <w:tcPr>
            <w:tcW w:w="7048" w:type="dxa"/>
            <w:gridSpan w:val="22"/>
            <w:shd w:val="clear" w:color="auto" w:fill="FFFFFF"/>
          </w:tcPr>
          <w:p w14:paraId="682961B8" w14:textId="77777777" w:rsidR="00352548" w:rsidRPr="0069119B" w:rsidRDefault="00352548" w:rsidP="00B6663D">
            <w:pPr>
              <w:spacing w:line="240" w:lineRule="auto"/>
              <w:rPr>
                <w:rFonts w:eastAsia="Calibri" w:cs="Times New Roman"/>
                <w:color w:val="000000"/>
                <w:spacing w:val="-2"/>
                <w:sz w:val="21"/>
                <w:szCs w:val="21"/>
              </w:rPr>
            </w:pPr>
          </w:p>
        </w:tc>
      </w:tr>
      <w:tr w:rsidR="00352548" w:rsidRPr="0069119B" w14:paraId="6498F881" w14:textId="77777777" w:rsidTr="00B6663D">
        <w:trPr>
          <w:gridAfter w:val="1"/>
          <w:wAfter w:w="10" w:type="dxa"/>
          <w:trHeight w:val="285"/>
          <w:jc w:val="center"/>
        </w:trPr>
        <w:tc>
          <w:tcPr>
            <w:tcW w:w="1596" w:type="dxa"/>
            <w:vMerge/>
            <w:shd w:val="clear" w:color="auto" w:fill="FFFFFF"/>
          </w:tcPr>
          <w:p w14:paraId="32EECB93" w14:textId="77777777" w:rsidR="00352548" w:rsidRPr="0069119B" w:rsidRDefault="00352548" w:rsidP="00B6663D">
            <w:pPr>
              <w:spacing w:line="240" w:lineRule="auto"/>
              <w:rPr>
                <w:rFonts w:eastAsia="Calibri" w:cs="Times New Roman"/>
                <w:color w:val="000000"/>
                <w:sz w:val="21"/>
                <w:szCs w:val="21"/>
              </w:rPr>
            </w:pPr>
          </w:p>
        </w:tc>
        <w:tc>
          <w:tcPr>
            <w:tcW w:w="2293" w:type="dxa"/>
            <w:gridSpan w:val="6"/>
            <w:shd w:val="clear" w:color="auto" w:fill="FFFFFF"/>
          </w:tcPr>
          <w:p w14:paraId="0E049E39"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9119B">
              <w:rPr>
                <w:rFonts w:eastAsia="Calibri" w:cs="Times New Roman"/>
                <w:color w:val="000000"/>
                <w:sz w:val="21"/>
                <w:szCs w:val="21"/>
              </w:rPr>
              <w:instrText xml:space="preserve"> FORMTEXT </w:instrText>
            </w:r>
            <w:r w:rsidRPr="0069119B">
              <w:rPr>
                <w:rFonts w:eastAsia="Calibri" w:cs="Times New Roman"/>
                <w:color w:val="000000"/>
                <w:sz w:val="21"/>
                <w:szCs w:val="21"/>
              </w:rPr>
            </w:r>
            <w:r w:rsidRPr="0069119B">
              <w:rPr>
                <w:rFonts w:eastAsia="Calibri" w:cs="Times New Roman"/>
                <w:color w:val="000000"/>
                <w:sz w:val="21"/>
                <w:szCs w:val="21"/>
              </w:rPr>
              <w:fldChar w:fldCharType="separate"/>
            </w:r>
            <w:r w:rsidRPr="0069119B">
              <w:rPr>
                <w:rFonts w:eastAsia="Calibri" w:cs="Times New Roman"/>
                <w:noProof/>
                <w:color w:val="000000"/>
                <w:sz w:val="21"/>
                <w:szCs w:val="21"/>
              </w:rPr>
              <w:t>(dodaj/usuń)</w:t>
            </w:r>
            <w:r w:rsidRPr="0069119B">
              <w:rPr>
                <w:rFonts w:eastAsia="Calibri" w:cs="Times New Roman"/>
                <w:color w:val="000000"/>
                <w:sz w:val="21"/>
                <w:szCs w:val="21"/>
              </w:rPr>
              <w:fldChar w:fldCharType="end"/>
            </w:r>
          </w:p>
        </w:tc>
        <w:tc>
          <w:tcPr>
            <w:tcW w:w="7048" w:type="dxa"/>
            <w:gridSpan w:val="22"/>
            <w:shd w:val="clear" w:color="auto" w:fill="FFFFFF"/>
          </w:tcPr>
          <w:p w14:paraId="62369FAF" w14:textId="77777777" w:rsidR="00352548" w:rsidRPr="0069119B" w:rsidRDefault="00352548" w:rsidP="00B6663D">
            <w:pPr>
              <w:spacing w:line="240" w:lineRule="auto"/>
              <w:rPr>
                <w:rFonts w:eastAsia="Calibri" w:cs="Times New Roman"/>
                <w:color w:val="000000"/>
                <w:spacing w:val="-2"/>
                <w:sz w:val="21"/>
                <w:szCs w:val="21"/>
              </w:rPr>
            </w:pPr>
          </w:p>
        </w:tc>
      </w:tr>
      <w:tr w:rsidR="00352548" w:rsidRPr="0069119B" w14:paraId="42ACC7EE" w14:textId="77777777" w:rsidTr="00B6663D">
        <w:trPr>
          <w:gridAfter w:val="1"/>
          <w:wAfter w:w="10" w:type="dxa"/>
          <w:trHeight w:val="1156"/>
          <w:jc w:val="center"/>
        </w:trPr>
        <w:tc>
          <w:tcPr>
            <w:tcW w:w="2243" w:type="dxa"/>
            <w:gridSpan w:val="2"/>
            <w:shd w:val="clear" w:color="auto" w:fill="FFFFFF"/>
          </w:tcPr>
          <w:p w14:paraId="5B825756" w14:textId="77777777" w:rsidR="00352548" w:rsidRPr="0069119B" w:rsidRDefault="00352548" w:rsidP="00B6663D">
            <w:pPr>
              <w:spacing w:line="240" w:lineRule="auto"/>
              <w:rPr>
                <w:rFonts w:eastAsia="Calibri" w:cs="Times New Roman"/>
                <w:color w:val="000000"/>
                <w:sz w:val="21"/>
                <w:szCs w:val="21"/>
              </w:rPr>
            </w:pPr>
            <w:r w:rsidRPr="0069119B">
              <w:rPr>
                <w:rFonts w:eastAsia="Calibri" w:cs="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325D5C5A" w14:textId="1BB00360" w:rsidR="00352548" w:rsidRPr="0069119B" w:rsidRDefault="00352548" w:rsidP="00B6663D">
            <w:pPr>
              <w:spacing w:line="240" w:lineRule="auto"/>
              <w:jc w:val="both"/>
              <w:rPr>
                <w:rFonts w:eastAsia="Calibri" w:cs="Times New Roman"/>
                <w:color w:val="000000"/>
                <w:sz w:val="21"/>
                <w:szCs w:val="21"/>
              </w:rPr>
            </w:pPr>
            <w:r w:rsidRPr="00ED4ADF">
              <w:rPr>
                <w:rFonts w:eastAsia="Calibri" w:cs="Times New Roman"/>
                <w:color w:val="000000"/>
                <w:sz w:val="21"/>
                <w:szCs w:val="21"/>
              </w:rPr>
              <w:t>Podstawa informacji dotyczących podstawy obliczeń przyjętych w OSR znajduje się w załączniku „Obliczenia ws</w:t>
            </w:r>
            <w:r w:rsidR="00F25B7A">
              <w:rPr>
                <w:rFonts w:eastAsia="Calibri" w:cs="Times New Roman"/>
                <w:color w:val="000000"/>
                <w:sz w:val="21"/>
                <w:szCs w:val="21"/>
              </w:rPr>
              <w:t>.</w:t>
            </w:r>
            <w:r w:rsidRPr="00ED4ADF">
              <w:rPr>
                <w:rFonts w:eastAsia="Calibri" w:cs="Times New Roman"/>
                <w:color w:val="000000"/>
                <w:sz w:val="21"/>
                <w:szCs w:val="21"/>
              </w:rPr>
              <w:t xml:space="preserve"> obniżki za numerację w ruchomej i wydatki na SMSy.xlsx”</w:t>
            </w:r>
          </w:p>
        </w:tc>
      </w:tr>
      <w:tr w:rsidR="00352548" w:rsidRPr="0069119B" w14:paraId="101D3792" w14:textId="77777777" w:rsidTr="00B6663D">
        <w:trPr>
          <w:gridAfter w:val="1"/>
          <w:wAfter w:w="10" w:type="dxa"/>
          <w:trHeight w:val="342"/>
          <w:jc w:val="center"/>
        </w:trPr>
        <w:tc>
          <w:tcPr>
            <w:tcW w:w="10937" w:type="dxa"/>
            <w:gridSpan w:val="29"/>
            <w:shd w:val="clear" w:color="auto" w:fill="99CCFF"/>
            <w:vAlign w:val="center"/>
          </w:tcPr>
          <w:p w14:paraId="797ECA20"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rPr>
              <w:t xml:space="preserve"> Zmiana obciążeń regulacyjnych (w tym obowiązków informacyjnych) wynikających z projektu</w:t>
            </w:r>
          </w:p>
        </w:tc>
      </w:tr>
      <w:tr w:rsidR="00352548" w:rsidRPr="0069119B" w14:paraId="5C83B1FB" w14:textId="77777777" w:rsidTr="00B6663D">
        <w:trPr>
          <w:gridAfter w:val="1"/>
          <w:wAfter w:w="10" w:type="dxa"/>
          <w:trHeight w:val="151"/>
          <w:jc w:val="center"/>
        </w:trPr>
        <w:tc>
          <w:tcPr>
            <w:tcW w:w="10937" w:type="dxa"/>
            <w:gridSpan w:val="29"/>
            <w:shd w:val="clear" w:color="auto" w:fill="FFFFFF"/>
          </w:tcPr>
          <w:p w14:paraId="4BE99EF3"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
                  <w:enabled/>
                  <w:calcOnExit w:val="0"/>
                  <w:checkBox>
                    <w:sizeAuto/>
                    <w:default w:val="1"/>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w:t>
            </w:r>
            <w:r w:rsidRPr="0069119B">
              <w:rPr>
                <w:rFonts w:eastAsia="Calibri" w:cs="Times New Roman"/>
                <w:color w:val="000000"/>
                <w:spacing w:val="-2"/>
              </w:rPr>
              <w:t>nie dotyczy</w:t>
            </w:r>
          </w:p>
        </w:tc>
      </w:tr>
      <w:tr w:rsidR="00352548" w:rsidRPr="0069119B" w14:paraId="2486CBE7" w14:textId="77777777" w:rsidTr="00B6663D">
        <w:trPr>
          <w:gridAfter w:val="1"/>
          <w:wAfter w:w="10" w:type="dxa"/>
          <w:trHeight w:val="946"/>
          <w:jc w:val="center"/>
        </w:trPr>
        <w:tc>
          <w:tcPr>
            <w:tcW w:w="5111" w:type="dxa"/>
            <w:gridSpan w:val="12"/>
            <w:shd w:val="clear" w:color="auto" w:fill="FFFFFF"/>
          </w:tcPr>
          <w:p w14:paraId="434FE4FE" w14:textId="77777777" w:rsidR="00352548" w:rsidRPr="0069119B" w:rsidRDefault="00352548" w:rsidP="00B6663D">
            <w:pPr>
              <w:spacing w:line="252" w:lineRule="auto"/>
              <w:rPr>
                <w:rFonts w:eastAsia="Calibri" w:cs="Times New Roman"/>
                <w:color w:val="000000"/>
                <w:spacing w:val="-2"/>
              </w:rPr>
            </w:pPr>
            <w:r w:rsidRPr="0069119B">
              <w:rPr>
                <w:rFonts w:eastAsia="Calibri" w:cs="Times New Roman"/>
                <w:color w:val="000000"/>
                <w:spacing w:val="-2"/>
              </w:rPr>
              <w:t xml:space="preserve">Wprowadzane są obciążenia poza bezwzględnie wymaganymi przez UE </w:t>
            </w:r>
            <w:r w:rsidRPr="0069119B">
              <w:rPr>
                <w:rFonts w:eastAsia="Calibri" w:cs="Times New Roman"/>
                <w:color w:val="000000"/>
              </w:rPr>
              <w:t>(szczegóły w odwróconej tabeli zgodności).</w:t>
            </w:r>
          </w:p>
        </w:tc>
        <w:tc>
          <w:tcPr>
            <w:tcW w:w="5826" w:type="dxa"/>
            <w:gridSpan w:val="17"/>
            <w:shd w:val="clear" w:color="auto" w:fill="FFFFFF"/>
          </w:tcPr>
          <w:p w14:paraId="6B10B2F2"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tak</w:t>
            </w:r>
          </w:p>
          <w:p w14:paraId="7AADE379"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nie</w:t>
            </w:r>
          </w:p>
          <w:p w14:paraId="7BFC9902" w14:textId="77777777" w:rsidR="00352548" w:rsidRPr="0069119B" w:rsidRDefault="00352548" w:rsidP="00B6663D">
            <w:pPr>
              <w:spacing w:line="252" w:lineRule="auto"/>
              <w:rPr>
                <w:rFonts w:eastAsia="Calibri" w:cs="Times New Roman"/>
                <w:color w:val="000000"/>
              </w:rPr>
            </w:pPr>
            <w:r w:rsidRPr="0069119B">
              <w:rPr>
                <w:rFonts w:eastAsia="Calibri" w:cs="Times New Roman"/>
                <w:color w:val="000000"/>
              </w:rPr>
              <w:fldChar w:fldCharType="begin">
                <w:ffData>
                  <w:name w:val=""/>
                  <w:enabled/>
                  <w:calcOnExit w:val="0"/>
                  <w:checkBox>
                    <w:sizeAuto/>
                    <w:default w:val="1"/>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nie dotyczy</w:t>
            </w:r>
          </w:p>
        </w:tc>
      </w:tr>
      <w:tr w:rsidR="00352548" w:rsidRPr="0069119B" w14:paraId="370BB6A7" w14:textId="77777777" w:rsidTr="00B6663D">
        <w:trPr>
          <w:gridAfter w:val="1"/>
          <w:wAfter w:w="10" w:type="dxa"/>
          <w:trHeight w:val="1245"/>
          <w:jc w:val="center"/>
        </w:trPr>
        <w:tc>
          <w:tcPr>
            <w:tcW w:w="5111" w:type="dxa"/>
            <w:gridSpan w:val="12"/>
            <w:shd w:val="clear" w:color="auto" w:fill="FFFFFF"/>
          </w:tcPr>
          <w:p w14:paraId="62491F3A"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lastRenderedPageBreak/>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 xml:space="preserve">zmniejszenie liczby dokumentów </w:t>
            </w:r>
          </w:p>
          <w:p w14:paraId="2A3FEAC2"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zmniejszenie liczby procedur</w:t>
            </w:r>
          </w:p>
          <w:p w14:paraId="711DE386"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skrócenie czasu na załatwienie sprawy</w:t>
            </w:r>
          </w:p>
          <w:p w14:paraId="22AE7DB9" w14:textId="77777777" w:rsidR="00352548" w:rsidRPr="0069119B" w:rsidRDefault="00352548" w:rsidP="00B6663D">
            <w:pPr>
              <w:spacing w:line="252" w:lineRule="auto"/>
              <w:rPr>
                <w:rFonts w:eastAsia="Calibri" w:cs="Times New Roman"/>
                <w:b/>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inne:</w:t>
            </w:r>
            <w:r w:rsidRPr="0069119B">
              <w:rPr>
                <w:rFonts w:eastAsia="Calibri" w:cs="Times New Roman"/>
                <w:color w:val="000000"/>
              </w:rPr>
              <w:t xml:space="preserve"> </w:t>
            </w:r>
            <w:r w:rsidRPr="0069119B">
              <w:rPr>
                <w:rFonts w:eastAsia="Calibri"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119B">
              <w:rPr>
                <w:rFonts w:eastAsia="Calibri" w:cs="Times New Roman"/>
                <w:color w:val="000000"/>
              </w:rPr>
              <w:instrText xml:space="preserve"> FORMTEXT </w:instrText>
            </w:r>
            <w:r w:rsidRPr="0069119B">
              <w:rPr>
                <w:rFonts w:eastAsia="Calibri" w:cs="Times New Roman"/>
                <w:color w:val="000000"/>
              </w:rPr>
            </w:r>
            <w:r w:rsidRPr="0069119B">
              <w:rPr>
                <w:rFonts w:eastAsia="Calibri" w:cs="Times New Roman"/>
                <w:color w:val="000000"/>
              </w:rPr>
              <w:fldChar w:fldCharType="separate"/>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color w:val="000000"/>
              </w:rPr>
              <w:fldChar w:fldCharType="end"/>
            </w:r>
          </w:p>
        </w:tc>
        <w:tc>
          <w:tcPr>
            <w:tcW w:w="5826" w:type="dxa"/>
            <w:gridSpan w:val="17"/>
            <w:shd w:val="clear" w:color="auto" w:fill="FFFFFF"/>
          </w:tcPr>
          <w:p w14:paraId="1B19E75E"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zwiększenie liczby dokumentów</w:t>
            </w:r>
          </w:p>
          <w:p w14:paraId="4BCDCDBA"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zwiększenie liczby procedur</w:t>
            </w:r>
          </w:p>
          <w:p w14:paraId="315A2479"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wydłużenie czasu na załatwienie sprawy</w:t>
            </w:r>
          </w:p>
          <w:p w14:paraId="6A360FDE"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inne:</w:t>
            </w:r>
            <w:r w:rsidRPr="0069119B">
              <w:rPr>
                <w:rFonts w:eastAsia="Calibri" w:cs="Times New Roman"/>
                <w:color w:val="000000"/>
              </w:rPr>
              <w:t xml:space="preserve"> </w:t>
            </w:r>
            <w:r w:rsidRPr="0069119B">
              <w:rPr>
                <w:rFonts w:eastAsia="Calibri"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119B">
              <w:rPr>
                <w:rFonts w:eastAsia="Calibri" w:cs="Times New Roman"/>
                <w:color w:val="000000"/>
              </w:rPr>
              <w:instrText xml:space="preserve"> FORMTEXT </w:instrText>
            </w:r>
            <w:r w:rsidRPr="0069119B">
              <w:rPr>
                <w:rFonts w:eastAsia="Calibri" w:cs="Times New Roman"/>
                <w:color w:val="000000"/>
              </w:rPr>
            </w:r>
            <w:r w:rsidRPr="0069119B">
              <w:rPr>
                <w:rFonts w:eastAsia="Calibri" w:cs="Times New Roman"/>
                <w:color w:val="000000"/>
              </w:rPr>
              <w:fldChar w:fldCharType="separate"/>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color w:val="000000"/>
              </w:rPr>
              <w:fldChar w:fldCharType="end"/>
            </w:r>
          </w:p>
        </w:tc>
      </w:tr>
      <w:tr w:rsidR="00352548" w:rsidRPr="0069119B" w14:paraId="38011353" w14:textId="77777777" w:rsidTr="00B6663D">
        <w:trPr>
          <w:gridAfter w:val="1"/>
          <w:wAfter w:w="10" w:type="dxa"/>
          <w:trHeight w:val="1115"/>
          <w:jc w:val="center"/>
        </w:trPr>
        <w:tc>
          <w:tcPr>
            <w:tcW w:w="5111" w:type="dxa"/>
            <w:gridSpan w:val="12"/>
            <w:shd w:val="clear" w:color="auto" w:fill="FFFFFF"/>
          </w:tcPr>
          <w:p w14:paraId="576AF9EF"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spacing w:val="-2"/>
              </w:rPr>
              <w:t xml:space="preserve">Wprowadzane obciążenia są przystosowane do ich elektronizacji. </w:t>
            </w:r>
          </w:p>
        </w:tc>
        <w:tc>
          <w:tcPr>
            <w:tcW w:w="5826" w:type="dxa"/>
            <w:gridSpan w:val="17"/>
            <w:shd w:val="clear" w:color="auto" w:fill="FFFFFF"/>
          </w:tcPr>
          <w:p w14:paraId="3E033ACA"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tak</w:t>
            </w:r>
          </w:p>
          <w:p w14:paraId="1CF31F9E"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nie</w:t>
            </w:r>
          </w:p>
          <w:p w14:paraId="3610A7C5"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
                  <w:enabled/>
                  <w:calcOnExit w:val="0"/>
                  <w:checkBox>
                    <w:sizeAuto/>
                    <w:default w:val="1"/>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rPr>
              <w:t xml:space="preserve"> nie dotyczy</w:t>
            </w:r>
          </w:p>
        </w:tc>
      </w:tr>
      <w:tr w:rsidR="00352548" w:rsidRPr="0069119B" w14:paraId="21A7B985" w14:textId="77777777" w:rsidTr="00B6663D">
        <w:trPr>
          <w:gridAfter w:val="1"/>
          <w:wAfter w:w="10" w:type="dxa"/>
          <w:trHeight w:val="438"/>
          <w:jc w:val="center"/>
        </w:trPr>
        <w:tc>
          <w:tcPr>
            <w:tcW w:w="10937" w:type="dxa"/>
            <w:gridSpan w:val="29"/>
            <w:shd w:val="clear" w:color="auto" w:fill="FFFFFF"/>
          </w:tcPr>
          <w:p w14:paraId="1C4F1A11" w14:textId="77777777" w:rsidR="00352548" w:rsidRPr="0069119B" w:rsidRDefault="00352548" w:rsidP="00B6663D">
            <w:pPr>
              <w:spacing w:line="240" w:lineRule="auto"/>
              <w:jc w:val="both"/>
              <w:rPr>
                <w:rFonts w:eastAsia="Calibri" w:cs="Times New Roman"/>
                <w:color w:val="000000"/>
              </w:rPr>
            </w:pPr>
            <w:r w:rsidRPr="0069119B">
              <w:rPr>
                <w:rFonts w:eastAsia="Calibri" w:cs="Times New Roman"/>
                <w:color w:val="000000"/>
              </w:rPr>
              <w:t>Komentarz:</w:t>
            </w:r>
          </w:p>
        </w:tc>
      </w:tr>
      <w:tr w:rsidR="00352548" w:rsidRPr="0069119B" w14:paraId="1A21C284" w14:textId="77777777" w:rsidTr="00B6663D">
        <w:trPr>
          <w:gridAfter w:val="1"/>
          <w:wAfter w:w="10" w:type="dxa"/>
          <w:trHeight w:val="142"/>
          <w:jc w:val="center"/>
        </w:trPr>
        <w:tc>
          <w:tcPr>
            <w:tcW w:w="10937" w:type="dxa"/>
            <w:gridSpan w:val="29"/>
            <w:shd w:val="clear" w:color="auto" w:fill="99CCFF"/>
          </w:tcPr>
          <w:p w14:paraId="3A84F7C3" w14:textId="77777777" w:rsidR="00352548" w:rsidRPr="0069119B" w:rsidRDefault="00352548" w:rsidP="00B6663D">
            <w:pPr>
              <w:widowControl/>
              <w:numPr>
                <w:ilvl w:val="0"/>
                <w:numId w:val="1"/>
              </w:numPr>
              <w:autoSpaceDE/>
              <w:autoSpaceDN/>
              <w:adjustRightInd/>
              <w:spacing w:before="60" w:after="60" w:line="240" w:lineRule="auto"/>
              <w:jc w:val="both"/>
              <w:rPr>
                <w:rFonts w:eastAsia="Calibri" w:cs="Times New Roman"/>
                <w:b/>
                <w:color w:val="000000"/>
              </w:rPr>
            </w:pPr>
            <w:r w:rsidRPr="0069119B">
              <w:rPr>
                <w:rFonts w:eastAsia="Calibri" w:cs="Times New Roman"/>
                <w:b/>
                <w:color w:val="000000"/>
              </w:rPr>
              <w:t xml:space="preserve">Wpływ na rynek pracy </w:t>
            </w:r>
          </w:p>
        </w:tc>
      </w:tr>
      <w:tr w:rsidR="00352548" w:rsidRPr="0069119B" w14:paraId="7B0EDEC7" w14:textId="77777777" w:rsidTr="00B6663D">
        <w:trPr>
          <w:gridAfter w:val="1"/>
          <w:wAfter w:w="10" w:type="dxa"/>
          <w:trHeight w:val="142"/>
          <w:jc w:val="center"/>
        </w:trPr>
        <w:tc>
          <w:tcPr>
            <w:tcW w:w="10937" w:type="dxa"/>
            <w:gridSpan w:val="29"/>
            <w:shd w:val="clear" w:color="auto" w:fill="auto"/>
          </w:tcPr>
          <w:p w14:paraId="1C301128" w14:textId="77777777" w:rsidR="00352548" w:rsidRPr="0069119B" w:rsidRDefault="00352548" w:rsidP="00B6663D">
            <w:pPr>
              <w:spacing w:line="240" w:lineRule="auto"/>
              <w:jc w:val="both"/>
              <w:rPr>
                <w:rFonts w:eastAsia="Calibri" w:cs="Times New Roman"/>
                <w:color w:val="000000"/>
              </w:rPr>
            </w:pPr>
            <w:r w:rsidRPr="0069119B">
              <w:rPr>
                <w:rFonts w:eastAsia="Calibri" w:cs="Times New Roman"/>
                <w:color w:val="000000"/>
              </w:rPr>
              <w:t>Projektowana ustawa nie będzie miała wpływu na rynek pracy.</w:t>
            </w:r>
          </w:p>
        </w:tc>
      </w:tr>
      <w:tr w:rsidR="00352548" w:rsidRPr="0069119B" w14:paraId="10D0E1DA" w14:textId="77777777" w:rsidTr="00B6663D">
        <w:trPr>
          <w:gridAfter w:val="1"/>
          <w:wAfter w:w="10" w:type="dxa"/>
          <w:trHeight w:val="142"/>
          <w:jc w:val="center"/>
        </w:trPr>
        <w:tc>
          <w:tcPr>
            <w:tcW w:w="10937" w:type="dxa"/>
            <w:gridSpan w:val="29"/>
            <w:shd w:val="clear" w:color="auto" w:fill="99CCFF"/>
          </w:tcPr>
          <w:p w14:paraId="048581CA" w14:textId="77777777" w:rsidR="00352548" w:rsidRPr="0069119B" w:rsidRDefault="00352548" w:rsidP="00B6663D">
            <w:pPr>
              <w:widowControl/>
              <w:numPr>
                <w:ilvl w:val="0"/>
                <w:numId w:val="1"/>
              </w:numPr>
              <w:autoSpaceDE/>
              <w:autoSpaceDN/>
              <w:adjustRightInd/>
              <w:spacing w:before="60" w:after="60" w:line="240" w:lineRule="auto"/>
              <w:jc w:val="both"/>
              <w:rPr>
                <w:rFonts w:eastAsia="Calibri" w:cs="Times New Roman"/>
                <w:b/>
                <w:color w:val="000000"/>
              </w:rPr>
            </w:pPr>
            <w:r w:rsidRPr="0069119B">
              <w:rPr>
                <w:rFonts w:eastAsia="Calibri" w:cs="Times New Roman"/>
                <w:b/>
                <w:color w:val="000000"/>
              </w:rPr>
              <w:t>Wpływ na pozostałe obszary</w:t>
            </w:r>
          </w:p>
        </w:tc>
      </w:tr>
      <w:tr w:rsidR="00352548" w:rsidRPr="0069119B" w14:paraId="64860488" w14:textId="77777777" w:rsidTr="00B6663D">
        <w:trPr>
          <w:gridAfter w:val="1"/>
          <w:wAfter w:w="10" w:type="dxa"/>
          <w:trHeight w:val="1031"/>
          <w:jc w:val="center"/>
        </w:trPr>
        <w:tc>
          <w:tcPr>
            <w:tcW w:w="3547" w:type="dxa"/>
            <w:gridSpan w:val="5"/>
            <w:shd w:val="clear" w:color="auto" w:fill="FFFFFF"/>
          </w:tcPr>
          <w:p w14:paraId="387515E7"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środowisko naturalne</w:t>
            </w:r>
          </w:p>
          <w:p w14:paraId="7ED6111C"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rPr>
              <w:t>sytuacja i rozwój regionalny</w:t>
            </w:r>
          </w:p>
          <w:p w14:paraId="755B6956"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spacing w:val="-2"/>
              </w:rPr>
              <w:t>sądy powszechne, administracyjne lub wojskowe</w:t>
            </w:r>
          </w:p>
        </w:tc>
        <w:tc>
          <w:tcPr>
            <w:tcW w:w="3687" w:type="dxa"/>
            <w:gridSpan w:val="15"/>
            <w:shd w:val="clear" w:color="auto" w:fill="FFFFFF"/>
          </w:tcPr>
          <w:p w14:paraId="4EE50659"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demografia</w:t>
            </w:r>
          </w:p>
          <w:p w14:paraId="433152C8"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rPr>
              <w:t>mienie państwowe</w:t>
            </w:r>
          </w:p>
          <w:p w14:paraId="5641A350"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 xml:space="preserve">inne: </w:t>
            </w:r>
            <w:r w:rsidRPr="0069119B">
              <w:rPr>
                <w:rFonts w:eastAsia="Calibri"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9119B">
              <w:rPr>
                <w:rFonts w:eastAsia="Calibri" w:cs="Times New Roman"/>
                <w:color w:val="000000"/>
              </w:rPr>
              <w:instrText xml:space="preserve"> FORMTEXT </w:instrText>
            </w:r>
            <w:r w:rsidRPr="0069119B">
              <w:rPr>
                <w:rFonts w:eastAsia="Calibri" w:cs="Times New Roman"/>
                <w:color w:val="000000"/>
              </w:rPr>
            </w:r>
            <w:r w:rsidRPr="0069119B">
              <w:rPr>
                <w:rFonts w:eastAsia="Calibri" w:cs="Times New Roman"/>
                <w:color w:val="000000"/>
              </w:rPr>
              <w:fldChar w:fldCharType="separate"/>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noProof/>
                <w:color w:val="000000"/>
              </w:rPr>
              <w:t> </w:t>
            </w:r>
            <w:r w:rsidRPr="0069119B">
              <w:rPr>
                <w:rFonts w:eastAsia="Calibri" w:cs="Times New Roman"/>
                <w:color w:val="000000"/>
              </w:rPr>
              <w:fldChar w:fldCharType="end"/>
            </w:r>
          </w:p>
        </w:tc>
        <w:tc>
          <w:tcPr>
            <w:tcW w:w="3703" w:type="dxa"/>
            <w:gridSpan w:val="9"/>
            <w:shd w:val="clear" w:color="auto" w:fill="FFFFFF"/>
          </w:tcPr>
          <w:p w14:paraId="2F231A0B" w14:textId="77777777" w:rsidR="00352548" w:rsidRPr="0069119B" w:rsidRDefault="00352548" w:rsidP="00B6663D">
            <w:pPr>
              <w:spacing w:line="240" w:lineRule="auto"/>
              <w:rPr>
                <w:rFonts w:eastAsia="Calibri" w:cs="Times New Roman"/>
                <w:color w:val="000000"/>
                <w:spacing w:val="-2"/>
              </w:rPr>
            </w:pPr>
            <w:r w:rsidRPr="0069119B">
              <w:rPr>
                <w:rFonts w:eastAsia="Calibri" w:cs="Times New Roman"/>
                <w:color w:val="000000"/>
              </w:rPr>
              <w:fldChar w:fldCharType="begin">
                <w:ffData>
                  <w:name w:val=""/>
                  <w:enabled/>
                  <w:calcOnExit w:val="0"/>
                  <w:checkBox>
                    <w:sizeAuto/>
                    <w:default w:val="1"/>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informatyzacja</w:t>
            </w:r>
          </w:p>
          <w:p w14:paraId="70AAD3A3"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fldChar w:fldCharType="begin">
                <w:ffData>
                  <w:name w:val="Wybór1"/>
                  <w:enabled/>
                  <w:calcOnExit w:val="0"/>
                  <w:checkBox>
                    <w:sizeAuto/>
                    <w:default w:val="0"/>
                  </w:checkBox>
                </w:ffData>
              </w:fldChar>
            </w:r>
            <w:r w:rsidRPr="0069119B">
              <w:rPr>
                <w:rFonts w:eastAsia="Calibri" w:cs="Times New Roman"/>
                <w:color w:val="000000"/>
              </w:rPr>
              <w:instrText xml:space="preserve"> FORMCHECKBOX </w:instrText>
            </w:r>
            <w:r w:rsidR="00424922">
              <w:rPr>
                <w:rFonts w:eastAsia="Calibri" w:cs="Times New Roman"/>
                <w:color w:val="000000"/>
              </w:rPr>
            </w:r>
            <w:r w:rsidR="00424922">
              <w:rPr>
                <w:rFonts w:eastAsia="Calibri" w:cs="Times New Roman"/>
                <w:color w:val="000000"/>
              </w:rPr>
              <w:fldChar w:fldCharType="separate"/>
            </w:r>
            <w:r w:rsidRPr="0069119B">
              <w:rPr>
                <w:rFonts w:eastAsia="Calibri" w:cs="Times New Roman"/>
                <w:color w:val="000000"/>
              </w:rPr>
              <w:fldChar w:fldCharType="end"/>
            </w:r>
            <w:r w:rsidRPr="0069119B">
              <w:rPr>
                <w:rFonts w:eastAsia="Calibri" w:cs="Times New Roman"/>
                <w:color w:val="000000"/>
                <w:sz w:val="20"/>
              </w:rPr>
              <w:t xml:space="preserve"> </w:t>
            </w:r>
            <w:r w:rsidRPr="0069119B">
              <w:rPr>
                <w:rFonts w:eastAsia="Calibri" w:cs="Times New Roman"/>
                <w:color w:val="000000"/>
                <w:spacing w:val="-2"/>
              </w:rPr>
              <w:t>zdrowie</w:t>
            </w:r>
          </w:p>
        </w:tc>
      </w:tr>
      <w:tr w:rsidR="00352548" w:rsidRPr="0069119B" w14:paraId="18043899" w14:textId="77777777" w:rsidTr="00B6663D">
        <w:trPr>
          <w:gridAfter w:val="1"/>
          <w:wAfter w:w="10" w:type="dxa"/>
          <w:trHeight w:val="433"/>
          <w:jc w:val="center"/>
        </w:trPr>
        <w:tc>
          <w:tcPr>
            <w:tcW w:w="2243" w:type="dxa"/>
            <w:gridSpan w:val="2"/>
            <w:shd w:val="clear" w:color="auto" w:fill="FFFFFF"/>
            <w:vAlign w:val="center"/>
          </w:tcPr>
          <w:p w14:paraId="0468BA0A" w14:textId="77777777" w:rsidR="00352548" w:rsidRPr="0069119B" w:rsidRDefault="00352548" w:rsidP="00B6663D">
            <w:pPr>
              <w:spacing w:line="240" w:lineRule="auto"/>
              <w:rPr>
                <w:rFonts w:eastAsia="Calibri" w:cs="Times New Roman"/>
                <w:color w:val="000000"/>
              </w:rPr>
            </w:pPr>
            <w:r w:rsidRPr="0069119B">
              <w:rPr>
                <w:rFonts w:eastAsia="Calibri" w:cs="Times New Roman"/>
                <w:color w:val="000000"/>
              </w:rPr>
              <w:t>Omówienie wpływu</w:t>
            </w:r>
          </w:p>
        </w:tc>
        <w:tc>
          <w:tcPr>
            <w:tcW w:w="8694" w:type="dxa"/>
            <w:gridSpan w:val="27"/>
            <w:shd w:val="clear" w:color="auto" w:fill="FFFFFF"/>
            <w:vAlign w:val="center"/>
          </w:tcPr>
          <w:p w14:paraId="40B5C2F0" w14:textId="77777777" w:rsidR="00352548" w:rsidRPr="0069119B" w:rsidRDefault="00352548" w:rsidP="00B6663D">
            <w:pPr>
              <w:spacing w:line="240" w:lineRule="auto"/>
              <w:jc w:val="both"/>
              <w:rPr>
                <w:rFonts w:eastAsia="Calibri" w:cs="Times New Roman"/>
                <w:color w:val="000000"/>
                <w:spacing w:val="-2"/>
              </w:rPr>
            </w:pPr>
          </w:p>
        </w:tc>
      </w:tr>
      <w:tr w:rsidR="00352548" w:rsidRPr="0069119B" w14:paraId="0226DF45" w14:textId="77777777" w:rsidTr="00B6663D">
        <w:trPr>
          <w:gridAfter w:val="1"/>
          <w:wAfter w:w="10" w:type="dxa"/>
          <w:trHeight w:val="142"/>
          <w:jc w:val="center"/>
        </w:trPr>
        <w:tc>
          <w:tcPr>
            <w:tcW w:w="10937" w:type="dxa"/>
            <w:gridSpan w:val="29"/>
            <w:shd w:val="clear" w:color="auto" w:fill="99CCFF"/>
          </w:tcPr>
          <w:p w14:paraId="74FBFD07"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rPr>
            </w:pPr>
            <w:r w:rsidRPr="0069119B">
              <w:rPr>
                <w:rFonts w:eastAsia="Calibri" w:cs="Times New Roman"/>
                <w:b/>
                <w:spacing w:val="-2"/>
                <w:sz w:val="21"/>
                <w:szCs w:val="21"/>
              </w:rPr>
              <w:t>Planowane wykonanie przepisów aktu prawnego</w:t>
            </w:r>
          </w:p>
        </w:tc>
      </w:tr>
      <w:tr w:rsidR="00352548" w:rsidRPr="0069119B" w14:paraId="23D94B84" w14:textId="77777777" w:rsidTr="00B6663D">
        <w:trPr>
          <w:gridAfter w:val="1"/>
          <w:wAfter w:w="10" w:type="dxa"/>
          <w:trHeight w:val="142"/>
          <w:jc w:val="center"/>
        </w:trPr>
        <w:tc>
          <w:tcPr>
            <w:tcW w:w="10937" w:type="dxa"/>
            <w:gridSpan w:val="29"/>
            <w:shd w:val="clear" w:color="auto" w:fill="FFFFFF"/>
          </w:tcPr>
          <w:p w14:paraId="285018EF" w14:textId="77777777" w:rsidR="00352548" w:rsidRPr="0069119B" w:rsidRDefault="00352548" w:rsidP="00B6663D">
            <w:pPr>
              <w:spacing w:line="240" w:lineRule="auto"/>
              <w:jc w:val="both"/>
              <w:rPr>
                <w:rFonts w:eastAsia="Calibri" w:cs="Times New Roman"/>
                <w:spacing w:val="-2"/>
              </w:rPr>
            </w:pPr>
            <w:r w:rsidRPr="0069119B">
              <w:rPr>
                <w:rFonts w:eastAsia="Calibri" w:cs="Times New Roman"/>
                <w:spacing w:val="-2"/>
              </w:rPr>
              <w:t>Wejście w życie ustawy przewidziane jest po upływie 14 dni od dnia ogłoszenia.</w:t>
            </w:r>
          </w:p>
        </w:tc>
      </w:tr>
      <w:tr w:rsidR="00352548" w:rsidRPr="0069119B" w14:paraId="50A52E6F" w14:textId="77777777" w:rsidTr="00B6663D">
        <w:trPr>
          <w:gridAfter w:val="1"/>
          <w:wAfter w:w="10" w:type="dxa"/>
          <w:trHeight w:val="142"/>
          <w:jc w:val="center"/>
        </w:trPr>
        <w:tc>
          <w:tcPr>
            <w:tcW w:w="10937" w:type="dxa"/>
            <w:gridSpan w:val="29"/>
            <w:shd w:val="clear" w:color="auto" w:fill="99CCFF"/>
          </w:tcPr>
          <w:p w14:paraId="6232C464"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rPr>
            </w:pPr>
            <w:r w:rsidRPr="0069119B">
              <w:rPr>
                <w:rFonts w:eastAsia="Calibri" w:cs="Times New Roman"/>
                <w:b/>
                <w:color w:val="000000"/>
              </w:rPr>
              <w:t xml:space="preserve"> </w:t>
            </w:r>
            <w:r w:rsidRPr="0069119B">
              <w:rPr>
                <w:rFonts w:eastAsia="Calibri" w:cs="Times New Roman"/>
                <w:b/>
                <w:spacing w:val="-2"/>
                <w:sz w:val="21"/>
                <w:szCs w:val="21"/>
              </w:rPr>
              <w:t>W jaki sposób i kiedy nastąpi ewaluacja efektów projektu oraz jakie mierniki zostaną zastosowane?</w:t>
            </w:r>
          </w:p>
        </w:tc>
      </w:tr>
      <w:tr w:rsidR="00352548" w:rsidRPr="0069119B" w14:paraId="6A207AB7" w14:textId="77777777" w:rsidTr="00B6663D">
        <w:trPr>
          <w:gridAfter w:val="1"/>
          <w:wAfter w:w="10" w:type="dxa"/>
          <w:trHeight w:val="219"/>
          <w:jc w:val="center"/>
        </w:trPr>
        <w:tc>
          <w:tcPr>
            <w:tcW w:w="10937" w:type="dxa"/>
            <w:gridSpan w:val="29"/>
            <w:shd w:val="clear" w:color="auto" w:fill="FFFFFF"/>
          </w:tcPr>
          <w:p w14:paraId="6BF326B2" w14:textId="77777777" w:rsidR="00352548" w:rsidRPr="0069119B" w:rsidRDefault="00352548" w:rsidP="00B6663D">
            <w:pPr>
              <w:spacing w:line="240" w:lineRule="auto"/>
              <w:jc w:val="both"/>
              <w:rPr>
                <w:rFonts w:eastAsia="Calibri" w:cs="Times New Roman"/>
                <w:color w:val="000000"/>
                <w:spacing w:val="-2"/>
              </w:rPr>
            </w:pPr>
            <w:r>
              <w:rPr>
                <w:rFonts w:eastAsia="Calibri" w:cs="Times New Roman"/>
                <w:color w:val="000000"/>
                <w:spacing w:val="-2"/>
              </w:rPr>
              <w:t>Nie przewiduje się ewaluacji.</w:t>
            </w:r>
          </w:p>
        </w:tc>
      </w:tr>
      <w:tr w:rsidR="00352548" w:rsidRPr="0069119B" w14:paraId="4922F745" w14:textId="77777777" w:rsidTr="00B6663D">
        <w:trPr>
          <w:gridAfter w:val="1"/>
          <w:wAfter w:w="10" w:type="dxa"/>
          <w:trHeight w:val="142"/>
          <w:jc w:val="center"/>
        </w:trPr>
        <w:tc>
          <w:tcPr>
            <w:tcW w:w="10937" w:type="dxa"/>
            <w:gridSpan w:val="29"/>
            <w:shd w:val="clear" w:color="auto" w:fill="99CCFF"/>
          </w:tcPr>
          <w:p w14:paraId="7B10A8A7" w14:textId="77777777" w:rsidR="00352548" w:rsidRPr="0069119B" w:rsidRDefault="00352548" w:rsidP="00B6663D">
            <w:pPr>
              <w:widowControl/>
              <w:numPr>
                <w:ilvl w:val="0"/>
                <w:numId w:val="1"/>
              </w:numPr>
              <w:autoSpaceDE/>
              <w:autoSpaceDN/>
              <w:adjustRightInd/>
              <w:spacing w:before="60" w:after="60" w:line="240" w:lineRule="auto"/>
              <w:ind w:left="318" w:hanging="284"/>
              <w:jc w:val="both"/>
              <w:rPr>
                <w:rFonts w:eastAsia="Calibri" w:cs="Times New Roman"/>
                <w:b/>
                <w:color w:val="000000"/>
                <w:spacing w:val="-2"/>
              </w:rPr>
            </w:pPr>
            <w:r w:rsidRPr="0069119B">
              <w:rPr>
                <w:rFonts w:eastAsia="Calibri" w:cs="Times New Roman"/>
                <w:b/>
                <w:color w:val="000000"/>
                <w:spacing w:val="-2"/>
              </w:rPr>
              <w:t xml:space="preserve">Załączniki </w:t>
            </w:r>
            <w:r w:rsidRPr="0069119B">
              <w:rPr>
                <w:rFonts w:eastAsia="Calibri" w:cs="Times New Roman"/>
                <w:b/>
                <w:spacing w:val="-2"/>
                <w:sz w:val="21"/>
                <w:szCs w:val="21"/>
              </w:rPr>
              <w:t>(istotne dokumenty źródłowe, badania, analizy itp.</w:t>
            </w:r>
            <w:r w:rsidRPr="0069119B">
              <w:rPr>
                <w:rFonts w:eastAsia="Calibri" w:cs="Times New Roman"/>
                <w:b/>
                <w:color w:val="000000"/>
                <w:spacing w:val="-2"/>
              </w:rPr>
              <w:t xml:space="preserve">) </w:t>
            </w:r>
          </w:p>
        </w:tc>
      </w:tr>
      <w:tr w:rsidR="00352548" w:rsidRPr="0069119B" w14:paraId="67129167" w14:textId="77777777" w:rsidTr="00B6663D">
        <w:trPr>
          <w:gridAfter w:val="1"/>
          <w:wAfter w:w="10" w:type="dxa"/>
          <w:trHeight w:val="142"/>
          <w:jc w:val="center"/>
        </w:trPr>
        <w:tc>
          <w:tcPr>
            <w:tcW w:w="10937" w:type="dxa"/>
            <w:gridSpan w:val="29"/>
            <w:shd w:val="clear" w:color="auto" w:fill="FFFFFF"/>
          </w:tcPr>
          <w:p w14:paraId="5D74DB6B" w14:textId="4A7E4900" w:rsidR="00352548" w:rsidRPr="0069119B" w:rsidRDefault="00352548" w:rsidP="00B6663D">
            <w:pPr>
              <w:spacing w:line="240" w:lineRule="auto"/>
              <w:jc w:val="both"/>
              <w:rPr>
                <w:rFonts w:eastAsia="Calibri" w:cs="Times New Roman"/>
                <w:color w:val="000000"/>
                <w:spacing w:val="-2"/>
              </w:rPr>
            </w:pPr>
            <w:r w:rsidRPr="00ED4ADF">
              <w:rPr>
                <w:rFonts w:eastAsia="Calibri" w:cs="Times New Roman"/>
                <w:color w:val="000000"/>
                <w:spacing w:val="-2"/>
              </w:rPr>
              <w:t>Obliczenia ws</w:t>
            </w:r>
            <w:r w:rsidR="00F25B7A">
              <w:rPr>
                <w:rFonts w:eastAsia="Calibri" w:cs="Times New Roman"/>
                <w:color w:val="000000"/>
                <w:spacing w:val="-2"/>
              </w:rPr>
              <w:t>.</w:t>
            </w:r>
            <w:bookmarkStart w:id="19" w:name="_GoBack"/>
            <w:bookmarkEnd w:id="19"/>
            <w:r w:rsidRPr="00ED4ADF">
              <w:rPr>
                <w:rFonts w:eastAsia="Calibri" w:cs="Times New Roman"/>
                <w:color w:val="000000"/>
                <w:spacing w:val="-2"/>
              </w:rPr>
              <w:t xml:space="preserve"> obniżki za numerację w ruchomej i wydatki na SMSy.xlsx</w:t>
            </w:r>
            <w:r>
              <w:rPr>
                <w:rFonts w:eastAsia="Calibri" w:cs="Times New Roman"/>
                <w:color w:val="000000"/>
                <w:spacing w:val="-2"/>
              </w:rPr>
              <w:t xml:space="preserve"> </w:t>
            </w:r>
          </w:p>
        </w:tc>
      </w:tr>
    </w:tbl>
    <w:p w14:paraId="4E610E15" w14:textId="77777777" w:rsidR="00352548" w:rsidRPr="0069119B" w:rsidRDefault="00352548" w:rsidP="00352548">
      <w:pPr>
        <w:tabs>
          <w:tab w:val="left" w:pos="2200"/>
        </w:tabs>
        <w:spacing w:line="252" w:lineRule="auto"/>
        <w:rPr>
          <w:rFonts w:eastAsia="MS Mincho" w:cs="Times New Roman"/>
        </w:rPr>
      </w:pPr>
    </w:p>
    <w:p w14:paraId="7C662A85" w14:textId="77777777" w:rsidR="00352548" w:rsidRPr="0069119B" w:rsidRDefault="00352548" w:rsidP="00352548">
      <w:pPr>
        <w:rPr>
          <w:rFonts w:cs="Times New Roman"/>
        </w:rPr>
      </w:pPr>
    </w:p>
    <w:p w14:paraId="733416CF" w14:textId="77777777" w:rsidR="00352548" w:rsidRPr="00737F6A" w:rsidRDefault="00352548" w:rsidP="00D861E6">
      <w:pPr>
        <w:widowControl/>
        <w:suppressAutoHyphens/>
        <w:spacing w:after="120"/>
        <w:jc w:val="both"/>
      </w:pPr>
    </w:p>
    <w:sectPr w:rsidR="00352548"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69FF" w14:textId="77777777" w:rsidR="000C27A9" w:rsidRDefault="000C27A9">
      <w:r>
        <w:separator/>
      </w:r>
    </w:p>
  </w:endnote>
  <w:endnote w:type="continuationSeparator" w:id="0">
    <w:p w14:paraId="2FAEE5CD" w14:textId="77777777" w:rsidR="000C27A9" w:rsidRDefault="000C27A9">
      <w:r>
        <w:continuationSeparator/>
      </w:r>
    </w:p>
  </w:endnote>
  <w:endnote w:type="continuationNotice" w:id="1">
    <w:p w14:paraId="595DE3DE" w14:textId="77777777" w:rsidR="000C27A9" w:rsidRDefault="000C27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EC6A" w14:textId="77777777" w:rsidR="000C27A9" w:rsidRDefault="000C27A9">
      <w:r>
        <w:separator/>
      </w:r>
    </w:p>
  </w:footnote>
  <w:footnote w:type="continuationSeparator" w:id="0">
    <w:p w14:paraId="28D7A50D" w14:textId="77777777" w:rsidR="000C27A9" w:rsidRDefault="000C27A9">
      <w:r>
        <w:continuationSeparator/>
      </w:r>
    </w:p>
  </w:footnote>
  <w:footnote w:type="continuationNotice" w:id="1">
    <w:p w14:paraId="7E31E56D" w14:textId="77777777" w:rsidR="000C27A9" w:rsidRDefault="000C27A9">
      <w:pPr>
        <w:spacing w:line="240" w:lineRule="auto"/>
      </w:pPr>
    </w:p>
  </w:footnote>
  <w:footnote w:id="2">
    <w:p w14:paraId="03ED604E" w14:textId="77777777" w:rsidR="00424922" w:rsidRPr="004D723B" w:rsidRDefault="00424922" w:rsidP="00A0788F">
      <w:pPr>
        <w:pStyle w:val="Tekstprzypisudolnego"/>
        <w:spacing w:line="240" w:lineRule="auto"/>
        <w:jc w:val="both"/>
        <w:rPr>
          <w:rStyle w:val="IGindeksgrny"/>
        </w:rPr>
      </w:pPr>
      <w:r w:rsidRPr="004D723B">
        <w:rPr>
          <w:rStyle w:val="IGindeksgrny"/>
        </w:rPr>
        <w:footnoteRef/>
      </w:r>
      <w:r w:rsidRPr="004D723B">
        <w:rPr>
          <w:rStyle w:val="IGindeksgrny"/>
        </w:rPr>
        <w:t xml:space="preserve"> Rozporządzenie wykonawcze Komisji (UE) 2015/1502 z dnia 8 września 2015 r. w sprawie ustanowienia minimalnych specyfikacji technicznych i procedur dotyczących poziomów zaufania w zakresie środków identyfikacji elektronicznej na podstawie art. 8 ust. 3 rozporządzenia Parlamentu Europejskiego i Rady (UE) nr 910/2014 w sprawie identyfikacji elektronicznej i usług zaufania w odniesieniu do transakcji elektronicznych na rynku wewnętrznym.</w:t>
      </w:r>
    </w:p>
  </w:footnote>
  <w:footnote w:id="3">
    <w:p w14:paraId="44943CD8" w14:textId="77777777" w:rsidR="00424922" w:rsidRPr="004D723B" w:rsidRDefault="00424922" w:rsidP="00A0788F">
      <w:pPr>
        <w:rPr>
          <w:rStyle w:val="IGindeksgrny"/>
        </w:rPr>
      </w:pPr>
      <w:r w:rsidRPr="004D723B">
        <w:rPr>
          <w:rStyle w:val="IGindeksgrny"/>
        </w:rPr>
        <w:footnoteRef/>
      </w:r>
      <w:r w:rsidRPr="004D723B">
        <w:rPr>
          <w:rStyle w:val="IGindeksgrny"/>
        </w:rPr>
        <w:t xml:space="preserve"> Więcej informacji na temat funkcjonowania usługi można znaleźć na stronie https://mobileconnect.io/.</w:t>
      </w:r>
    </w:p>
  </w:footnote>
  <w:footnote w:id="4">
    <w:p w14:paraId="767A29EC" w14:textId="77777777" w:rsidR="00424922" w:rsidRPr="007016B4" w:rsidRDefault="00424922" w:rsidP="00352548">
      <w:pPr>
        <w:rPr>
          <w:rFonts w:cs="Times New Roman"/>
          <w:sz w:val="20"/>
        </w:rPr>
      </w:pPr>
      <w:r w:rsidRPr="007016B4">
        <w:rPr>
          <w:rStyle w:val="Odwoanieprzypisudolnego"/>
          <w:sz w:val="20"/>
        </w:rPr>
        <w:footnoteRef/>
      </w:r>
      <w:r w:rsidRPr="007016B4">
        <w:rPr>
          <w:rFonts w:cs="Times New Roman"/>
          <w:sz w:val="20"/>
        </w:rPr>
        <w:t xml:space="preserve"> Zob. </w:t>
      </w:r>
      <w:r w:rsidRPr="007016B4">
        <w:rPr>
          <w:rFonts w:cs="Times New Roman"/>
          <w:color w:val="000000"/>
          <w:sz w:val="20"/>
        </w:rPr>
        <w:t>dynamika zmian ilości aktywnych profili zaufanych styczeń 2018 - styczeń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E35B" w14:textId="77777777" w:rsidR="00424922" w:rsidRPr="00B371CC" w:rsidRDefault="00424922" w:rsidP="00B371CC">
    <w:pPr>
      <w:pStyle w:val="Nagwek"/>
      <w:jc w:val="center"/>
    </w:pPr>
    <w:r>
      <w:t xml:space="preserve">– </w:t>
    </w:r>
    <w:r>
      <w:fldChar w:fldCharType="begin"/>
    </w:r>
    <w:r>
      <w:instrText xml:space="preserve"> PAGE  \* MERGEFORMAT </w:instrText>
    </w:r>
    <w:r>
      <w:fldChar w:fldCharType="separate"/>
    </w:r>
    <w:r w:rsidR="00F25B7A">
      <w:rPr>
        <w:noProof/>
      </w:rPr>
      <w:t>22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ED2"/>
    <w:multiLevelType w:val="hybridMultilevel"/>
    <w:tmpl w:val="395A7E06"/>
    <w:lvl w:ilvl="0" w:tplc="04150017">
      <w:start w:val="1"/>
      <w:numFmt w:val="lowerLetter"/>
      <w:lvlText w:val="%1)"/>
      <w:lvlJc w:val="left"/>
      <w:pPr>
        <w:ind w:left="1230" w:hanging="360"/>
      </w:pPr>
      <w:rPr>
        <w:rFont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0A801039"/>
    <w:multiLevelType w:val="hybridMultilevel"/>
    <w:tmpl w:val="B44EC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D7219"/>
    <w:multiLevelType w:val="hybridMultilevel"/>
    <w:tmpl w:val="05027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CA2334"/>
    <w:multiLevelType w:val="hybridMultilevel"/>
    <w:tmpl w:val="8A8455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A687705"/>
    <w:multiLevelType w:val="hybridMultilevel"/>
    <w:tmpl w:val="B44EC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A7421B"/>
    <w:multiLevelType w:val="multilevel"/>
    <w:tmpl w:val="A77A7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834BD9"/>
    <w:multiLevelType w:val="hybridMultilevel"/>
    <w:tmpl w:val="EE46B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AF"/>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43E4"/>
    <w:rsid w:val="00046A75"/>
    <w:rsid w:val="00047312"/>
    <w:rsid w:val="000508BD"/>
    <w:rsid w:val="000517AB"/>
    <w:rsid w:val="0005339C"/>
    <w:rsid w:val="0005571B"/>
    <w:rsid w:val="00055E76"/>
    <w:rsid w:val="00057AB3"/>
    <w:rsid w:val="00060076"/>
    <w:rsid w:val="00060432"/>
    <w:rsid w:val="00060D87"/>
    <w:rsid w:val="000615A5"/>
    <w:rsid w:val="00064E4C"/>
    <w:rsid w:val="00066901"/>
    <w:rsid w:val="00066D7D"/>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2ABA"/>
    <w:rsid w:val="000A323B"/>
    <w:rsid w:val="000B298D"/>
    <w:rsid w:val="000B54F7"/>
    <w:rsid w:val="000B5B2D"/>
    <w:rsid w:val="000B5DCE"/>
    <w:rsid w:val="000C052D"/>
    <w:rsid w:val="000C05BA"/>
    <w:rsid w:val="000C0E8F"/>
    <w:rsid w:val="000C27A9"/>
    <w:rsid w:val="000C3C71"/>
    <w:rsid w:val="000C4BC4"/>
    <w:rsid w:val="000D0110"/>
    <w:rsid w:val="000D2468"/>
    <w:rsid w:val="000D318A"/>
    <w:rsid w:val="000D6173"/>
    <w:rsid w:val="000D6F83"/>
    <w:rsid w:val="000E25CC"/>
    <w:rsid w:val="000E3694"/>
    <w:rsid w:val="000E490F"/>
    <w:rsid w:val="000E5407"/>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354A5"/>
    <w:rsid w:val="0014026F"/>
    <w:rsid w:val="00147A47"/>
    <w:rsid w:val="00147AA1"/>
    <w:rsid w:val="00150A59"/>
    <w:rsid w:val="001520CF"/>
    <w:rsid w:val="0015667C"/>
    <w:rsid w:val="00157110"/>
    <w:rsid w:val="0015742A"/>
    <w:rsid w:val="00157DA1"/>
    <w:rsid w:val="00163147"/>
    <w:rsid w:val="00163C1D"/>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97CD0"/>
    <w:rsid w:val="001A01FB"/>
    <w:rsid w:val="001A10E9"/>
    <w:rsid w:val="001A183D"/>
    <w:rsid w:val="001A2B65"/>
    <w:rsid w:val="001A3CD3"/>
    <w:rsid w:val="001A586D"/>
    <w:rsid w:val="001A5BEF"/>
    <w:rsid w:val="001A7F15"/>
    <w:rsid w:val="001B342E"/>
    <w:rsid w:val="001C1832"/>
    <w:rsid w:val="001C188C"/>
    <w:rsid w:val="001C3B02"/>
    <w:rsid w:val="001D1783"/>
    <w:rsid w:val="001D53CD"/>
    <w:rsid w:val="001D55A3"/>
    <w:rsid w:val="001D5AF5"/>
    <w:rsid w:val="001E1E73"/>
    <w:rsid w:val="001E4E0C"/>
    <w:rsid w:val="001E526D"/>
    <w:rsid w:val="001E5655"/>
    <w:rsid w:val="001F0919"/>
    <w:rsid w:val="001F1832"/>
    <w:rsid w:val="001F220F"/>
    <w:rsid w:val="001F25B3"/>
    <w:rsid w:val="001F5CEF"/>
    <w:rsid w:val="001F6616"/>
    <w:rsid w:val="00202BD4"/>
    <w:rsid w:val="00204A97"/>
    <w:rsid w:val="00207B9A"/>
    <w:rsid w:val="002114EF"/>
    <w:rsid w:val="00213188"/>
    <w:rsid w:val="002166AD"/>
    <w:rsid w:val="00217871"/>
    <w:rsid w:val="00221ED8"/>
    <w:rsid w:val="002231EA"/>
    <w:rsid w:val="00223FDF"/>
    <w:rsid w:val="002279C0"/>
    <w:rsid w:val="002335C3"/>
    <w:rsid w:val="0023727E"/>
    <w:rsid w:val="00242081"/>
    <w:rsid w:val="00243777"/>
    <w:rsid w:val="002441CD"/>
    <w:rsid w:val="002501A3"/>
    <w:rsid w:val="0025166C"/>
    <w:rsid w:val="002555D4"/>
    <w:rsid w:val="00260E54"/>
    <w:rsid w:val="00261A16"/>
    <w:rsid w:val="00263522"/>
    <w:rsid w:val="00264EC6"/>
    <w:rsid w:val="00271013"/>
    <w:rsid w:val="00273FE4"/>
    <w:rsid w:val="0027439E"/>
    <w:rsid w:val="002765B4"/>
    <w:rsid w:val="00276A94"/>
    <w:rsid w:val="0029405D"/>
    <w:rsid w:val="00294FA6"/>
    <w:rsid w:val="002958C1"/>
    <w:rsid w:val="00295A6F"/>
    <w:rsid w:val="002A20C4"/>
    <w:rsid w:val="002A570F"/>
    <w:rsid w:val="002A7292"/>
    <w:rsid w:val="002A7358"/>
    <w:rsid w:val="002A7902"/>
    <w:rsid w:val="002B08DF"/>
    <w:rsid w:val="002B0997"/>
    <w:rsid w:val="002B0F6B"/>
    <w:rsid w:val="002B23B8"/>
    <w:rsid w:val="002B4429"/>
    <w:rsid w:val="002B4FCB"/>
    <w:rsid w:val="002B6197"/>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548"/>
    <w:rsid w:val="00352DAE"/>
    <w:rsid w:val="00353DE0"/>
    <w:rsid w:val="00354EB9"/>
    <w:rsid w:val="00357FC6"/>
    <w:rsid w:val="003602AE"/>
    <w:rsid w:val="00360929"/>
    <w:rsid w:val="003647D5"/>
    <w:rsid w:val="003674B0"/>
    <w:rsid w:val="003736D5"/>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4B80"/>
    <w:rsid w:val="003A60DC"/>
    <w:rsid w:val="003A6A46"/>
    <w:rsid w:val="003A78E9"/>
    <w:rsid w:val="003A7A63"/>
    <w:rsid w:val="003B000C"/>
    <w:rsid w:val="003B0F1D"/>
    <w:rsid w:val="003B4A57"/>
    <w:rsid w:val="003B5985"/>
    <w:rsid w:val="003C0AD9"/>
    <w:rsid w:val="003C0ED0"/>
    <w:rsid w:val="003C1D49"/>
    <w:rsid w:val="003C35C4"/>
    <w:rsid w:val="003D016A"/>
    <w:rsid w:val="003D12C2"/>
    <w:rsid w:val="003D31B9"/>
    <w:rsid w:val="003D3867"/>
    <w:rsid w:val="003E0D1A"/>
    <w:rsid w:val="003E2DA3"/>
    <w:rsid w:val="003F020D"/>
    <w:rsid w:val="003F03D9"/>
    <w:rsid w:val="003F2FBE"/>
    <w:rsid w:val="003F318D"/>
    <w:rsid w:val="003F5BAE"/>
    <w:rsid w:val="003F6ED7"/>
    <w:rsid w:val="00400E5E"/>
    <w:rsid w:val="00401C84"/>
    <w:rsid w:val="00403210"/>
    <w:rsid w:val="004035BB"/>
    <w:rsid w:val="004035EB"/>
    <w:rsid w:val="00407332"/>
    <w:rsid w:val="00407828"/>
    <w:rsid w:val="00410AD2"/>
    <w:rsid w:val="00413D8E"/>
    <w:rsid w:val="004140F2"/>
    <w:rsid w:val="0041455C"/>
    <w:rsid w:val="00417B22"/>
    <w:rsid w:val="00421085"/>
    <w:rsid w:val="0042465E"/>
    <w:rsid w:val="00424922"/>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03BD"/>
    <w:rsid w:val="00491EDF"/>
    <w:rsid w:val="00491F73"/>
    <w:rsid w:val="00492A3F"/>
    <w:rsid w:val="00494F62"/>
    <w:rsid w:val="004A1AC9"/>
    <w:rsid w:val="004A2001"/>
    <w:rsid w:val="004A3590"/>
    <w:rsid w:val="004B00A7"/>
    <w:rsid w:val="004B25E2"/>
    <w:rsid w:val="004B34D7"/>
    <w:rsid w:val="004B5037"/>
    <w:rsid w:val="004B5B2F"/>
    <w:rsid w:val="004B626A"/>
    <w:rsid w:val="004B660E"/>
    <w:rsid w:val="004C05BD"/>
    <w:rsid w:val="004C0F54"/>
    <w:rsid w:val="004C3B06"/>
    <w:rsid w:val="004C3F97"/>
    <w:rsid w:val="004C7EE7"/>
    <w:rsid w:val="004D2DEE"/>
    <w:rsid w:val="004D2E1F"/>
    <w:rsid w:val="004D55D1"/>
    <w:rsid w:val="004D723B"/>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06C15"/>
    <w:rsid w:val="0051094B"/>
    <w:rsid w:val="005110D7"/>
    <w:rsid w:val="00511D99"/>
    <w:rsid w:val="005128D3"/>
    <w:rsid w:val="005147E8"/>
    <w:rsid w:val="005158F2"/>
    <w:rsid w:val="00526DFC"/>
    <w:rsid w:val="00526F43"/>
    <w:rsid w:val="005270A1"/>
    <w:rsid w:val="00527651"/>
    <w:rsid w:val="00535922"/>
    <w:rsid w:val="00535F39"/>
    <w:rsid w:val="005363AB"/>
    <w:rsid w:val="00544EF4"/>
    <w:rsid w:val="00545E53"/>
    <w:rsid w:val="005479D9"/>
    <w:rsid w:val="00552715"/>
    <w:rsid w:val="005572BD"/>
    <w:rsid w:val="00557A12"/>
    <w:rsid w:val="00560AC7"/>
    <w:rsid w:val="00561AFB"/>
    <w:rsid w:val="00561FA8"/>
    <w:rsid w:val="005635ED"/>
    <w:rsid w:val="00565253"/>
    <w:rsid w:val="0056565F"/>
    <w:rsid w:val="00570191"/>
    <w:rsid w:val="00570570"/>
    <w:rsid w:val="00572512"/>
    <w:rsid w:val="00573EE6"/>
    <w:rsid w:val="0057547F"/>
    <w:rsid w:val="005754EE"/>
    <w:rsid w:val="0057617E"/>
    <w:rsid w:val="00576497"/>
    <w:rsid w:val="00576B8D"/>
    <w:rsid w:val="005835E7"/>
    <w:rsid w:val="0058397F"/>
    <w:rsid w:val="00583BF8"/>
    <w:rsid w:val="0058448C"/>
    <w:rsid w:val="00585F33"/>
    <w:rsid w:val="00591124"/>
    <w:rsid w:val="00596966"/>
    <w:rsid w:val="00597024"/>
    <w:rsid w:val="005A0274"/>
    <w:rsid w:val="005A095C"/>
    <w:rsid w:val="005A669D"/>
    <w:rsid w:val="005A75D8"/>
    <w:rsid w:val="005B713E"/>
    <w:rsid w:val="005C03B6"/>
    <w:rsid w:val="005C348E"/>
    <w:rsid w:val="005C68E1"/>
    <w:rsid w:val="005D3763"/>
    <w:rsid w:val="005D55E1"/>
    <w:rsid w:val="005E19F7"/>
    <w:rsid w:val="005E4F04"/>
    <w:rsid w:val="005E51D7"/>
    <w:rsid w:val="005E62C2"/>
    <w:rsid w:val="005E6C71"/>
    <w:rsid w:val="005F0963"/>
    <w:rsid w:val="005F2824"/>
    <w:rsid w:val="005F2EBA"/>
    <w:rsid w:val="005F35ED"/>
    <w:rsid w:val="005F6F2E"/>
    <w:rsid w:val="005F7812"/>
    <w:rsid w:val="005F7A88"/>
    <w:rsid w:val="00603A1A"/>
    <w:rsid w:val="006046D5"/>
    <w:rsid w:val="00607A93"/>
    <w:rsid w:val="00610C08"/>
    <w:rsid w:val="00611F74"/>
    <w:rsid w:val="00615772"/>
    <w:rsid w:val="00621256"/>
    <w:rsid w:val="00621FCC"/>
    <w:rsid w:val="00622E4B"/>
    <w:rsid w:val="0063006D"/>
    <w:rsid w:val="006333DA"/>
    <w:rsid w:val="00635134"/>
    <w:rsid w:val="006356E2"/>
    <w:rsid w:val="006420D9"/>
    <w:rsid w:val="00642A65"/>
    <w:rsid w:val="00645DCE"/>
    <w:rsid w:val="006465AC"/>
    <w:rsid w:val="006465BF"/>
    <w:rsid w:val="00646781"/>
    <w:rsid w:val="00646A1E"/>
    <w:rsid w:val="00653B22"/>
    <w:rsid w:val="00657BF4"/>
    <w:rsid w:val="006603FB"/>
    <w:rsid w:val="006608DF"/>
    <w:rsid w:val="006623AC"/>
    <w:rsid w:val="00666B1C"/>
    <w:rsid w:val="006678AF"/>
    <w:rsid w:val="006701EF"/>
    <w:rsid w:val="00670A8A"/>
    <w:rsid w:val="00673BA5"/>
    <w:rsid w:val="0067557E"/>
    <w:rsid w:val="00680058"/>
    <w:rsid w:val="00681F9F"/>
    <w:rsid w:val="006840EA"/>
    <w:rsid w:val="006844E2"/>
    <w:rsid w:val="00685267"/>
    <w:rsid w:val="0068586F"/>
    <w:rsid w:val="006872AE"/>
    <w:rsid w:val="00690082"/>
    <w:rsid w:val="00690252"/>
    <w:rsid w:val="006946BB"/>
    <w:rsid w:val="00695B35"/>
    <w:rsid w:val="006969FA"/>
    <w:rsid w:val="006A216F"/>
    <w:rsid w:val="006A35D5"/>
    <w:rsid w:val="006A748A"/>
    <w:rsid w:val="006C419E"/>
    <w:rsid w:val="006C4A31"/>
    <w:rsid w:val="006C5AC2"/>
    <w:rsid w:val="006C6AFB"/>
    <w:rsid w:val="006C7880"/>
    <w:rsid w:val="006D2735"/>
    <w:rsid w:val="006D2FB9"/>
    <w:rsid w:val="006D45B2"/>
    <w:rsid w:val="006D520E"/>
    <w:rsid w:val="006E0FCC"/>
    <w:rsid w:val="006E1E96"/>
    <w:rsid w:val="006E5E21"/>
    <w:rsid w:val="006E633A"/>
    <w:rsid w:val="006F1998"/>
    <w:rsid w:val="006F1CBE"/>
    <w:rsid w:val="006F2648"/>
    <w:rsid w:val="006F2F10"/>
    <w:rsid w:val="006F482B"/>
    <w:rsid w:val="006F6311"/>
    <w:rsid w:val="00701952"/>
    <w:rsid w:val="00702556"/>
    <w:rsid w:val="0070277E"/>
    <w:rsid w:val="00704156"/>
    <w:rsid w:val="007069FC"/>
    <w:rsid w:val="00711221"/>
    <w:rsid w:val="00712675"/>
    <w:rsid w:val="00713808"/>
    <w:rsid w:val="00714C12"/>
    <w:rsid w:val="007151B6"/>
    <w:rsid w:val="0071520D"/>
    <w:rsid w:val="00715EDB"/>
    <w:rsid w:val="007160D5"/>
    <w:rsid w:val="007163FB"/>
    <w:rsid w:val="00717C2E"/>
    <w:rsid w:val="007204FA"/>
    <w:rsid w:val="007213B3"/>
    <w:rsid w:val="0072457F"/>
    <w:rsid w:val="00725406"/>
    <w:rsid w:val="0072621B"/>
    <w:rsid w:val="00730555"/>
    <w:rsid w:val="00730FFC"/>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29B1"/>
    <w:rsid w:val="00764A67"/>
    <w:rsid w:val="007674D8"/>
    <w:rsid w:val="00770F6B"/>
    <w:rsid w:val="00771883"/>
    <w:rsid w:val="00776DC2"/>
    <w:rsid w:val="00776E0F"/>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E6BF4"/>
    <w:rsid w:val="007F0072"/>
    <w:rsid w:val="007F2EB6"/>
    <w:rsid w:val="007F54C3"/>
    <w:rsid w:val="00802949"/>
    <w:rsid w:val="0080301E"/>
    <w:rsid w:val="0080365F"/>
    <w:rsid w:val="008047CC"/>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5C78"/>
    <w:rsid w:val="00866867"/>
    <w:rsid w:val="00867AEF"/>
    <w:rsid w:val="00872257"/>
    <w:rsid w:val="00872B8B"/>
    <w:rsid w:val="00873202"/>
    <w:rsid w:val="008753E6"/>
    <w:rsid w:val="0087738C"/>
    <w:rsid w:val="008802AF"/>
    <w:rsid w:val="00881926"/>
    <w:rsid w:val="0088318F"/>
    <w:rsid w:val="0088331D"/>
    <w:rsid w:val="008852B0"/>
    <w:rsid w:val="00885AE7"/>
    <w:rsid w:val="00886B60"/>
    <w:rsid w:val="00887889"/>
    <w:rsid w:val="008920FF"/>
    <w:rsid w:val="008926E8"/>
    <w:rsid w:val="008937EC"/>
    <w:rsid w:val="00894F19"/>
    <w:rsid w:val="008968AF"/>
    <w:rsid w:val="00896A10"/>
    <w:rsid w:val="008971B5"/>
    <w:rsid w:val="008A35F6"/>
    <w:rsid w:val="008A56C3"/>
    <w:rsid w:val="008A5D26"/>
    <w:rsid w:val="008A6B13"/>
    <w:rsid w:val="008A6ECB"/>
    <w:rsid w:val="008B0BF9"/>
    <w:rsid w:val="008B2866"/>
    <w:rsid w:val="008B3859"/>
    <w:rsid w:val="008B436D"/>
    <w:rsid w:val="008B4E49"/>
    <w:rsid w:val="008B7712"/>
    <w:rsid w:val="008B7B26"/>
    <w:rsid w:val="008C3524"/>
    <w:rsid w:val="008C4061"/>
    <w:rsid w:val="008C4229"/>
    <w:rsid w:val="008C4FE3"/>
    <w:rsid w:val="008C5BE0"/>
    <w:rsid w:val="008C7233"/>
    <w:rsid w:val="008D2434"/>
    <w:rsid w:val="008D346A"/>
    <w:rsid w:val="008D6B4F"/>
    <w:rsid w:val="008E03AB"/>
    <w:rsid w:val="008E171D"/>
    <w:rsid w:val="008E2785"/>
    <w:rsid w:val="008E78A3"/>
    <w:rsid w:val="008F0654"/>
    <w:rsid w:val="008F06CB"/>
    <w:rsid w:val="008F2E83"/>
    <w:rsid w:val="008F612A"/>
    <w:rsid w:val="00900E6B"/>
    <w:rsid w:val="0090293D"/>
    <w:rsid w:val="009034DE"/>
    <w:rsid w:val="00905396"/>
    <w:rsid w:val="0090605D"/>
    <w:rsid w:val="00906419"/>
    <w:rsid w:val="00912889"/>
    <w:rsid w:val="00913A42"/>
    <w:rsid w:val="00914167"/>
    <w:rsid w:val="009143DB"/>
    <w:rsid w:val="00915065"/>
    <w:rsid w:val="00917CE5"/>
    <w:rsid w:val="009217C0"/>
    <w:rsid w:val="00921B4E"/>
    <w:rsid w:val="00925241"/>
    <w:rsid w:val="00925CEC"/>
    <w:rsid w:val="00926A3F"/>
    <w:rsid w:val="0092794E"/>
    <w:rsid w:val="00930D30"/>
    <w:rsid w:val="00931889"/>
    <w:rsid w:val="00931AFD"/>
    <w:rsid w:val="009332A2"/>
    <w:rsid w:val="00937598"/>
    <w:rsid w:val="0093790B"/>
    <w:rsid w:val="00943751"/>
    <w:rsid w:val="00946DD0"/>
    <w:rsid w:val="009509E6"/>
    <w:rsid w:val="00952018"/>
    <w:rsid w:val="009527E1"/>
    <w:rsid w:val="00952800"/>
    <w:rsid w:val="0095300D"/>
    <w:rsid w:val="00956812"/>
    <w:rsid w:val="0095719A"/>
    <w:rsid w:val="009623E9"/>
    <w:rsid w:val="00963EEB"/>
    <w:rsid w:val="009648BC"/>
    <w:rsid w:val="00964C2F"/>
    <w:rsid w:val="00965F88"/>
    <w:rsid w:val="00967C16"/>
    <w:rsid w:val="00980842"/>
    <w:rsid w:val="00980AAB"/>
    <w:rsid w:val="00984E03"/>
    <w:rsid w:val="00987E85"/>
    <w:rsid w:val="009969DB"/>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1786"/>
    <w:rsid w:val="009D3316"/>
    <w:rsid w:val="009D55AA"/>
    <w:rsid w:val="009E34AD"/>
    <w:rsid w:val="009E3E77"/>
    <w:rsid w:val="009E3FAB"/>
    <w:rsid w:val="009E55EB"/>
    <w:rsid w:val="009E5B3F"/>
    <w:rsid w:val="009E7D90"/>
    <w:rsid w:val="009F1AB0"/>
    <w:rsid w:val="009F501D"/>
    <w:rsid w:val="00A00287"/>
    <w:rsid w:val="00A039D5"/>
    <w:rsid w:val="00A046AD"/>
    <w:rsid w:val="00A0788F"/>
    <w:rsid w:val="00A079C1"/>
    <w:rsid w:val="00A115BC"/>
    <w:rsid w:val="00A11EA5"/>
    <w:rsid w:val="00A12520"/>
    <w:rsid w:val="00A130FD"/>
    <w:rsid w:val="00A13D6D"/>
    <w:rsid w:val="00A14769"/>
    <w:rsid w:val="00A1586C"/>
    <w:rsid w:val="00A15BF2"/>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27F0"/>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4F1E"/>
    <w:rsid w:val="00A95936"/>
    <w:rsid w:val="00A96265"/>
    <w:rsid w:val="00A97084"/>
    <w:rsid w:val="00AA1C2C"/>
    <w:rsid w:val="00AA35F6"/>
    <w:rsid w:val="00AA667C"/>
    <w:rsid w:val="00AA6E91"/>
    <w:rsid w:val="00AA7439"/>
    <w:rsid w:val="00AB047E"/>
    <w:rsid w:val="00AB0B0A"/>
    <w:rsid w:val="00AB0BB7"/>
    <w:rsid w:val="00AB22C6"/>
    <w:rsid w:val="00AB2AD0"/>
    <w:rsid w:val="00AB4BA0"/>
    <w:rsid w:val="00AB67FC"/>
    <w:rsid w:val="00AC00F2"/>
    <w:rsid w:val="00AC31B5"/>
    <w:rsid w:val="00AC4EA1"/>
    <w:rsid w:val="00AC5381"/>
    <w:rsid w:val="00AC5920"/>
    <w:rsid w:val="00AC6C53"/>
    <w:rsid w:val="00AD087D"/>
    <w:rsid w:val="00AD0E65"/>
    <w:rsid w:val="00AD2BF2"/>
    <w:rsid w:val="00AD4E90"/>
    <w:rsid w:val="00AD5422"/>
    <w:rsid w:val="00AE1892"/>
    <w:rsid w:val="00AE4179"/>
    <w:rsid w:val="00AE4425"/>
    <w:rsid w:val="00AE4FBE"/>
    <w:rsid w:val="00AE603A"/>
    <w:rsid w:val="00AE650F"/>
    <w:rsid w:val="00AE6555"/>
    <w:rsid w:val="00AE7D16"/>
    <w:rsid w:val="00AF0BD8"/>
    <w:rsid w:val="00AF4CAA"/>
    <w:rsid w:val="00AF571A"/>
    <w:rsid w:val="00AF60A0"/>
    <w:rsid w:val="00AF67FC"/>
    <w:rsid w:val="00AF7DF5"/>
    <w:rsid w:val="00B006E5"/>
    <w:rsid w:val="00B024C2"/>
    <w:rsid w:val="00B02FF1"/>
    <w:rsid w:val="00B05FB7"/>
    <w:rsid w:val="00B07700"/>
    <w:rsid w:val="00B077F2"/>
    <w:rsid w:val="00B13921"/>
    <w:rsid w:val="00B1528C"/>
    <w:rsid w:val="00B16ACD"/>
    <w:rsid w:val="00B21487"/>
    <w:rsid w:val="00B232D1"/>
    <w:rsid w:val="00B24DB5"/>
    <w:rsid w:val="00B31F9E"/>
    <w:rsid w:val="00B3217A"/>
    <w:rsid w:val="00B3268F"/>
    <w:rsid w:val="00B32C2C"/>
    <w:rsid w:val="00B33A1A"/>
    <w:rsid w:val="00B33E6C"/>
    <w:rsid w:val="00B34950"/>
    <w:rsid w:val="00B371CC"/>
    <w:rsid w:val="00B403B7"/>
    <w:rsid w:val="00B40F7A"/>
    <w:rsid w:val="00B41CD9"/>
    <w:rsid w:val="00B427E6"/>
    <w:rsid w:val="00B428A6"/>
    <w:rsid w:val="00B43E1F"/>
    <w:rsid w:val="00B45FBC"/>
    <w:rsid w:val="00B51A7D"/>
    <w:rsid w:val="00B535C2"/>
    <w:rsid w:val="00B55544"/>
    <w:rsid w:val="00B642FC"/>
    <w:rsid w:val="00B64D26"/>
    <w:rsid w:val="00B64FBB"/>
    <w:rsid w:val="00B6663D"/>
    <w:rsid w:val="00B7020F"/>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57DE"/>
    <w:rsid w:val="00BB6C0E"/>
    <w:rsid w:val="00BB7B38"/>
    <w:rsid w:val="00BC11E5"/>
    <w:rsid w:val="00BC12D2"/>
    <w:rsid w:val="00BC4BC6"/>
    <w:rsid w:val="00BC52FD"/>
    <w:rsid w:val="00BC6E62"/>
    <w:rsid w:val="00BC7443"/>
    <w:rsid w:val="00BD0648"/>
    <w:rsid w:val="00BD1040"/>
    <w:rsid w:val="00BD34AA"/>
    <w:rsid w:val="00BD5654"/>
    <w:rsid w:val="00BE0C44"/>
    <w:rsid w:val="00BE1B8B"/>
    <w:rsid w:val="00BE2A18"/>
    <w:rsid w:val="00BE2C01"/>
    <w:rsid w:val="00BE41EC"/>
    <w:rsid w:val="00BE56FB"/>
    <w:rsid w:val="00BF322C"/>
    <w:rsid w:val="00BF3DDE"/>
    <w:rsid w:val="00BF6589"/>
    <w:rsid w:val="00BF6F7F"/>
    <w:rsid w:val="00C00647"/>
    <w:rsid w:val="00C02764"/>
    <w:rsid w:val="00C04CEF"/>
    <w:rsid w:val="00C0662F"/>
    <w:rsid w:val="00C07C26"/>
    <w:rsid w:val="00C10083"/>
    <w:rsid w:val="00C11943"/>
    <w:rsid w:val="00C12E96"/>
    <w:rsid w:val="00C14763"/>
    <w:rsid w:val="00C14CD1"/>
    <w:rsid w:val="00C16141"/>
    <w:rsid w:val="00C21F64"/>
    <w:rsid w:val="00C2363F"/>
    <w:rsid w:val="00C236C8"/>
    <w:rsid w:val="00C260B1"/>
    <w:rsid w:val="00C26E56"/>
    <w:rsid w:val="00C31406"/>
    <w:rsid w:val="00C3559E"/>
    <w:rsid w:val="00C37194"/>
    <w:rsid w:val="00C40637"/>
    <w:rsid w:val="00C40F6C"/>
    <w:rsid w:val="00C44426"/>
    <w:rsid w:val="00C445F3"/>
    <w:rsid w:val="00C44F8D"/>
    <w:rsid w:val="00C451F4"/>
    <w:rsid w:val="00C45EB1"/>
    <w:rsid w:val="00C47663"/>
    <w:rsid w:val="00C54A3A"/>
    <w:rsid w:val="00C55566"/>
    <w:rsid w:val="00C56448"/>
    <w:rsid w:val="00C667BE"/>
    <w:rsid w:val="00C6766B"/>
    <w:rsid w:val="00C72223"/>
    <w:rsid w:val="00C76417"/>
    <w:rsid w:val="00C7726F"/>
    <w:rsid w:val="00C80305"/>
    <w:rsid w:val="00C823DA"/>
    <w:rsid w:val="00C8259F"/>
    <w:rsid w:val="00C82746"/>
    <w:rsid w:val="00C8312F"/>
    <w:rsid w:val="00C84C47"/>
    <w:rsid w:val="00C858A4"/>
    <w:rsid w:val="00C86AFA"/>
    <w:rsid w:val="00C87E40"/>
    <w:rsid w:val="00C949A1"/>
    <w:rsid w:val="00C97D3F"/>
    <w:rsid w:val="00CA214C"/>
    <w:rsid w:val="00CB18D0"/>
    <w:rsid w:val="00CB1C8A"/>
    <w:rsid w:val="00CB24F5"/>
    <w:rsid w:val="00CB2663"/>
    <w:rsid w:val="00CB3BBE"/>
    <w:rsid w:val="00CB59E9"/>
    <w:rsid w:val="00CC0B2E"/>
    <w:rsid w:val="00CC0D6A"/>
    <w:rsid w:val="00CC3831"/>
    <w:rsid w:val="00CC3E3D"/>
    <w:rsid w:val="00CC519B"/>
    <w:rsid w:val="00CC7B0D"/>
    <w:rsid w:val="00CC7D6F"/>
    <w:rsid w:val="00CD12C1"/>
    <w:rsid w:val="00CD214E"/>
    <w:rsid w:val="00CD46FA"/>
    <w:rsid w:val="00CD5973"/>
    <w:rsid w:val="00CE31A6"/>
    <w:rsid w:val="00CE6AB2"/>
    <w:rsid w:val="00CF09AA"/>
    <w:rsid w:val="00CF4813"/>
    <w:rsid w:val="00CF5233"/>
    <w:rsid w:val="00CF57B2"/>
    <w:rsid w:val="00D024C1"/>
    <w:rsid w:val="00D029B8"/>
    <w:rsid w:val="00D02F60"/>
    <w:rsid w:val="00D0464E"/>
    <w:rsid w:val="00D04A96"/>
    <w:rsid w:val="00D04F06"/>
    <w:rsid w:val="00D06161"/>
    <w:rsid w:val="00D07A7B"/>
    <w:rsid w:val="00D10E06"/>
    <w:rsid w:val="00D15197"/>
    <w:rsid w:val="00D16820"/>
    <w:rsid w:val="00D169C8"/>
    <w:rsid w:val="00D1793F"/>
    <w:rsid w:val="00D22AF5"/>
    <w:rsid w:val="00D235EA"/>
    <w:rsid w:val="00D247A9"/>
    <w:rsid w:val="00D32721"/>
    <w:rsid w:val="00D328DC"/>
    <w:rsid w:val="00D33387"/>
    <w:rsid w:val="00D402FB"/>
    <w:rsid w:val="00D453A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21C"/>
    <w:rsid w:val="00D81397"/>
    <w:rsid w:val="00D844F9"/>
    <w:rsid w:val="00D848B9"/>
    <w:rsid w:val="00D861E6"/>
    <w:rsid w:val="00D86B4F"/>
    <w:rsid w:val="00D86BAF"/>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1C51"/>
    <w:rsid w:val="00DE054F"/>
    <w:rsid w:val="00DE1554"/>
    <w:rsid w:val="00DE2901"/>
    <w:rsid w:val="00DE51FA"/>
    <w:rsid w:val="00DE590F"/>
    <w:rsid w:val="00DE7DC1"/>
    <w:rsid w:val="00DF3F7E"/>
    <w:rsid w:val="00DF7439"/>
    <w:rsid w:val="00DF7648"/>
    <w:rsid w:val="00E00E29"/>
    <w:rsid w:val="00E02BAB"/>
    <w:rsid w:val="00E04CEB"/>
    <w:rsid w:val="00E060BC"/>
    <w:rsid w:val="00E10BD0"/>
    <w:rsid w:val="00E11420"/>
    <w:rsid w:val="00E132FB"/>
    <w:rsid w:val="00E170B7"/>
    <w:rsid w:val="00E177DD"/>
    <w:rsid w:val="00E20900"/>
    <w:rsid w:val="00E20C7F"/>
    <w:rsid w:val="00E2396E"/>
    <w:rsid w:val="00E24728"/>
    <w:rsid w:val="00E276AC"/>
    <w:rsid w:val="00E34A35"/>
    <w:rsid w:val="00E37C2F"/>
    <w:rsid w:val="00E41C28"/>
    <w:rsid w:val="00E45CCC"/>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341A"/>
    <w:rsid w:val="00E94580"/>
    <w:rsid w:val="00E96E3F"/>
    <w:rsid w:val="00EA0E4E"/>
    <w:rsid w:val="00EA270C"/>
    <w:rsid w:val="00EA4974"/>
    <w:rsid w:val="00EA532E"/>
    <w:rsid w:val="00EB06D9"/>
    <w:rsid w:val="00EB192B"/>
    <w:rsid w:val="00EB19ED"/>
    <w:rsid w:val="00EB1CAB"/>
    <w:rsid w:val="00EB681E"/>
    <w:rsid w:val="00EC0F5A"/>
    <w:rsid w:val="00EC4265"/>
    <w:rsid w:val="00EC4CEB"/>
    <w:rsid w:val="00EC53FC"/>
    <w:rsid w:val="00EC659E"/>
    <w:rsid w:val="00ED2072"/>
    <w:rsid w:val="00ED2AE0"/>
    <w:rsid w:val="00ED5553"/>
    <w:rsid w:val="00ED5E36"/>
    <w:rsid w:val="00ED6961"/>
    <w:rsid w:val="00EF0B96"/>
    <w:rsid w:val="00EF2CAF"/>
    <w:rsid w:val="00EF3486"/>
    <w:rsid w:val="00EF47AF"/>
    <w:rsid w:val="00EF53B6"/>
    <w:rsid w:val="00F00B73"/>
    <w:rsid w:val="00F02FEB"/>
    <w:rsid w:val="00F115CA"/>
    <w:rsid w:val="00F14817"/>
    <w:rsid w:val="00F14EBA"/>
    <w:rsid w:val="00F1510F"/>
    <w:rsid w:val="00F1533A"/>
    <w:rsid w:val="00F15E5A"/>
    <w:rsid w:val="00F17748"/>
    <w:rsid w:val="00F17F0A"/>
    <w:rsid w:val="00F23A06"/>
    <w:rsid w:val="00F25B7A"/>
    <w:rsid w:val="00F2668F"/>
    <w:rsid w:val="00F27379"/>
    <w:rsid w:val="00F2742F"/>
    <w:rsid w:val="00F2751B"/>
    <w:rsid w:val="00F2753B"/>
    <w:rsid w:val="00F30686"/>
    <w:rsid w:val="00F33F8B"/>
    <w:rsid w:val="00F340B2"/>
    <w:rsid w:val="00F43390"/>
    <w:rsid w:val="00F43513"/>
    <w:rsid w:val="00F443B2"/>
    <w:rsid w:val="00F458D8"/>
    <w:rsid w:val="00F50237"/>
    <w:rsid w:val="00F53596"/>
    <w:rsid w:val="00F55BA8"/>
    <w:rsid w:val="00F55DB1"/>
    <w:rsid w:val="00F56ACA"/>
    <w:rsid w:val="00F600FE"/>
    <w:rsid w:val="00F612BB"/>
    <w:rsid w:val="00F62E4D"/>
    <w:rsid w:val="00F63FDC"/>
    <w:rsid w:val="00F66B34"/>
    <w:rsid w:val="00F675B9"/>
    <w:rsid w:val="00F70CC4"/>
    <w:rsid w:val="00F711C9"/>
    <w:rsid w:val="00F71668"/>
    <w:rsid w:val="00F74C59"/>
    <w:rsid w:val="00F75C3A"/>
    <w:rsid w:val="00F82E30"/>
    <w:rsid w:val="00F831CB"/>
    <w:rsid w:val="00F848A3"/>
    <w:rsid w:val="00F84ACF"/>
    <w:rsid w:val="00F85742"/>
    <w:rsid w:val="00F85BF8"/>
    <w:rsid w:val="00F871CE"/>
    <w:rsid w:val="00F87802"/>
    <w:rsid w:val="00F91F39"/>
    <w:rsid w:val="00F92C0A"/>
    <w:rsid w:val="00F9415B"/>
    <w:rsid w:val="00FA13C2"/>
    <w:rsid w:val="00FA4474"/>
    <w:rsid w:val="00FA5B4F"/>
    <w:rsid w:val="00FA734B"/>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3ABA"/>
    <w:rsid w:val="00FE730A"/>
    <w:rsid w:val="00FF1DD7"/>
    <w:rsid w:val="00FF1FF3"/>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865E3"/>
  <w15:docId w15:val="{FAF8A435-88F0-4E02-AC3B-328621E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locked/>
    <w:rsid w:val="00295A6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numbering" w:customStyle="1" w:styleId="Bezlisty1">
    <w:name w:val="Bez listy1"/>
    <w:next w:val="Bezlisty"/>
    <w:uiPriority w:val="99"/>
    <w:semiHidden/>
    <w:unhideWhenUsed/>
    <w:rsid w:val="00D86BAF"/>
  </w:style>
  <w:style w:type="character" w:customStyle="1" w:styleId="Hipercze1">
    <w:name w:val="Hiperłącze1"/>
    <w:basedOn w:val="Domylnaczcionkaakapitu"/>
    <w:uiPriority w:val="99"/>
    <w:unhideWhenUsed/>
    <w:rsid w:val="00D86BAF"/>
    <w:rPr>
      <w:color w:val="0563C1"/>
      <w:u w:val="single"/>
    </w:rPr>
  </w:style>
  <w:style w:type="paragraph" w:styleId="Akapitzlist">
    <w:name w:val="List Paragraph"/>
    <w:basedOn w:val="Normalny"/>
    <w:uiPriority w:val="34"/>
    <w:qFormat/>
    <w:rsid w:val="00D86BAF"/>
    <w:pPr>
      <w:widowControl/>
      <w:autoSpaceDE/>
      <w:autoSpaceDN/>
      <w:adjustRightInd/>
      <w:spacing w:after="160" w:line="252" w:lineRule="auto"/>
      <w:ind w:left="720"/>
      <w:contextualSpacing/>
    </w:pPr>
    <w:rPr>
      <w:rFonts w:ascii="Calibri" w:eastAsia="Calibri" w:hAnsi="Calibri" w:cs="Calibri"/>
      <w:sz w:val="22"/>
      <w:szCs w:val="22"/>
      <w:lang w:eastAsia="en-US"/>
    </w:rPr>
  </w:style>
  <w:style w:type="paragraph" w:styleId="Tekstprzypisukocowego">
    <w:name w:val="endnote text"/>
    <w:basedOn w:val="Normalny"/>
    <w:link w:val="TekstprzypisukocowegoZnak"/>
    <w:uiPriority w:val="99"/>
    <w:semiHidden/>
    <w:unhideWhenUsed/>
    <w:rsid w:val="00D86BAF"/>
    <w:pPr>
      <w:widowControl/>
      <w:autoSpaceDE/>
      <w:autoSpaceDN/>
      <w:adjustRightInd/>
      <w:spacing w:line="240" w:lineRule="auto"/>
    </w:pPr>
    <w:rPr>
      <w:rFonts w:ascii="Calibri" w:eastAsia="Calibri" w:hAnsi="Calibri" w:cs="Calibri"/>
      <w:sz w:val="20"/>
      <w:lang w:eastAsia="en-US"/>
    </w:rPr>
  </w:style>
  <w:style w:type="character" w:customStyle="1" w:styleId="TekstprzypisukocowegoZnak">
    <w:name w:val="Tekst przypisu końcowego Znak"/>
    <w:basedOn w:val="Domylnaczcionkaakapitu"/>
    <w:link w:val="Tekstprzypisukocowego"/>
    <w:uiPriority w:val="99"/>
    <w:semiHidden/>
    <w:rsid w:val="00D86BAF"/>
    <w:rPr>
      <w:rFonts w:ascii="Calibri" w:eastAsia="Calibri" w:hAnsi="Calibri" w:cs="Calibri"/>
      <w:sz w:val="20"/>
      <w:szCs w:val="20"/>
      <w:lang w:eastAsia="en-US"/>
    </w:rPr>
  </w:style>
  <w:style w:type="character" w:styleId="Odwoanieprzypisukocowego">
    <w:name w:val="endnote reference"/>
    <w:basedOn w:val="Domylnaczcionkaakapitu"/>
    <w:uiPriority w:val="99"/>
    <w:semiHidden/>
    <w:unhideWhenUsed/>
    <w:rsid w:val="00D86BAF"/>
    <w:rPr>
      <w:vertAlign w:val="superscript"/>
    </w:rPr>
  </w:style>
  <w:style w:type="paragraph" w:styleId="Poprawka">
    <w:name w:val="Revision"/>
    <w:hidden/>
    <w:uiPriority w:val="99"/>
    <w:semiHidden/>
    <w:rsid w:val="00D86BAF"/>
    <w:pPr>
      <w:spacing w:line="240" w:lineRule="auto"/>
    </w:pPr>
    <w:rPr>
      <w:rFonts w:ascii="Calibri" w:eastAsia="Calibri" w:hAnsi="Calibri" w:cs="Calibri"/>
      <w:sz w:val="22"/>
      <w:szCs w:val="22"/>
      <w:lang w:eastAsia="en-US"/>
    </w:rPr>
  </w:style>
  <w:style w:type="character" w:styleId="Hipercze">
    <w:name w:val="Hyperlink"/>
    <w:basedOn w:val="Domylnaczcionkaakapitu"/>
    <w:uiPriority w:val="99"/>
    <w:semiHidden/>
    <w:unhideWhenUsed/>
    <w:rsid w:val="00D86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ne.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96380-945F-4166-B5A1-DC949E31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10</TotalTime>
  <Pages>23</Pages>
  <Words>7695</Words>
  <Characters>46175</Characters>
  <Application>Microsoft Office Word</Application>
  <DocSecurity>0</DocSecurity>
  <Lines>384</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DT</dc:creator>
  <cp:keywords/>
  <dc:description/>
  <cp:lastModifiedBy>Witkowska-Krzymowska Magdalena</cp:lastModifiedBy>
  <cp:revision>4</cp:revision>
  <cp:lastPrinted>2012-04-23T06:39:00Z</cp:lastPrinted>
  <dcterms:created xsi:type="dcterms:W3CDTF">2022-12-08T10:15:00Z</dcterms:created>
  <dcterms:modified xsi:type="dcterms:W3CDTF">2022-12-12T16:41:00Z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