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9D06" w14:textId="494E9137" w:rsidR="00272CA9" w:rsidRPr="00C91940" w:rsidRDefault="00272CA9" w:rsidP="00272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194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625C664" w14:textId="77777777" w:rsidR="00272CA9" w:rsidRPr="00C91940" w:rsidRDefault="00272CA9" w:rsidP="00272C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09B9B" w14:textId="332119AC" w:rsidR="00272CA9" w:rsidRPr="00C91940" w:rsidRDefault="00272CA9" w:rsidP="00272CA9">
      <w:pPr>
        <w:widowControl w:val="0"/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940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Projektowane rozporządzenie </w:t>
      </w:r>
      <w:r w:rsidR="00C73551" w:rsidRPr="00C91940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zmieni</w:t>
      </w:r>
      <w:r w:rsidRPr="00C91940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obowiązujące </w:t>
      </w:r>
      <w:bookmarkStart w:id="1" w:name="_Hlk119917656"/>
      <w:r w:rsidRPr="00C91940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rozporządzenie </w:t>
      </w:r>
      <w:r w:rsidRPr="00C91940">
        <w:rPr>
          <w:rFonts w:ascii="Times New Roman" w:hAnsi="Times New Roman" w:cs="Times New Roman"/>
          <w:sz w:val="24"/>
          <w:szCs w:val="24"/>
        </w:rPr>
        <w:t>Ministra Sportu i Turystyki z dnia 6 kwietnia 2009 r. w sprawie dofinansowania z</w:t>
      </w:r>
      <w:r w:rsidR="00F2071D" w:rsidRPr="00C91940">
        <w:rPr>
          <w:rFonts w:ascii="Times New Roman" w:hAnsi="Times New Roman" w:cs="Times New Roman"/>
          <w:sz w:val="24"/>
          <w:szCs w:val="24"/>
        </w:rPr>
        <w:t xml:space="preserve"> </w:t>
      </w:r>
      <w:r w:rsidRPr="00C91940">
        <w:rPr>
          <w:rFonts w:ascii="Times New Roman" w:hAnsi="Times New Roman" w:cs="Times New Roman"/>
          <w:sz w:val="24"/>
          <w:szCs w:val="24"/>
        </w:rPr>
        <w:t>budżetu państwa zadań związanych z budową i remontami obiektów sportowych oraz rozwijaniem sportu (Dz.</w:t>
      </w:r>
      <w:r w:rsidR="006E09EA" w:rsidRPr="00C91940">
        <w:rPr>
          <w:rFonts w:ascii="Times New Roman" w:hAnsi="Times New Roman" w:cs="Times New Roman"/>
          <w:sz w:val="24"/>
          <w:szCs w:val="24"/>
        </w:rPr>
        <w:t> </w:t>
      </w:r>
      <w:r w:rsidRPr="00C91940">
        <w:rPr>
          <w:rFonts w:ascii="Times New Roman" w:hAnsi="Times New Roman" w:cs="Times New Roman"/>
          <w:sz w:val="24"/>
          <w:szCs w:val="24"/>
        </w:rPr>
        <w:t>U.</w:t>
      </w:r>
      <w:r w:rsidR="006E09EA" w:rsidRPr="00C91940">
        <w:rPr>
          <w:rFonts w:ascii="Times New Roman" w:hAnsi="Times New Roman" w:cs="Times New Roman"/>
          <w:sz w:val="24"/>
          <w:szCs w:val="24"/>
        </w:rPr>
        <w:t> </w:t>
      </w:r>
      <w:r w:rsidRPr="00C91940">
        <w:rPr>
          <w:rFonts w:ascii="Times New Roman" w:hAnsi="Times New Roman" w:cs="Times New Roman"/>
          <w:sz w:val="24"/>
          <w:szCs w:val="24"/>
        </w:rPr>
        <w:t xml:space="preserve"> poz. 463)</w:t>
      </w:r>
      <w:bookmarkEnd w:id="1"/>
      <w:r w:rsidRPr="00C91940">
        <w:rPr>
          <w:rFonts w:ascii="Times New Roman" w:hAnsi="Times New Roman" w:cs="Times New Roman"/>
          <w:sz w:val="24"/>
          <w:szCs w:val="24"/>
        </w:rPr>
        <w:t>,</w:t>
      </w:r>
      <w:r w:rsidRPr="00C91940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zwane dalej „dotychczasowym rozporządzeniem”, które</w:t>
      </w:r>
      <w:r w:rsidRPr="00C91940">
        <w:rPr>
          <w:rFonts w:ascii="Times New Roman" w:hAnsi="Times New Roman" w:cs="Times New Roman"/>
          <w:sz w:val="24"/>
          <w:szCs w:val="24"/>
        </w:rPr>
        <w:t xml:space="preserve"> określa zakres zadań związanych z budową i remontami obiektów sportowych oraz rozwijaniem sportu, w szczególności wśród dzieci i młodzieży, a także sportu osób niepełnosprawnych, objętych dofinansowaniem z budżetu państwa, oraz sposób i tryb udzielania dotacji na te zadania.</w:t>
      </w:r>
    </w:p>
    <w:p w14:paraId="277E5C42" w14:textId="0FF689D1" w:rsidR="00272CA9" w:rsidRPr="00C91940" w:rsidRDefault="00272CA9" w:rsidP="00272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40">
        <w:rPr>
          <w:rFonts w:ascii="Times New Roman" w:hAnsi="Times New Roman" w:cs="Times New Roman"/>
          <w:sz w:val="24"/>
          <w:szCs w:val="24"/>
        </w:rPr>
        <w:tab/>
        <w:t xml:space="preserve">Dotychczasowe rozporządzenie służyło </w:t>
      </w:r>
      <w:r w:rsidR="00C73551" w:rsidRPr="00C91940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C91940">
        <w:rPr>
          <w:rFonts w:ascii="Times New Roman" w:hAnsi="Times New Roman" w:cs="Times New Roman"/>
          <w:sz w:val="24"/>
          <w:szCs w:val="24"/>
        </w:rPr>
        <w:t>do udzielania jednostkom samorządu terytorialnego dotacji na budowę kompleksów sportowych w ramach programu „Moje Boisko - Orlik 2012”. Obecnie w związku z wdrażaniem Programu budowy hal sportowych o lekkiej konstrukcji zaistniała konieczność zmiany przepisów rozporządzenia w</w:t>
      </w:r>
      <w:r w:rsidR="006E09EA" w:rsidRPr="00C91940">
        <w:rPr>
          <w:rFonts w:ascii="Times New Roman" w:hAnsi="Times New Roman" w:cs="Times New Roman"/>
          <w:sz w:val="24"/>
          <w:szCs w:val="24"/>
        </w:rPr>
        <w:t> </w:t>
      </w:r>
      <w:r w:rsidRPr="00C91940">
        <w:rPr>
          <w:rFonts w:ascii="Times New Roman" w:hAnsi="Times New Roman" w:cs="Times New Roman"/>
          <w:sz w:val="24"/>
          <w:szCs w:val="24"/>
        </w:rPr>
        <w:t>celu wprowadzenia zapisów optymalnych z perspektywy realizacji programu, w tym właściwej organizacji procesów naboru i oceny wniosków oraz wypłaty i rozliczania dotacji.</w:t>
      </w:r>
    </w:p>
    <w:p w14:paraId="35A60660" w14:textId="463B1B55" w:rsidR="00272CA9" w:rsidRPr="00C91940" w:rsidRDefault="00272CA9" w:rsidP="00272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40">
        <w:rPr>
          <w:rFonts w:ascii="Times New Roman" w:hAnsi="Times New Roman" w:cs="Times New Roman"/>
          <w:sz w:val="24"/>
          <w:szCs w:val="24"/>
        </w:rPr>
        <w:tab/>
        <w:t>Rozporządzenie przewiduje, że jednostki samorządu terytorialnego mogą otrzymywać dotacje celowe z budżetu państwa, zwane dalej „dotacjami”, na dofinansowanie zadań związanych między innymi z budową i remontami obiektów sportowych, w tym budową kompleksów sportowych w ramach programu „Moje Boisko - Orlik 2012”. Proponuje się ww.</w:t>
      </w:r>
      <w:r w:rsidR="006E09EA" w:rsidRPr="00C91940">
        <w:rPr>
          <w:rFonts w:ascii="Times New Roman" w:hAnsi="Times New Roman" w:cs="Times New Roman"/>
          <w:sz w:val="24"/>
          <w:szCs w:val="24"/>
        </w:rPr>
        <w:t> </w:t>
      </w:r>
      <w:r w:rsidRPr="00C91940">
        <w:rPr>
          <w:rFonts w:ascii="Times New Roman" w:hAnsi="Times New Roman" w:cs="Times New Roman"/>
          <w:sz w:val="24"/>
          <w:szCs w:val="24"/>
        </w:rPr>
        <w:t>przepisowi nadać uniwersalną formę tak, aby umożliwić Ministrowi udzielanie z budżetu państwa dotacji jednostkom samorządu terytorialnego w formule ogłaszanych przez Ministra programów, stanowiących swojego rodzaju regulamin i wytyczne dla beneficjentów środków z budżetu państwa.</w:t>
      </w:r>
    </w:p>
    <w:p w14:paraId="3D4F65C5" w14:textId="0914263D" w:rsidR="00272CA9" w:rsidRPr="00C91940" w:rsidRDefault="00272CA9" w:rsidP="00272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40">
        <w:rPr>
          <w:rFonts w:ascii="Times New Roman" w:hAnsi="Times New Roman" w:cs="Times New Roman"/>
          <w:sz w:val="24"/>
          <w:szCs w:val="24"/>
        </w:rPr>
        <w:tab/>
        <w:t xml:space="preserve">Proponuje się również rezygnację z zapisu § 3 ust. 2 rozporządzenia, zgodnie z którym wniosek, przed złożeniem Ministrowi, powinien zostać zaopiniowany przez właściwego terytorialnie marszałka województwa. Przepis ten niezbędny był w sytuacji, w której zadania dotyczące </w:t>
      </w:r>
      <w:r w:rsidR="006E09EA" w:rsidRPr="00C91940">
        <w:rPr>
          <w:rFonts w:ascii="Times New Roman" w:hAnsi="Times New Roman" w:cs="Times New Roman"/>
          <w:sz w:val="24"/>
          <w:szCs w:val="24"/>
        </w:rPr>
        <w:t xml:space="preserve">kompleksów sportowych </w:t>
      </w:r>
      <w:r w:rsidRPr="00C91940">
        <w:rPr>
          <w:rFonts w:ascii="Times New Roman" w:hAnsi="Times New Roman" w:cs="Times New Roman"/>
          <w:sz w:val="24"/>
          <w:szCs w:val="24"/>
        </w:rPr>
        <w:t>Orlik realizowane były przy jednoczesnym wsparciu ze</w:t>
      </w:r>
      <w:r w:rsidR="006E09EA" w:rsidRPr="00C91940">
        <w:rPr>
          <w:rFonts w:ascii="Times New Roman" w:hAnsi="Times New Roman" w:cs="Times New Roman"/>
          <w:sz w:val="24"/>
          <w:szCs w:val="24"/>
        </w:rPr>
        <w:t> </w:t>
      </w:r>
      <w:r w:rsidRPr="00C91940">
        <w:rPr>
          <w:rFonts w:ascii="Times New Roman" w:hAnsi="Times New Roman" w:cs="Times New Roman"/>
          <w:sz w:val="24"/>
          <w:szCs w:val="24"/>
        </w:rPr>
        <w:t>strony samorządów województw. Obecnie przepis ten nakłada na wnioskodawców dodatkowe nieuzasadnione zobowiązanie.</w:t>
      </w:r>
    </w:p>
    <w:p w14:paraId="7E3833D0" w14:textId="63062D87" w:rsidR="00C91940" w:rsidRPr="00C91940" w:rsidRDefault="00C91940" w:rsidP="00C91940">
      <w:pPr>
        <w:pStyle w:val="Default"/>
        <w:spacing w:before="120" w:line="360" w:lineRule="atLeast"/>
        <w:jc w:val="both"/>
        <w:rPr>
          <w:color w:val="000000" w:themeColor="text1"/>
        </w:rPr>
      </w:pPr>
      <w:r w:rsidRPr="00C91940">
        <w:rPr>
          <w:color w:val="000000" w:themeColor="text1"/>
          <w:spacing w:val="-2"/>
        </w:rPr>
        <w:t xml:space="preserve">Przedmiot regulacji niniejszego rozporządzenia </w:t>
      </w:r>
      <w:r w:rsidRPr="00C91940">
        <w:rPr>
          <w:color w:val="000000" w:themeColor="text1"/>
        </w:rPr>
        <w:t>nie jest objęty prawem Unii Europejskiej.</w:t>
      </w:r>
    </w:p>
    <w:p w14:paraId="4D28AE7E" w14:textId="5001FFE4" w:rsidR="00C91940" w:rsidRPr="00C91940" w:rsidRDefault="00C91940" w:rsidP="00C91940">
      <w:pPr>
        <w:pStyle w:val="Default"/>
        <w:spacing w:before="120" w:line="360" w:lineRule="atLeast"/>
        <w:jc w:val="both"/>
      </w:pPr>
      <w:r w:rsidRPr="00C91940">
        <w:rPr>
          <w:color w:val="000000" w:themeColor="text1"/>
        </w:rPr>
        <w:t xml:space="preserve">Przedmiotowy projekt nie wymaga przedstawienia właściwym organom i instytucjom Unii Europejskiej, w tym Europejskiemu Bankowi Centralnemu, w celu </w:t>
      </w:r>
      <w:r w:rsidRPr="00C91940">
        <w:t xml:space="preserve">uzyskania opinii, dokonania </w:t>
      </w:r>
      <w:r w:rsidRPr="00C91940">
        <w:lastRenderedPageBreak/>
        <w:t>powiadomienia, konsultacji albo uzgodnieni</w:t>
      </w:r>
      <w:r w:rsidR="0057592F">
        <w:t xml:space="preserve">a. Projekt nie wymaga </w:t>
      </w:r>
      <w:r w:rsidRPr="00C91940">
        <w:t>przekazania do konsultacji społecznych.</w:t>
      </w:r>
    </w:p>
    <w:p w14:paraId="2CBB0266" w14:textId="2F7ED85B" w:rsidR="00C91940" w:rsidRPr="00C91940" w:rsidRDefault="00C91940" w:rsidP="00C91940">
      <w:pPr>
        <w:pStyle w:val="Default"/>
        <w:spacing w:before="80" w:line="360" w:lineRule="atLeast"/>
        <w:jc w:val="both"/>
      </w:pPr>
      <w:r w:rsidRPr="00C91940">
        <w:t xml:space="preserve">Projekt nie będzie miał wpływu na działalność </w:t>
      </w:r>
      <w:proofErr w:type="spellStart"/>
      <w:r w:rsidRPr="00C91940">
        <w:t>mikroprzedsiębiorców</w:t>
      </w:r>
      <w:proofErr w:type="spellEnd"/>
      <w:r w:rsidRPr="00C91940">
        <w:t xml:space="preserve"> oraz małych i średnich przedsiębiorców, o których mowa w ustawie z dnia 6 marca 2018 r. </w:t>
      </w:r>
      <w:r w:rsidRPr="00C91940">
        <w:rPr>
          <w:rFonts w:cstheme="minorHAnsi"/>
        </w:rPr>
        <w:t>–</w:t>
      </w:r>
      <w:r w:rsidRPr="00C91940">
        <w:t xml:space="preserve"> Prawo przedsiębiorców (</w:t>
      </w:r>
      <w:r w:rsidRPr="00C91940">
        <w:rPr>
          <w:spacing w:val="-6"/>
        </w:rPr>
        <w:t>Dz. U. z </w:t>
      </w:r>
      <w:r>
        <w:rPr>
          <w:spacing w:val="-6"/>
        </w:rPr>
        <w:t xml:space="preserve"> </w:t>
      </w:r>
      <w:r w:rsidRPr="00C91940">
        <w:rPr>
          <w:spacing w:val="-6"/>
        </w:rPr>
        <w:t>2021 r. poz. 162, z </w:t>
      </w:r>
      <w:proofErr w:type="spellStart"/>
      <w:r w:rsidRPr="00C91940">
        <w:rPr>
          <w:spacing w:val="-6"/>
        </w:rPr>
        <w:t>późn</w:t>
      </w:r>
      <w:proofErr w:type="spellEnd"/>
      <w:r w:rsidRPr="00C91940">
        <w:rPr>
          <w:spacing w:val="-6"/>
        </w:rPr>
        <w:t>. z</w:t>
      </w:r>
      <w:r w:rsidRPr="00C91940">
        <w:t>m.). Nie spowoduje również nowych obciążeń biurokratycznych.</w:t>
      </w:r>
    </w:p>
    <w:p w14:paraId="1D57C8BE" w14:textId="77777777" w:rsidR="00C91940" w:rsidRPr="00C91940" w:rsidRDefault="00C91940" w:rsidP="00C91940">
      <w:pPr>
        <w:pStyle w:val="Default"/>
        <w:spacing w:line="360" w:lineRule="atLeast"/>
        <w:jc w:val="both"/>
      </w:pPr>
      <w:r w:rsidRPr="00C91940">
        <w:t>Projektowane rozporządzenie nie będzie miało wpływu na sytuację ekonomiczną i społeczną rodziny, a także osób niepełnosprawnych oraz osób starszych.</w:t>
      </w:r>
    </w:p>
    <w:p w14:paraId="4BBCD1A7" w14:textId="77777777" w:rsidR="00C91940" w:rsidRPr="00C91940" w:rsidRDefault="00C91940" w:rsidP="00C91940">
      <w:pPr>
        <w:pStyle w:val="Default"/>
        <w:spacing w:before="80" w:line="360" w:lineRule="atLeast"/>
        <w:jc w:val="both"/>
      </w:pPr>
      <w:r w:rsidRPr="00C91940">
        <w:t>Projekt nowelizacji nie zawiera przepisów technicznych w rozumieniu przepisów rozporządzenia Rady Ministrów z dnia 23 grudnia 2002 r. w sprawie sposobu funkcjonowania krajowego systemu notyfikacji norm i aktów prawnych (Dz. U. poz. 2039, z </w:t>
      </w:r>
      <w:proofErr w:type="spellStart"/>
      <w:r w:rsidRPr="00C91940">
        <w:t>późn</w:t>
      </w:r>
      <w:proofErr w:type="spellEnd"/>
      <w:r w:rsidRPr="00C91940">
        <w:t>. zm.) i w związku z tym nie podlega przedmiotowej notyfikacji.</w:t>
      </w:r>
    </w:p>
    <w:p w14:paraId="25C3C917" w14:textId="1AC7727F" w:rsidR="00C91940" w:rsidRPr="00C91940" w:rsidRDefault="00C91940" w:rsidP="00C9194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1940">
        <w:rPr>
          <w:rFonts w:ascii="Times New Roman" w:hAnsi="Times New Roman" w:cs="Times New Roman"/>
          <w:sz w:val="24"/>
          <w:szCs w:val="24"/>
        </w:rPr>
        <w:t xml:space="preserve">Projekt rozporządzenia, stosownie do przepisów ustawy z dnia 7 lipca 2005 r. o działalności lobbingowej w procesie stanowienia prawa (Dz. U. z 2017 r. poz. 248) oraz § 52 </w:t>
      </w:r>
      <w:r w:rsidRPr="00C91940">
        <w:rPr>
          <w:rFonts w:ascii="Times New Roman" w:hAnsi="Times New Roman" w:cs="Times New Roman"/>
          <w:spacing w:val="-6"/>
          <w:sz w:val="24"/>
          <w:szCs w:val="24"/>
        </w:rPr>
        <w:t>uchwały nr 190 Rady Ministrów z dnia 29 października 2013 r. – Regulamin pracy Rady Ministró</w:t>
      </w:r>
      <w:r w:rsidRPr="00C91940">
        <w:rPr>
          <w:rFonts w:ascii="Times New Roman" w:hAnsi="Times New Roman" w:cs="Times New Roman"/>
          <w:spacing w:val="-2"/>
          <w:sz w:val="24"/>
          <w:szCs w:val="24"/>
        </w:rPr>
        <w:t>w (M</w:t>
      </w:r>
      <w:r w:rsidRPr="00C91940">
        <w:rPr>
          <w:rFonts w:ascii="Times New Roman" w:hAnsi="Times New Roman" w:cs="Times New Roman"/>
          <w:sz w:val="24"/>
          <w:szCs w:val="24"/>
        </w:rPr>
        <w:t>. P. z 2022 r. poz. 348) został udostępniony w Biuletynie Informacji Publicznej Rządowego Centrum Legislacji.</w:t>
      </w:r>
    </w:p>
    <w:p w14:paraId="2BBA2DE5" w14:textId="77777777" w:rsidR="00544E03" w:rsidRPr="00C91940" w:rsidRDefault="00544E03" w:rsidP="00C25B1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169BE" w14:textId="77777777" w:rsidR="00CD6C6D" w:rsidRPr="00C91940" w:rsidRDefault="00CD6C6D">
      <w:pPr>
        <w:rPr>
          <w:sz w:val="24"/>
          <w:szCs w:val="24"/>
        </w:rPr>
      </w:pPr>
    </w:p>
    <w:sectPr w:rsidR="00CD6C6D" w:rsidRPr="00C9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A9"/>
    <w:rsid w:val="001817CD"/>
    <w:rsid w:val="00272CA9"/>
    <w:rsid w:val="00544E03"/>
    <w:rsid w:val="0057592F"/>
    <w:rsid w:val="006E09EA"/>
    <w:rsid w:val="008752CC"/>
    <w:rsid w:val="00C25B19"/>
    <w:rsid w:val="00C66BA2"/>
    <w:rsid w:val="00C73551"/>
    <w:rsid w:val="00C91940"/>
    <w:rsid w:val="00CD2415"/>
    <w:rsid w:val="00CD6C6D"/>
    <w:rsid w:val="00F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5992"/>
  <w15:chartTrackingRefBased/>
  <w15:docId w15:val="{5BCA21F2-99FB-494A-BC94-5AADCAF3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Podniesińska</dc:creator>
  <cp:keywords/>
  <dc:description/>
  <cp:lastModifiedBy>Agnieszka Kalinowska</cp:lastModifiedBy>
  <cp:revision>2</cp:revision>
  <dcterms:created xsi:type="dcterms:W3CDTF">2022-12-13T14:13:00Z</dcterms:created>
  <dcterms:modified xsi:type="dcterms:W3CDTF">2022-12-13T14:13:00Z</dcterms:modified>
</cp:coreProperties>
</file>