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55"/>
        <w:gridCol w:w="15"/>
        <w:gridCol w:w="1537"/>
        <w:gridCol w:w="10"/>
      </w:tblGrid>
      <w:tr w:rsidR="006A701A" w:rsidRPr="008B4FE6" w14:paraId="294EF63F" w14:textId="77777777" w:rsidTr="00676C8D">
        <w:trPr>
          <w:gridAfter w:val="1"/>
          <w:wAfter w:w="10" w:type="dxa"/>
          <w:trHeight w:val="1611"/>
        </w:trPr>
        <w:tc>
          <w:tcPr>
            <w:tcW w:w="6631" w:type="dxa"/>
            <w:gridSpan w:val="17"/>
          </w:tcPr>
          <w:p w14:paraId="4D41E239" w14:textId="77777777" w:rsidR="006A701A" w:rsidRPr="0010086C" w:rsidRDefault="006A701A" w:rsidP="00616511">
            <w:pPr>
              <w:spacing w:before="120" w:line="240" w:lineRule="auto"/>
              <w:ind w:hanging="45"/>
              <w:rPr>
                <w:rFonts w:ascii="Times New Roman" w:hAnsi="Times New Roman"/>
                <w:color w:val="000000"/>
              </w:rPr>
            </w:pPr>
            <w:bookmarkStart w:id="0" w:name="t1"/>
            <w:r w:rsidRPr="0010086C">
              <w:rPr>
                <w:rFonts w:ascii="Times New Roman" w:hAnsi="Times New Roman"/>
                <w:b/>
                <w:color w:val="000000"/>
              </w:rPr>
              <w:t xml:space="preserve">Nazwa </w:t>
            </w:r>
            <w:r w:rsidR="001B75D8" w:rsidRPr="0010086C">
              <w:rPr>
                <w:rFonts w:ascii="Times New Roman" w:hAnsi="Times New Roman"/>
                <w:b/>
                <w:color w:val="000000"/>
              </w:rPr>
              <w:t>projektu</w:t>
            </w:r>
          </w:p>
          <w:p w14:paraId="73907E65" w14:textId="57D79E06" w:rsidR="00790C8E" w:rsidRPr="0010086C" w:rsidRDefault="00790C8E" w:rsidP="00790C8E">
            <w:pPr>
              <w:spacing w:line="240" w:lineRule="auto"/>
              <w:rPr>
                <w:rFonts w:ascii="Times New Roman" w:hAnsi="Times New Roman"/>
                <w:color w:val="000000"/>
              </w:rPr>
            </w:pPr>
            <w:bookmarkStart w:id="1" w:name="t2"/>
            <w:r w:rsidRPr="0010086C">
              <w:rPr>
                <w:rFonts w:ascii="Times New Roman" w:hAnsi="Times New Roman"/>
              </w:rPr>
              <w:t xml:space="preserve">Ustawa </w:t>
            </w:r>
            <w:bookmarkEnd w:id="1"/>
            <w:r w:rsidR="00716A0F">
              <w:rPr>
                <w:rFonts w:ascii="Times New Roman" w:hAnsi="Times New Roman"/>
              </w:rPr>
              <w:t>z dnia (…) o zmianie ustawy o wymianie informacji podatkowych z innymi państwami oraz niektórych innych ustaw</w:t>
            </w:r>
          </w:p>
          <w:p w14:paraId="094DD2CB" w14:textId="77777777" w:rsidR="006A701A" w:rsidRPr="0010086C" w:rsidRDefault="006A701A" w:rsidP="00616511">
            <w:pPr>
              <w:spacing w:before="120" w:line="240" w:lineRule="auto"/>
              <w:ind w:hanging="45"/>
              <w:rPr>
                <w:rFonts w:ascii="Times New Roman" w:hAnsi="Times New Roman"/>
                <w:b/>
                <w:color w:val="000000"/>
              </w:rPr>
            </w:pPr>
            <w:r w:rsidRPr="0010086C">
              <w:rPr>
                <w:rFonts w:ascii="Times New Roman" w:hAnsi="Times New Roman"/>
                <w:b/>
                <w:color w:val="000000"/>
              </w:rPr>
              <w:t>Ministerstwo wiodące i ministerstwa współpracujące</w:t>
            </w:r>
          </w:p>
          <w:bookmarkEnd w:id="0"/>
          <w:p w14:paraId="099C7105" w14:textId="77777777" w:rsidR="00790C8E" w:rsidRPr="008C250A" w:rsidRDefault="00790C8E" w:rsidP="001B3460">
            <w:pPr>
              <w:spacing w:line="240" w:lineRule="auto"/>
              <w:rPr>
                <w:rFonts w:ascii="Times New Roman" w:hAnsi="Times New Roman"/>
                <w:b/>
              </w:rPr>
            </w:pPr>
            <w:r w:rsidRPr="0010086C">
              <w:rPr>
                <w:rFonts w:ascii="Times New Roman" w:hAnsi="Times New Roman"/>
                <w:color w:val="000000"/>
              </w:rPr>
              <w:t>Ministerstwo Finansów</w:t>
            </w:r>
            <w:r w:rsidRPr="008C250A">
              <w:rPr>
                <w:rFonts w:ascii="Times New Roman" w:hAnsi="Times New Roman"/>
                <w:b/>
              </w:rPr>
              <w:t xml:space="preserve"> </w:t>
            </w:r>
          </w:p>
          <w:p w14:paraId="51A873EE" w14:textId="77777777" w:rsidR="001B3460" w:rsidRPr="008C250A" w:rsidRDefault="001B3460" w:rsidP="001B3460">
            <w:pPr>
              <w:spacing w:line="240" w:lineRule="auto"/>
              <w:rPr>
                <w:rFonts w:ascii="Times New Roman" w:hAnsi="Times New Roman"/>
                <w:b/>
              </w:rPr>
            </w:pPr>
            <w:r w:rsidRPr="008C250A">
              <w:rPr>
                <w:rFonts w:ascii="Times New Roman" w:hAnsi="Times New Roman"/>
                <w:b/>
              </w:rPr>
              <w:t xml:space="preserve">Osoba odpowiedzialna za projekt w randze Ministra, Sekretarza Stanu lub Podsekretarza Stanu </w:t>
            </w:r>
          </w:p>
          <w:p w14:paraId="46744442" w14:textId="77777777" w:rsidR="00790C8E" w:rsidRPr="008C250A" w:rsidRDefault="00790C8E" w:rsidP="00790C8E">
            <w:pPr>
              <w:spacing w:line="240" w:lineRule="auto"/>
              <w:rPr>
                <w:rFonts w:ascii="Times New Roman" w:hAnsi="Times New Roman"/>
              </w:rPr>
            </w:pPr>
            <w:r w:rsidRPr="008C250A">
              <w:rPr>
                <w:rFonts w:ascii="Times New Roman" w:hAnsi="Times New Roman"/>
              </w:rPr>
              <w:t xml:space="preserve">Artur Soboń, Sekretarz Stanu w Ministerstwie Finansów </w:t>
            </w:r>
          </w:p>
          <w:p w14:paraId="756B66CC" w14:textId="77777777" w:rsidR="001B3460" w:rsidRPr="008C250A" w:rsidRDefault="001B3460" w:rsidP="001B3460">
            <w:pPr>
              <w:spacing w:line="240" w:lineRule="auto"/>
              <w:rPr>
                <w:rFonts w:ascii="Times New Roman" w:hAnsi="Times New Roman"/>
              </w:rPr>
            </w:pPr>
          </w:p>
          <w:p w14:paraId="3453A39C" w14:textId="77777777" w:rsidR="006A701A" w:rsidRPr="0010086C" w:rsidRDefault="006A701A" w:rsidP="00616511">
            <w:pPr>
              <w:spacing w:before="120" w:line="240" w:lineRule="auto"/>
              <w:ind w:hanging="45"/>
              <w:rPr>
                <w:rFonts w:ascii="Times New Roman" w:hAnsi="Times New Roman"/>
                <w:b/>
                <w:color w:val="000000"/>
              </w:rPr>
            </w:pPr>
            <w:r w:rsidRPr="0010086C">
              <w:rPr>
                <w:rFonts w:ascii="Times New Roman" w:hAnsi="Times New Roman"/>
                <w:b/>
                <w:color w:val="000000"/>
              </w:rPr>
              <w:t>Kontakt do opiekuna merytorycznego projektu</w:t>
            </w:r>
          </w:p>
          <w:p w14:paraId="07B8691F" w14:textId="77777777" w:rsidR="00790C8E" w:rsidRPr="007304B1" w:rsidRDefault="00790C8E" w:rsidP="00790C8E">
            <w:pPr>
              <w:spacing w:line="240" w:lineRule="auto"/>
              <w:ind w:hanging="34"/>
              <w:rPr>
                <w:rFonts w:ascii="Times New Roman" w:hAnsi="Times New Roman"/>
                <w:color w:val="000000"/>
              </w:rPr>
            </w:pPr>
            <w:r w:rsidRPr="007304B1">
              <w:rPr>
                <w:rFonts w:ascii="Times New Roman" w:hAnsi="Times New Roman"/>
                <w:color w:val="000000"/>
              </w:rPr>
              <w:t xml:space="preserve">dr </w:t>
            </w:r>
            <w:r w:rsidR="008A4C9C" w:rsidRPr="007304B1">
              <w:rPr>
                <w:rFonts w:ascii="Times New Roman" w:hAnsi="Times New Roman"/>
                <w:color w:val="000000"/>
              </w:rPr>
              <w:t>Marcin Lachowicz</w:t>
            </w:r>
            <w:r w:rsidRPr="007304B1">
              <w:rPr>
                <w:rFonts w:ascii="Times New Roman" w:hAnsi="Times New Roman"/>
                <w:color w:val="000000"/>
              </w:rPr>
              <w:t xml:space="preserve">, </w:t>
            </w:r>
            <w:r w:rsidR="008A4C9C" w:rsidRPr="007304B1">
              <w:rPr>
                <w:rFonts w:ascii="Times New Roman" w:hAnsi="Times New Roman"/>
                <w:color w:val="000000"/>
              </w:rPr>
              <w:t>Dyrektor</w:t>
            </w:r>
          </w:p>
          <w:p w14:paraId="48A58EBF" w14:textId="77777777" w:rsidR="00790C8E" w:rsidRPr="00C828BC" w:rsidRDefault="00790C8E" w:rsidP="00790C8E">
            <w:pPr>
              <w:spacing w:line="240" w:lineRule="auto"/>
              <w:ind w:hanging="34"/>
              <w:rPr>
                <w:rFonts w:ascii="Times New Roman" w:hAnsi="Times New Roman"/>
                <w:color w:val="000000"/>
              </w:rPr>
            </w:pPr>
            <w:r w:rsidRPr="00C828BC">
              <w:rPr>
                <w:rFonts w:ascii="Times New Roman" w:hAnsi="Times New Roman"/>
                <w:color w:val="000000"/>
              </w:rPr>
              <w:t>Departament</w:t>
            </w:r>
            <w:r w:rsidR="008A4C9C" w:rsidRPr="00C828BC">
              <w:rPr>
                <w:rFonts w:ascii="Times New Roman" w:hAnsi="Times New Roman"/>
                <w:color w:val="000000"/>
              </w:rPr>
              <w:t>u</w:t>
            </w:r>
            <w:r w:rsidRPr="00C828BC">
              <w:rPr>
                <w:rFonts w:ascii="Times New Roman" w:hAnsi="Times New Roman"/>
                <w:color w:val="000000"/>
              </w:rPr>
              <w:t xml:space="preserve"> Polityki Podatkowej </w:t>
            </w:r>
          </w:p>
          <w:p w14:paraId="12620FFA" w14:textId="77777777" w:rsidR="006A701A" w:rsidRPr="0010086C" w:rsidRDefault="001F2E8C" w:rsidP="00790C8E">
            <w:pPr>
              <w:spacing w:line="240" w:lineRule="auto"/>
              <w:ind w:hanging="34"/>
              <w:rPr>
                <w:rFonts w:ascii="Times New Roman" w:hAnsi="Times New Roman"/>
                <w:color w:val="000000"/>
              </w:rPr>
            </w:pPr>
            <w:hyperlink r:id="rId11" w:history="1">
              <w:r w:rsidR="008A4C9C" w:rsidRPr="0010086C">
                <w:rPr>
                  <w:rStyle w:val="Hipercze"/>
                  <w:rFonts w:ascii="Times New Roman" w:hAnsi="Times New Roman"/>
                </w:rPr>
                <w:t>sekretariat.dsp@mf.gov.pl</w:t>
              </w:r>
            </w:hyperlink>
          </w:p>
          <w:p w14:paraId="570BB473" w14:textId="77777777" w:rsidR="00790C8E" w:rsidRPr="008B4FE6" w:rsidRDefault="00790C8E" w:rsidP="00790C8E">
            <w:pPr>
              <w:spacing w:line="240" w:lineRule="auto"/>
              <w:ind w:hanging="34"/>
              <w:rPr>
                <w:rFonts w:ascii="Times New Roman" w:hAnsi="Times New Roman"/>
                <w:color w:val="000000"/>
              </w:rPr>
            </w:pPr>
            <w:r w:rsidRPr="007304B1">
              <w:rPr>
                <w:rFonts w:ascii="Times New Roman" w:hAnsi="Times New Roman"/>
                <w:color w:val="000000"/>
              </w:rPr>
              <w:t>+48 22 694 38 86</w:t>
            </w:r>
          </w:p>
        </w:tc>
        <w:tc>
          <w:tcPr>
            <w:tcW w:w="4306" w:type="dxa"/>
            <w:gridSpan w:val="12"/>
            <w:shd w:val="clear" w:color="auto" w:fill="FFFFFF"/>
          </w:tcPr>
          <w:p w14:paraId="77167651" w14:textId="77777777" w:rsidR="001B3460" w:rsidRPr="008C250A" w:rsidRDefault="00790C8E" w:rsidP="001B3460">
            <w:pPr>
              <w:spacing w:line="240" w:lineRule="auto"/>
              <w:rPr>
                <w:rFonts w:ascii="Times New Roman" w:hAnsi="Times New Roman"/>
                <w:b/>
              </w:rPr>
            </w:pPr>
            <w:r w:rsidRPr="008C250A">
              <w:rPr>
                <w:rFonts w:ascii="Times New Roman" w:hAnsi="Times New Roman"/>
                <w:b/>
              </w:rPr>
              <w:t>Data sporządzenia:</w:t>
            </w:r>
          </w:p>
          <w:p w14:paraId="33C5F9C3" w14:textId="4E441252" w:rsidR="00790C8E" w:rsidRPr="008C250A" w:rsidRDefault="00E43B8D" w:rsidP="001B3460">
            <w:pPr>
              <w:spacing w:line="240" w:lineRule="auto"/>
              <w:rPr>
                <w:rFonts w:ascii="Times New Roman" w:hAnsi="Times New Roman"/>
              </w:rPr>
            </w:pPr>
            <w:r>
              <w:rPr>
                <w:rFonts w:ascii="Times New Roman" w:hAnsi="Times New Roman"/>
              </w:rPr>
              <w:t>0</w:t>
            </w:r>
            <w:r w:rsidR="005D2227">
              <w:rPr>
                <w:rFonts w:ascii="Times New Roman" w:hAnsi="Times New Roman"/>
              </w:rPr>
              <w:t>6</w:t>
            </w:r>
            <w:r>
              <w:rPr>
                <w:rFonts w:ascii="Times New Roman" w:hAnsi="Times New Roman"/>
              </w:rPr>
              <w:t>.0</w:t>
            </w:r>
            <w:r w:rsidR="005D2227">
              <w:rPr>
                <w:rFonts w:ascii="Times New Roman" w:hAnsi="Times New Roman"/>
              </w:rPr>
              <w:t>2</w:t>
            </w:r>
            <w:r w:rsidR="00790C8E" w:rsidRPr="008C250A">
              <w:rPr>
                <w:rFonts w:ascii="Times New Roman" w:hAnsi="Times New Roman"/>
              </w:rPr>
              <w:t>.202</w:t>
            </w:r>
            <w:r w:rsidR="005D2227">
              <w:rPr>
                <w:rFonts w:ascii="Times New Roman" w:hAnsi="Times New Roman"/>
              </w:rPr>
              <w:t>3</w:t>
            </w:r>
            <w:r w:rsidR="00790C8E" w:rsidRPr="008C250A">
              <w:rPr>
                <w:rFonts w:ascii="Times New Roman" w:hAnsi="Times New Roman"/>
              </w:rPr>
              <w:t>r.</w:t>
            </w:r>
          </w:p>
          <w:p w14:paraId="4D0B7CE4" w14:textId="77777777" w:rsidR="00F76884" w:rsidRPr="0010086C" w:rsidRDefault="00F76884" w:rsidP="00F76884">
            <w:pPr>
              <w:spacing w:line="240" w:lineRule="auto"/>
              <w:rPr>
                <w:rFonts w:ascii="Times New Roman" w:hAnsi="Times New Roman"/>
                <w:b/>
              </w:rPr>
            </w:pPr>
          </w:p>
          <w:p w14:paraId="4CC30281" w14:textId="0EFD0426" w:rsidR="00F76884" w:rsidRPr="007304B1" w:rsidRDefault="00F76884" w:rsidP="00F76884">
            <w:pPr>
              <w:spacing w:line="240" w:lineRule="auto"/>
              <w:rPr>
                <w:rFonts w:ascii="Times New Roman" w:hAnsi="Times New Roman"/>
                <w:b/>
              </w:rPr>
            </w:pPr>
            <w:r w:rsidRPr="007304B1">
              <w:rPr>
                <w:rFonts w:ascii="Times New Roman" w:hAnsi="Times New Roman"/>
                <w:b/>
              </w:rPr>
              <w:t xml:space="preserve">Źródło: </w:t>
            </w:r>
            <w:bookmarkStart w:id="2" w:name="Lista1"/>
          </w:p>
          <w:bookmarkEnd w:id="2"/>
          <w:p w14:paraId="7043FA3C" w14:textId="77777777" w:rsidR="00F76884" w:rsidRPr="0010086C" w:rsidRDefault="00790C8E" w:rsidP="00F76884">
            <w:pPr>
              <w:spacing w:line="240" w:lineRule="auto"/>
              <w:rPr>
                <w:rFonts w:ascii="Times New Roman" w:hAnsi="Times New Roman"/>
              </w:rPr>
            </w:pPr>
            <w:r w:rsidRPr="00716A0F">
              <w:rPr>
                <w:rFonts w:ascii="Times New Roman" w:hAnsi="Times New Roman"/>
              </w:rPr>
              <w:fldChar w:fldCharType="begin">
                <w:ffData>
                  <w:name w:val=""/>
                  <w:enabled/>
                  <w:calcOnExit w:val="0"/>
                  <w:ddList>
                    <w:listEntry w:val="Prawo UE"/>
                    <w:listEntry w:val="Expose Premiera"/>
                    <w:listEntry w:val="decyzja PRM/RM"/>
                    <w:listEntry w:val="Orzeczenie TK"/>
                    <w:listEntry w:val="Upoważnienie ustawowe"/>
                    <w:listEntry w:val="Stategia"/>
                    <w:listEntry w:val="inne"/>
                  </w:ddList>
                </w:ffData>
              </w:fldChar>
            </w:r>
            <w:r w:rsidRPr="00716A0F">
              <w:rPr>
                <w:rFonts w:ascii="Times New Roman" w:hAnsi="Times New Roman"/>
              </w:rPr>
              <w:instrText xml:space="preserve"> FORMDROPDOWN </w:instrText>
            </w:r>
            <w:r w:rsidR="001F2E8C">
              <w:rPr>
                <w:rFonts w:ascii="Times New Roman" w:hAnsi="Times New Roman"/>
              </w:rPr>
            </w:r>
            <w:r w:rsidR="001F2E8C">
              <w:rPr>
                <w:rFonts w:ascii="Times New Roman" w:hAnsi="Times New Roman"/>
              </w:rPr>
              <w:fldChar w:fldCharType="separate"/>
            </w:r>
            <w:r w:rsidRPr="00716A0F">
              <w:rPr>
                <w:rFonts w:ascii="Times New Roman" w:hAnsi="Times New Roman"/>
              </w:rPr>
              <w:fldChar w:fldCharType="end"/>
            </w:r>
          </w:p>
          <w:p w14:paraId="7AE3B4CC" w14:textId="77777777" w:rsidR="008A4C9C" w:rsidRPr="00C828BC" w:rsidRDefault="008A4C9C" w:rsidP="008A4C9C">
            <w:pPr>
              <w:spacing w:line="240" w:lineRule="auto"/>
              <w:rPr>
                <w:rFonts w:ascii="Times New Roman" w:hAnsi="Times New Roman"/>
              </w:rPr>
            </w:pPr>
            <w:r w:rsidRPr="007304B1">
              <w:rPr>
                <w:rFonts w:ascii="Times New Roman" w:hAnsi="Times New Roman"/>
              </w:rPr>
              <w:t>DYREKTYWA RADY (UE) 2021/514 z dnia 22 marca 2021 r. zmieniająca dyrektywę 2011/16/UE w sprawie współpracy administracyjnej w dziedzinie opodatkowania</w:t>
            </w:r>
          </w:p>
          <w:p w14:paraId="0C9BF09F" w14:textId="77777777" w:rsidR="00F76884" w:rsidRPr="009804F1" w:rsidRDefault="00F76884" w:rsidP="00F76884">
            <w:pPr>
              <w:spacing w:line="240" w:lineRule="auto"/>
              <w:rPr>
                <w:rFonts w:ascii="Times New Roman" w:hAnsi="Times New Roman"/>
              </w:rPr>
            </w:pPr>
          </w:p>
          <w:p w14:paraId="79ED71DD" w14:textId="5020B11A" w:rsidR="006A701A" w:rsidRPr="00716A0F" w:rsidRDefault="006A701A" w:rsidP="00716A0F">
            <w:pPr>
              <w:spacing w:before="120" w:line="240" w:lineRule="auto"/>
              <w:rPr>
                <w:rFonts w:ascii="Times New Roman" w:hAnsi="Times New Roman"/>
                <w:b/>
                <w:color w:val="000000"/>
              </w:rPr>
            </w:pPr>
            <w:r w:rsidRPr="0010086C">
              <w:rPr>
                <w:rFonts w:ascii="Times New Roman" w:hAnsi="Times New Roman"/>
                <w:b/>
                <w:color w:val="000000"/>
              </w:rPr>
              <w:t xml:space="preserve">Nr </w:t>
            </w:r>
            <w:r w:rsidR="0057668E" w:rsidRPr="0010086C">
              <w:rPr>
                <w:rFonts w:ascii="Times New Roman" w:hAnsi="Times New Roman"/>
                <w:b/>
                <w:color w:val="000000"/>
              </w:rPr>
              <w:t>w</w:t>
            </w:r>
            <w:r w:rsidRPr="0010086C">
              <w:rPr>
                <w:rFonts w:ascii="Times New Roman" w:hAnsi="Times New Roman"/>
                <w:b/>
                <w:color w:val="000000"/>
              </w:rPr>
              <w:t xml:space="preserve"> wykaz</w:t>
            </w:r>
            <w:r w:rsidR="0057668E" w:rsidRPr="0010086C">
              <w:rPr>
                <w:rFonts w:ascii="Times New Roman" w:hAnsi="Times New Roman"/>
                <w:b/>
                <w:color w:val="000000"/>
              </w:rPr>
              <w:t>ie</w:t>
            </w:r>
            <w:r w:rsidR="00716A0F">
              <w:rPr>
                <w:rFonts w:ascii="Times New Roman" w:hAnsi="Times New Roman"/>
                <w:b/>
                <w:color w:val="000000"/>
              </w:rPr>
              <w:t xml:space="preserve"> prac: UC136</w:t>
            </w:r>
          </w:p>
          <w:p w14:paraId="253625A5"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0342B71F" w14:textId="77777777" w:rsidTr="00676C8D">
        <w:trPr>
          <w:gridAfter w:val="1"/>
          <w:wAfter w:w="10" w:type="dxa"/>
          <w:trHeight w:val="142"/>
        </w:trPr>
        <w:tc>
          <w:tcPr>
            <w:tcW w:w="10937" w:type="dxa"/>
            <w:gridSpan w:val="29"/>
            <w:shd w:val="clear" w:color="auto" w:fill="99CCFF"/>
          </w:tcPr>
          <w:p w14:paraId="5549976B"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5BE07865" w14:textId="77777777" w:rsidTr="00676C8D">
        <w:trPr>
          <w:gridAfter w:val="1"/>
          <w:wAfter w:w="10" w:type="dxa"/>
          <w:trHeight w:val="333"/>
        </w:trPr>
        <w:tc>
          <w:tcPr>
            <w:tcW w:w="10937" w:type="dxa"/>
            <w:gridSpan w:val="29"/>
            <w:shd w:val="clear" w:color="auto" w:fill="99CCFF"/>
            <w:vAlign w:val="center"/>
          </w:tcPr>
          <w:p w14:paraId="3177CC2C"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3" w:name="Wybór1"/>
            <w:bookmarkEnd w:id="3"/>
          </w:p>
        </w:tc>
      </w:tr>
      <w:tr w:rsidR="006A701A" w:rsidRPr="008B4FE6" w14:paraId="5F8CB481" w14:textId="77777777" w:rsidTr="00676C8D">
        <w:trPr>
          <w:gridAfter w:val="1"/>
          <w:wAfter w:w="10" w:type="dxa"/>
          <w:trHeight w:val="142"/>
        </w:trPr>
        <w:tc>
          <w:tcPr>
            <w:tcW w:w="10937" w:type="dxa"/>
            <w:gridSpan w:val="29"/>
            <w:shd w:val="clear" w:color="auto" w:fill="FFFFFF"/>
          </w:tcPr>
          <w:p w14:paraId="4B501488" w14:textId="4747DB53" w:rsidR="000B7A2A" w:rsidRDefault="000B7A2A" w:rsidP="000B7A2A">
            <w:pPr>
              <w:spacing w:line="240" w:lineRule="auto"/>
              <w:jc w:val="both"/>
              <w:rPr>
                <w:rFonts w:ascii="Times New Roman" w:hAnsi="Times New Roman"/>
                <w:color w:val="000000"/>
              </w:rPr>
            </w:pPr>
            <w:r w:rsidRPr="0010086C">
              <w:rPr>
                <w:rFonts w:ascii="Times New Roman" w:hAnsi="Times New Roman"/>
                <w:color w:val="000000"/>
              </w:rPr>
              <w:t xml:space="preserve">Planowane w projekcie rozwiązania są wprowadzane w celu transpozycji regulacji prawnych </w:t>
            </w:r>
            <w:r w:rsidRPr="008C250A">
              <w:rPr>
                <w:rFonts w:ascii="Times New Roman" w:hAnsi="Times New Roman"/>
              </w:rPr>
              <w:t>dyrektywy Rady (UE) 2021/514 z dnia 22 marca 2021 r. zmieniającej dyrektywę 2011/16/UE w sprawie współpracy administracyjnej</w:t>
            </w:r>
            <w:r w:rsidR="005B0E55">
              <w:rPr>
                <w:rFonts w:ascii="Times New Roman" w:hAnsi="Times New Roman"/>
              </w:rPr>
              <w:br/>
            </w:r>
            <w:r w:rsidRPr="008C250A">
              <w:rPr>
                <w:rFonts w:ascii="Times New Roman" w:hAnsi="Times New Roman"/>
              </w:rPr>
              <w:t>w dziedzinie opodatkowania (Dz. Urz. UE L 104/1 z 25.03.2021; zwaną dalej: DAC7).</w:t>
            </w:r>
            <w:r w:rsidRPr="0010086C">
              <w:rPr>
                <w:rFonts w:ascii="Times New Roman" w:hAnsi="Times New Roman"/>
                <w:color w:val="000000"/>
              </w:rPr>
              <w:t xml:space="preserve"> Wprowadzane przepisy mają</w:t>
            </w:r>
            <w:r w:rsidR="001B35B0">
              <w:rPr>
                <w:rFonts w:ascii="Times New Roman" w:hAnsi="Times New Roman"/>
                <w:color w:val="000000"/>
              </w:rPr>
              <w:br/>
            </w:r>
            <w:r w:rsidRPr="0010086C">
              <w:rPr>
                <w:rFonts w:ascii="Times New Roman" w:hAnsi="Times New Roman"/>
                <w:color w:val="000000"/>
              </w:rPr>
              <w:t xml:space="preserve">na celu intensyfikację działań w obszarze współpracy w zakresie wymiany informacji podatkowych </w:t>
            </w:r>
            <w:r w:rsidRPr="007304B1">
              <w:rPr>
                <w:rFonts w:ascii="Times New Roman" w:hAnsi="Times New Roman"/>
                <w:color w:val="000000"/>
              </w:rPr>
              <w:t>w związku</w:t>
            </w:r>
            <w:r w:rsidR="001B35B0">
              <w:rPr>
                <w:rFonts w:ascii="Times New Roman" w:hAnsi="Times New Roman"/>
                <w:color w:val="000000"/>
              </w:rPr>
              <w:br/>
            </w:r>
            <w:r w:rsidRPr="007304B1">
              <w:rPr>
                <w:rFonts w:ascii="Times New Roman" w:hAnsi="Times New Roman"/>
                <w:color w:val="000000"/>
              </w:rPr>
              <w:t xml:space="preserve">z ograniczoną </w:t>
            </w:r>
            <w:r w:rsidRPr="00C828BC">
              <w:rPr>
                <w:rFonts w:ascii="Times New Roman" w:hAnsi="Times New Roman"/>
                <w:color w:val="000000"/>
              </w:rPr>
              <w:t xml:space="preserve">dostępnością danych dotyczących dochodów uzyskanych przez podatników za pośrednictwem platform cyfrowych. Zidentyfikowane na poziomie unijnym </w:t>
            </w:r>
            <w:r w:rsidRPr="001B35B0">
              <w:rPr>
                <w:rFonts w:ascii="Times New Roman" w:hAnsi="Times New Roman"/>
                <w:color w:val="000000"/>
              </w:rPr>
              <w:t>przeszkody to brak właściwej skuteczności w zakresie pozyskiwania informacji o </w:t>
            </w:r>
            <w:r w:rsidR="00D158BF" w:rsidRPr="001B35B0">
              <w:rPr>
                <w:rFonts w:ascii="Times New Roman" w:hAnsi="Times New Roman"/>
                <w:color w:val="000000"/>
              </w:rPr>
              <w:t>przychodach</w:t>
            </w:r>
            <w:r w:rsidRPr="009804F1">
              <w:rPr>
                <w:rFonts w:ascii="Times New Roman" w:hAnsi="Times New Roman"/>
                <w:color w:val="000000"/>
              </w:rPr>
              <w:t xml:space="preserve"> uzyskiwanych przez sprzedawców </w:t>
            </w:r>
            <w:r w:rsidR="00A1040D" w:rsidRPr="006D0D93">
              <w:rPr>
                <w:rFonts w:ascii="Times New Roman" w:hAnsi="Times New Roman"/>
                <w:color w:val="000000"/>
              </w:rPr>
              <w:t xml:space="preserve">z działalności komercyjnej </w:t>
            </w:r>
            <w:r w:rsidRPr="004E2776">
              <w:rPr>
                <w:rFonts w:ascii="Times New Roman" w:hAnsi="Times New Roman"/>
                <w:color w:val="000000"/>
              </w:rPr>
              <w:t>korzystających z pośrednictwa platform cyfrowych</w:t>
            </w:r>
            <w:r w:rsidRPr="0010086C">
              <w:rPr>
                <w:rFonts w:ascii="Times New Roman" w:hAnsi="Times New Roman"/>
                <w:color w:val="000000"/>
              </w:rPr>
              <w:t>, ale także problem zbyt niskiej skuteczności współpracy administracji podatkowych państw członkowskich. Proponowane przepisy odpowiadają na te wyzwania poprzez stworzenie wspólnych, unijnych ram sprawozdawczości, które są niezbędne do zgłaszania dochodów uzyskiwanych za pośrednictwem platform cyfrowych.</w:t>
            </w:r>
          </w:p>
          <w:p w14:paraId="7DF8D669" w14:textId="77777777" w:rsidR="00830DCC" w:rsidRPr="00830DCC" w:rsidRDefault="00830DCC" w:rsidP="000B7A2A">
            <w:pPr>
              <w:spacing w:line="240" w:lineRule="auto"/>
              <w:jc w:val="both"/>
              <w:rPr>
                <w:rFonts w:ascii="Times New Roman" w:hAnsi="Times New Roman"/>
                <w:color w:val="000000"/>
              </w:rPr>
            </w:pPr>
          </w:p>
          <w:p w14:paraId="5A307D12" w14:textId="5248B700" w:rsidR="000B7A2A" w:rsidRPr="0010086C" w:rsidRDefault="000B7A2A" w:rsidP="000B7A2A">
            <w:pPr>
              <w:spacing w:line="240" w:lineRule="auto"/>
              <w:jc w:val="both"/>
              <w:rPr>
                <w:rFonts w:ascii="Times New Roman" w:hAnsi="Times New Roman"/>
                <w:color w:val="000000"/>
              </w:rPr>
            </w:pPr>
            <w:r w:rsidRPr="00E66A31">
              <w:rPr>
                <w:rFonts w:ascii="Times New Roman" w:hAnsi="Times New Roman"/>
                <w:color w:val="000000"/>
              </w:rPr>
              <w:t>Ostatnie lata przyniosły szybką transformację cyfrową wszystkich aspektów życia gospodarczego na świecie. Pandemia</w:t>
            </w:r>
            <w:r w:rsidR="009804F1">
              <w:rPr>
                <w:rFonts w:ascii="Times New Roman" w:hAnsi="Times New Roman"/>
                <w:color w:val="000000"/>
              </w:rPr>
              <w:t xml:space="preserve"> COVID-19</w:t>
            </w:r>
            <w:r w:rsidR="00A1040D" w:rsidRPr="009804F1">
              <w:rPr>
                <w:rFonts w:ascii="Times New Roman" w:hAnsi="Times New Roman"/>
                <w:color w:val="000000"/>
              </w:rPr>
              <w:t xml:space="preserve"> </w:t>
            </w:r>
            <w:r w:rsidRPr="009804F1">
              <w:rPr>
                <w:rFonts w:ascii="Times New Roman" w:hAnsi="Times New Roman"/>
                <w:color w:val="000000"/>
              </w:rPr>
              <w:t>dodatkowo przyspieszyła tę transformację. Transgraniczny charakter działalności polegającej</w:t>
            </w:r>
            <w:r w:rsidR="001B35B0">
              <w:rPr>
                <w:rFonts w:ascii="Times New Roman" w:hAnsi="Times New Roman"/>
                <w:color w:val="000000"/>
              </w:rPr>
              <w:br/>
            </w:r>
            <w:r w:rsidRPr="001B35B0">
              <w:rPr>
                <w:rFonts w:ascii="Times New Roman" w:hAnsi="Times New Roman"/>
                <w:color w:val="000000"/>
              </w:rPr>
              <w:t>na świadczeniu usług elektronicznych, umożliwił wszystkim obywatelom Unii Europejskiej łatwy handel i świadczenie usług na jednolitym rynku. Jednocześni</w:t>
            </w:r>
            <w:r w:rsidRPr="00E03161">
              <w:rPr>
                <w:rFonts w:ascii="Times New Roman" w:hAnsi="Times New Roman"/>
                <w:color w:val="000000"/>
              </w:rPr>
              <w:t xml:space="preserve">e wyegzekwowanie przepisów podatkowych w tym środowisku (także ze względu na ilość transakcji) stało się niezmiernie trudne. Administracje podatkowe państw członkowskich nie mają wystarczających informacji, aby prawidłowo ocenić i kontrolować uzyskiwane w </w:t>
            </w:r>
            <w:r w:rsidRPr="009804F1">
              <w:rPr>
                <w:rFonts w:ascii="Times New Roman" w:hAnsi="Times New Roman"/>
                <w:color w:val="000000"/>
              </w:rPr>
              <w:t>ich kraju dochody z działalności wykonywanej</w:t>
            </w:r>
            <w:r w:rsidR="001B35B0">
              <w:rPr>
                <w:rFonts w:ascii="Times New Roman" w:hAnsi="Times New Roman"/>
                <w:color w:val="000000"/>
              </w:rPr>
              <w:br/>
            </w:r>
            <w:r w:rsidRPr="001B35B0">
              <w:rPr>
                <w:rFonts w:ascii="Times New Roman" w:hAnsi="Times New Roman"/>
                <w:color w:val="000000"/>
              </w:rPr>
              <w:t>za pośrednictwem platform cyfrowych. Jest to szczególnie problematyczne, gdy dochody są uzyskiwanie</w:t>
            </w:r>
            <w:r w:rsidR="001B35B0">
              <w:rPr>
                <w:rFonts w:ascii="Times New Roman" w:hAnsi="Times New Roman"/>
                <w:color w:val="000000"/>
              </w:rPr>
              <w:br/>
            </w:r>
            <w:r w:rsidRPr="001B35B0">
              <w:rPr>
                <w:rFonts w:ascii="Times New Roman" w:hAnsi="Times New Roman"/>
                <w:color w:val="000000"/>
              </w:rPr>
              <w:t>z wykorzystaniem platform z siedzibą w innym państwie członkowskim niż państwo sprzedawcy uzyskującego te dochody. Zmiana zachowań konsumenckich i modeli korzystania z usług oraz handlu, tj. przenoszenie aktywności ekonomicznej obywateli UE do Internetu i coraz częstsze korzystanie przez nich zarówno z krajowych, unijnych, jak i zarejestrowanych w państwach trzecic</w:t>
            </w:r>
            <w:r w:rsidRPr="009804F1">
              <w:rPr>
                <w:rFonts w:ascii="Times New Roman" w:hAnsi="Times New Roman"/>
                <w:color w:val="000000"/>
              </w:rPr>
              <w:t>h platform internetowych spowodowało powstanie potrzeby wprowadzenia zmian do Dyrektywy Rady 2011/16/UE. Uregulowanie kwestii sprawozdawczości operatorów platform cyfrowych pozwoli na możliwie kompleksowe zaadresowanie wyzwań wynikających ze specyfiki prze</w:t>
            </w:r>
            <w:r w:rsidRPr="0010086C">
              <w:rPr>
                <w:rFonts w:ascii="Times New Roman" w:hAnsi="Times New Roman"/>
                <w:color w:val="000000"/>
              </w:rPr>
              <w:t>niesienia znacznej części aktywności ekonomicznej do Internetu. Regulacje te okazują się niezbędne, mimo wprowadzonych już wcześniej znaczących usprawnień w dziedzinie automatycznej wymiany informacji i współpracy administracyjnej.</w:t>
            </w:r>
          </w:p>
          <w:p w14:paraId="113B0950" w14:textId="77777777" w:rsidR="000B7A2A" w:rsidRPr="0010086C" w:rsidRDefault="000B7A2A" w:rsidP="000B7A2A">
            <w:pPr>
              <w:spacing w:line="240" w:lineRule="auto"/>
              <w:jc w:val="both"/>
              <w:rPr>
                <w:rFonts w:ascii="Times New Roman" w:hAnsi="Times New Roman"/>
                <w:color w:val="000000"/>
              </w:rPr>
            </w:pPr>
          </w:p>
          <w:p w14:paraId="20E0F983" w14:textId="77777777" w:rsidR="000B7A2A"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t>Celem zmian DAC7 jest udoskonalenie i rozszerzenie obowiązujących przepisów Dyrektywy Rady 2011/16/UE poprzez:</w:t>
            </w:r>
          </w:p>
          <w:p w14:paraId="71D0D9F3" w14:textId="77777777" w:rsidR="000B7A2A"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t>• nałożenie na platformy obowiązku sprawozdawczego dotyczącego sprzedawców działających z pomocą tych platform,</w:t>
            </w:r>
          </w:p>
          <w:p w14:paraId="7446246D" w14:textId="77777777" w:rsidR="000B7A2A"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t>• zbudowanie mechanizmu wymiany informacji o sprzedawcach pomiędzy państwami członkowskimi oraz</w:t>
            </w:r>
          </w:p>
          <w:p w14:paraId="41F07231" w14:textId="77777777" w:rsidR="000B7A2A"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t>• poprawę obecnych mechanizmów współpracy między administracjami.</w:t>
            </w:r>
          </w:p>
          <w:p w14:paraId="4059A0BC" w14:textId="77777777" w:rsidR="000B7A2A" w:rsidRPr="0010086C" w:rsidRDefault="000B7A2A" w:rsidP="000B7A2A">
            <w:pPr>
              <w:spacing w:line="240" w:lineRule="auto"/>
              <w:jc w:val="both"/>
              <w:rPr>
                <w:rFonts w:ascii="Times New Roman" w:hAnsi="Times New Roman"/>
                <w:color w:val="000000"/>
              </w:rPr>
            </w:pPr>
          </w:p>
          <w:p w14:paraId="49782B75" w14:textId="4AA155E3" w:rsidR="000B7A2A" w:rsidRDefault="000B7A2A" w:rsidP="000B7A2A">
            <w:pPr>
              <w:spacing w:line="240" w:lineRule="auto"/>
              <w:jc w:val="both"/>
              <w:rPr>
                <w:rFonts w:ascii="Times New Roman" w:hAnsi="Times New Roman"/>
                <w:color w:val="000000"/>
              </w:rPr>
            </w:pPr>
            <w:r w:rsidRPr="0010086C">
              <w:rPr>
                <w:rFonts w:ascii="Times New Roman" w:hAnsi="Times New Roman"/>
                <w:color w:val="000000"/>
              </w:rPr>
              <w:t>Wdrażane przepisy ograniczają się do stworzenia wspólnych, unijnych ram sprawozdawczości, które są konieczne</w:t>
            </w:r>
            <w:r w:rsidR="00E03161">
              <w:rPr>
                <w:rFonts w:ascii="Times New Roman" w:hAnsi="Times New Roman"/>
                <w:color w:val="000000"/>
              </w:rPr>
              <w:br/>
            </w:r>
            <w:r w:rsidRPr="00E03161">
              <w:rPr>
                <w:rFonts w:ascii="Times New Roman" w:hAnsi="Times New Roman"/>
                <w:color w:val="000000"/>
              </w:rPr>
              <w:t>do zgłaszania dochodów uzyskiwanych za pośrednictwem platform cyfrowych. Dla przykładu, przepisy te zapewniają brak podwójnej sprawozdawczości (tj. jeden punkt rejestracji i sprawozdawczości), ograniczenie automatycznej wymiany informacji do właściwych państw członkowskich (tych które są państwa</w:t>
            </w:r>
            <w:r w:rsidRPr="009804F1">
              <w:rPr>
                <w:rFonts w:ascii="Times New Roman" w:hAnsi="Times New Roman"/>
                <w:color w:val="000000"/>
              </w:rPr>
              <w:t>mi właściwymi podatkowo dla sprzedawcy) oraz pozostawienie państwom członkowskim kontroli nad nakładaniem kar za nieprzestrzeganie przepisów. Biorąc pod uwagę, że działalność platform jest transgraniczna, dyrektywa wprowadza mechanizm wymiany informacji do</w:t>
            </w:r>
            <w:r w:rsidRPr="00830DCC">
              <w:rPr>
                <w:rFonts w:ascii="Times New Roman" w:hAnsi="Times New Roman"/>
                <w:color w:val="000000"/>
              </w:rPr>
              <w:t xml:space="preserve"> tych państw członkowskich, w których sprzedawcy powinni zapłacić ze swojej działalności podatki. Automatyczna wymiana informacji między organami podatkowymi ma więc kluczowe znaczenie dla zapewnienia organom podatkowym niezbędnych informacji umożliwiających im określenie prawidłowej wysokości należnych podatków. </w:t>
            </w:r>
          </w:p>
          <w:p w14:paraId="4E4679D2" w14:textId="77777777" w:rsidR="00830DCC" w:rsidRPr="00830DCC" w:rsidRDefault="00830DCC" w:rsidP="000B7A2A">
            <w:pPr>
              <w:spacing w:line="240" w:lineRule="auto"/>
              <w:jc w:val="both"/>
              <w:rPr>
                <w:rFonts w:ascii="Times New Roman" w:hAnsi="Times New Roman"/>
                <w:color w:val="000000"/>
              </w:rPr>
            </w:pPr>
          </w:p>
          <w:p w14:paraId="0509254E" w14:textId="2227F535" w:rsidR="00685F9F"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lastRenderedPageBreak/>
              <w:t>Dodatkowo w projekcie ustawy znalazły się przepisy rozszerzające lub korygujące niektóre inne instrumenty współpracy administracyjnej państw członkowskich (m.in. kontrole jednoczesne, wspólne kontrole) lub wyjaśniające wątpliwości prawne powstałe w związku z dotychczasową treścią przepisów (implementacja standardu „przewidywalnego związku”), a także zmian w przepisach związanych z wymogami dotyczącymi ochrony danych.</w:t>
            </w:r>
          </w:p>
          <w:p w14:paraId="130CCE5C" w14:textId="77777777" w:rsidR="00C620CA" w:rsidRPr="0010086C" w:rsidRDefault="00C620CA" w:rsidP="000B7A2A">
            <w:pPr>
              <w:spacing w:line="240" w:lineRule="auto"/>
              <w:jc w:val="both"/>
              <w:rPr>
                <w:rFonts w:ascii="Times New Roman" w:hAnsi="Times New Roman"/>
                <w:color w:val="000000"/>
              </w:rPr>
            </w:pPr>
          </w:p>
          <w:p w14:paraId="23E28D73" w14:textId="25BF0CBD" w:rsidR="00C620CA" w:rsidRDefault="00FA1CDE" w:rsidP="00C620CA">
            <w:pPr>
              <w:spacing w:line="240" w:lineRule="auto"/>
              <w:jc w:val="both"/>
              <w:rPr>
                <w:rFonts w:ascii="Times New Roman" w:hAnsi="Times New Roman"/>
                <w:color w:val="000000"/>
              </w:rPr>
            </w:pPr>
            <w:r w:rsidRPr="0010086C">
              <w:rPr>
                <w:rFonts w:ascii="Times New Roman" w:hAnsi="Times New Roman"/>
                <w:color w:val="000000"/>
              </w:rPr>
              <w:t xml:space="preserve">Dodatkowo, </w:t>
            </w:r>
            <w:r w:rsidR="00C620CA" w:rsidRPr="0010086C">
              <w:rPr>
                <w:rFonts w:ascii="Times New Roman" w:hAnsi="Times New Roman"/>
                <w:color w:val="000000"/>
              </w:rPr>
              <w:t>projekt zmienia przepisy w zakresie automatycznej wymiany informacji o rachunkach raportowanych, m.in. w zakresie definicji pojęcia aktywa finansowe zawartych w słowniczku ustawy</w:t>
            </w:r>
            <w:r w:rsidRPr="0010086C">
              <w:rPr>
                <w:rFonts w:ascii="Times New Roman" w:hAnsi="Times New Roman"/>
                <w:color w:val="000000"/>
              </w:rPr>
              <w:t xml:space="preserve"> o wymianie informacji podatkowych</w:t>
            </w:r>
            <w:r w:rsidR="00E03161">
              <w:rPr>
                <w:rFonts w:ascii="Times New Roman" w:hAnsi="Times New Roman"/>
                <w:color w:val="000000"/>
              </w:rPr>
              <w:br/>
            </w:r>
            <w:r w:rsidRPr="00E03161">
              <w:rPr>
                <w:rFonts w:ascii="Times New Roman" w:hAnsi="Times New Roman"/>
                <w:color w:val="000000"/>
              </w:rPr>
              <w:t>z innymi państwami (Dz. U. z 2021 r. poz. 626)</w:t>
            </w:r>
            <w:r w:rsidR="00C620CA" w:rsidRPr="00E03161">
              <w:rPr>
                <w:rFonts w:ascii="Times New Roman" w:hAnsi="Times New Roman"/>
                <w:color w:val="000000"/>
              </w:rPr>
              <w:t xml:space="preserve"> z uwzględnieniem wytycznych </w:t>
            </w:r>
            <w:r w:rsidRPr="00E03161">
              <w:rPr>
                <w:rFonts w:ascii="Times New Roman" w:hAnsi="Times New Roman"/>
                <w:color w:val="000000"/>
              </w:rPr>
              <w:t>Common Reporting Standard (</w:t>
            </w:r>
            <w:r w:rsidR="00C620CA" w:rsidRPr="00E03161">
              <w:rPr>
                <w:rFonts w:ascii="Times New Roman" w:hAnsi="Times New Roman"/>
                <w:color w:val="000000"/>
              </w:rPr>
              <w:t>CRS</w:t>
            </w:r>
            <w:r w:rsidRPr="00E03161">
              <w:rPr>
                <w:rFonts w:ascii="Times New Roman" w:hAnsi="Times New Roman"/>
                <w:color w:val="000000"/>
              </w:rPr>
              <w:t>)</w:t>
            </w:r>
            <w:r w:rsidR="00C620CA" w:rsidRPr="00E03161">
              <w:rPr>
                <w:rFonts w:ascii="Times New Roman" w:hAnsi="Times New Roman"/>
                <w:color w:val="000000"/>
              </w:rPr>
              <w:t xml:space="preserve"> oraz rozwiązań unijnych, a także zgodnie z rekomendacjami Global Forum. </w:t>
            </w:r>
          </w:p>
          <w:p w14:paraId="00BC5AEA" w14:textId="77777777" w:rsidR="00830DCC" w:rsidRPr="00E03161" w:rsidRDefault="00830DCC" w:rsidP="00C620CA">
            <w:pPr>
              <w:spacing w:line="240" w:lineRule="auto"/>
              <w:jc w:val="both"/>
              <w:rPr>
                <w:rFonts w:ascii="Times New Roman" w:hAnsi="Times New Roman"/>
                <w:color w:val="000000"/>
              </w:rPr>
            </w:pPr>
          </w:p>
          <w:p w14:paraId="1E751365" w14:textId="77777777" w:rsidR="00BA6597" w:rsidRPr="004E2776" w:rsidRDefault="00FA1CDE" w:rsidP="00BA6597">
            <w:pPr>
              <w:spacing w:line="240" w:lineRule="auto"/>
              <w:jc w:val="both"/>
              <w:rPr>
                <w:rFonts w:ascii="Times New Roman" w:hAnsi="Times New Roman"/>
                <w:color w:val="000000"/>
              </w:rPr>
            </w:pPr>
            <w:r w:rsidRPr="00E03161">
              <w:rPr>
                <w:rFonts w:ascii="Times New Roman" w:hAnsi="Times New Roman"/>
                <w:color w:val="000000"/>
              </w:rPr>
              <w:t>Dzięki temu wdrożone zostaną</w:t>
            </w:r>
            <w:r w:rsidR="00C620CA" w:rsidRPr="00E03161">
              <w:rPr>
                <w:rFonts w:ascii="Times New Roman" w:hAnsi="Times New Roman"/>
                <w:color w:val="000000"/>
              </w:rPr>
              <w:t xml:space="preserve"> zasady uniemożliwiające instytucjom finansowym, oraz innym osobom i pośrednikom</w:t>
            </w:r>
            <w:r w:rsidR="007634CC" w:rsidRPr="00E03161">
              <w:rPr>
                <w:rFonts w:ascii="Times New Roman" w:hAnsi="Times New Roman"/>
                <w:color w:val="000000"/>
              </w:rPr>
              <w:t xml:space="preserve"> stosowanie</w:t>
            </w:r>
            <w:r w:rsidR="00C620CA" w:rsidRPr="00E03161">
              <w:rPr>
                <w:rFonts w:ascii="Times New Roman" w:hAnsi="Times New Roman"/>
                <w:color w:val="000000"/>
              </w:rPr>
              <w:t xml:space="preserve"> praktyk mających na celu obejście procedur należytej staranności i sprawozdawczości. Dlatego też projekt przewiduje wprowadzenie tzw. małej klauzuli antyabuzywnej mającej na celu uniemożliwienie obchodzenia procedur należytej staranności i sprawozdawczości. Z uwagi na zbliżony r</w:t>
            </w:r>
            <w:r w:rsidR="00C620CA" w:rsidRPr="002B0012">
              <w:rPr>
                <w:rFonts w:ascii="Times New Roman" w:hAnsi="Times New Roman"/>
                <w:color w:val="000000"/>
              </w:rPr>
              <w:t>eżim dotyczący automatycznej wymiany informacji podatkowych zapis dotyczący tzw. małej klauzuli antyabuzywnej będzie wprowadzony również do ustawy z dnia</w:t>
            </w:r>
            <w:r w:rsidR="00E03161">
              <w:rPr>
                <w:rFonts w:ascii="Times New Roman" w:hAnsi="Times New Roman"/>
                <w:color w:val="000000"/>
              </w:rPr>
              <w:br/>
            </w:r>
            <w:r w:rsidR="00C620CA" w:rsidRPr="00E03161">
              <w:rPr>
                <w:rFonts w:ascii="Times New Roman" w:hAnsi="Times New Roman"/>
                <w:color w:val="000000"/>
              </w:rPr>
              <w:t>9 października 2015 r. o wykonywaniu Umowy między Rządem Rzeczypospolitej Polskiej a Rządem Stanów Zjednoczonych Ameryki w sprawie poprawy wypełniania międzynarodowych obowiązków podatkowych oraz wdrożenia ustawodawstwa FATCA</w:t>
            </w:r>
            <w:r w:rsidR="007634CC" w:rsidRPr="00E03161">
              <w:rPr>
                <w:rFonts w:ascii="Times New Roman" w:hAnsi="Times New Roman"/>
                <w:color w:val="000000"/>
              </w:rPr>
              <w:t xml:space="preserve"> (Dz. U. z 2020 r. poz. 166 ze zm.)</w:t>
            </w:r>
            <w:r w:rsidR="00C620CA" w:rsidRPr="00E03161">
              <w:rPr>
                <w:rFonts w:ascii="Times New Roman" w:hAnsi="Times New Roman"/>
                <w:color w:val="000000"/>
              </w:rPr>
              <w:t>.</w:t>
            </w:r>
            <w:r w:rsidR="00BA6597">
              <w:rPr>
                <w:rFonts w:ascii="Times New Roman" w:hAnsi="Times New Roman"/>
                <w:color w:val="000000"/>
              </w:rPr>
              <w:t xml:space="preserve"> </w:t>
            </w:r>
            <w:r w:rsidR="00BA6597" w:rsidRPr="0010086C">
              <w:rPr>
                <w:rFonts w:ascii="Times New Roman" w:hAnsi="Times New Roman"/>
                <w:color w:val="000000"/>
              </w:rPr>
              <w:t>Natomiast w odpowiedzi na wątpliwości zgłaszane przez instytucje finansowe, projekt przewiduje doprecyzowanie kwestii oświadczeń zbieranych pod rygorem odpowiedzialności karnej za składanie fałszywych zeznać w odniesieniu do nowych rachunków finansowych.</w:t>
            </w:r>
          </w:p>
          <w:p w14:paraId="45592E53" w14:textId="33D571A2" w:rsidR="00C620CA" w:rsidRDefault="00C620CA" w:rsidP="00C620CA">
            <w:pPr>
              <w:spacing w:line="240" w:lineRule="auto"/>
              <w:jc w:val="both"/>
              <w:rPr>
                <w:rFonts w:ascii="Times New Roman" w:hAnsi="Times New Roman"/>
                <w:color w:val="000000"/>
              </w:rPr>
            </w:pPr>
          </w:p>
          <w:p w14:paraId="54F86C84" w14:textId="77777777" w:rsidR="00830DCC" w:rsidRPr="00E03161" w:rsidRDefault="00830DCC" w:rsidP="00C620CA">
            <w:pPr>
              <w:spacing w:line="240" w:lineRule="auto"/>
              <w:jc w:val="both"/>
              <w:rPr>
                <w:rFonts w:ascii="Times New Roman" w:hAnsi="Times New Roman"/>
                <w:color w:val="000000"/>
              </w:rPr>
            </w:pPr>
          </w:p>
          <w:p w14:paraId="3440EA01" w14:textId="75AAFCA1" w:rsidR="005E7FBC" w:rsidRPr="0010086C" w:rsidRDefault="00C620CA" w:rsidP="005E7FBC">
            <w:pPr>
              <w:spacing w:line="240" w:lineRule="auto"/>
              <w:jc w:val="both"/>
              <w:rPr>
                <w:rFonts w:ascii="Times New Roman" w:hAnsi="Times New Roman"/>
                <w:color w:val="000000"/>
              </w:rPr>
            </w:pPr>
            <w:r w:rsidRPr="009804F1">
              <w:rPr>
                <w:rFonts w:ascii="Times New Roman" w:hAnsi="Times New Roman"/>
                <w:color w:val="000000"/>
              </w:rPr>
              <w:t xml:space="preserve">W praktyce z doświadczenia Krajowej Administracji Skarbowej wynika, że katalog pytań zagranicznych administracji obejmuje zakres wykraczający poza art. 182 § 1 Ordynacji Podatkowej, dlatego projekt ustawy znosi odesłania do ustawy Ordynacji Podatkowej </w:t>
            </w:r>
            <w:r w:rsidR="00AE5275">
              <w:rPr>
                <w:rFonts w:ascii="Times New Roman" w:hAnsi="Times New Roman"/>
                <w:color w:val="000000"/>
              </w:rPr>
              <w:t>poprzez wyłącznie art. 23 ust. 1 uWIP. Ponadto, poza</w:t>
            </w:r>
            <w:r w:rsidRPr="009804F1">
              <w:rPr>
                <w:rFonts w:ascii="Times New Roman" w:hAnsi="Times New Roman"/>
                <w:color w:val="000000"/>
              </w:rPr>
              <w:t xml:space="preserve"> </w:t>
            </w:r>
            <w:r w:rsidR="00AE5275">
              <w:rPr>
                <w:rFonts w:ascii="Times New Roman" w:hAnsi="Times New Roman"/>
                <w:color w:val="000000"/>
              </w:rPr>
              <w:t>zmianą</w:t>
            </w:r>
            <w:r w:rsidRPr="009804F1">
              <w:rPr>
                <w:rFonts w:ascii="Times New Roman" w:hAnsi="Times New Roman"/>
                <w:color w:val="000000"/>
              </w:rPr>
              <w:t xml:space="preserve"> brzmien</w:t>
            </w:r>
            <w:r w:rsidR="00AE5275">
              <w:rPr>
                <w:rFonts w:ascii="Times New Roman" w:hAnsi="Times New Roman"/>
                <w:color w:val="000000"/>
              </w:rPr>
              <w:t>ia</w:t>
            </w:r>
            <w:r w:rsidRPr="0010086C">
              <w:rPr>
                <w:rFonts w:ascii="Times New Roman" w:hAnsi="Times New Roman"/>
                <w:color w:val="000000"/>
              </w:rPr>
              <w:t xml:space="preserve"> art. 4 ust. 1 ustawy o</w:t>
            </w:r>
            <w:r w:rsidR="005E7FBC">
              <w:rPr>
                <w:rFonts w:ascii="Times New Roman" w:hAnsi="Times New Roman"/>
                <w:color w:val="000000"/>
              </w:rPr>
              <w:t xml:space="preserve"> </w:t>
            </w:r>
            <w:r w:rsidRPr="0010086C">
              <w:rPr>
                <w:rFonts w:ascii="Times New Roman" w:hAnsi="Times New Roman"/>
                <w:color w:val="000000"/>
              </w:rPr>
              <w:t>wymianie info</w:t>
            </w:r>
            <w:r w:rsidR="00AE5275">
              <w:rPr>
                <w:rFonts w:ascii="Times New Roman" w:hAnsi="Times New Roman"/>
                <w:color w:val="000000"/>
              </w:rPr>
              <w:t>rmacji,</w:t>
            </w:r>
            <w:r w:rsidR="00614070">
              <w:rPr>
                <w:rFonts w:ascii="Times New Roman" w:hAnsi="Times New Roman"/>
                <w:color w:val="000000"/>
              </w:rPr>
              <w:t xml:space="preserve"> wprowadz</w:t>
            </w:r>
            <w:r w:rsidR="005E7FBC">
              <w:rPr>
                <w:rFonts w:ascii="Times New Roman" w:hAnsi="Times New Roman"/>
                <w:color w:val="000000"/>
              </w:rPr>
              <w:t>ono ustępy 3-5 przewidujące</w:t>
            </w:r>
            <w:r w:rsidR="005E7FBC" w:rsidRPr="00C948B7">
              <w:rPr>
                <w:rFonts w:ascii="Times New Roman" w:hAnsi="Times New Roman"/>
                <w:color w:val="000000"/>
              </w:rPr>
              <w:t xml:space="preserve"> odrębną regulację procedowania żądań zgłoszonych zgodnie z art.</w:t>
            </w:r>
            <w:r w:rsidR="005E7FBC">
              <w:rPr>
                <w:rFonts w:ascii="Times New Roman" w:hAnsi="Times New Roman"/>
                <w:color w:val="000000"/>
              </w:rPr>
              <w:t xml:space="preserve"> 4 ust. 1 uWIP. Zgodnie z ust. 3, z</w:t>
            </w:r>
            <w:r w:rsidR="005E7FBC" w:rsidRPr="00C948B7">
              <w:rPr>
                <w:rFonts w:ascii="Times New Roman" w:hAnsi="Times New Roman"/>
                <w:color w:val="000000"/>
              </w:rPr>
              <w:t>akres udzielanych informacji obejmuje wszystko, co może być istotne do celów stosowania lub egzekwowania krajowych przepisów państwa właściwego organu, a znajduje się w posiadaniu organu lub instytucji,</w:t>
            </w:r>
            <w:r w:rsidR="005E7FBC">
              <w:rPr>
                <w:rFonts w:ascii="Times New Roman" w:hAnsi="Times New Roman"/>
                <w:color w:val="000000"/>
              </w:rPr>
              <w:t xml:space="preserve"> </w:t>
            </w:r>
            <w:r w:rsidR="005E7FBC" w:rsidRPr="00C948B7">
              <w:rPr>
                <w:rFonts w:ascii="Times New Roman" w:hAnsi="Times New Roman"/>
                <w:color w:val="000000"/>
              </w:rPr>
              <w:t>o których</w:t>
            </w:r>
            <w:r w:rsidR="005E7FBC">
              <w:rPr>
                <w:rFonts w:ascii="Times New Roman" w:hAnsi="Times New Roman"/>
                <w:color w:val="000000"/>
              </w:rPr>
              <w:t xml:space="preserve"> mowa w art. 4 ust. 1.  W ust. 4 wskazano, że ż</w:t>
            </w:r>
            <w:r w:rsidR="005E7FBC" w:rsidRPr="00C948B7">
              <w:rPr>
                <w:rFonts w:ascii="Times New Roman" w:hAnsi="Times New Roman"/>
                <w:color w:val="000000"/>
              </w:rPr>
              <w:t>ądanie obejmuje wskazanie organu właściwego, który zwrócił się o udzielenie informacji, zakres informacji, okres, którego informacje mają dotyczyć, termin ich przekazania oraz pouczenie o brzmieniu art. 90a.</w:t>
            </w:r>
          </w:p>
          <w:p w14:paraId="19357E74" w14:textId="77777777" w:rsidR="005E7FBC" w:rsidRDefault="005E7FBC" w:rsidP="00C620CA">
            <w:pPr>
              <w:spacing w:line="240" w:lineRule="auto"/>
              <w:jc w:val="both"/>
              <w:rPr>
                <w:rFonts w:ascii="Times New Roman" w:hAnsi="Times New Roman"/>
                <w:color w:val="000000"/>
              </w:rPr>
            </w:pPr>
          </w:p>
          <w:p w14:paraId="4AE8C9A6" w14:textId="77777777" w:rsidR="006A701A" w:rsidRPr="00B37C80" w:rsidRDefault="006A701A" w:rsidP="00BA6597">
            <w:pPr>
              <w:spacing w:line="240" w:lineRule="auto"/>
              <w:jc w:val="both"/>
              <w:rPr>
                <w:rFonts w:ascii="Times New Roman" w:hAnsi="Times New Roman"/>
                <w:color w:val="000000"/>
              </w:rPr>
            </w:pPr>
          </w:p>
        </w:tc>
      </w:tr>
      <w:tr w:rsidR="006A701A" w:rsidRPr="008B4FE6" w14:paraId="6F013573" w14:textId="77777777" w:rsidTr="00676C8D">
        <w:trPr>
          <w:gridAfter w:val="1"/>
          <w:wAfter w:w="10" w:type="dxa"/>
          <w:trHeight w:val="142"/>
        </w:trPr>
        <w:tc>
          <w:tcPr>
            <w:tcW w:w="10937" w:type="dxa"/>
            <w:gridSpan w:val="29"/>
            <w:shd w:val="clear" w:color="auto" w:fill="99CCFF"/>
            <w:vAlign w:val="center"/>
          </w:tcPr>
          <w:p w14:paraId="33F5927B"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lastRenderedPageBreak/>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DD5D7B" w:rsidRPr="008B4FE6" w14:paraId="3B0724BD" w14:textId="77777777" w:rsidTr="00676C8D">
        <w:trPr>
          <w:gridAfter w:val="1"/>
          <w:wAfter w:w="10" w:type="dxa"/>
          <w:trHeight w:val="142"/>
        </w:trPr>
        <w:tc>
          <w:tcPr>
            <w:tcW w:w="10937" w:type="dxa"/>
            <w:gridSpan w:val="29"/>
            <w:shd w:val="clear" w:color="auto" w:fill="auto"/>
          </w:tcPr>
          <w:p w14:paraId="716AFDFF" w14:textId="065C3AAB" w:rsidR="000B7A2A" w:rsidRPr="007304B1" w:rsidRDefault="000B7A2A" w:rsidP="000B7A2A">
            <w:pPr>
              <w:spacing w:line="240" w:lineRule="auto"/>
              <w:jc w:val="both"/>
              <w:rPr>
                <w:rFonts w:ascii="Times New Roman" w:hAnsi="Times New Roman"/>
                <w:color w:val="000000"/>
                <w:spacing w:val="-2"/>
              </w:rPr>
            </w:pPr>
            <w:r w:rsidRPr="0010086C">
              <w:rPr>
                <w:rFonts w:ascii="Times New Roman" w:hAnsi="Times New Roman"/>
                <w:color w:val="000000"/>
                <w:spacing w:val="-2"/>
              </w:rPr>
              <w:t>Istotą zmian ujętych w proponowanej ustawie jest udoskonalenie i rozszerzenie obowiązujących przepisów dotyczących zakresu wymiany informacji i współpracy administracyjnej w sprawach podatkowych, poprzez</w:t>
            </w:r>
            <w:r w:rsidRPr="007304B1">
              <w:rPr>
                <w:rFonts w:ascii="Times New Roman" w:hAnsi="Times New Roman"/>
                <w:color w:val="000000"/>
                <w:spacing w:val="-2"/>
              </w:rPr>
              <w:t>:</w:t>
            </w:r>
          </w:p>
          <w:p w14:paraId="309F2217" w14:textId="77777777" w:rsidR="000B7A2A" w:rsidRPr="00C828BC" w:rsidRDefault="000B7A2A" w:rsidP="000B7A2A">
            <w:pPr>
              <w:pStyle w:val="Akapitzlist"/>
              <w:numPr>
                <w:ilvl w:val="0"/>
                <w:numId w:val="22"/>
              </w:numPr>
              <w:spacing w:line="240" w:lineRule="auto"/>
              <w:jc w:val="both"/>
              <w:rPr>
                <w:rFonts w:ascii="Times New Roman" w:hAnsi="Times New Roman"/>
                <w:color w:val="000000"/>
                <w:spacing w:val="-2"/>
              </w:rPr>
            </w:pPr>
            <w:r w:rsidRPr="00C828BC">
              <w:rPr>
                <w:rFonts w:ascii="Times New Roman" w:hAnsi="Times New Roman"/>
                <w:color w:val="000000"/>
                <w:spacing w:val="-2"/>
              </w:rPr>
              <w:t>nałożenie na platformy cyfrowe obowiązku sprawozdawczego dotyczącego sprzedawców działających z pomocą tych platform,</w:t>
            </w:r>
          </w:p>
          <w:p w14:paraId="63EB88F8" w14:textId="77777777" w:rsidR="000B7A2A" w:rsidRPr="00E03161" w:rsidRDefault="000B7A2A" w:rsidP="000B7A2A">
            <w:pPr>
              <w:pStyle w:val="Akapitzlist"/>
              <w:numPr>
                <w:ilvl w:val="0"/>
                <w:numId w:val="22"/>
              </w:numPr>
              <w:spacing w:line="240" w:lineRule="auto"/>
              <w:jc w:val="both"/>
              <w:rPr>
                <w:rFonts w:ascii="Times New Roman" w:hAnsi="Times New Roman"/>
                <w:color w:val="000000"/>
                <w:spacing w:val="-2"/>
              </w:rPr>
            </w:pPr>
            <w:r w:rsidRPr="00E03161">
              <w:rPr>
                <w:rFonts w:ascii="Times New Roman" w:hAnsi="Times New Roman"/>
                <w:color w:val="000000"/>
                <w:spacing w:val="-2"/>
              </w:rPr>
              <w:t>zbudowanie mechanizmu wymiany informacji o sprzedawcach pomiędzy państwami członkowskimi oraz</w:t>
            </w:r>
          </w:p>
          <w:p w14:paraId="5DF29046" w14:textId="77777777" w:rsidR="000B7A2A" w:rsidRPr="0010086C" w:rsidRDefault="000B7A2A" w:rsidP="000B7A2A">
            <w:pPr>
              <w:pStyle w:val="Akapitzlist"/>
              <w:numPr>
                <w:ilvl w:val="0"/>
                <w:numId w:val="22"/>
              </w:numPr>
              <w:spacing w:line="240" w:lineRule="auto"/>
              <w:jc w:val="both"/>
              <w:rPr>
                <w:rFonts w:ascii="Times New Roman" w:hAnsi="Times New Roman"/>
                <w:color w:val="000000"/>
                <w:spacing w:val="-2"/>
              </w:rPr>
            </w:pPr>
            <w:r w:rsidRPr="009804F1">
              <w:rPr>
                <w:rFonts w:ascii="Times New Roman" w:hAnsi="Times New Roman"/>
                <w:color w:val="000000"/>
                <w:spacing w:val="-2"/>
              </w:rPr>
              <w:t>poprawę obecnych mechanizmów współpracy między administracjami, np.</w:t>
            </w:r>
            <w:r w:rsidRPr="0010086C">
              <w:rPr>
                <w:rFonts w:ascii="Times New Roman" w:hAnsi="Times New Roman"/>
                <w:color w:val="000000"/>
                <w:spacing w:val="-2"/>
              </w:rPr>
              <w:t xml:space="preserve"> poprzez wprowadzenie możliwości przeprowadzania wspólnych kontroli.</w:t>
            </w:r>
          </w:p>
          <w:p w14:paraId="59C8ACB7" w14:textId="487642F7" w:rsidR="005E7FBC" w:rsidRDefault="000B7A2A" w:rsidP="000B7A2A">
            <w:pPr>
              <w:spacing w:line="240" w:lineRule="auto"/>
              <w:jc w:val="both"/>
              <w:rPr>
                <w:rFonts w:ascii="Times New Roman" w:hAnsi="Times New Roman"/>
                <w:color w:val="000000"/>
                <w:spacing w:val="-2"/>
              </w:rPr>
            </w:pPr>
            <w:r w:rsidRPr="0010086C">
              <w:rPr>
                <w:rFonts w:ascii="Times New Roman" w:hAnsi="Times New Roman"/>
                <w:color w:val="000000"/>
                <w:spacing w:val="-2"/>
              </w:rPr>
              <w:t>Implementacja ww. rozwiązań do krajowego porządku prawnego realizuje obowiązki nałożone na państwa członkowskie w dyrektywie DAC 7 tj. uzyskanie informacji o podatnikach uzyskujących dochód ze świadczenia usług i sprzedaży towarów za pośrednictwem platform cyfrowych.</w:t>
            </w:r>
          </w:p>
          <w:p w14:paraId="3D95A2C6" w14:textId="4652385B" w:rsidR="000B7A2A" w:rsidRPr="00FC44ED" w:rsidRDefault="000B7A2A" w:rsidP="000B7A2A">
            <w:pPr>
              <w:spacing w:line="240" w:lineRule="auto"/>
              <w:jc w:val="both"/>
              <w:rPr>
                <w:rFonts w:ascii="Times New Roman" w:hAnsi="Times New Roman"/>
                <w:color w:val="000000"/>
                <w:spacing w:val="-2"/>
              </w:rPr>
            </w:pPr>
          </w:p>
          <w:p w14:paraId="79CB028C" w14:textId="13FF8E86" w:rsidR="002B1815" w:rsidRDefault="002B1815" w:rsidP="002B1815">
            <w:p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Raportowaniem będą objęci operatorzy platform, którzy udostępniają je sprzedawcom, umożliwiając tym samym dokonywanie transakcji: sprzedaży towarów, świadczenia usług, najmu środków transportu lub najmu nieruchomości lub ich części. </w:t>
            </w:r>
            <w:r w:rsidR="0037303B" w:rsidRPr="0010086C">
              <w:rPr>
                <w:rFonts w:ascii="Times New Roman" w:hAnsi="Times New Roman"/>
                <w:color w:val="000000"/>
                <w:spacing w:val="-2"/>
              </w:rPr>
              <w:t>Platformę należy rozumieć jako oprogramowanie</w:t>
            </w:r>
            <w:r w:rsidRPr="0010086C">
              <w:rPr>
                <w:rFonts w:ascii="Times New Roman" w:hAnsi="Times New Roman"/>
                <w:color w:val="000000"/>
                <w:spacing w:val="-2"/>
              </w:rPr>
              <w:t>, które umożliwia sprzedawcom łączność z innymi użytkownikami w celu wykonywania ww. czynności. Są to przede wszystkim strony internetowe lub ich części lub aplikacje (także mobilne). Jednocześnie za platformę nie jest uważane oprogramowanie umożliwiające wyłącznie przetwarzanie płatności, wystawianie przez użytkowników ogłoszeń, reklamowanie lub przekierowywanie na platformę.</w:t>
            </w:r>
          </w:p>
          <w:p w14:paraId="63BFF5F7" w14:textId="77777777" w:rsidR="00FC44ED" w:rsidRPr="00FC44ED" w:rsidRDefault="00FC44ED" w:rsidP="002B1815">
            <w:pPr>
              <w:spacing w:line="240" w:lineRule="auto"/>
              <w:jc w:val="both"/>
              <w:rPr>
                <w:rFonts w:ascii="Times New Roman" w:hAnsi="Times New Roman"/>
                <w:color w:val="000000"/>
                <w:spacing w:val="-2"/>
              </w:rPr>
            </w:pPr>
          </w:p>
          <w:p w14:paraId="7C2DA2DA" w14:textId="77777777" w:rsidR="002B1815" w:rsidRDefault="002B1815" w:rsidP="002B1815">
            <w:pPr>
              <w:spacing w:line="240" w:lineRule="auto"/>
              <w:jc w:val="both"/>
              <w:rPr>
                <w:rFonts w:ascii="Times New Roman" w:hAnsi="Times New Roman"/>
                <w:color w:val="000000"/>
                <w:spacing w:val="-2"/>
              </w:rPr>
            </w:pPr>
            <w:r w:rsidRPr="0010086C">
              <w:rPr>
                <w:rFonts w:ascii="Times New Roman" w:hAnsi="Times New Roman"/>
                <w:color w:val="000000"/>
                <w:spacing w:val="-2"/>
              </w:rPr>
              <w:t>Obowiązki sprawozdawcze będą polegały na przekazywaniu Szefowi KAS zbiorczej informacji na temat sprzedawcy lub sprzedawców, zawierających transakcje za pomocą platformy. Taka informacja za okres sprawozdawczy będzie przekazywana elektronicznie na podstawie wzoru dokumentu zamieszczonego w BIP. W celu przekazywania informacji zostanie stworzone oprogramowanie interfejsowe. W celu prowadzenia działalności jako raportujący operator platformy, podmiot będzie zobowiązany do jednorazowej rejestracji w jednym z państw członkowskich, po której otrzyma indywidualny numer platformy. Numer ten służy identyfikacji dla celów sprawozdawczych.</w:t>
            </w:r>
          </w:p>
          <w:p w14:paraId="564BEDDB" w14:textId="77777777" w:rsidR="00FC44ED" w:rsidRPr="00FC44ED" w:rsidRDefault="00FC44ED" w:rsidP="002B1815">
            <w:pPr>
              <w:spacing w:line="240" w:lineRule="auto"/>
              <w:jc w:val="both"/>
              <w:rPr>
                <w:rFonts w:ascii="Times New Roman" w:hAnsi="Times New Roman"/>
                <w:color w:val="000000"/>
                <w:spacing w:val="-2"/>
              </w:rPr>
            </w:pPr>
          </w:p>
          <w:p w14:paraId="7DCD77E8" w14:textId="77777777" w:rsidR="002B1815" w:rsidRPr="0010086C" w:rsidRDefault="002B1815" w:rsidP="002B1815">
            <w:pPr>
              <w:spacing w:line="240" w:lineRule="auto"/>
              <w:jc w:val="both"/>
              <w:rPr>
                <w:rFonts w:ascii="Times New Roman" w:hAnsi="Times New Roman"/>
                <w:color w:val="000000"/>
                <w:spacing w:val="-2"/>
              </w:rPr>
            </w:pPr>
            <w:r w:rsidRPr="0010086C">
              <w:rPr>
                <w:rFonts w:ascii="Times New Roman" w:hAnsi="Times New Roman"/>
                <w:color w:val="000000"/>
                <w:spacing w:val="-2"/>
              </w:rPr>
              <w:t>Informacja o sprzedawcach  przekazywana przez raportującego operatora platformy zawiera:</w:t>
            </w:r>
          </w:p>
          <w:p w14:paraId="4E7E0314" w14:textId="090628B9" w:rsidR="002B1815" w:rsidRPr="0010086C" w:rsidRDefault="002B1815" w:rsidP="00DE3111">
            <w:pPr>
              <w:pStyle w:val="Akapitzlist"/>
              <w:numPr>
                <w:ilvl w:val="0"/>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Dane identyfikujące raportującego operatora platformy:</w:t>
            </w:r>
          </w:p>
          <w:p w14:paraId="53490396" w14:textId="6236FBDE"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lastRenderedPageBreak/>
              <w:t>firmę i adres siedziby;</w:t>
            </w:r>
          </w:p>
          <w:p w14:paraId="331B6BDB" w14:textId="1B7D1241"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NIP</w:t>
            </w:r>
            <w:r w:rsidR="00C55431">
              <w:rPr>
                <w:rFonts w:ascii="Times New Roman" w:hAnsi="Times New Roman"/>
                <w:color w:val="000000"/>
                <w:spacing w:val="-2"/>
              </w:rPr>
              <w:t>, VAT</w:t>
            </w:r>
            <w:r w:rsidRPr="0010086C">
              <w:rPr>
                <w:rFonts w:ascii="Times New Roman" w:hAnsi="Times New Roman"/>
                <w:color w:val="000000"/>
                <w:spacing w:val="-2"/>
              </w:rPr>
              <w:t xml:space="preserve"> oraz w stosownych przypadkach, indywidualny numer platformy</w:t>
            </w:r>
            <w:r w:rsidR="00C55431">
              <w:rPr>
                <w:rFonts w:ascii="Times New Roman" w:hAnsi="Times New Roman"/>
                <w:color w:val="000000"/>
                <w:spacing w:val="-2"/>
              </w:rPr>
              <w:t>, o którym mowa w art. 75v</w:t>
            </w:r>
            <w:r w:rsidRPr="0010086C">
              <w:rPr>
                <w:rFonts w:ascii="Times New Roman" w:hAnsi="Times New Roman"/>
                <w:color w:val="000000"/>
                <w:spacing w:val="-2"/>
              </w:rPr>
              <w:t>;</w:t>
            </w:r>
          </w:p>
          <w:p w14:paraId="3E058CA5" w14:textId="3D9BFD9D"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nazwę platformy lub platform w odniesieniu do których raportujący operator platformy przekazuje informacje o sprzedawcach.</w:t>
            </w:r>
          </w:p>
          <w:p w14:paraId="75F178D8" w14:textId="088D81F9" w:rsidR="002B1815" w:rsidRPr="0010086C" w:rsidRDefault="002B1815" w:rsidP="00DE3111">
            <w:pPr>
              <w:pStyle w:val="Akapitzlist"/>
              <w:numPr>
                <w:ilvl w:val="0"/>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Informacje o sprzedawcach (w stosunku do osób fizycznych):</w:t>
            </w:r>
          </w:p>
          <w:p w14:paraId="4BB5EDAE" w14:textId="211B1B24"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imię i nazwisko,</w:t>
            </w:r>
          </w:p>
          <w:p w14:paraId="1D6C05C1" w14:textId="27ECF5CB"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główny adres,</w:t>
            </w:r>
          </w:p>
          <w:p w14:paraId="542572E9" w14:textId="4CA1E07E" w:rsidR="002B1815" w:rsidRPr="0010086C" w:rsidRDefault="00DA6627"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NIP wydany sprzedawcy oraz państwo uczestniczące wydania lub w przypadku braku NIP miejsce urodzenia tego sprzedawcy</w:t>
            </w:r>
            <w:r w:rsidR="002B1815" w:rsidRPr="0010086C">
              <w:rPr>
                <w:rFonts w:ascii="Times New Roman" w:hAnsi="Times New Roman"/>
                <w:color w:val="000000"/>
                <w:spacing w:val="-2"/>
              </w:rPr>
              <w:t>,</w:t>
            </w:r>
          </w:p>
          <w:p w14:paraId="3BB63E85" w14:textId="269E1D70"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numer identyfikacyjny VAT sprzedawcy, jeżeli </w:t>
            </w:r>
            <w:r w:rsidR="00C55431">
              <w:rPr>
                <w:rFonts w:ascii="Times New Roman" w:hAnsi="Times New Roman"/>
                <w:color w:val="000000"/>
                <w:spacing w:val="-2"/>
              </w:rPr>
              <w:t>jest dostępny</w:t>
            </w:r>
            <w:r w:rsidRPr="0010086C">
              <w:rPr>
                <w:rFonts w:ascii="Times New Roman" w:hAnsi="Times New Roman"/>
                <w:color w:val="000000"/>
                <w:spacing w:val="-2"/>
              </w:rPr>
              <w:t>,</w:t>
            </w:r>
          </w:p>
          <w:p w14:paraId="5989410B" w14:textId="4CC1285E" w:rsidR="002B1815" w:rsidRPr="0010086C" w:rsidRDefault="00C55431" w:rsidP="00DE3111">
            <w:pPr>
              <w:pStyle w:val="Akapitzlist"/>
              <w:numPr>
                <w:ilvl w:val="1"/>
                <w:numId w:val="31"/>
              </w:numPr>
              <w:spacing w:line="240" w:lineRule="auto"/>
              <w:jc w:val="both"/>
              <w:rPr>
                <w:rFonts w:ascii="Times New Roman" w:hAnsi="Times New Roman"/>
                <w:color w:val="000000"/>
                <w:spacing w:val="-2"/>
              </w:rPr>
            </w:pPr>
            <w:r>
              <w:rPr>
                <w:rFonts w:ascii="Times New Roman" w:hAnsi="Times New Roman"/>
                <w:color w:val="000000"/>
                <w:spacing w:val="-2"/>
              </w:rPr>
              <w:t>datę</w:t>
            </w:r>
            <w:r w:rsidR="002B1815" w:rsidRPr="0010086C">
              <w:rPr>
                <w:rFonts w:ascii="Times New Roman" w:hAnsi="Times New Roman"/>
                <w:color w:val="000000"/>
                <w:spacing w:val="-2"/>
              </w:rPr>
              <w:t xml:space="preserve"> urodzenia;</w:t>
            </w:r>
          </w:p>
          <w:p w14:paraId="01911CD7" w14:textId="6B3AC4CF" w:rsidR="002B1815" w:rsidRPr="0010086C" w:rsidRDefault="002B1815" w:rsidP="00DE3111">
            <w:pPr>
              <w:pStyle w:val="Akapitzlist"/>
              <w:numPr>
                <w:ilvl w:val="0"/>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Informacje o sprzedawcach (w stosunku do podmiotów):</w:t>
            </w:r>
          </w:p>
          <w:p w14:paraId="370C0F6A" w14:textId="67068E00"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firmę,</w:t>
            </w:r>
          </w:p>
          <w:p w14:paraId="64B82EE6" w14:textId="01828619"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główny adres,</w:t>
            </w:r>
          </w:p>
          <w:p w14:paraId="08EC073F" w14:textId="7FF8CAF0" w:rsidR="002B1815" w:rsidRPr="0010086C" w:rsidRDefault="00C55431" w:rsidP="00DE3111">
            <w:pPr>
              <w:pStyle w:val="Akapitzlist"/>
              <w:numPr>
                <w:ilvl w:val="1"/>
                <w:numId w:val="31"/>
              </w:numPr>
              <w:spacing w:line="240" w:lineRule="auto"/>
              <w:jc w:val="both"/>
              <w:rPr>
                <w:rFonts w:ascii="Times New Roman" w:hAnsi="Times New Roman"/>
                <w:color w:val="000000"/>
                <w:spacing w:val="-2"/>
              </w:rPr>
            </w:pPr>
            <w:r>
              <w:rPr>
                <w:rFonts w:ascii="Times New Roman" w:hAnsi="Times New Roman"/>
                <w:color w:val="000000"/>
                <w:spacing w:val="-2"/>
              </w:rPr>
              <w:t xml:space="preserve">każdy </w:t>
            </w:r>
            <w:r w:rsidR="002B1815" w:rsidRPr="0010086C">
              <w:rPr>
                <w:rFonts w:ascii="Times New Roman" w:hAnsi="Times New Roman"/>
                <w:color w:val="000000"/>
                <w:spacing w:val="-2"/>
              </w:rPr>
              <w:t>NIP wydany temu sprzedawcy</w:t>
            </w:r>
            <w:r w:rsidR="00DA6627" w:rsidRPr="0010086C">
              <w:rPr>
                <w:rFonts w:ascii="Times New Roman" w:hAnsi="Times New Roman"/>
                <w:color w:val="000000"/>
                <w:spacing w:val="-2"/>
              </w:rPr>
              <w:t xml:space="preserve"> oraz</w:t>
            </w:r>
            <w:r>
              <w:rPr>
                <w:rFonts w:ascii="Times New Roman" w:hAnsi="Times New Roman"/>
                <w:color w:val="000000"/>
                <w:spacing w:val="-2"/>
              </w:rPr>
              <w:t xml:space="preserve"> państwo uczestniczące na</w:t>
            </w:r>
            <w:r w:rsidR="002B1815" w:rsidRPr="0010086C">
              <w:rPr>
                <w:rFonts w:ascii="Times New Roman" w:hAnsi="Times New Roman"/>
                <w:color w:val="000000"/>
                <w:spacing w:val="-2"/>
              </w:rPr>
              <w:t>dania,</w:t>
            </w:r>
          </w:p>
          <w:p w14:paraId="61DEBF9F" w14:textId="5641F299"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numer identyfikacyjny VAT tego sprzedawcy, jeżeli </w:t>
            </w:r>
            <w:r w:rsidR="00C55431">
              <w:rPr>
                <w:rFonts w:ascii="Times New Roman" w:hAnsi="Times New Roman"/>
                <w:color w:val="000000"/>
                <w:spacing w:val="-2"/>
              </w:rPr>
              <w:t>jest dostępny</w:t>
            </w:r>
            <w:r w:rsidRPr="0010086C">
              <w:rPr>
                <w:rFonts w:ascii="Times New Roman" w:hAnsi="Times New Roman"/>
                <w:color w:val="000000"/>
                <w:spacing w:val="-2"/>
              </w:rPr>
              <w:t>,</w:t>
            </w:r>
          </w:p>
          <w:p w14:paraId="396A1865" w14:textId="5AD77A85"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numer we właściwym rejestrze gospodarczym,</w:t>
            </w:r>
          </w:p>
          <w:p w14:paraId="3636A82B" w14:textId="4E0B608D" w:rsidR="002B1815" w:rsidRPr="00E03161"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informacje o istnieniu ewentualnego stałego zakładu, za pośrednictwem którego wykonywane są </w:t>
            </w:r>
            <w:r w:rsidRPr="00E03161">
              <w:rPr>
                <w:rFonts w:ascii="Times New Roman" w:hAnsi="Times New Roman"/>
                <w:color w:val="000000"/>
                <w:spacing w:val="-2"/>
              </w:rPr>
              <w:t>na terenie Unii Europejskiej stosowne czynności, jeżeli taki zakład istnieje, ze wskazaniem każdego odnośnego państwa członkowskiego, w którym znajduje się taki stały zakład;</w:t>
            </w:r>
          </w:p>
          <w:p w14:paraId="69DE4C6A" w14:textId="388AE1B3" w:rsidR="002B1815" w:rsidRPr="009804F1" w:rsidRDefault="002B1815" w:rsidP="00DE3111">
            <w:pPr>
              <w:pStyle w:val="Akapitzlist"/>
              <w:numPr>
                <w:ilvl w:val="0"/>
                <w:numId w:val="31"/>
              </w:numPr>
              <w:spacing w:line="240" w:lineRule="auto"/>
              <w:jc w:val="both"/>
              <w:rPr>
                <w:rFonts w:ascii="Times New Roman" w:hAnsi="Times New Roman"/>
                <w:color w:val="000000"/>
                <w:spacing w:val="-2"/>
              </w:rPr>
            </w:pPr>
            <w:r w:rsidRPr="009804F1">
              <w:rPr>
                <w:rFonts w:ascii="Times New Roman" w:hAnsi="Times New Roman"/>
                <w:color w:val="000000"/>
                <w:spacing w:val="-2"/>
              </w:rPr>
              <w:t>Informacje o sprzedawcach, wykonujących inne stosowne czynności niż najem nieruchomości:</w:t>
            </w:r>
          </w:p>
          <w:p w14:paraId="102673B3" w14:textId="3C41288A"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identyfikator rachunku finansowego, jeżeli jest on dostępny dla raportującego operatora platformy i jeżeli właściwy organ państwa uczestniczącego, którego rezydentem jest sprzedawca podlegający raportowaniu, nie ogłosił publicznie, że nie zamierza korzystać z identyfikatora rachunku finansowego,</w:t>
            </w:r>
          </w:p>
          <w:p w14:paraId="2E3150CD" w14:textId="43E20B07" w:rsidR="002B1815" w:rsidRPr="009804F1"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jeżeli imię i nazwisko lub firma sprzedawcy są inne niż </w:t>
            </w:r>
            <w:r w:rsidR="00C55431">
              <w:rPr>
                <w:rFonts w:ascii="Times New Roman" w:hAnsi="Times New Roman"/>
                <w:color w:val="000000"/>
                <w:spacing w:val="-2"/>
              </w:rPr>
              <w:t xml:space="preserve">posiadacz </w:t>
            </w:r>
            <w:r w:rsidRPr="00E03161">
              <w:rPr>
                <w:rFonts w:ascii="Times New Roman" w:hAnsi="Times New Roman"/>
                <w:color w:val="000000"/>
                <w:spacing w:val="-2"/>
              </w:rPr>
              <w:t>rachunku finansowego – oprócz identyfikatora rachunku finansowego – imię</w:t>
            </w:r>
            <w:r w:rsidR="00C55431">
              <w:rPr>
                <w:rFonts w:ascii="Times New Roman" w:hAnsi="Times New Roman"/>
                <w:color w:val="000000"/>
                <w:spacing w:val="-2"/>
              </w:rPr>
              <w:t xml:space="preserve"> </w:t>
            </w:r>
            <w:r w:rsidRPr="00E03161">
              <w:rPr>
                <w:rFonts w:ascii="Times New Roman" w:hAnsi="Times New Roman"/>
                <w:color w:val="000000"/>
                <w:spacing w:val="-2"/>
              </w:rPr>
              <w:t>i nazwisko lub firmę osoby kojarzonej z identyfikatorem rachunku finansowego, na który wypłacane jest wynagrodzenie lub na poczet którego jest ono uznawane, w zakresie dostępnym dla raportującego operato</w:t>
            </w:r>
            <w:r w:rsidRPr="009804F1">
              <w:rPr>
                <w:rFonts w:ascii="Times New Roman" w:hAnsi="Times New Roman"/>
                <w:color w:val="000000"/>
                <w:spacing w:val="-2"/>
              </w:rPr>
              <w:t>ra platformy, a także wszelkie inne informacje finansowe umożliwiające identyfikację dostępne dla raportującego operatora platformy w odniesieniu do osoby kojarzonej z tym identyfikatorem,</w:t>
            </w:r>
          </w:p>
          <w:p w14:paraId="34F599D9" w14:textId="77B8D445"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państwo uczestniczące rezydencji sprzedawcy podlegającego raportowaniu,</w:t>
            </w:r>
          </w:p>
          <w:p w14:paraId="4D1BD759" w14:textId="1FFE49B8"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łączne wynagrodzenie wypłacone lub uznane w ciągu każdego kwartału okresu sprawozdawczego oraz liczbę stosownych czynności, z tytułu których wynagrodzenie to zostało wypłacone lub uznane,</w:t>
            </w:r>
          </w:p>
          <w:p w14:paraId="4021500B" w14:textId="46A9587B"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wszelkie składki, prowizje lub podatki zatrzymane lub pobrane przez raportującego operatora platformy w każdym kwartale okresu sprawozdawczego.</w:t>
            </w:r>
          </w:p>
          <w:p w14:paraId="59088040" w14:textId="4F7EC57B" w:rsidR="002B1815" w:rsidRPr="0010086C" w:rsidRDefault="002B1815" w:rsidP="00DE3111">
            <w:pPr>
              <w:pStyle w:val="Akapitzlist"/>
              <w:numPr>
                <w:ilvl w:val="0"/>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Informacje o sprzedawcach, wykonujących stosowne czynności w charakterze najmu nieruchomości:</w:t>
            </w:r>
          </w:p>
          <w:p w14:paraId="362CF151" w14:textId="3F86CEC0" w:rsidR="002B1815" w:rsidRDefault="00C55431" w:rsidP="00DE3111">
            <w:pPr>
              <w:pStyle w:val="Akapitzlist"/>
              <w:numPr>
                <w:ilvl w:val="1"/>
                <w:numId w:val="31"/>
              </w:numPr>
              <w:spacing w:line="240" w:lineRule="auto"/>
              <w:jc w:val="both"/>
              <w:rPr>
                <w:rFonts w:ascii="Times New Roman" w:hAnsi="Times New Roman"/>
                <w:color w:val="000000"/>
                <w:spacing w:val="-2"/>
              </w:rPr>
            </w:pPr>
            <w:r>
              <w:rPr>
                <w:rFonts w:ascii="Times New Roman" w:hAnsi="Times New Roman"/>
                <w:color w:val="000000"/>
                <w:spacing w:val="-2"/>
              </w:rPr>
              <w:t xml:space="preserve">Informacje, o których mowa w pkt 4 lit. a-c oraz e; </w:t>
            </w:r>
          </w:p>
          <w:p w14:paraId="131CDF67" w14:textId="31B66DDF" w:rsidR="00C55431" w:rsidRPr="0010086C" w:rsidRDefault="00C55431" w:rsidP="00DE3111">
            <w:pPr>
              <w:pStyle w:val="Akapitzlist"/>
              <w:numPr>
                <w:ilvl w:val="1"/>
                <w:numId w:val="31"/>
              </w:numPr>
              <w:spacing w:line="240" w:lineRule="auto"/>
              <w:jc w:val="both"/>
              <w:rPr>
                <w:rFonts w:ascii="Times New Roman" w:hAnsi="Times New Roman"/>
                <w:color w:val="000000"/>
                <w:spacing w:val="-2"/>
              </w:rPr>
            </w:pPr>
            <w:r>
              <w:rPr>
                <w:rFonts w:ascii="Times New Roman" w:hAnsi="Times New Roman"/>
                <w:color w:val="000000"/>
                <w:spacing w:val="-2"/>
              </w:rPr>
              <w:t>a</w:t>
            </w:r>
            <w:r w:rsidRPr="0010086C">
              <w:rPr>
                <w:rFonts w:ascii="Times New Roman" w:hAnsi="Times New Roman"/>
                <w:color w:val="000000"/>
                <w:spacing w:val="-2"/>
              </w:rPr>
              <w:t>dres każdej grupy obiektów najmu;</w:t>
            </w:r>
          </w:p>
          <w:p w14:paraId="753270A3" w14:textId="227758DF" w:rsidR="002B1815" w:rsidRPr="00E03161"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numer wpisu lub wpisów do księgi wieczystej dotyczący każdej grupy obiektów najmu i nieruchomości w ramach danej grupy obiektów najmu, jeżeli taki numer nadano, lub jego odpowiednik zgodnie</w:t>
            </w:r>
            <w:r w:rsidR="00E03161">
              <w:rPr>
                <w:rFonts w:ascii="Times New Roman" w:hAnsi="Times New Roman"/>
                <w:color w:val="000000"/>
                <w:spacing w:val="-2"/>
              </w:rPr>
              <w:br/>
            </w:r>
            <w:r w:rsidRPr="00E03161">
              <w:rPr>
                <w:rFonts w:ascii="Times New Roman" w:hAnsi="Times New Roman"/>
                <w:color w:val="000000"/>
                <w:spacing w:val="-2"/>
              </w:rPr>
              <w:t>z prawem krajowym państwa uczestniczącego, w którym znajduje się dana nieruchomość;</w:t>
            </w:r>
          </w:p>
          <w:p w14:paraId="2B18109B" w14:textId="1312AEAE" w:rsidR="002B1815" w:rsidRPr="009804F1" w:rsidRDefault="002B1815" w:rsidP="00DE3111">
            <w:pPr>
              <w:pStyle w:val="Akapitzlist"/>
              <w:numPr>
                <w:ilvl w:val="1"/>
                <w:numId w:val="31"/>
              </w:numPr>
              <w:spacing w:line="240" w:lineRule="auto"/>
              <w:jc w:val="both"/>
              <w:rPr>
                <w:rFonts w:ascii="Times New Roman" w:hAnsi="Times New Roman"/>
                <w:color w:val="000000"/>
                <w:spacing w:val="-2"/>
              </w:rPr>
            </w:pPr>
            <w:r w:rsidRPr="009804F1">
              <w:rPr>
                <w:rFonts w:ascii="Times New Roman" w:hAnsi="Times New Roman"/>
                <w:color w:val="000000"/>
                <w:spacing w:val="-2"/>
              </w:rPr>
              <w:t>łączne wynagrodzenie wypłacone lub uznane w ciągu każdego kwartału okresu sprawozdawczego oraz liczbę stosownych czynności w odniesieniu do każdej grupy obiektów najmu;</w:t>
            </w:r>
          </w:p>
          <w:p w14:paraId="5541D9A8" w14:textId="031DDD64" w:rsidR="002B1815" w:rsidRPr="0010086C"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liczbę dni, przez które każda grupa obiektów najmu była wynajmowana w okresie sprawozdawczym;</w:t>
            </w:r>
          </w:p>
          <w:p w14:paraId="4438A1C1" w14:textId="3EA1E0D9" w:rsidR="002B1815" w:rsidRDefault="002B1815" w:rsidP="00DE3111">
            <w:pPr>
              <w:pStyle w:val="Akapitzlist"/>
              <w:numPr>
                <w:ilvl w:val="1"/>
                <w:numId w:val="31"/>
              </w:numPr>
              <w:spacing w:line="240" w:lineRule="auto"/>
              <w:jc w:val="both"/>
              <w:rPr>
                <w:rFonts w:ascii="Times New Roman" w:hAnsi="Times New Roman"/>
                <w:color w:val="000000"/>
                <w:spacing w:val="-2"/>
              </w:rPr>
            </w:pPr>
            <w:r w:rsidRPr="0010086C">
              <w:rPr>
                <w:rFonts w:ascii="Times New Roman" w:hAnsi="Times New Roman"/>
                <w:color w:val="000000"/>
                <w:spacing w:val="-2"/>
              </w:rPr>
              <w:t>rodzaj k</w:t>
            </w:r>
            <w:r w:rsidR="00C55431">
              <w:rPr>
                <w:rFonts w:ascii="Times New Roman" w:hAnsi="Times New Roman"/>
                <w:color w:val="000000"/>
                <w:spacing w:val="-2"/>
              </w:rPr>
              <w:t>ażdej grupy obiektów najmu.</w:t>
            </w:r>
          </w:p>
          <w:p w14:paraId="633BC0B1" w14:textId="77777777" w:rsidR="00C55431" w:rsidRPr="0010086C" w:rsidRDefault="00C55431" w:rsidP="00C55431">
            <w:pPr>
              <w:pStyle w:val="Akapitzlist"/>
              <w:spacing w:line="240" w:lineRule="auto"/>
              <w:ind w:left="1785"/>
              <w:jc w:val="both"/>
              <w:rPr>
                <w:rFonts w:ascii="Times New Roman" w:hAnsi="Times New Roman"/>
                <w:color w:val="000000"/>
                <w:spacing w:val="-2"/>
              </w:rPr>
            </w:pPr>
          </w:p>
          <w:p w14:paraId="7E3EF6F2" w14:textId="77777777" w:rsidR="00CD5990" w:rsidRDefault="00A1040D" w:rsidP="00A1040D">
            <w:pPr>
              <w:spacing w:line="240" w:lineRule="auto"/>
              <w:jc w:val="both"/>
              <w:rPr>
                <w:rFonts w:ascii="Times New Roman" w:hAnsi="Times New Roman"/>
                <w:color w:val="000000"/>
                <w:spacing w:val="-2"/>
              </w:rPr>
            </w:pPr>
            <w:r w:rsidRPr="0010086C">
              <w:rPr>
                <w:rFonts w:ascii="Times New Roman" w:hAnsi="Times New Roman"/>
                <w:color w:val="000000"/>
                <w:spacing w:val="-2"/>
              </w:rPr>
              <w:t>Projektodawca wskazuje, iż pozyskiwane o operatorze platformy</w:t>
            </w:r>
            <w:r w:rsidR="00E63FD2">
              <w:rPr>
                <w:rFonts w:ascii="Times New Roman" w:hAnsi="Times New Roman"/>
                <w:color w:val="000000"/>
                <w:spacing w:val="-2"/>
              </w:rPr>
              <w:t xml:space="preserve"> informacje</w:t>
            </w:r>
            <w:r w:rsidRPr="00E63FD2">
              <w:rPr>
                <w:rFonts w:ascii="Times New Roman" w:hAnsi="Times New Roman"/>
                <w:color w:val="000000"/>
                <w:spacing w:val="-2"/>
              </w:rPr>
              <w:t>, jak również dane o sprzedawcach będą objęte ochroną wynikającą z przepisów o ochronie danych osobowych.</w:t>
            </w:r>
            <w:r w:rsidR="00C948B7">
              <w:rPr>
                <w:rFonts w:ascii="Times New Roman" w:hAnsi="Times New Roman"/>
                <w:color w:val="000000"/>
                <w:spacing w:val="-2"/>
              </w:rPr>
              <w:t xml:space="preserve"> </w:t>
            </w:r>
          </w:p>
          <w:p w14:paraId="07907000" w14:textId="57993129" w:rsidR="00A1040D" w:rsidRPr="00C948B7" w:rsidRDefault="00A1040D" w:rsidP="00A1040D">
            <w:pPr>
              <w:spacing w:line="240" w:lineRule="auto"/>
              <w:jc w:val="both"/>
              <w:rPr>
                <w:rFonts w:ascii="Times New Roman" w:hAnsi="Times New Roman"/>
                <w:color w:val="000000"/>
                <w:spacing w:val="-2"/>
              </w:rPr>
            </w:pPr>
          </w:p>
          <w:p w14:paraId="30925B80" w14:textId="738F7DC2" w:rsidR="000B7A2A" w:rsidRPr="0010086C" w:rsidRDefault="000B7A2A" w:rsidP="000B7A2A">
            <w:pPr>
              <w:spacing w:line="240" w:lineRule="auto"/>
              <w:jc w:val="both"/>
              <w:rPr>
                <w:rFonts w:ascii="Times New Roman" w:hAnsi="Times New Roman"/>
                <w:color w:val="000000"/>
                <w:spacing w:val="-2"/>
              </w:rPr>
            </w:pPr>
            <w:r w:rsidRPr="009804F1">
              <w:rPr>
                <w:rFonts w:ascii="Times New Roman" w:hAnsi="Times New Roman"/>
                <w:color w:val="000000"/>
                <w:spacing w:val="-2"/>
              </w:rPr>
              <w:t>Kluczowe znaczenie ma wzmocnienie współ</w:t>
            </w:r>
            <w:r w:rsidRPr="00CD5990">
              <w:rPr>
                <w:rFonts w:ascii="Times New Roman" w:hAnsi="Times New Roman"/>
                <w:color w:val="000000"/>
                <w:spacing w:val="-2"/>
              </w:rPr>
              <w:t xml:space="preserve">pracy administracyjnej i wymiany informacji. </w:t>
            </w:r>
            <w:r w:rsidRPr="0010086C">
              <w:rPr>
                <w:rFonts w:ascii="Times New Roman" w:hAnsi="Times New Roman"/>
                <w:color w:val="000000"/>
                <w:spacing w:val="-2"/>
              </w:rPr>
              <w:t>Organy podatkowe mają uzyskać lepszy dostęp do informacji</w:t>
            </w:r>
            <w:r w:rsidR="00AE5275">
              <w:rPr>
                <w:rFonts w:ascii="Times New Roman" w:hAnsi="Times New Roman"/>
                <w:color w:val="000000"/>
                <w:spacing w:val="-2"/>
              </w:rPr>
              <w:t xml:space="preserve"> </w:t>
            </w:r>
            <w:r w:rsidRPr="002B0012">
              <w:rPr>
                <w:rFonts w:ascii="Times New Roman" w:hAnsi="Times New Roman"/>
                <w:color w:val="000000"/>
                <w:spacing w:val="-2"/>
              </w:rPr>
              <w:t xml:space="preserve">w szczególności </w:t>
            </w:r>
            <w:r w:rsidR="00BA664B" w:rsidRPr="002B0012">
              <w:rPr>
                <w:rFonts w:ascii="Times New Roman" w:hAnsi="Times New Roman"/>
                <w:color w:val="000000"/>
                <w:spacing w:val="-2"/>
              </w:rPr>
              <w:t xml:space="preserve">przychodów </w:t>
            </w:r>
            <w:r w:rsidRPr="002B0012">
              <w:rPr>
                <w:rFonts w:ascii="Times New Roman" w:hAnsi="Times New Roman"/>
                <w:color w:val="000000"/>
                <w:spacing w:val="-2"/>
              </w:rPr>
              <w:t xml:space="preserve">osiąganych za pośrednictwem platform cyfrowych a działalność na platformach cyfrowych </w:t>
            </w:r>
            <w:r w:rsidRPr="009804F1">
              <w:rPr>
                <w:rFonts w:ascii="Times New Roman" w:hAnsi="Times New Roman"/>
                <w:color w:val="000000"/>
                <w:spacing w:val="-2"/>
              </w:rPr>
              <w:t xml:space="preserve">stanie się bardziej </w:t>
            </w:r>
            <w:r w:rsidRPr="00CD5990">
              <w:rPr>
                <w:rFonts w:ascii="Times New Roman" w:hAnsi="Times New Roman"/>
                <w:color w:val="000000"/>
                <w:spacing w:val="-2"/>
              </w:rPr>
              <w:t>przej</w:t>
            </w:r>
            <w:r w:rsidRPr="0010086C">
              <w:rPr>
                <w:rFonts w:ascii="Times New Roman" w:hAnsi="Times New Roman"/>
                <w:color w:val="000000"/>
                <w:spacing w:val="-2"/>
              </w:rPr>
              <w:t>rzysta dla organów podatkowych. By osiągnąć powyższe cele, ustawa wprowadza podatkowe obowiązki sprawozdawcze dla operatorów platform cyfrowych oraz dostosowuje ustawę o wymianie informacji podatkowych oraz niektóre inne ustawy do obecnych przepisów dyrektywy DAC7.</w:t>
            </w:r>
          </w:p>
          <w:p w14:paraId="493C2909" w14:textId="77777777" w:rsidR="00BA664B" w:rsidRPr="0010086C" w:rsidRDefault="00BA664B" w:rsidP="000B7A2A">
            <w:pPr>
              <w:spacing w:line="240" w:lineRule="auto"/>
              <w:jc w:val="both"/>
              <w:rPr>
                <w:rFonts w:ascii="Times New Roman" w:hAnsi="Times New Roman"/>
                <w:color w:val="000000"/>
                <w:spacing w:val="-2"/>
              </w:rPr>
            </w:pPr>
          </w:p>
          <w:p w14:paraId="28B0C2C3" w14:textId="6CBC1148" w:rsidR="00BA664B" w:rsidRPr="00AF242C" w:rsidRDefault="00BA664B" w:rsidP="00DE3111">
            <w:pPr>
              <w:spacing w:line="240" w:lineRule="auto"/>
              <w:jc w:val="both"/>
              <w:rPr>
                <w:rFonts w:ascii="Times New Roman" w:hAnsi="Times New Roman"/>
                <w:color w:val="000000"/>
                <w:spacing w:val="-2"/>
              </w:rPr>
            </w:pPr>
            <w:r w:rsidRPr="0010086C">
              <w:rPr>
                <w:rFonts w:ascii="Times New Roman" w:hAnsi="Times New Roman"/>
                <w:color w:val="000000"/>
                <w:spacing w:val="-2"/>
              </w:rPr>
              <w:t>Funkcjonowanie mechanizmu wymiany informacji o sprzedawcach</w:t>
            </w:r>
            <w:r w:rsidR="00AF242C">
              <w:rPr>
                <w:rFonts w:ascii="Times New Roman" w:hAnsi="Times New Roman"/>
                <w:color w:val="000000"/>
                <w:spacing w:val="-2"/>
              </w:rPr>
              <w:t xml:space="preserve"> będzie fu</w:t>
            </w:r>
            <w:r w:rsidR="000D4421">
              <w:rPr>
                <w:rFonts w:ascii="Times New Roman" w:hAnsi="Times New Roman"/>
                <w:color w:val="000000"/>
                <w:spacing w:val="-2"/>
              </w:rPr>
              <w:t>nk</w:t>
            </w:r>
            <w:r w:rsidR="00AF242C">
              <w:rPr>
                <w:rFonts w:ascii="Times New Roman" w:hAnsi="Times New Roman"/>
                <w:color w:val="000000"/>
                <w:spacing w:val="-2"/>
              </w:rPr>
              <w:t>cjonowało następująco: z</w:t>
            </w:r>
            <w:r w:rsidRPr="00AF242C">
              <w:rPr>
                <w:rFonts w:ascii="Times New Roman" w:hAnsi="Times New Roman"/>
                <w:color w:val="000000"/>
                <w:spacing w:val="-2"/>
              </w:rPr>
              <w:t xml:space="preserve">godnie z art. 8ac ust. 3 implementowanej dyrektywy przekazywanie informacji pomiędzy Państwami Członkowskimi Unii Europejskiej odbywać się będzie przy użyciu standardowego formatu elektronicznego, który został określony w Załączniku III do Rozporządzenia Wykonawczego Komisji (UE) 2022/1467 z dnia 5 września 2022 r. zmieniającego rozporządzenie wykonawcze (UE) 2015/2378 w odniesieniu do standardowych formularzy i formatów elektronicznych, które mają być stosowane w związku z </w:t>
            </w:r>
            <w:r w:rsidRPr="00AF242C">
              <w:rPr>
                <w:rFonts w:ascii="Times New Roman" w:hAnsi="Times New Roman"/>
                <w:color w:val="000000"/>
                <w:spacing w:val="-2"/>
              </w:rPr>
              <w:lastRenderedPageBreak/>
              <w:t xml:space="preserve">dyrektywą Rady 2011/16/UE, oraz do wykazu danych statystycznych, które mają być przekazywane przez państwa członkowskie do celów oceny tej dyrektywy. </w:t>
            </w:r>
          </w:p>
          <w:p w14:paraId="0CEBD8B1" w14:textId="77777777" w:rsidR="00BA664B" w:rsidRPr="0010086C" w:rsidRDefault="00BA664B" w:rsidP="00DE3111">
            <w:pPr>
              <w:spacing w:line="240" w:lineRule="auto"/>
              <w:jc w:val="both"/>
              <w:rPr>
                <w:rFonts w:ascii="Times New Roman" w:hAnsi="Times New Roman"/>
                <w:color w:val="000000"/>
                <w:spacing w:val="-2"/>
              </w:rPr>
            </w:pPr>
          </w:p>
          <w:p w14:paraId="202C8B55" w14:textId="67BF946B" w:rsidR="00BA664B" w:rsidRPr="0010086C" w:rsidRDefault="00BA664B" w:rsidP="00BA664B">
            <w:pPr>
              <w:jc w:val="both"/>
              <w:rPr>
                <w:rFonts w:ascii="Times New Roman" w:hAnsi="Times New Roman"/>
                <w:color w:val="000000"/>
                <w:spacing w:val="-2"/>
              </w:rPr>
            </w:pPr>
            <w:r w:rsidRPr="0010086C">
              <w:rPr>
                <w:rFonts w:ascii="Times New Roman" w:hAnsi="Times New Roman"/>
                <w:color w:val="000000"/>
                <w:spacing w:val="-2"/>
              </w:rPr>
              <w:t>Formularz ma strukturę drzewa o określonych elementach i atrybutach i zawiera następująca pola</w:t>
            </w:r>
            <w:r w:rsidR="009646B8" w:rsidRPr="0010086C">
              <w:rPr>
                <w:rStyle w:val="Odwoanieprzypisudolnego"/>
                <w:rFonts w:ascii="Times New Roman" w:hAnsi="Times New Roman"/>
                <w:color w:val="000000"/>
                <w:spacing w:val="-2"/>
              </w:rPr>
              <w:footnoteReference w:id="1"/>
            </w:r>
            <w:r w:rsidRPr="0010086C">
              <w:rPr>
                <w:rFonts w:ascii="Times New Roman" w:hAnsi="Times New Roman"/>
                <w:color w:val="000000"/>
                <w:spacing w:val="-2"/>
              </w:rPr>
              <w:t>:</w:t>
            </w:r>
          </w:p>
          <w:p w14:paraId="7C3616B4" w14:textId="1DB2B925" w:rsidR="00767743" w:rsidRPr="007304B1" w:rsidRDefault="00767743" w:rsidP="00DE3111">
            <w:pPr>
              <w:pStyle w:val="Akapitzlist"/>
              <w:numPr>
                <w:ilvl w:val="0"/>
                <w:numId w:val="33"/>
              </w:numPr>
              <w:jc w:val="both"/>
              <w:rPr>
                <w:rFonts w:ascii="Times New Roman" w:hAnsi="Times New Roman"/>
                <w:color w:val="000000"/>
                <w:spacing w:val="-2"/>
              </w:rPr>
            </w:pPr>
            <w:r w:rsidRPr="007304B1">
              <w:rPr>
                <w:rFonts w:ascii="Times New Roman" w:hAnsi="Times New Roman"/>
                <w:color w:val="000000"/>
                <w:spacing w:val="-2"/>
              </w:rPr>
              <w:t>nazwa wyłączonego operatora platformy,</w:t>
            </w:r>
          </w:p>
          <w:p w14:paraId="3EEBC37E" w14:textId="7EAC5E9A" w:rsidR="00767743" w:rsidRPr="00C828BC" w:rsidRDefault="00767743" w:rsidP="00DE3111">
            <w:pPr>
              <w:pStyle w:val="Akapitzlist"/>
              <w:numPr>
                <w:ilvl w:val="0"/>
                <w:numId w:val="33"/>
              </w:numPr>
              <w:jc w:val="both"/>
              <w:rPr>
                <w:rFonts w:ascii="Times New Roman" w:hAnsi="Times New Roman"/>
                <w:color w:val="000000"/>
                <w:spacing w:val="-2"/>
              </w:rPr>
            </w:pPr>
            <w:r w:rsidRPr="00C828BC">
              <w:rPr>
                <w:rFonts w:ascii="Times New Roman" w:hAnsi="Times New Roman"/>
                <w:color w:val="000000"/>
                <w:spacing w:val="-2"/>
              </w:rPr>
              <w:t>adres pocztowy wyłączonego operatora platformy,</w:t>
            </w:r>
          </w:p>
          <w:p w14:paraId="069262B9" w14:textId="36DD1230" w:rsidR="00767743" w:rsidRPr="0010086C" w:rsidRDefault="00767743" w:rsidP="00DE3111">
            <w:pPr>
              <w:pStyle w:val="Akapitzlist"/>
              <w:numPr>
                <w:ilvl w:val="0"/>
                <w:numId w:val="33"/>
              </w:numPr>
              <w:jc w:val="both"/>
              <w:rPr>
                <w:rFonts w:ascii="Times New Roman" w:hAnsi="Times New Roman"/>
                <w:color w:val="000000"/>
                <w:spacing w:val="-2"/>
              </w:rPr>
            </w:pPr>
            <w:r w:rsidRPr="009804F1">
              <w:rPr>
                <w:rFonts w:ascii="Times New Roman" w:hAnsi="Times New Roman"/>
                <w:color w:val="000000"/>
                <w:spacing w:val="-2"/>
              </w:rPr>
              <w:t>adres elektroniczny, w tym strony internetowe wyłączonego operatora platformy</w:t>
            </w:r>
            <w:r w:rsidRPr="0010086C">
              <w:rPr>
                <w:rFonts w:ascii="Times New Roman" w:hAnsi="Times New Roman"/>
                <w:color w:val="000000"/>
                <w:spacing w:val="-2"/>
              </w:rPr>
              <w:t>,</w:t>
            </w:r>
          </w:p>
          <w:p w14:paraId="6D96D65B" w14:textId="5A0F882A" w:rsidR="00767743" w:rsidRPr="0010086C" w:rsidRDefault="00767743" w:rsidP="00DE3111">
            <w:pPr>
              <w:pStyle w:val="Akapitzlist"/>
              <w:numPr>
                <w:ilvl w:val="0"/>
                <w:numId w:val="33"/>
              </w:numPr>
              <w:jc w:val="both"/>
              <w:rPr>
                <w:rFonts w:ascii="Times New Roman" w:hAnsi="Times New Roman"/>
                <w:color w:val="000000"/>
                <w:spacing w:val="-2"/>
              </w:rPr>
            </w:pPr>
            <w:r w:rsidRPr="0010086C">
              <w:rPr>
                <w:rFonts w:ascii="Times New Roman" w:hAnsi="Times New Roman"/>
                <w:color w:val="000000"/>
                <w:spacing w:val="-2"/>
              </w:rPr>
              <w:t>numer NIP nadany wyłączonemu operatorowi platformy, jeżeli jest dostępny,</w:t>
            </w:r>
          </w:p>
          <w:p w14:paraId="1A644D9F" w14:textId="5647599D" w:rsidR="00767743" w:rsidRPr="0010086C" w:rsidRDefault="00767743" w:rsidP="00DE3111">
            <w:pPr>
              <w:pStyle w:val="Akapitzlist"/>
              <w:numPr>
                <w:ilvl w:val="0"/>
                <w:numId w:val="33"/>
              </w:numPr>
              <w:jc w:val="both"/>
              <w:rPr>
                <w:rFonts w:ascii="Times New Roman" w:hAnsi="Times New Roman"/>
                <w:color w:val="000000"/>
                <w:spacing w:val="-2"/>
              </w:rPr>
            </w:pPr>
            <w:r w:rsidRPr="0010086C">
              <w:rPr>
                <w:rFonts w:ascii="Times New Roman" w:hAnsi="Times New Roman"/>
                <w:color w:val="000000"/>
                <w:spacing w:val="-2"/>
              </w:rPr>
              <w:t>państwo członkowskie, któremu przedstawiono stosowne informacje zgodnie z sekcją I część A pkt 3 załącznika V do dyrektywy 2011/16/UE oraz</w:t>
            </w:r>
          </w:p>
          <w:p w14:paraId="414CF568" w14:textId="2F53A491" w:rsidR="00767743" w:rsidRPr="0010086C" w:rsidRDefault="00767743" w:rsidP="00DE3111">
            <w:pPr>
              <w:pStyle w:val="Akapitzlist"/>
              <w:numPr>
                <w:ilvl w:val="0"/>
                <w:numId w:val="33"/>
              </w:numPr>
              <w:jc w:val="both"/>
              <w:rPr>
                <w:rFonts w:ascii="Times New Roman" w:hAnsi="Times New Roman"/>
                <w:color w:val="000000"/>
                <w:spacing w:val="-2"/>
              </w:rPr>
            </w:pPr>
            <w:r w:rsidRPr="0010086C">
              <w:rPr>
                <w:rFonts w:ascii="Times New Roman" w:hAnsi="Times New Roman"/>
                <w:color w:val="000000"/>
                <w:spacing w:val="-2"/>
              </w:rPr>
              <w:t>rok podatkowy, od którego przyznano status wyłączonego operatora platformy.</w:t>
            </w:r>
          </w:p>
          <w:p w14:paraId="50C2DCEC" w14:textId="77777777" w:rsidR="00BA664B" w:rsidRPr="0010086C" w:rsidRDefault="00BA664B" w:rsidP="00BA664B">
            <w:pPr>
              <w:jc w:val="both"/>
              <w:rPr>
                <w:rFonts w:ascii="Times New Roman" w:hAnsi="Times New Roman"/>
                <w:color w:val="000000"/>
                <w:spacing w:val="-2"/>
              </w:rPr>
            </w:pPr>
          </w:p>
          <w:p w14:paraId="25FE8F6E" w14:textId="260F7417" w:rsidR="002F5D1B" w:rsidRPr="0010086C" w:rsidRDefault="00BA664B" w:rsidP="00BA664B">
            <w:pPr>
              <w:jc w:val="both"/>
              <w:rPr>
                <w:rFonts w:ascii="Times New Roman" w:hAnsi="Times New Roman"/>
                <w:color w:val="000000"/>
                <w:spacing w:val="-2"/>
              </w:rPr>
            </w:pPr>
            <w:r w:rsidRPr="0010086C">
              <w:rPr>
                <w:rFonts w:ascii="Times New Roman" w:hAnsi="Times New Roman"/>
                <w:color w:val="000000"/>
                <w:spacing w:val="-2"/>
              </w:rPr>
              <w:t>Mechanizm przekazywania danych innym państwom UE również wynika z art. 8ac ust. 2</w:t>
            </w:r>
            <w:r w:rsidR="002F5D1B" w:rsidRPr="0010086C">
              <w:rPr>
                <w:rFonts w:ascii="Times New Roman" w:hAnsi="Times New Roman"/>
                <w:color w:val="000000"/>
                <w:spacing w:val="-2"/>
              </w:rPr>
              <w:t xml:space="preserve"> implementowanej dyrektywy. </w:t>
            </w:r>
            <w:r w:rsidR="00A34527">
              <w:rPr>
                <w:rFonts w:ascii="Times New Roman" w:hAnsi="Times New Roman"/>
                <w:color w:val="000000"/>
                <w:spacing w:val="-2"/>
              </w:rPr>
              <w:br/>
            </w:r>
            <w:r w:rsidR="002F5D1B" w:rsidRPr="000D4421">
              <w:rPr>
                <w:rFonts w:ascii="Times New Roman" w:hAnsi="Times New Roman"/>
                <w:color w:val="000000"/>
                <w:spacing w:val="-2"/>
              </w:rPr>
              <w:t>W przypadku świadczenia usługi najmu nieruchomości, właściwy organ państwa członkowskiego</w:t>
            </w:r>
            <w:r w:rsidR="00FF6DD0">
              <w:rPr>
                <w:rFonts w:ascii="Times New Roman" w:hAnsi="Times New Roman"/>
                <w:color w:val="000000"/>
                <w:spacing w:val="-2"/>
              </w:rPr>
              <w:t>,</w:t>
            </w:r>
            <w:r w:rsidR="002F5D1B" w:rsidRPr="000D4421">
              <w:rPr>
                <w:rFonts w:ascii="Times New Roman" w:hAnsi="Times New Roman"/>
                <w:color w:val="000000"/>
                <w:spacing w:val="-2"/>
              </w:rPr>
              <w:t xml:space="preserve"> gdy miała miejsce sprawozdawczość w drodze wymiany automatycznej przekazuje in</w:t>
            </w:r>
            <w:r w:rsidR="002F5D1B" w:rsidRPr="0010086C">
              <w:rPr>
                <w:rFonts w:ascii="Times New Roman" w:hAnsi="Times New Roman"/>
                <w:color w:val="000000"/>
                <w:spacing w:val="-2"/>
              </w:rPr>
              <w:t xml:space="preserve">formacje o sprzedawcy podlegającemu raportowaniu zarówno organowi państwa członkowskiego, którego rezydentem jest ten sprzedawca, jak i organowi państwa, na terytorium którego zlokalizowana jest ta nieruchomość. </w:t>
            </w:r>
            <w:r w:rsidR="004D2BAA" w:rsidRPr="0010086C">
              <w:rPr>
                <w:rFonts w:ascii="Times New Roman" w:hAnsi="Times New Roman"/>
                <w:color w:val="000000"/>
                <w:spacing w:val="-2"/>
              </w:rPr>
              <w:t xml:space="preserve">W pozostałych przypadkach (sprzedaż, usługi i najem środka transportu), właściwy organ państwa członkowskiego przekazywał będzie w drodze automatycznej wymiany informacji o sprzedawcy tylko organowi jego rezydencji podatkowej. </w:t>
            </w:r>
          </w:p>
          <w:p w14:paraId="27177092" w14:textId="77777777" w:rsidR="00BA664B" w:rsidRPr="0010086C" w:rsidRDefault="00BA664B" w:rsidP="000B7A2A">
            <w:pPr>
              <w:spacing w:line="240" w:lineRule="auto"/>
              <w:jc w:val="both"/>
              <w:rPr>
                <w:rFonts w:ascii="Times New Roman" w:hAnsi="Times New Roman"/>
                <w:color w:val="000000"/>
                <w:spacing w:val="-2"/>
              </w:rPr>
            </w:pPr>
          </w:p>
          <w:p w14:paraId="73986350" w14:textId="77777777" w:rsidR="00BA664B" w:rsidRDefault="00BA664B" w:rsidP="00BA664B">
            <w:pPr>
              <w:jc w:val="both"/>
              <w:rPr>
                <w:rFonts w:ascii="Times New Roman" w:hAnsi="Times New Roman"/>
                <w:color w:val="000000"/>
                <w:spacing w:val="-2"/>
              </w:rPr>
            </w:pPr>
            <w:r w:rsidRPr="0010086C">
              <w:rPr>
                <w:rFonts w:ascii="Times New Roman" w:hAnsi="Times New Roman"/>
                <w:color w:val="000000"/>
                <w:spacing w:val="-2"/>
              </w:rPr>
              <w:t>Mechanizm przekazywania danych innym państwom UE również wynika z art. 8ac ust. 2, zgodnie z którym właściwy organ państwa członkowskiego, gdy miała miejsce sprawozdawczość, w drodze wymiany automatycznej przekazuje właściwemu organowi państwa członkowskiego, którego rezydentem jest ‘sprzedawca podlegający raportowaniu’ oraz – jeżeli ‘sprzedawca podlegający raportowaniu’ świadczy usługi najmu nieruchomości – w każdym przypadku właściwemu organowi, w którym zlokalizowana jest nieruchomość.</w:t>
            </w:r>
          </w:p>
          <w:p w14:paraId="17E7E41B" w14:textId="77777777" w:rsidR="00BA664B" w:rsidRPr="0010086C" w:rsidRDefault="00BA664B" w:rsidP="000B7A2A">
            <w:pPr>
              <w:spacing w:line="240" w:lineRule="auto"/>
              <w:jc w:val="both"/>
              <w:rPr>
                <w:rFonts w:ascii="Times New Roman" w:hAnsi="Times New Roman"/>
                <w:color w:val="000000"/>
                <w:spacing w:val="-2"/>
              </w:rPr>
            </w:pPr>
          </w:p>
          <w:p w14:paraId="79CD019B" w14:textId="1F082958" w:rsidR="000B7A2A" w:rsidRPr="002B0012" w:rsidRDefault="000B7A2A" w:rsidP="000B7A2A">
            <w:pPr>
              <w:spacing w:line="240" w:lineRule="auto"/>
              <w:jc w:val="both"/>
              <w:rPr>
                <w:rFonts w:ascii="Times New Roman" w:hAnsi="Times New Roman"/>
                <w:color w:val="000000"/>
                <w:spacing w:val="-2"/>
              </w:rPr>
            </w:pPr>
            <w:r w:rsidRPr="0010086C">
              <w:rPr>
                <w:rFonts w:ascii="Times New Roman" w:hAnsi="Times New Roman"/>
                <w:color w:val="000000"/>
                <w:spacing w:val="-2"/>
              </w:rPr>
              <w:t xml:space="preserve">Międzynarodowy Fundusz Walutowy (2018) w raporcie Measuring Digital Economy wskazał, że produkty i usługi cyfrowe są trudne do ujęcia w statystykach gospodarczych. Oczekiwany efekt behawioralny prawdopodobnie będzie skutkował większą przejrzystością informacji/danych w zakresie dochodów ze sprzedaży dokonywanej za pośrednictwem platform cyfrowych. </w:t>
            </w:r>
            <w:r w:rsidR="007E3ED1" w:rsidRPr="0010086C">
              <w:rPr>
                <w:rFonts w:ascii="Times New Roman" w:hAnsi="Times New Roman"/>
                <w:color w:val="000000"/>
                <w:spacing w:val="-2"/>
              </w:rPr>
              <w:t xml:space="preserve">Dane dotyczące transakcji z oferowanych usług, czy sprzedaży towarów w Internecie, są niezbędne do </w:t>
            </w:r>
            <w:r w:rsidR="00E061BA" w:rsidRPr="0010086C">
              <w:rPr>
                <w:rFonts w:ascii="Times New Roman" w:hAnsi="Times New Roman"/>
                <w:color w:val="000000"/>
                <w:spacing w:val="-2"/>
              </w:rPr>
              <w:t xml:space="preserve">właściwej </w:t>
            </w:r>
            <w:r w:rsidR="007E3ED1" w:rsidRPr="0010086C">
              <w:rPr>
                <w:rFonts w:ascii="Times New Roman" w:hAnsi="Times New Roman"/>
                <w:color w:val="000000"/>
                <w:spacing w:val="-2"/>
              </w:rPr>
              <w:t xml:space="preserve">analizy </w:t>
            </w:r>
            <w:r w:rsidR="00E061BA" w:rsidRPr="0010086C">
              <w:rPr>
                <w:rFonts w:ascii="Times New Roman" w:hAnsi="Times New Roman"/>
                <w:color w:val="000000"/>
                <w:spacing w:val="-2"/>
              </w:rPr>
              <w:t>skali</w:t>
            </w:r>
            <w:r w:rsidR="007E3ED1" w:rsidRPr="0010086C">
              <w:rPr>
                <w:rFonts w:ascii="Times New Roman" w:hAnsi="Times New Roman"/>
                <w:color w:val="000000"/>
                <w:spacing w:val="-2"/>
              </w:rPr>
              <w:t xml:space="preserve"> gospodarki cyfrowej i jej wpływu na systemy podatkowe</w:t>
            </w:r>
            <w:r w:rsidR="00E061BA" w:rsidRPr="0010086C">
              <w:rPr>
                <w:rFonts w:ascii="Times New Roman" w:hAnsi="Times New Roman"/>
                <w:color w:val="000000"/>
                <w:spacing w:val="-2"/>
              </w:rPr>
              <w:t>.</w:t>
            </w:r>
            <w:r w:rsidR="007E3ED1" w:rsidRPr="0010086C">
              <w:rPr>
                <w:rFonts w:ascii="Times New Roman" w:hAnsi="Times New Roman"/>
                <w:color w:val="000000"/>
                <w:spacing w:val="-2"/>
              </w:rPr>
              <w:t xml:space="preserve"> Obecnie zasadniczo tylko operatorzy platform cyfrowych dysponują tego rodzaju danymi, natomiast organy skarbowe mogą pozyskać dane</w:t>
            </w:r>
            <w:r w:rsidR="00E061BA" w:rsidRPr="0010086C">
              <w:rPr>
                <w:rFonts w:ascii="Times New Roman" w:hAnsi="Times New Roman"/>
                <w:color w:val="000000"/>
                <w:spacing w:val="-2"/>
              </w:rPr>
              <w:t>, które nie mogą zapewnić prawidłowej analizy wielkości</w:t>
            </w:r>
            <w:r w:rsidR="007E3ED1" w:rsidRPr="0010086C">
              <w:rPr>
                <w:rFonts w:ascii="Times New Roman" w:hAnsi="Times New Roman"/>
                <w:color w:val="000000"/>
                <w:spacing w:val="-2"/>
              </w:rPr>
              <w:t xml:space="preserve"> należnych danin publicznych od sprzedających czy oferujących usługi w Internecie. </w:t>
            </w:r>
            <w:r w:rsidRPr="0010086C">
              <w:rPr>
                <w:rFonts w:ascii="Times New Roman" w:hAnsi="Times New Roman"/>
                <w:color w:val="000000"/>
                <w:spacing w:val="-2"/>
              </w:rPr>
              <w:t>Należy oczekiwać, że implementacja dyrektywy pozwoli na pozyskanie z platform niezbędnych danych do analiz służących</w:t>
            </w:r>
            <w:r w:rsidR="002B0012">
              <w:rPr>
                <w:rFonts w:ascii="Times New Roman" w:hAnsi="Times New Roman"/>
                <w:color w:val="000000"/>
                <w:spacing w:val="-2"/>
              </w:rPr>
              <w:br/>
            </w:r>
            <w:r w:rsidRPr="002B0012">
              <w:rPr>
                <w:rFonts w:ascii="Times New Roman" w:hAnsi="Times New Roman"/>
                <w:color w:val="000000"/>
                <w:spacing w:val="-2"/>
              </w:rPr>
              <w:t xml:space="preserve">do zabezpieczenia dochodów podatkowych. </w:t>
            </w:r>
          </w:p>
          <w:p w14:paraId="4E27225F" w14:textId="77777777" w:rsidR="003E15C6" w:rsidRPr="009804F1" w:rsidRDefault="003E15C6" w:rsidP="000B7A2A">
            <w:pPr>
              <w:spacing w:line="240" w:lineRule="auto"/>
              <w:jc w:val="both"/>
              <w:rPr>
                <w:rFonts w:ascii="Times New Roman" w:hAnsi="Times New Roman"/>
                <w:color w:val="000000"/>
              </w:rPr>
            </w:pPr>
          </w:p>
          <w:p w14:paraId="48C39BC8" w14:textId="1726E392" w:rsidR="000B7A2A" w:rsidRPr="0010086C" w:rsidRDefault="000B7A2A" w:rsidP="000B7A2A">
            <w:pPr>
              <w:spacing w:line="240" w:lineRule="auto"/>
              <w:jc w:val="both"/>
              <w:rPr>
                <w:rFonts w:ascii="Times New Roman" w:hAnsi="Times New Roman"/>
                <w:color w:val="000000"/>
              </w:rPr>
            </w:pPr>
            <w:r w:rsidRPr="0010086C">
              <w:rPr>
                <w:rFonts w:ascii="Times New Roman" w:hAnsi="Times New Roman"/>
                <w:color w:val="000000"/>
              </w:rPr>
              <w:t>Celem projektowanej ustawy jest także wyeliminowanie wątpliwości związanych ze stosowaniem pierwotnie przyjętych rozwiązań legislacyjnych</w:t>
            </w:r>
            <w:r w:rsidR="007E3ED1" w:rsidRPr="0010086C">
              <w:rPr>
                <w:rFonts w:ascii="Times New Roman" w:hAnsi="Times New Roman"/>
                <w:color w:val="000000"/>
              </w:rPr>
              <w:t xml:space="preserve"> w ustawie o wymianie informacji podatkowych z innymi państwami</w:t>
            </w:r>
            <w:r w:rsidRPr="0010086C">
              <w:rPr>
                <w:rFonts w:ascii="Times New Roman" w:hAnsi="Times New Roman"/>
                <w:color w:val="000000"/>
              </w:rPr>
              <w:t xml:space="preserve"> w kontekście:</w:t>
            </w:r>
          </w:p>
          <w:p w14:paraId="133C26E5" w14:textId="49F52045" w:rsidR="000B7A2A" w:rsidRPr="0010086C" w:rsidRDefault="000B7A2A" w:rsidP="000B7A2A">
            <w:pPr>
              <w:pStyle w:val="Akapitzlist"/>
              <w:numPr>
                <w:ilvl w:val="0"/>
                <w:numId w:val="28"/>
              </w:numPr>
              <w:spacing w:line="240" w:lineRule="auto"/>
              <w:ind w:left="347"/>
              <w:jc w:val="both"/>
              <w:rPr>
                <w:rFonts w:ascii="Times New Roman" w:hAnsi="Times New Roman"/>
                <w:color w:val="000000"/>
              </w:rPr>
            </w:pPr>
            <w:r w:rsidRPr="0010086C">
              <w:rPr>
                <w:rFonts w:ascii="Times New Roman" w:hAnsi="Times New Roman"/>
                <w:color w:val="000000"/>
              </w:rPr>
              <w:t>dyrektywy Rady 2014/107/UE z dnia 9 grudnia 2014 r. zmieniającej dyrektywę 2011/16/UE w zakresie obowiązkowej automatycznej wymiany informacji w dziedzinie opodatkowania, zwanej dalej „dyrektywą 2014/107/UE”</w:t>
            </w:r>
            <w:r w:rsidR="007E3ED1" w:rsidRPr="0010086C">
              <w:rPr>
                <w:rFonts w:ascii="Times New Roman" w:hAnsi="Times New Roman"/>
                <w:color w:val="000000"/>
              </w:rPr>
              <w:t xml:space="preserve"> (zasady wymiany informacji o rachunkach raportowanych)</w:t>
            </w:r>
            <w:r w:rsidRPr="0010086C">
              <w:rPr>
                <w:rFonts w:ascii="Times New Roman" w:hAnsi="Times New Roman"/>
                <w:color w:val="000000"/>
              </w:rPr>
              <w:t>;</w:t>
            </w:r>
          </w:p>
          <w:p w14:paraId="05ACCD80" w14:textId="77777777" w:rsidR="000B7A2A" w:rsidRDefault="000B7A2A" w:rsidP="000B7A2A">
            <w:pPr>
              <w:pStyle w:val="Akapitzlist"/>
              <w:numPr>
                <w:ilvl w:val="0"/>
                <w:numId w:val="28"/>
              </w:numPr>
              <w:spacing w:line="240" w:lineRule="auto"/>
              <w:ind w:left="347"/>
              <w:jc w:val="both"/>
              <w:rPr>
                <w:rFonts w:ascii="Times New Roman" w:hAnsi="Times New Roman"/>
                <w:color w:val="000000"/>
              </w:rPr>
            </w:pPr>
            <w:r w:rsidRPr="0010086C">
              <w:rPr>
                <w:rFonts w:ascii="Times New Roman" w:hAnsi="Times New Roman"/>
                <w:color w:val="000000"/>
              </w:rPr>
              <w:t xml:space="preserve">wytycznych Common Reporting Standard (CRS), do stosowania których Polska zobowiązała się w podpisanym w dniu 29 października 2014 r. wielostronnym porozumieniu właściwych władz w sprawie automatycznej wymiany informacji finansowych (Competent Authority Agreement, CAA), a także rekomendacji wynikających z przeglądu ram prawnych przeprowadzonych przez Ogólnoświatowe Forum do Spraw Przejrzystości i Wymiany Informacji dla Celów Podatkowych (Global Forum on Transparency and Exchange of Information for Tax Purposes, dalej: „Global Forum”). </w:t>
            </w:r>
          </w:p>
          <w:p w14:paraId="07C3477E" w14:textId="77777777" w:rsidR="005E7FBC" w:rsidRPr="007304B1" w:rsidRDefault="005E7FBC" w:rsidP="005E7FBC">
            <w:pPr>
              <w:spacing w:line="240" w:lineRule="auto"/>
              <w:jc w:val="both"/>
              <w:rPr>
                <w:rFonts w:ascii="Times New Roman" w:hAnsi="Times New Roman"/>
                <w:color w:val="000000"/>
                <w:spacing w:val="-2"/>
              </w:rPr>
            </w:pPr>
          </w:p>
          <w:p w14:paraId="699A5B4D" w14:textId="77777777" w:rsidR="005E7FBC" w:rsidRPr="007304B1" w:rsidRDefault="005E7FBC" w:rsidP="005E7FBC">
            <w:pPr>
              <w:spacing w:line="240" w:lineRule="auto"/>
              <w:jc w:val="both"/>
              <w:rPr>
                <w:rFonts w:ascii="Times New Roman" w:hAnsi="Times New Roman"/>
                <w:color w:val="000000"/>
                <w:spacing w:val="-2"/>
              </w:rPr>
            </w:pPr>
            <w:r w:rsidRPr="007304B1">
              <w:rPr>
                <w:rFonts w:ascii="Times New Roman" w:hAnsi="Times New Roman"/>
                <w:color w:val="000000"/>
                <w:spacing w:val="-2"/>
              </w:rPr>
              <w:t>Dodatkowo, w kontekście wyeliminowania wątpliwości związanych ze stosowaniem współpracy administracji podatkowych w zakresie wymiany informacji poprzez:</w:t>
            </w:r>
          </w:p>
          <w:p w14:paraId="61AD9175" w14:textId="77777777" w:rsidR="005E7FBC" w:rsidRPr="008C250A" w:rsidRDefault="005E7FBC" w:rsidP="005E7FBC">
            <w:pPr>
              <w:pStyle w:val="Akapitzlist"/>
              <w:numPr>
                <w:ilvl w:val="0"/>
                <w:numId w:val="26"/>
              </w:numPr>
              <w:spacing w:line="240" w:lineRule="auto"/>
              <w:jc w:val="both"/>
              <w:rPr>
                <w:rFonts w:ascii="Times New Roman" w:hAnsi="Times New Roman"/>
              </w:rPr>
            </w:pPr>
            <w:r>
              <w:rPr>
                <w:rFonts w:ascii="Times New Roman" w:hAnsi="Times New Roman"/>
              </w:rPr>
              <w:t>d</w:t>
            </w:r>
            <w:r w:rsidRPr="008C250A">
              <w:rPr>
                <w:rFonts w:ascii="Times New Roman" w:hAnsi="Times New Roman"/>
              </w:rPr>
              <w:t>oprecyzowanie kwestii oświadczeń składanych pod rygorem odpowiedzialności karnej za składanie fałszywych zeznań. Projekt wprowadza również zmiany dostosowawcze do ustawy o wykonywaniu Umowy między Rządem Rzeczypospolitej Polskiej a Rządem Stanów Zjednoczonych Ameryki w sprawie poprawy wypełniania międzynarodowych obowiązków podatkowych oraz wdrożenia ustawodawstwa FATCA w zakresie oświadczeń zbieranych pod rygorem odpowiedzialności karnej za składanie fałszywych zeznać w odniesieniu do nowych rachunków finansowych</w:t>
            </w:r>
            <w:r>
              <w:rPr>
                <w:rFonts w:ascii="Times New Roman" w:hAnsi="Times New Roman"/>
              </w:rPr>
              <w:t>,</w:t>
            </w:r>
          </w:p>
          <w:p w14:paraId="5AB21257" w14:textId="77777777" w:rsidR="005E7FBC" w:rsidRPr="008C250A" w:rsidRDefault="005E7FBC" w:rsidP="005E7FBC">
            <w:pPr>
              <w:pStyle w:val="Akapitzlist"/>
              <w:numPr>
                <w:ilvl w:val="0"/>
                <w:numId w:val="26"/>
              </w:numPr>
              <w:spacing w:line="240" w:lineRule="auto"/>
              <w:jc w:val="both"/>
              <w:rPr>
                <w:rFonts w:ascii="Times New Roman" w:hAnsi="Times New Roman"/>
              </w:rPr>
            </w:pPr>
            <w:r>
              <w:rPr>
                <w:rFonts w:ascii="Times New Roman" w:hAnsi="Times New Roman"/>
              </w:rPr>
              <w:lastRenderedPageBreak/>
              <w:t>z</w:t>
            </w:r>
            <w:r w:rsidRPr="008C250A">
              <w:rPr>
                <w:rFonts w:ascii="Times New Roman" w:hAnsi="Times New Roman"/>
              </w:rPr>
              <w:t>miany dostosowawcze wynikające z ustawy o doręczeniach elektronicznych. Projekt ustawy przewiduje wprowadzenie zmian w ustawie o wymianie informacji podatkowych z innymi państwami (Dz.U. z 2021 r. poz. 626), a także Ustawie z dnia 9 października 2015 r. o wykonywaniu Umowy między Rządem Rzeczypospolitej Polskiej a Rządem Stanów Zjednoczonych Ameryki w sprawie poprawy wypełniania międzynarodowych obowiązków podatkowych oraz wdrożenia ustawodawstwa FATCA (Dz.U. z 2020 r. poz. 166 ze zm.), mających na celu dostosowanie do siatki pojęciowej wynikającej ze zmian wprowadzonych w szeregu ustaw w wyniku wejścia w życie Ustawy o doręczeniach elektronicznych (Dz.U. z 2020 r. poz. 2320 ze zm.)</w:t>
            </w:r>
            <w:r>
              <w:rPr>
                <w:rFonts w:ascii="Times New Roman" w:hAnsi="Times New Roman"/>
              </w:rPr>
              <w:t>,</w:t>
            </w:r>
          </w:p>
          <w:p w14:paraId="7C766F77" w14:textId="5A0BCBA3" w:rsidR="005E7FBC" w:rsidRPr="008C250A" w:rsidRDefault="005E7FBC" w:rsidP="005E7FBC">
            <w:pPr>
              <w:pStyle w:val="Akapitzlist"/>
              <w:numPr>
                <w:ilvl w:val="0"/>
                <w:numId w:val="26"/>
              </w:numPr>
              <w:spacing w:line="240" w:lineRule="auto"/>
              <w:jc w:val="both"/>
              <w:rPr>
                <w:rFonts w:ascii="Times New Roman" w:hAnsi="Times New Roman"/>
              </w:rPr>
            </w:pPr>
            <w:r>
              <w:rPr>
                <w:rFonts w:ascii="Times New Roman" w:hAnsi="Times New Roman"/>
              </w:rPr>
              <w:t>z</w:t>
            </w:r>
            <w:r w:rsidRPr="008C250A">
              <w:rPr>
                <w:rFonts w:ascii="Times New Roman" w:hAnsi="Times New Roman"/>
              </w:rPr>
              <w:t>miany w ustawie prawo przedsiębiorców</w:t>
            </w:r>
            <w:r w:rsidRPr="008C250A">
              <w:rPr>
                <w:rFonts w:ascii="Times New Roman" w:hAnsi="Times New Roman"/>
                <w:b/>
              </w:rPr>
              <w:t xml:space="preserve">. </w:t>
            </w:r>
            <w:r w:rsidRPr="008C250A">
              <w:rPr>
                <w:rFonts w:ascii="Times New Roman" w:hAnsi="Times New Roman"/>
              </w:rPr>
              <w:t xml:space="preserve">Wprowadzenie w art. 54 i 55 ustawy Prawo przedsiębiorców wyłączeń dotyczących kontroli wykonywania przez raportującą instytucję finansową obowiązków w zakresie stosowania procedur należytej staranności oraz procedur sprawozdawczych </w:t>
            </w:r>
            <w:r w:rsidR="00890AF0" w:rsidRPr="00890AF0">
              <w:rPr>
                <w:rFonts w:ascii="Times New Roman" w:hAnsi="Times New Roman"/>
              </w:rPr>
              <w:t>także kontrolę wykonywaną na podstawie ustawy z dnia 9 marca 2017 r. o wymianie informacji podatkowych z innymi państwami.</w:t>
            </w:r>
          </w:p>
          <w:p w14:paraId="515464B7" w14:textId="77777777" w:rsidR="000B7A2A" w:rsidRPr="0010086C" w:rsidRDefault="000B7A2A" w:rsidP="000B7A2A">
            <w:pPr>
              <w:spacing w:line="240" w:lineRule="auto"/>
              <w:jc w:val="both"/>
              <w:rPr>
                <w:rFonts w:ascii="Times New Roman" w:hAnsi="Times New Roman"/>
                <w:color w:val="000000"/>
              </w:rPr>
            </w:pPr>
          </w:p>
          <w:p w14:paraId="1D615BB0" w14:textId="21D8E32B" w:rsidR="00663C54" w:rsidRPr="005E7FBC" w:rsidRDefault="000B7A2A" w:rsidP="005E7FBC">
            <w:pPr>
              <w:spacing w:line="240" w:lineRule="auto"/>
              <w:jc w:val="both"/>
              <w:rPr>
                <w:rFonts w:ascii="Times New Roman" w:hAnsi="Times New Roman"/>
                <w:color w:val="000000"/>
              </w:rPr>
            </w:pPr>
            <w:r w:rsidRPr="0010086C">
              <w:rPr>
                <w:rFonts w:ascii="Times New Roman" w:hAnsi="Times New Roman"/>
                <w:color w:val="000000"/>
              </w:rPr>
              <w:t>W zakresie automatycznej wymiany informacji o rachunkach raportowanych projekt przewiduje m.in. zmianę definicji zawartych w słowniczku ustawy z uwzględnieniem wytycznych CRS oraz rozwiązań unijnych, a także wprowadzenie przepisów antyabuzywnych zgodnie z rekomendacjami Global Forum.</w:t>
            </w:r>
            <w:r w:rsidR="009646B8" w:rsidRPr="0010086C">
              <w:rPr>
                <w:rFonts w:ascii="Times New Roman" w:hAnsi="Times New Roman"/>
                <w:color w:val="000000"/>
              </w:rPr>
              <w:t xml:space="preserve"> Projekt przewiduje modyfikację  pojęcia „aktywa finansowe” zawartego w słowniczku ustawy, poprzez wprowadzenie katalogu otwartego zgodnie ze standardem CRS</w:t>
            </w:r>
            <w:r w:rsidR="002B0012">
              <w:rPr>
                <w:rFonts w:ascii="Times New Roman" w:hAnsi="Times New Roman"/>
                <w:color w:val="000000"/>
              </w:rPr>
              <w:br/>
            </w:r>
            <w:r w:rsidR="009646B8" w:rsidRPr="002B0012">
              <w:rPr>
                <w:rFonts w:ascii="Times New Roman" w:hAnsi="Times New Roman"/>
                <w:color w:val="000000"/>
              </w:rPr>
              <w:t>i rekomendacjami Global Forum. Dodatkowo projekt wprowadza tzw. małą klauzulę antyabuzywną, która ma na celu uniemożliwienie obchodzenia procedur należytej staranności i sprawozdawczości (zgodnie z rekomendacjami Global Forum Polska powinna wprowadzić zasady uniemożliwi</w:t>
            </w:r>
            <w:r w:rsidR="009646B8" w:rsidRPr="009804F1">
              <w:rPr>
                <w:rFonts w:ascii="Times New Roman" w:hAnsi="Times New Roman"/>
                <w:color w:val="000000"/>
              </w:rPr>
              <w:t>ające instytucjom finansowym, oraz innym osobom i pośrednikom stosowanie praktyk mających na celu obejście procedur należytej staranności i sprawozdawczości</w:t>
            </w:r>
            <w:r w:rsidR="009646B8" w:rsidRPr="0010086C">
              <w:rPr>
                <w:rStyle w:val="Odwoanieprzypisudolnego"/>
                <w:rFonts w:ascii="Times New Roman" w:hAnsi="Times New Roman"/>
                <w:color w:val="000000"/>
              </w:rPr>
              <w:footnoteReference w:id="2"/>
            </w:r>
            <w:r w:rsidR="009646B8" w:rsidRPr="0010086C">
              <w:rPr>
                <w:rFonts w:ascii="Times New Roman" w:hAnsi="Times New Roman"/>
                <w:color w:val="000000"/>
              </w:rPr>
              <w:t xml:space="preserve"> ).</w:t>
            </w:r>
          </w:p>
        </w:tc>
      </w:tr>
      <w:tr w:rsidR="00DD5D7B" w:rsidRPr="008B4FE6" w14:paraId="0C73A6B7" w14:textId="77777777" w:rsidTr="00676C8D">
        <w:trPr>
          <w:gridAfter w:val="1"/>
          <w:wAfter w:w="10" w:type="dxa"/>
          <w:trHeight w:val="307"/>
        </w:trPr>
        <w:tc>
          <w:tcPr>
            <w:tcW w:w="10937" w:type="dxa"/>
            <w:gridSpan w:val="29"/>
            <w:shd w:val="clear" w:color="auto" w:fill="99CCFF"/>
            <w:vAlign w:val="center"/>
          </w:tcPr>
          <w:p w14:paraId="1C192A2C" w14:textId="77777777" w:rsidR="00DD5D7B" w:rsidRPr="008B4FE6" w:rsidRDefault="00DD5D7B" w:rsidP="00DD5D7B">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lastRenderedPageBreak/>
              <w:t>Jak problem został rozwiązany</w:t>
            </w:r>
            <w:r w:rsidRPr="001812C7">
              <w:rPr>
                <w:rFonts w:ascii="Times New Roman" w:hAnsi="Times New Roman"/>
                <w:b/>
                <w:spacing w:val="-2"/>
              </w:rPr>
              <w:t xml:space="preserve"> w innych krajach, w szczególności krajach członkowskich OECD/UE</w:t>
            </w:r>
            <w:r w:rsidRPr="008B4FE6">
              <w:rPr>
                <w:rFonts w:ascii="Times New Roman" w:hAnsi="Times New Roman"/>
                <w:b/>
                <w:color w:val="000000"/>
              </w:rPr>
              <w:t>?</w:t>
            </w:r>
            <w:r w:rsidRPr="008B4FE6">
              <w:rPr>
                <w:rFonts w:ascii="Times New Roman" w:hAnsi="Times New Roman"/>
                <w:i/>
                <w:color w:val="000000"/>
              </w:rPr>
              <w:t xml:space="preserve"> </w:t>
            </w:r>
          </w:p>
        </w:tc>
      </w:tr>
      <w:tr w:rsidR="00DD5D7B" w:rsidRPr="008B4FE6" w14:paraId="4DD8E67D" w14:textId="77777777" w:rsidTr="00676C8D">
        <w:trPr>
          <w:gridAfter w:val="1"/>
          <w:wAfter w:w="10" w:type="dxa"/>
          <w:trHeight w:val="142"/>
        </w:trPr>
        <w:tc>
          <w:tcPr>
            <w:tcW w:w="10937" w:type="dxa"/>
            <w:gridSpan w:val="29"/>
            <w:shd w:val="clear" w:color="auto" w:fill="auto"/>
          </w:tcPr>
          <w:p w14:paraId="40D34EFE"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xml:space="preserve">Projekt stanowi implementację dyrektywy UE, tak więc w krajach członkowskich problem ten zostanie zaadresowany w sposób spójny z rozwiązaniem proponowanym w niniejszych przepisach.  Dyrektywa DAC7 stanowi realizację Model Reporting Rules wypracowanych w ramach prac OECD. </w:t>
            </w:r>
          </w:p>
          <w:p w14:paraId="058A3E65" w14:textId="77777777" w:rsidR="000B7A2A" w:rsidRDefault="000B7A2A" w:rsidP="000B7A2A">
            <w:pPr>
              <w:spacing w:line="240" w:lineRule="auto"/>
              <w:jc w:val="both"/>
              <w:rPr>
                <w:rFonts w:ascii="Times New Roman" w:hAnsi="Times New Roman"/>
                <w:color w:val="000000"/>
                <w:spacing w:val="-2"/>
              </w:rPr>
            </w:pPr>
          </w:p>
          <w:p w14:paraId="23884D2F" w14:textId="42BF240B" w:rsidR="000B7A2A" w:rsidRPr="00B37C80"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W kontekście dodatkowych zmian wprowadzanych w ustawie o wymianie informacji z innymi państwami rozwiązania w innych państwach członkowskich bazują na regulacjach przewidzianych w dyrektywach unijnych</w:t>
            </w:r>
            <w:r w:rsidR="009646B8" w:rsidRPr="009646B8">
              <w:rPr>
                <w:rFonts w:ascii="Times New Roman" w:hAnsi="Times New Roman"/>
                <w:color w:val="000000"/>
                <w:spacing w:val="-2"/>
              </w:rPr>
              <w:t xml:space="preserve">, umowach międzynarodowych (umowa FATCA z USA) </w:t>
            </w:r>
            <w:r>
              <w:rPr>
                <w:rFonts w:ascii="Times New Roman" w:hAnsi="Times New Roman"/>
                <w:color w:val="000000"/>
                <w:spacing w:val="-2"/>
              </w:rPr>
              <w:t>oraz rozwiązaniach opracowanych przez OECD w ramach międzynarodowych standardów Common Reporting Standard (CRS) oraz Base erosion and profit shifting (BEPS). Wszystkie Państwa Członkowskie Global Forum podlegają procesowi oceny sposobu implementacji prawnej standardu CRS w ramach tzw. wzajemnych przeglądów (Peer Review).</w:t>
            </w:r>
          </w:p>
          <w:p w14:paraId="5303A4DF" w14:textId="77777777" w:rsidR="00DD5D7B" w:rsidRPr="00B37C80" w:rsidRDefault="00DD5D7B" w:rsidP="00DD5D7B">
            <w:pPr>
              <w:spacing w:line="240" w:lineRule="auto"/>
              <w:jc w:val="both"/>
              <w:rPr>
                <w:rFonts w:ascii="Times New Roman" w:hAnsi="Times New Roman"/>
                <w:color w:val="000000"/>
                <w:spacing w:val="-2"/>
              </w:rPr>
            </w:pPr>
          </w:p>
        </w:tc>
      </w:tr>
      <w:tr w:rsidR="00DD5D7B" w:rsidRPr="008B4FE6" w14:paraId="7FE50A23" w14:textId="77777777" w:rsidTr="00676C8D">
        <w:trPr>
          <w:gridAfter w:val="1"/>
          <w:wAfter w:w="10" w:type="dxa"/>
          <w:trHeight w:val="359"/>
        </w:trPr>
        <w:tc>
          <w:tcPr>
            <w:tcW w:w="10937" w:type="dxa"/>
            <w:gridSpan w:val="29"/>
            <w:shd w:val="clear" w:color="auto" w:fill="99CCFF"/>
            <w:vAlign w:val="center"/>
          </w:tcPr>
          <w:p w14:paraId="150F1D55" w14:textId="77777777" w:rsidR="00DD5D7B" w:rsidRPr="008B4FE6" w:rsidRDefault="00DD5D7B" w:rsidP="00DD5D7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DD5D7B" w:rsidRPr="008B4FE6" w14:paraId="6262CDB2" w14:textId="77777777" w:rsidTr="00676C8D">
        <w:trPr>
          <w:gridAfter w:val="1"/>
          <w:wAfter w:w="10" w:type="dxa"/>
          <w:trHeight w:val="142"/>
        </w:trPr>
        <w:tc>
          <w:tcPr>
            <w:tcW w:w="2668" w:type="dxa"/>
            <w:gridSpan w:val="3"/>
            <w:shd w:val="clear" w:color="auto" w:fill="auto"/>
          </w:tcPr>
          <w:p w14:paraId="10C2CCC4" w14:textId="77777777" w:rsidR="00DD5D7B" w:rsidRPr="0010086C" w:rsidRDefault="00DD5D7B" w:rsidP="00DD5D7B">
            <w:pPr>
              <w:spacing w:before="40" w:line="240" w:lineRule="auto"/>
              <w:jc w:val="center"/>
              <w:rPr>
                <w:rFonts w:ascii="Times New Roman" w:hAnsi="Times New Roman"/>
                <w:color w:val="000000"/>
                <w:spacing w:val="-2"/>
              </w:rPr>
            </w:pPr>
            <w:r w:rsidRPr="0010086C">
              <w:rPr>
                <w:rFonts w:ascii="Times New Roman" w:hAnsi="Times New Roman"/>
                <w:color w:val="000000"/>
                <w:spacing w:val="-2"/>
              </w:rPr>
              <w:t>Grupa</w:t>
            </w:r>
          </w:p>
        </w:tc>
        <w:tc>
          <w:tcPr>
            <w:tcW w:w="2292" w:type="dxa"/>
            <w:gridSpan w:val="8"/>
            <w:shd w:val="clear" w:color="auto" w:fill="auto"/>
          </w:tcPr>
          <w:p w14:paraId="1C362BFC" w14:textId="77777777" w:rsidR="00DD5D7B" w:rsidRPr="007304B1" w:rsidRDefault="00DD5D7B" w:rsidP="00DD5D7B">
            <w:pPr>
              <w:spacing w:before="40" w:line="240" w:lineRule="auto"/>
              <w:jc w:val="center"/>
              <w:rPr>
                <w:rFonts w:ascii="Times New Roman" w:hAnsi="Times New Roman"/>
                <w:color w:val="000000"/>
                <w:spacing w:val="-2"/>
              </w:rPr>
            </w:pPr>
            <w:r w:rsidRPr="007304B1">
              <w:rPr>
                <w:rFonts w:ascii="Times New Roman" w:hAnsi="Times New Roman"/>
                <w:color w:val="000000"/>
                <w:spacing w:val="-2"/>
              </w:rPr>
              <w:t>Wielkość</w:t>
            </w:r>
          </w:p>
        </w:tc>
        <w:tc>
          <w:tcPr>
            <w:tcW w:w="2996" w:type="dxa"/>
            <w:gridSpan w:val="12"/>
            <w:shd w:val="clear" w:color="auto" w:fill="auto"/>
          </w:tcPr>
          <w:p w14:paraId="65421F89" w14:textId="77777777" w:rsidR="00DD5D7B" w:rsidRPr="00C828BC" w:rsidRDefault="00DD5D7B" w:rsidP="00DD5D7B">
            <w:pPr>
              <w:spacing w:before="40" w:line="240" w:lineRule="auto"/>
              <w:jc w:val="center"/>
              <w:rPr>
                <w:rFonts w:ascii="Times New Roman" w:hAnsi="Times New Roman"/>
                <w:color w:val="000000"/>
                <w:spacing w:val="-2"/>
              </w:rPr>
            </w:pPr>
            <w:r w:rsidRPr="00C828BC">
              <w:rPr>
                <w:rFonts w:ascii="Times New Roman" w:hAnsi="Times New Roman"/>
                <w:color w:val="000000"/>
                <w:spacing w:val="-2"/>
              </w:rPr>
              <w:t>Źródło danych</w:t>
            </w:r>
            <w:r w:rsidRPr="00C828BC" w:rsidDel="00260F33">
              <w:rPr>
                <w:rFonts w:ascii="Times New Roman" w:hAnsi="Times New Roman"/>
                <w:color w:val="000000"/>
                <w:spacing w:val="-2"/>
              </w:rPr>
              <w:t xml:space="preserve"> </w:t>
            </w:r>
          </w:p>
        </w:tc>
        <w:tc>
          <w:tcPr>
            <w:tcW w:w="2981" w:type="dxa"/>
            <w:gridSpan w:val="6"/>
            <w:shd w:val="clear" w:color="auto" w:fill="auto"/>
          </w:tcPr>
          <w:p w14:paraId="34C0C56E" w14:textId="77777777" w:rsidR="00DD5D7B" w:rsidRPr="009804F1" w:rsidRDefault="00DD5D7B" w:rsidP="00DD5D7B">
            <w:pPr>
              <w:spacing w:before="40" w:line="240" w:lineRule="auto"/>
              <w:jc w:val="center"/>
              <w:rPr>
                <w:rFonts w:ascii="Times New Roman" w:hAnsi="Times New Roman"/>
                <w:color w:val="000000"/>
                <w:spacing w:val="-2"/>
              </w:rPr>
            </w:pPr>
            <w:r w:rsidRPr="009804F1">
              <w:rPr>
                <w:rFonts w:ascii="Times New Roman" w:hAnsi="Times New Roman"/>
                <w:color w:val="000000"/>
                <w:spacing w:val="-2"/>
              </w:rPr>
              <w:t>Oddziaływanie</w:t>
            </w:r>
          </w:p>
        </w:tc>
      </w:tr>
      <w:tr w:rsidR="000B7A2A" w:rsidRPr="008B4FE6" w14:paraId="42F17F01" w14:textId="77777777" w:rsidTr="00676C8D">
        <w:trPr>
          <w:gridAfter w:val="1"/>
          <w:wAfter w:w="10" w:type="dxa"/>
          <w:trHeight w:val="142"/>
        </w:trPr>
        <w:tc>
          <w:tcPr>
            <w:tcW w:w="2668" w:type="dxa"/>
            <w:gridSpan w:val="3"/>
            <w:shd w:val="clear" w:color="auto" w:fill="auto"/>
          </w:tcPr>
          <w:p w14:paraId="037A2379" w14:textId="136CA1D1" w:rsidR="000B7A2A" w:rsidRPr="007304B1" w:rsidRDefault="000B7A2A" w:rsidP="000B7A2A">
            <w:pPr>
              <w:spacing w:line="240" w:lineRule="auto"/>
              <w:rPr>
                <w:rFonts w:ascii="Times New Roman" w:hAnsi="Times New Roman"/>
                <w:color w:val="000000"/>
                <w:spacing w:val="-2"/>
              </w:rPr>
            </w:pPr>
            <w:r w:rsidRPr="0010086C">
              <w:rPr>
                <w:rFonts w:ascii="Times New Roman" w:hAnsi="Times New Roman"/>
                <w:color w:val="000000"/>
              </w:rPr>
              <w:t>Obywatele PL robiący zakupy/dokonujący sprzedaży w Unii Europejskiej przy wykorzystaniu kanału</w:t>
            </w:r>
            <w:r w:rsidRPr="007304B1">
              <w:rPr>
                <w:rFonts w:ascii="Times New Roman" w:hAnsi="Times New Roman"/>
                <w:color w:val="000000"/>
              </w:rPr>
              <w:t xml:space="preserve"> e-commerce</w:t>
            </w:r>
          </w:p>
        </w:tc>
        <w:tc>
          <w:tcPr>
            <w:tcW w:w="2292" w:type="dxa"/>
            <w:gridSpan w:val="8"/>
            <w:shd w:val="clear" w:color="auto" w:fill="auto"/>
          </w:tcPr>
          <w:p w14:paraId="7FAF8B75" w14:textId="190A4C89" w:rsidR="000B7A2A" w:rsidRPr="00C828BC" w:rsidRDefault="000B7A2A" w:rsidP="000B7A2A">
            <w:pPr>
              <w:spacing w:line="240" w:lineRule="auto"/>
              <w:rPr>
                <w:rFonts w:ascii="Times New Roman" w:hAnsi="Times New Roman"/>
                <w:color w:val="000000"/>
                <w:spacing w:val="-2"/>
              </w:rPr>
            </w:pPr>
            <w:r w:rsidRPr="00C828BC">
              <w:rPr>
                <w:rFonts w:ascii="Times New Roman" w:hAnsi="Times New Roman"/>
                <w:color w:val="000000"/>
                <w:spacing w:val="-2"/>
              </w:rPr>
              <w:t xml:space="preserve">ok 17 mln </w:t>
            </w:r>
          </w:p>
        </w:tc>
        <w:tc>
          <w:tcPr>
            <w:tcW w:w="2996" w:type="dxa"/>
            <w:gridSpan w:val="12"/>
            <w:shd w:val="clear" w:color="auto" w:fill="auto"/>
          </w:tcPr>
          <w:p w14:paraId="0C85F1AE" w14:textId="5DEE089B" w:rsidR="000B7A2A" w:rsidRPr="0010086C" w:rsidRDefault="000B7A2A" w:rsidP="000B7A2A">
            <w:pPr>
              <w:spacing w:line="240" w:lineRule="auto"/>
              <w:rPr>
                <w:rFonts w:ascii="Times New Roman" w:hAnsi="Times New Roman"/>
                <w:color w:val="000000"/>
                <w:spacing w:val="-2"/>
              </w:rPr>
            </w:pPr>
            <w:r w:rsidRPr="009804F1">
              <w:rPr>
                <w:rFonts w:ascii="Times New Roman" w:hAnsi="Times New Roman"/>
                <w:color w:val="000000"/>
                <w:spacing w:val="-2"/>
              </w:rPr>
              <w:t xml:space="preserve">GUS (Społeczeństwo informacyjne w Polsce w 2021r.), </w:t>
            </w:r>
            <w:r w:rsidRPr="0010086C">
              <w:rPr>
                <w:rFonts w:ascii="Times New Roman" w:hAnsi="Times New Roman"/>
                <w:color w:val="000000"/>
                <w:spacing w:val="-2"/>
              </w:rPr>
              <w:t>https://stat.gov.pl/obszary-tematyczne/nauka-i-technika-spoleczenstwo-informacyjne/spoleczenstwo-informacyjne/spoleczenstwo-informacyjne-w-polsce-w-2021-roku,2,11.html</w:t>
            </w:r>
          </w:p>
        </w:tc>
        <w:tc>
          <w:tcPr>
            <w:tcW w:w="2981" w:type="dxa"/>
            <w:gridSpan w:val="6"/>
            <w:shd w:val="clear" w:color="auto" w:fill="auto"/>
          </w:tcPr>
          <w:p w14:paraId="495068AE" w14:textId="77777777"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 xml:space="preserve">Oddziaływanie pośrednie. </w:t>
            </w:r>
          </w:p>
          <w:p w14:paraId="09956287" w14:textId="2CCCABE9"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Na obywateli nie nakłada się żadnego nowego obowiązku, natomiast osiągane przez nich dochody z platform będą przedmiotem obowiązku raportowania, który spoczywa na operatorach takich platform.</w:t>
            </w:r>
          </w:p>
        </w:tc>
      </w:tr>
      <w:tr w:rsidR="000B7A2A" w:rsidRPr="008B4FE6" w14:paraId="5BE6B2F6" w14:textId="77777777" w:rsidTr="00085E83">
        <w:trPr>
          <w:gridAfter w:val="1"/>
          <w:wAfter w:w="10" w:type="dxa"/>
          <w:trHeight w:val="897"/>
        </w:trPr>
        <w:tc>
          <w:tcPr>
            <w:tcW w:w="2668" w:type="dxa"/>
            <w:gridSpan w:val="3"/>
            <w:shd w:val="clear" w:color="auto" w:fill="auto"/>
          </w:tcPr>
          <w:p w14:paraId="45A2186A" w14:textId="6C5DD66B"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rPr>
              <w:t xml:space="preserve">Platformy </w:t>
            </w:r>
          </w:p>
        </w:tc>
        <w:tc>
          <w:tcPr>
            <w:tcW w:w="2292" w:type="dxa"/>
            <w:gridSpan w:val="8"/>
            <w:shd w:val="clear" w:color="auto" w:fill="auto"/>
          </w:tcPr>
          <w:p w14:paraId="768F662F" w14:textId="47C5B671" w:rsidR="000B7A2A" w:rsidRPr="009804F1" w:rsidRDefault="000B7A2A" w:rsidP="000B7A2A">
            <w:pPr>
              <w:spacing w:line="240" w:lineRule="auto"/>
              <w:rPr>
                <w:rFonts w:ascii="Times New Roman" w:hAnsi="Times New Roman"/>
                <w:color w:val="000000"/>
                <w:spacing w:val="-2"/>
              </w:rPr>
            </w:pPr>
            <w:r w:rsidRPr="007304B1">
              <w:rPr>
                <w:rFonts w:ascii="Times New Roman" w:hAnsi="Times New Roman"/>
                <w:color w:val="000000"/>
                <w:spacing w:val="-2"/>
              </w:rPr>
              <w:t>ok. 2000 podmiotów działających w skali</w:t>
            </w:r>
            <w:r w:rsidRPr="00C828BC">
              <w:rPr>
                <w:rFonts w:ascii="Times New Roman" w:hAnsi="Times New Roman"/>
                <w:color w:val="000000"/>
                <w:spacing w:val="-2"/>
              </w:rPr>
              <w:t xml:space="preserve"> całej UE</w:t>
            </w:r>
          </w:p>
        </w:tc>
        <w:tc>
          <w:tcPr>
            <w:tcW w:w="2996" w:type="dxa"/>
            <w:gridSpan w:val="12"/>
            <w:shd w:val="clear" w:color="auto" w:fill="auto"/>
          </w:tcPr>
          <w:p w14:paraId="76500472" w14:textId="7F558773"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Analiza wpływu KE – dokument SWD(2020)131_0- str. 84</w:t>
            </w:r>
          </w:p>
        </w:tc>
        <w:tc>
          <w:tcPr>
            <w:tcW w:w="2981" w:type="dxa"/>
            <w:gridSpan w:val="6"/>
            <w:shd w:val="clear" w:color="auto" w:fill="auto"/>
          </w:tcPr>
          <w:p w14:paraId="76C76E7D" w14:textId="490CC501"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Wprowadzenie nowych obowiązków sprawozdawczych.</w:t>
            </w:r>
          </w:p>
        </w:tc>
      </w:tr>
      <w:tr w:rsidR="000B7A2A" w:rsidRPr="008B4FE6" w14:paraId="0FE53B0A" w14:textId="77777777" w:rsidTr="00676C8D">
        <w:trPr>
          <w:gridAfter w:val="1"/>
          <w:wAfter w:w="10" w:type="dxa"/>
          <w:trHeight w:val="142"/>
        </w:trPr>
        <w:tc>
          <w:tcPr>
            <w:tcW w:w="2668" w:type="dxa"/>
            <w:gridSpan w:val="3"/>
            <w:shd w:val="clear" w:color="auto" w:fill="auto"/>
          </w:tcPr>
          <w:p w14:paraId="3C6C6374" w14:textId="1EDDF9BB" w:rsidR="000B7A2A" w:rsidRPr="007304B1" w:rsidRDefault="000B7A2A" w:rsidP="000B7A2A">
            <w:pPr>
              <w:spacing w:line="240" w:lineRule="auto"/>
              <w:rPr>
                <w:rFonts w:ascii="Times New Roman" w:hAnsi="Times New Roman"/>
                <w:color w:val="000000"/>
                <w:spacing w:val="-2"/>
              </w:rPr>
            </w:pPr>
            <w:r w:rsidRPr="0010086C">
              <w:rPr>
                <w:rFonts w:ascii="Times New Roman" w:hAnsi="Times New Roman"/>
                <w:color w:val="000000"/>
              </w:rPr>
              <w:t>Ministerstwo Finansów i Krajowa Administracja Skarbowa</w:t>
            </w:r>
          </w:p>
        </w:tc>
        <w:tc>
          <w:tcPr>
            <w:tcW w:w="2292" w:type="dxa"/>
            <w:gridSpan w:val="8"/>
            <w:shd w:val="clear" w:color="auto" w:fill="auto"/>
          </w:tcPr>
          <w:p w14:paraId="25303C0C" w14:textId="6ADF8845" w:rsidR="000B7A2A" w:rsidRPr="00C828BC" w:rsidRDefault="000B7A2A" w:rsidP="000B7A2A">
            <w:pPr>
              <w:spacing w:line="240" w:lineRule="auto"/>
              <w:rPr>
                <w:rFonts w:ascii="Times New Roman" w:hAnsi="Times New Roman"/>
                <w:color w:val="000000"/>
                <w:spacing w:val="-2"/>
              </w:rPr>
            </w:pPr>
            <w:r w:rsidRPr="00C828BC">
              <w:rPr>
                <w:rFonts w:ascii="Times New Roman" w:hAnsi="Times New Roman"/>
                <w:color w:val="000000"/>
                <w:spacing w:val="-2"/>
              </w:rPr>
              <w:t>1</w:t>
            </w:r>
          </w:p>
        </w:tc>
        <w:tc>
          <w:tcPr>
            <w:tcW w:w="2996" w:type="dxa"/>
            <w:gridSpan w:val="12"/>
            <w:shd w:val="clear" w:color="auto" w:fill="auto"/>
          </w:tcPr>
          <w:p w14:paraId="467C6935" w14:textId="4D43E6FD" w:rsidR="000B7A2A" w:rsidRPr="009804F1" w:rsidRDefault="000B7A2A" w:rsidP="000B7A2A">
            <w:pPr>
              <w:spacing w:line="240" w:lineRule="auto"/>
              <w:rPr>
                <w:rFonts w:ascii="Times New Roman" w:hAnsi="Times New Roman"/>
                <w:color w:val="000000"/>
                <w:spacing w:val="-2"/>
              </w:rPr>
            </w:pPr>
            <w:r w:rsidRPr="009804F1">
              <w:rPr>
                <w:rFonts w:ascii="Times New Roman" w:hAnsi="Times New Roman"/>
                <w:color w:val="000000"/>
                <w:spacing w:val="-2"/>
              </w:rPr>
              <w:t>Informacje własne</w:t>
            </w:r>
          </w:p>
        </w:tc>
        <w:tc>
          <w:tcPr>
            <w:tcW w:w="2981" w:type="dxa"/>
            <w:gridSpan w:val="6"/>
            <w:shd w:val="clear" w:color="auto" w:fill="auto"/>
          </w:tcPr>
          <w:p w14:paraId="2DDCEFB8" w14:textId="6D368710"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Obsługa nowych obowiązków sprawozdawczych</w:t>
            </w:r>
          </w:p>
        </w:tc>
      </w:tr>
      <w:tr w:rsidR="000B7A2A" w:rsidRPr="008B4FE6" w14:paraId="1E8A39D2" w14:textId="77777777" w:rsidTr="00676C8D">
        <w:trPr>
          <w:gridAfter w:val="1"/>
          <w:wAfter w:w="10" w:type="dxa"/>
          <w:trHeight w:val="142"/>
        </w:trPr>
        <w:tc>
          <w:tcPr>
            <w:tcW w:w="2668" w:type="dxa"/>
            <w:gridSpan w:val="3"/>
            <w:shd w:val="clear" w:color="auto" w:fill="auto"/>
          </w:tcPr>
          <w:p w14:paraId="6816B643" w14:textId="70FCF260" w:rsidR="000B7A2A" w:rsidRPr="00C828BC" w:rsidRDefault="000B7A2A" w:rsidP="000B7A2A">
            <w:pPr>
              <w:tabs>
                <w:tab w:val="left" w:pos="1560"/>
              </w:tabs>
              <w:spacing w:line="240" w:lineRule="auto"/>
              <w:rPr>
                <w:rFonts w:ascii="Times New Roman" w:hAnsi="Times New Roman"/>
                <w:color w:val="000000"/>
              </w:rPr>
            </w:pPr>
            <w:r w:rsidRPr="0010086C">
              <w:rPr>
                <w:rFonts w:ascii="Times New Roman" w:hAnsi="Times New Roman"/>
                <w:color w:val="000000"/>
              </w:rPr>
              <w:t>Administracje podatkowe po</w:t>
            </w:r>
            <w:r w:rsidRPr="007304B1">
              <w:rPr>
                <w:rFonts w:ascii="Times New Roman" w:hAnsi="Times New Roman"/>
                <w:color w:val="000000"/>
              </w:rPr>
              <w:t>zostałych Państw Członkowskich UE</w:t>
            </w:r>
          </w:p>
        </w:tc>
        <w:tc>
          <w:tcPr>
            <w:tcW w:w="2292" w:type="dxa"/>
            <w:gridSpan w:val="8"/>
            <w:shd w:val="clear" w:color="auto" w:fill="auto"/>
          </w:tcPr>
          <w:p w14:paraId="4A5B1B0E" w14:textId="06CAF7AC" w:rsidR="000B7A2A" w:rsidRPr="009804F1" w:rsidRDefault="000B7A2A" w:rsidP="000B7A2A">
            <w:pPr>
              <w:spacing w:line="240" w:lineRule="auto"/>
              <w:rPr>
                <w:rFonts w:ascii="Times New Roman" w:hAnsi="Times New Roman"/>
                <w:color w:val="000000"/>
                <w:spacing w:val="-2"/>
              </w:rPr>
            </w:pPr>
            <w:r w:rsidRPr="009804F1">
              <w:rPr>
                <w:rFonts w:ascii="Times New Roman" w:hAnsi="Times New Roman"/>
                <w:color w:val="000000"/>
                <w:spacing w:val="-2"/>
              </w:rPr>
              <w:t>26</w:t>
            </w:r>
          </w:p>
        </w:tc>
        <w:tc>
          <w:tcPr>
            <w:tcW w:w="2996" w:type="dxa"/>
            <w:gridSpan w:val="12"/>
            <w:shd w:val="clear" w:color="auto" w:fill="auto"/>
          </w:tcPr>
          <w:p w14:paraId="2429C573" w14:textId="22B94B7C"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UE</w:t>
            </w:r>
          </w:p>
        </w:tc>
        <w:tc>
          <w:tcPr>
            <w:tcW w:w="2981" w:type="dxa"/>
            <w:gridSpan w:val="6"/>
            <w:shd w:val="clear" w:color="auto" w:fill="auto"/>
          </w:tcPr>
          <w:p w14:paraId="71888CB0" w14:textId="20B53E16" w:rsidR="000B7A2A" w:rsidRPr="0010086C" w:rsidRDefault="000B7A2A" w:rsidP="000B7A2A">
            <w:pPr>
              <w:spacing w:line="240" w:lineRule="auto"/>
              <w:rPr>
                <w:rFonts w:ascii="Times New Roman" w:hAnsi="Times New Roman"/>
                <w:color w:val="000000"/>
                <w:spacing w:val="-2"/>
              </w:rPr>
            </w:pPr>
            <w:r w:rsidRPr="0010086C">
              <w:rPr>
                <w:rFonts w:ascii="Times New Roman" w:hAnsi="Times New Roman"/>
                <w:color w:val="000000"/>
                <w:spacing w:val="-2"/>
              </w:rPr>
              <w:t>Rozszerzenie zakresu współpracy i obowiązków w ramach międzynarodowej wymiany informacji oraz wprowadzenie mechanizmu wspólnych kontroli.</w:t>
            </w:r>
          </w:p>
        </w:tc>
      </w:tr>
      <w:tr w:rsidR="000B7A2A" w:rsidRPr="008B4FE6" w14:paraId="3ADAC44E" w14:textId="77777777" w:rsidTr="00676C8D">
        <w:trPr>
          <w:gridAfter w:val="1"/>
          <w:wAfter w:w="10" w:type="dxa"/>
          <w:trHeight w:val="142"/>
        </w:trPr>
        <w:tc>
          <w:tcPr>
            <w:tcW w:w="2668" w:type="dxa"/>
            <w:gridSpan w:val="3"/>
            <w:shd w:val="clear" w:color="auto" w:fill="auto"/>
          </w:tcPr>
          <w:p w14:paraId="0EC23F6F" w14:textId="77777777" w:rsidR="000B7A2A" w:rsidRPr="0010086C" w:rsidRDefault="000B7A2A" w:rsidP="000B7A2A">
            <w:pPr>
              <w:spacing w:line="240" w:lineRule="auto"/>
              <w:rPr>
                <w:rFonts w:ascii="Times New Roman" w:hAnsi="Times New Roman"/>
              </w:rPr>
            </w:pPr>
            <w:r w:rsidRPr="0010086C">
              <w:rPr>
                <w:rFonts w:ascii="Times New Roman" w:hAnsi="Times New Roman"/>
              </w:rPr>
              <w:lastRenderedPageBreak/>
              <w:t>Sektor bankowy w tym: - banki komercyjne - 30</w:t>
            </w:r>
          </w:p>
          <w:p w14:paraId="4D083713" w14:textId="77777777" w:rsidR="000B7A2A" w:rsidRPr="007304B1" w:rsidRDefault="000B7A2A" w:rsidP="000B7A2A">
            <w:pPr>
              <w:spacing w:line="240" w:lineRule="auto"/>
              <w:rPr>
                <w:rFonts w:ascii="Times New Roman" w:hAnsi="Times New Roman"/>
              </w:rPr>
            </w:pPr>
            <w:r w:rsidRPr="007304B1">
              <w:rPr>
                <w:rFonts w:ascii="Times New Roman" w:hAnsi="Times New Roman"/>
              </w:rPr>
              <w:t>- banki spółdzielcze – 511,</w:t>
            </w:r>
          </w:p>
          <w:p w14:paraId="7F60E2F8" w14:textId="4F35C51E" w:rsidR="000B7A2A" w:rsidRPr="009804F1" w:rsidRDefault="000B7A2A" w:rsidP="000B7A2A">
            <w:pPr>
              <w:tabs>
                <w:tab w:val="left" w:pos="1560"/>
              </w:tabs>
              <w:spacing w:line="240" w:lineRule="auto"/>
              <w:rPr>
                <w:rFonts w:ascii="Times New Roman" w:hAnsi="Times New Roman"/>
                <w:color w:val="000000"/>
              </w:rPr>
            </w:pPr>
            <w:r w:rsidRPr="00C828BC">
              <w:rPr>
                <w:rFonts w:ascii="Times New Roman" w:hAnsi="Times New Roman"/>
              </w:rPr>
              <w:t>- oddziały instytucji kredytowych i banków zagranicznych – 37</w:t>
            </w:r>
          </w:p>
        </w:tc>
        <w:tc>
          <w:tcPr>
            <w:tcW w:w="2292" w:type="dxa"/>
            <w:gridSpan w:val="8"/>
            <w:shd w:val="clear" w:color="auto" w:fill="auto"/>
          </w:tcPr>
          <w:p w14:paraId="42F047BE" w14:textId="64D24AF0" w:rsidR="000B7A2A" w:rsidRPr="0010086C"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t>578</w:t>
            </w:r>
          </w:p>
        </w:tc>
        <w:tc>
          <w:tcPr>
            <w:tcW w:w="2996" w:type="dxa"/>
            <w:gridSpan w:val="12"/>
            <w:shd w:val="clear" w:color="auto" w:fill="auto"/>
          </w:tcPr>
          <w:p w14:paraId="16FD2369" w14:textId="5ED513F1"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spacing w:val="-2"/>
                <w:lang w:val="en-US"/>
              </w:rPr>
              <w:t xml:space="preserve">KNF, </w:t>
            </w:r>
            <w:hyperlink r:id="rId12" w:history="1">
              <w:r w:rsidRPr="0010086C">
                <w:rPr>
                  <w:rStyle w:val="Hipercze"/>
                  <w:rFonts w:ascii="Times New Roman" w:hAnsi="Times New Roman"/>
                  <w:spacing w:val="-2"/>
                  <w:lang w:val="en-US"/>
                </w:rPr>
                <w:t>https://www.knf.gov.pl/?articleId=56224&amp;p_id=18</w:t>
              </w:r>
            </w:hyperlink>
          </w:p>
        </w:tc>
        <w:tc>
          <w:tcPr>
            <w:tcW w:w="2981" w:type="dxa"/>
            <w:gridSpan w:val="6"/>
            <w:shd w:val="clear" w:color="auto" w:fill="auto"/>
          </w:tcPr>
          <w:p w14:paraId="08442F64" w14:textId="323E6FDD" w:rsidR="000B7A2A" w:rsidRPr="009804F1" w:rsidRDefault="000B7A2A" w:rsidP="000B7A2A">
            <w:pPr>
              <w:spacing w:line="240" w:lineRule="auto"/>
              <w:rPr>
                <w:rFonts w:ascii="Times New Roman" w:hAnsi="Times New Roman"/>
                <w:color w:val="000000"/>
                <w:spacing w:val="-2"/>
              </w:rPr>
            </w:pPr>
            <w:r w:rsidRPr="007304B1">
              <w:rPr>
                <w:rFonts w:ascii="Times New Roman" w:hAnsi="Times New Roman"/>
                <w:spacing w:val="-2"/>
              </w:rPr>
              <w:t>Jednostki zobowiązane do identyfikowania rachunków raportowanych, sporządzan</w:t>
            </w:r>
            <w:r w:rsidRPr="00C828BC">
              <w:rPr>
                <w:rFonts w:ascii="Times New Roman" w:hAnsi="Times New Roman"/>
                <w:spacing w:val="-2"/>
              </w:rPr>
              <w:t>ia i przekazywania Krajowej Administracji Skarbowej informacji o rachunkach raportowanych oraz prowadzenia dokumentacji w zakresie przestrzegania procedur (sprawozdawczych i należytej staranności)</w:t>
            </w:r>
          </w:p>
        </w:tc>
      </w:tr>
      <w:tr w:rsidR="000B7A2A" w:rsidRPr="008B4FE6" w14:paraId="4D3939BC" w14:textId="77777777" w:rsidTr="00676C8D">
        <w:trPr>
          <w:gridAfter w:val="1"/>
          <w:wAfter w:w="10" w:type="dxa"/>
          <w:trHeight w:val="142"/>
        </w:trPr>
        <w:tc>
          <w:tcPr>
            <w:tcW w:w="2668" w:type="dxa"/>
            <w:gridSpan w:val="3"/>
            <w:shd w:val="clear" w:color="auto" w:fill="auto"/>
          </w:tcPr>
          <w:p w14:paraId="75A9A7EB" w14:textId="26F7BA0B" w:rsidR="000B7A2A" w:rsidRPr="007304B1" w:rsidRDefault="000B7A2A" w:rsidP="000B7A2A">
            <w:pPr>
              <w:tabs>
                <w:tab w:val="left" w:pos="1560"/>
              </w:tabs>
              <w:spacing w:line="240" w:lineRule="auto"/>
              <w:rPr>
                <w:rFonts w:ascii="Times New Roman" w:hAnsi="Times New Roman"/>
                <w:color w:val="000000"/>
              </w:rPr>
            </w:pPr>
            <w:r w:rsidRPr="0010086C">
              <w:rPr>
                <w:rFonts w:ascii="Times New Roman" w:hAnsi="Times New Roman"/>
              </w:rPr>
              <w:t>Towarzystwa funduszy inwestycyjnych</w:t>
            </w:r>
          </w:p>
        </w:tc>
        <w:tc>
          <w:tcPr>
            <w:tcW w:w="2292" w:type="dxa"/>
            <w:gridSpan w:val="8"/>
            <w:shd w:val="clear" w:color="auto" w:fill="auto"/>
          </w:tcPr>
          <w:p w14:paraId="089BDC6F" w14:textId="575DA496" w:rsidR="000B7A2A" w:rsidRPr="0010086C"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t>65</w:t>
            </w:r>
          </w:p>
        </w:tc>
        <w:tc>
          <w:tcPr>
            <w:tcW w:w="2996" w:type="dxa"/>
            <w:gridSpan w:val="12"/>
            <w:shd w:val="clear" w:color="auto" w:fill="auto"/>
          </w:tcPr>
          <w:p w14:paraId="5E643DC1" w14:textId="504AE526"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color w:val="000000"/>
                <w:spacing w:val="-2"/>
                <w:lang w:val="en-US"/>
              </w:rPr>
              <w:t xml:space="preserve">KNF, </w:t>
            </w:r>
            <w:hyperlink r:id="rId13" w:history="1">
              <w:r w:rsidRPr="0010086C">
                <w:rPr>
                  <w:rStyle w:val="Hipercze"/>
                  <w:rFonts w:ascii="Times New Roman" w:hAnsi="Times New Roman"/>
                  <w:spacing w:val="-2"/>
                  <w:lang w:val="en-US"/>
                </w:rPr>
                <w:t>https://www.knf.gov.pl/podmioty/Podmioty_rynku_kapitalowego/Fundusze_Inwestycyjne/TFI_i_FI</w:t>
              </w:r>
            </w:hyperlink>
          </w:p>
        </w:tc>
        <w:tc>
          <w:tcPr>
            <w:tcW w:w="2981" w:type="dxa"/>
            <w:gridSpan w:val="6"/>
            <w:shd w:val="clear" w:color="auto" w:fill="auto"/>
          </w:tcPr>
          <w:p w14:paraId="46A1EE21" w14:textId="621DDAB7" w:rsidR="000B7A2A" w:rsidRPr="009804F1" w:rsidRDefault="000B7A2A" w:rsidP="000B7A2A">
            <w:pPr>
              <w:spacing w:line="240" w:lineRule="auto"/>
              <w:rPr>
                <w:rFonts w:ascii="Times New Roman" w:hAnsi="Times New Roman"/>
                <w:color w:val="000000"/>
                <w:spacing w:val="-2"/>
              </w:rPr>
            </w:pPr>
            <w:r w:rsidRPr="007304B1">
              <w:rPr>
                <w:rFonts w:ascii="Times New Roman" w:hAnsi="Times New Roman"/>
                <w:spacing w:val="-2"/>
              </w:rPr>
              <w:t>Jednostki zobowiązane do identyfikowania rachunków raportowanych, sporzą</w:t>
            </w:r>
            <w:r w:rsidRPr="00C828BC">
              <w:rPr>
                <w:rFonts w:ascii="Times New Roman" w:hAnsi="Times New Roman"/>
                <w:spacing w:val="-2"/>
              </w:rPr>
              <w:t>dzania i przekazywania Krajowej Administracji Skarbowej informacji o rachunkach raportowanych oraz prowadzenia dokumentacji w zakresie przestrzegania procedur (sprawozdawczych i należytej staranności)</w:t>
            </w:r>
          </w:p>
        </w:tc>
      </w:tr>
      <w:tr w:rsidR="000B7A2A" w:rsidRPr="008B4FE6" w14:paraId="6EA95C5F" w14:textId="77777777" w:rsidTr="00676C8D">
        <w:trPr>
          <w:gridAfter w:val="1"/>
          <w:wAfter w:w="10" w:type="dxa"/>
          <w:trHeight w:val="142"/>
        </w:trPr>
        <w:tc>
          <w:tcPr>
            <w:tcW w:w="2668" w:type="dxa"/>
            <w:gridSpan w:val="3"/>
            <w:shd w:val="clear" w:color="auto" w:fill="auto"/>
          </w:tcPr>
          <w:p w14:paraId="2768C1A8" w14:textId="488B6613" w:rsidR="000B7A2A" w:rsidRPr="00C828BC" w:rsidRDefault="000B7A2A" w:rsidP="000B7A2A">
            <w:pPr>
              <w:tabs>
                <w:tab w:val="left" w:pos="1560"/>
              </w:tabs>
              <w:spacing w:line="240" w:lineRule="auto"/>
              <w:rPr>
                <w:rFonts w:ascii="Times New Roman" w:hAnsi="Times New Roman"/>
                <w:color w:val="000000"/>
              </w:rPr>
            </w:pPr>
            <w:r w:rsidRPr="0010086C">
              <w:rPr>
                <w:rFonts w:ascii="Times New Roman" w:hAnsi="Times New Roman"/>
              </w:rPr>
              <w:t>Zakłady ubezpieczeń, 60 krajowych zakładów ubezpieczeń</w:t>
            </w:r>
            <w:r w:rsidRPr="007304B1">
              <w:rPr>
                <w:rFonts w:ascii="Times New Roman" w:hAnsi="Times New Roman"/>
              </w:rPr>
              <w:t>/reasekuracji, w tym 27 zakładów ubezpieczeń działu I (ubezpieczenia na życie) i 32 zakłady ubezpieczeń działu II (pozostałe ubezpieczenia osobowe i ubezpieczenia majątkowe) oraz 1 zakład reasekuracji.</w:t>
            </w:r>
          </w:p>
        </w:tc>
        <w:tc>
          <w:tcPr>
            <w:tcW w:w="2292" w:type="dxa"/>
            <w:gridSpan w:val="8"/>
            <w:shd w:val="clear" w:color="auto" w:fill="auto"/>
          </w:tcPr>
          <w:p w14:paraId="78DA1422" w14:textId="3E7465E9" w:rsidR="000B7A2A" w:rsidRPr="0010086C"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t>60</w:t>
            </w:r>
          </w:p>
        </w:tc>
        <w:tc>
          <w:tcPr>
            <w:tcW w:w="2996" w:type="dxa"/>
            <w:gridSpan w:val="12"/>
            <w:shd w:val="clear" w:color="auto" w:fill="auto"/>
          </w:tcPr>
          <w:p w14:paraId="61434ED7" w14:textId="659A06D0"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color w:val="000000"/>
                <w:spacing w:val="-2"/>
                <w:lang w:val="en-US"/>
              </w:rPr>
              <w:t xml:space="preserve">KNF, </w:t>
            </w:r>
            <w:hyperlink r:id="rId14" w:history="1">
              <w:r w:rsidRPr="0010086C">
                <w:rPr>
                  <w:rStyle w:val="Hipercze"/>
                  <w:rFonts w:ascii="Times New Roman" w:hAnsi="Times New Roman"/>
                  <w:spacing w:val="-2"/>
                  <w:lang w:val="en-US"/>
                </w:rPr>
                <w:t>https://www.knf.gov.pl/?articleId=72459&amp;p_id=18</w:t>
              </w:r>
            </w:hyperlink>
          </w:p>
        </w:tc>
        <w:tc>
          <w:tcPr>
            <w:tcW w:w="2981" w:type="dxa"/>
            <w:gridSpan w:val="6"/>
            <w:shd w:val="clear" w:color="auto" w:fill="auto"/>
          </w:tcPr>
          <w:p w14:paraId="6E347CEC" w14:textId="7A909870" w:rsidR="000B7A2A" w:rsidRPr="009804F1" w:rsidRDefault="000B7A2A" w:rsidP="000B7A2A">
            <w:pPr>
              <w:spacing w:line="240" w:lineRule="auto"/>
              <w:rPr>
                <w:rFonts w:ascii="Times New Roman" w:hAnsi="Times New Roman"/>
                <w:color w:val="000000"/>
                <w:spacing w:val="-2"/>
              </w:rPr>
            </w:pPr>
            <w:r w:rsidRPr="007304B1">
              <w:rPr>
                <w:rFonts w:ascii="Times New Roman" w:hAnsi="Times New Roman"/>
                <w:spacing w:val="-2"/>
              </w:rPr>
              <w:t>Jednostki zobowiązane do identyfikowania rachunków raportowanych, sporządzania i przekazywania Krajowej Administracji Skarbowej informacji o rachunkach raportowanych oraz prowadzenia dokumen</w:t>
            </w:r>
            <w:r w:rsidRPr="00C828BC">
              <w:rPr>
                <w:rFonts w:ascii="Times New Roman" w:hAnsi="Times New Roman"/>
                <w:spacing w:val="-2"/>
              </w:rPr>
              <w:t>tacji w zakresie przestrzegania procedur (sprawozdawczych i należytej staranności)</w:t>
            </w:r>
          </w:p>
        </w:tc>
      </w:tr>
      <w:tr w:rsidR="000B7A2A" w:rsidRPr="008B4FE6" w14:paraId="2361145F" w14:textId="77777777" w:rsidTr="00676C8D">
        <w:trPr>
          <w:gridAfter w:val="1"/>
          <w:wAfter w:w="10" w:type="dxa"/>
          <w:trHeight w:val="142"/>
        </w:trPr>
        <w:tc>
          <w:tcPr>
            <w:tcW w:w="2668" w:type="dxa"/>
            <w:gridSpan w:val="3"/>
            <w:shd w:val="clear" w:color="auto" w:fill="auto"/>
          </w:tcPr>
          <w:p w14:paraId="541073AD" w14:textId="44619D4C" w:rsidR="000B7A2A" w:rsidRPr="0010086C" w:rsidRDefault="000B7A2A" w:rsidP="000B7A2A">
            <w:pPr>
              <w:tabs>
                <w:tab w:val="left" w:pos="1560"/>
              </w:tabs>
              <w:spacing w:line="240" w:lineRule="auto"/>
              <w:rPr>
                <w:rFonts w:ascii="Times New Roman" w:hAnsi="Times New Roman"/>
              </w:rPr>
            </w:pPr>
            <w:r w:rsidRPr="0010086C">
              <w:rPr>
                <w:rFonts w:ascii="Times New Roman" w:hAnsi="Times New Roman"/>
              </w:rPr>
              <w:t>Domy maklerskie</w:t>
            </w:r>
          </w:p>
        </w:tc>
        <w:tc>
          <w:tcPr>
            <w:tcW w:w="2292" w:type="dxa"/>
            <w:gridSpan w:val="8"/>
            <w:shd w:val="clear" w:color="auto" w:fill="auto"/>
          </w:tcPr>
          <w:p w14:paraId="1632A6F1" w14:textId="6FE3A2D1" w:rsidR="000B7A2A" w:rsidRPr="008C250A"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t>37</w:t>
            </w:r>
          </w:p>
        </w:tc>
        <w:tc>
          <w:tcPr>
            <w:tcW w:w="2996" w:type="dxa"/>
            <w:gridSpan w:val="12"/>
            <w:shd w:val="clear" w:color="auto" w:fill="auto"/>
          </w:tcPr>
          <w:p w14:paraId="303B1F07" w14:textId="5552783C"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color w:val="000000"/>
                <w:spacing w:val="-2"/>
                <w:lang w:val="en-US"/>
              </w:rPr>
              <w:t xml:space="preserve">KNF, </w:t>
            </w:r>
            <w:hyperlink r:id="rId15" w:history="1">
              <w:r w:rsidRPr="0010086C">
                <w:rPr>
                  <w:rStyle w:val="Hipercze"/>
                  <w:rFonts w:ascii="Times New Roman" w:hAnsi="Times New Roman"/>
                  <w:spacing w:val="-2"/>
                  <w:lang w:val="en-US"/>
                </w:rPr>
                <w:t>https://www.knf.gov.pl/podmioty/Podmioty_rynku_kapitalowego/Firmy_inwestycyjne_i_Agenci_firm_inwestycyjnych/domy_maklerskie</w:t>
              </w:r>
            </w:hyperlink>
          </w:p>
        </w:tc>
        <w:tc>
          <w:tcPr>
            <w:tcW w:w="2981" w:type="dxa"/>
            <w:gridSpan w:val="6"/>
            <w:shd w:val="clear" w:color="auto" w:fill="auto"/>
          </w:tcPr>
          <w:p w14:paraId="67222136" w14:textId="17FD75E6" w:rsidR="000B7A2A" w:rsidRPr="00C828BC" w:rsidRDefault="000B7A2A" w:rsidP="000B7A2A">
            <w:pPr>
              <w:spacing w:line="240" w:lineRule="auto"/>
              <w:rPr>
                <w:rFonts w:ascii="Times New Roman" w:hAnsi="Times New Roman"/>
                <w:spacing w:val="-2"/>
              </w:rPr>
            </w:pPr>
            <w:r w:rsidRPr="007304B1">
              <w:rPr>
                <w:rFonts w:ascii="Times New Roman" w:hAnsi="Times New Roman"/>
                <w:spacing w:val="-2"/>
              </w:rPr>
              <w:t>Jednostki zobowiązane do identyfikowania rachunków raportowanych, sporządzania i przekazywania Krajowej Administracji Skarbowej informacji o</w:t>
            </w:r>
            <w:r w:rsidRPr="00C828BC">
              <w:rPr>
                <w:rFonts w:ascii="Times New Roman" w:hAnsi="Times New Roman"/>
                <w:spacing w:val="-2"/>
              </w:rPr>
              <w:t xml:space="preserve"> rachunkach raportowanych oraz prowadzenia dokumentacji w zakresie przestrzegania procedur (sprawozdawczych i należytej staranności)</w:t>
            </w:r>
          </w:p>
        </w:tc>
      </w:tr>
      <w:tr w:rsidR="000B7A2A" w:rsidRPr="008B4FE6" w14:paraId="61541A52" w14:textId="77777777" w:rsidTr="00676C8D">
        <w:trPr>
          <w:gridAfter w:val="1"/>
          <w:wAfter w:w="10" w:type="dxa"/>
          <w:trHeight w:val="142"/>
        </w:trPr>
        <w:tc>
          <w:tcPr>
            <w:tcW w:w="2668" w:type="dxa"/>
            <w:gridSpan w:val="3"/>
            <w:shd w:val="clear" w:color="auto" w:fill="auto"/>
          </w:tcPr>
          <w:p w14:paraId="13DB43F6" w14:textId="3DC90B80" w:rsidR="000B7A2A" w:rsidRPr="0010086C" w:rsidRDefault="000B7A2A" w:rsidP="000B7A2A">
            <w:pPr>
              <w:tabs>
                <w:tab w:val="left" w:pos="1560"/>
              </w:tabs>
              <w:spacing w:line="240" w:lineRule="auto"/>
              <w:rPr>
                <w:rFonts w:ascii="Times New Roman" w:hAnsi="Times New Roman"/>
              </w:rPr>
            </w:pPr>
            <w:r w:rsidRPr="008C250A">
              <w:rPr>
                <w:rFonts w:ascii="Times New Roman" w:hAnsi="Times New Roman"/>
                <w:color w:val="000000"/>
                <w:spacing w:val="-2"/>
              </w:rPr>
              <w:t>SKOK</w:t>
            </w:r>
          </w:p>
        </w:tc>
        <w:tc>
          <w:tcPr>
            <w:tcW w:w="2292" w:type="dxa"/>
            <w:gridSpan w:val="8"/>
            <w:shd w:val="clear" w:color="auto" w:fill="auto"/>
          </w:tcPr>
          <w:p w14:paraId="5DCAEA9D" w14:textId="58E8C8AD" w:rsidR="000B7A2A" w:rsidRPr="008C250A"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t>23</w:t>
            </w:r>
          </w:p>
        </w:tc>
        <w:tc>
          <w:tcPr>
            <w:tcW w:w="2996" w:type="dxa"/>
            <w:gridSpan w:val="12"/>
            <w:shd w:val="clear" w:color="auto" w:fill="auto"/>
          </w:tcPr>
          <w:p w14:paraId="4C97765B" w14:textId="1F4A025E"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color w:val="000000"/>
                <w:spacing w:val="-2"/>
                <w:lang w:val="en-US"/>
              </w:rPr>
              <w:t xml:space="preserve">KNF, </w:t>
            </w:r>
            <w:hyperlink r:id="rId16" w:history="1">
              <w:r w:rsidRPr="0010086C">
                <w:rPr>
                  <w:rStyle w:val="Hipercze"/>
                  <w:rFonts w:ascii="Times New Roman" w:hAnsi="Times New Roman"/>
                  <w:spacing w:val="-2"/>
                  <w:lang w:val="en-US"/>
                </w:rPr>
                <w:t>https://www.knf.gov.pl/podmioty/Podmioty_sektora_kas_spoldzielczych</w:t>
              </w:r>
            </w:hyperlink>
          </w:p>
        </w:tc>
        <w:tc>
          <w:tcPr>
            <w:tcW w:w="2981" w:type="dxa"/>
            <w:gridSpan w:val="6"/>
            <w:shd w:val="clear" w:color="auto" w:fill="auto"/>
          </w:tcPr>
          <w:p w14:paraId="69A45B6B" w14:textId="209BDF2E" w:rsidR="000B7A2A" w:rsidRPr="00C828BC" w:rsidRDefault="000B7A2A" w:rsidP="000B7A2A">
            <w:pPr>
              <w:spacing w:line="240" w:lineRule="auto"/>
              <w:rPr>
                <w:rFonts w:ascii="Times New Roman" w:hAnsi="Times New Roman"/>
                <w:spacing w:val="-2"/>
              </w:rPr>
            </w:pPr>
            <w:r w:rsidRPr="007304B1">
              <w:rPr>
                <w:rFonts w:ascii="Times New Roman" w:hAnsi="Times New Roman"/>
                <w:spacing w:val="-2"/>
              </w:rPr>
              <w:t>Jednostki zobowiązane są do identyfikowania rachunków raportowanych, sporządzania i przekazywania Krajowej Administracji Skarbowej informacji o rachunkach raportowanych oraz prowadzenia dokumentacji w zakresie prz</w:t>
            </w:r>
            <w:r w:rsidRPr="00C828BC">
              <w:rPr>
                <w:rFonts w:ascii="Times New Roman" w:hAnsi="Times New Roman"/>
                <w:spacing w:val="-2"/>
              </w:rPr>
              <w:t>estrzegania procedur (sprawozdawczych i należytej staranności)</w:t>
            </w:r>
          </w:p>
        </w:tc>
      </w:tr>
      <w:tr w:rsidR="000B7A2A" w:rsidRPr="008B4FE6" w14:paraId="2141E756" w14:textId="77777777" w:rsidTr="00676C8D">
        <w:trPr>
          <w:gridAfter w:val="1"/>
          <w:wAfter w:w="10" w:type="dxa"/>
          <w:trHeight w:val="142"/>
        </w:trPr>
        <w:tc>
          <w:tcPr>
            <w:tcW w:w="2668" w:type="dxa"/>
            <w:gridSpan w:val="3"/>
            <w:shd w:val="clear" w:color="auto" w:fill="auto"/>
          </w:tcPr>
          <w:p w14:paraId="16CD9A97" w14:textId="77777777" w:rsidR="000B7A2A" w:rsidRPr="0010086C" w:rsidRDefault="000B7A2A" w:rsidP="000B7A2A">
            <w:pPr>
              <w:tabs>
                <w:tab w:val="left" w:pos="1560"/>
              </w:tabs>
              <w:jc w:val="both"/>
              <w:rPr>
                <w:rFonts w:ascii="Times New Roman" w:hAnsi="Times New Roman"/>
              </w:rPr>
            </w:pPr>
            <w:r w:rsidRPr="0010086C">
              <w:rPr>
                <w:rFonts w:ascii="Times New Roman" w:hAnsi="Times New Roman"/>
              </w:rPr>
              <w:t xml:space="preserve">Jednostki dominujące mające siedzibę w Polsce, w sytuacji gdy grupa kapitałowa działa w skali międzynarodowej i jeżeli </w:t>
            </w:r>
            <w:r w:rsidRPr="0010086C">
              <w:rPr>
                <w:rFonts w:ascii="Times New Roman" w:hAnsi="Times New Roman"/>
              </w:rPr>
              <w:lastRenderedPageBreak/>
              <w:t>przychody w skonsolidowanym sprawozdaniu finansowym sporządzanym przez jednostkę dominującą przekroczą równowartość 750 mln euro (oraz w niektórych przypadkach jednostki niższego szczebla wchodzące w skład grupy kapitałowej posiadające siedzibę na terytorium Polski)</w:t>
            </w:r>
          </w:p>
          <w:p w14:paraId="28AA9950" w14:textId="77777777" w:rsidR="000B7A2A" w:rsidRPr="008C250A" w:rsidRDefault="000B7A2A" w:rsidP="000B7A2A">
            <w:pPr>
              <w:tabs>
                <w:tab w:val="left" w:pos="1560"/>
              </w:tabs>
              <w:spacing w:line="240" w:lineRule="auto"/>
              <w:rPr>
                <w:rFonts w:ascii="Times New Roman" w:hAnsi="Times New Roman"/>
                <w:color w:val="000000"/>
                <w:spacing w:val="-2"/>
              </w:rPr>
            </w:pPr>
          </w:p>
        </w:tc>
        <w:tc>
          <w:tcPr>
            <w:tcW w:w="2292" w:type="dxa"/>
            <w:gridSpan w:val="8"/>
            <w:shd w:val="clear" w:color="auto" w:fill="auto"/>
          </w:tcPr>
          <w:p w14:paraId="33C85161" w14:textId="4F72866F" w:rsidR="000B7A2A" w:rsidRPr="008C250A" w:rsidRDefault="000B7A2A" w:rsidP="000B7A2A">
            <w:pPr>
              <w:spacing w:line="240" w:lineRule="auto"/>
              <w:rPr>
                <w:rFonts w:ascii="Times New Roman" w:hAnsi="Times New Roman"/>
                <w:color w:val="000000"/>
                <w:spacing w:val="-2"/>
              </w:rPr>
            </w:pPr>
            <w:r w:rsidRPr="008C250A">
              <w:rPr>
                <w:rFonts w:ascii="Times New Roman" w:hAnsi="Times New Roman"/>
                <w:color w:val="000000"/>
                <w:spacing w:val="-2"/>
              </w:rPr>
              <w:lastRenderedPageBreak/>
              <w:t>31</w:t>
            </w:r>
          </w:p>
        </w:tc>
        <w:tc>
          <w:tcPr>
            <w:tcW w:w="2996" w:type="dxa"/>
            <w:gridSpan w:val="12"/>
            <w:shd w:val="clear" w:color="auto" w:fill="auto"/>
          </w:tcPr>
          <w:p w14:paraId="26E6BC5F" w14:textId="409995EF" w:rsidR="000B7A2A" w:rsidRPr="0010086C" w:rsidRDefault="000B7A2A" w:rsidP="000B7A2A">
            <w:pPr>
              <w:spacing w:line="240" w:lineRule="auto"/>
              <w:rPr>
                <w:rFonts w:ascii="Times New Roman" w:hAnsi="Times New Roman"/>
                <w:color w:val="000000"/>
                <w:spacing w:val="-2"/>
                <w:lang w:val="en-US"/>
              </w:rPr>
            </w:pPr>
            <w:r w:rsidRPr="0010086C">
              <w:rPr>
                <w:rFonts w:ascii="Times New Roman" w:hAnsi="Times New Roman"/>
                <w:spacing w:val="-2"/>
                <w:lang w:val="en-US"/>
              </w:rPr>
              <w:t xml:space="preserve">OECD, Corporate Tax Statistics: Third Edition, 2021  </w:t>
            </w:r>
            <w:hyperlink r:id="rId17" w:history="1">
              <w:r w:rsidRPr="008C250A">
                <w:rPr>
                  <w:rStyle w:val="Hipercze"/>
                  <w:rFonts w:ascii="Times New Roman" w:hAnsi="Times New Roman"/>
                  <w:lang w:val="en-US"/>
                </w:rPr>
                <w:t>https://www.oecd.org/tax/beps/corporate-tax-statistics-database.htm</w:t>
              </w:r>
            </w:hyperlink>
            <w:r w:rsidRPr="0010086C">
              <w:rPr>
                <w:rFonts w:ascii="Times New Roman" w:hAnsi="Times New Roman"/>
                <w:spacing w:val="-2"/>
                <w:lang w:val="en-US"/>
              </w:rPr>
              <w:t xml:space="preserve"> </w:t>
            </w:r>
          </w:p>
        </w:tc>
        <w:tc>
          <w:tcPr>
            <w:tcW w:w="2981" w:type="dxa"/>
            <w:gridSpan w:val="6"/>
            <w:shd w:val="clear" w:color="auto" w:fill="auto"/>
          </w:tcPr>
          <w:p w14:paraId="7CD562F2" w14:textId="7B4B0E91" w:rsidR="000B7A2A" w:rsidRPr="00C828BC" w:rsidRDefault="000B7A2A" w:rsidP="000B7A2A">
            <w:pPr>
              <w:spacing w:line="240" w:lineRule="auto"/>
              <w:rPr>
                <w:rFonts w:ascii="Times New Roman" w:hAnsi="Times New Roman"/>
                <w:spacing w:val="-2"/>
              </w:rPr>
            </w:pPr>
            <w:r w:rsidRPr="007304B1">
              <w:rPr>
                <w:rFonts w:ascii="Times New Roman" w:hAnsi="Times New Roman"/>
                <w:spacing w:val="-2"/>
              </w:rPr>
              <w:t>Jednostki zobowiązane do identyfikowania rachunków raportowanych, sporządzania i przekazywania Krajowej Admi</w:t>
            </w:r>
            <w:r w:rsidRPr="00C828BC">
              <w:rPr>
                <w:rFonts w:ascii="Times New Roman" w:hAnsi="Times New Roman"/>
                <w:spacing w:val="-2"/>
              </w:rPr>
              <w:t xml:space="preserve">nistracji Skarbowej informacji o rachunkach </w:t>
            </w:r>
            <w:r w:rsidRPr="00C828BC">
              <w:rPr>
                <w:rFonts w:ascii="Times New Roman" w:hAnsi="Times New Roman"/>
                <w:spacing w:val="-2"/>
              </w:rPr>
              <w:lastRenderedPageBreak/>
              <w:t>raportowanych oraz prowadzenia dokumentacji w zakresie przestrzegania procedur (sprawozdawczych i należytej staranności)</w:t>
            </w:r>
          </w:p>
        </w:tc>
      </w:tr>
      <w:tr w:rsidR="00DD5D7B" w:rsidRPr="008B4FE6" w14:paraId="0E5BCBEC" w14:textId="77777777" w:rsidTr="00676C8D">
        <w:trPr>
          <w:gridAfter w:val="1"/>
          <w:wAfter w:w="10" w:type="dxa"/>
          <w:trHeight w:val="302"/>
        </w:trPr>
        <w:tc>
          <w:tcPr>
            <w:tcW w:w="10937" w:type="dxa"/>
            <w:gridSpan w:val="29"/>
            <w:shd w:val="clear" w:color="auto" w:fill="99CCFF"/>
            <w:vAlign w:val="center"/>
          </w:tcPr>
          <w:p w14:paraId="7249A56A" w14:textId="77777777" w:rsidR="00DD5D7B" w:rsidRPr="008B4FE6" w:rsidRDefault="00DD5D7B" w:rsidP="00DD5D7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Informacje na temat</w:t>
            </w:r>
            <w:r>
              <w:rPr>
                <w:rFonts w:ascii="Times New Roman" w:hAnsi="Times New Roman"/>
                <w:b/>
                <w:color w:val="000000"/>
              </w:rPr>
              <w:t xml:space="preserve"> zakresu, czasu trwania i podsumowanie wyników </w:t>
            </w:r>
            <w:r w:rsidRPr="008B4FE6">
              <w:rPr>
                <w:rFonts w:ascii="Times New Roman" w:hAnsi="Times New Roman"/>
                <w:b/>
                <w:color w:val="000000"/>
              </w:rPr>
              <w:t>konsultacji</w:t>
            </w:r>
          </w:p>
        </w:tc>
      </w:tr>
      <w:tr w:rsidR="00DD5D7B" w:rsidRPr="008B4FE6" w14:paraId="2D2F1987" w14:textId="77777777" w:rsidTr="00676C8D">
        <w:trPr>
          <w:gridAfter w:val="1"/>
          <w:wAfter w:w="10" w:type="dxa"/>
          <w:trHeight w:val="342"/>
        </w:trPr>
        <w:tc>
          <w:tcPr>
            <w:tcW w:w="10937" w:type="dxa"/>
            <w:gridSpan w:val="29"/>
            <w:shd w:val="clear" w:color="auto" w:fill="FFFFFF"/>
          </w:tcPr>
          <w:p w14:paraId="72AACC50" w14:textId="5188B3B1" w:rsidR="00DD5D7B" w:rsidRDefault="00DD5D7B" w:rsidP="00DD5D7B">
            <w:pPr>
              <w:spacing w:line="240" w:lineRule="auto"/>
              <w:jc w:val="both"/>
              <w:rPr>
                <w:rFonts w:ascii="Times New Roman" w:hAnsi="Times New Roman"/>
                <w:color w:val="000000"/>
                <w:spacing w:val="-2"/>
              </w:rPr>
            </w:pPr>
          </w:p>
          <w:p w14:paraId="4147D3EE" w14:textId="1CB1A4E5" w:rsidR="000211A6" w:rsidRDefault="00F12FD7" w:rsidP="000211A6">
            <w:pPr>
              <w:spacing w:line="240" w:lineRule="auto"/>
              <w:jc w:val="both"/>
              <w:rPr>
                <w:rFonts w:ascii="Times New Roman" w:hAnsi="Times New Roman"/>
                <w:color w:val="000000"/>
                <w:spacing w:val="-2"/>
                <w:lang w:eastAsia="pl-PL"/>
              </w:rPr>
            </w:pPr>
            <w:r w:rsidRPr="008C250A">
              <w:rPr>
                <w:rFonts w:ascii="Times New Roman" w:hAnsi="Times New Roman"/>
                <w:color w:val="000000"/>
                <w:spacing w:val="-2"/>
                <w:lang w:eastAsia="pl-PL"/>
              </w:rPr>
              <w:t>Założenia kierowane</w:t>
            </w:r>
            <w:r w:rsidR="000211A6" w:rsidRPr="008C250A">
              <w:rPr>
                <w:rFonts w:ascii="Times New Roman" w:hAnsi="Times New Roman"/>
                <w:color w:val="000000"/>
                <w:spacing w:val="-2"/>
                <w:lang w:eastAsia="pl-PL"/>
              </w:rPr>
              <w:t xml:space="preserve"> do posiadaczy platform cyfrowych</w:t>
            </w:r>
            <w:r w:rsidRPr="008C250A">
              <w:rPr>
                <w:rFonts w:ascii="Times New Roman" w:hAnsi="Times New Roman"/>
                <w:color w:val="000000"/>
                <w:spacing w:val="-2"/>
                <w:lang w:eastAsia="pl-PL"/>
              </w:rPr>
              <w:t xml:space="preserve"> były już prekonsultowane w dniach 11.07-24.07.2022</w:t>
            </w:r>
            <w:r w:rsidR="000211A6" w:rsidRPr="008C250A">
              <w:rPr>
                <w:rFonts w:ascii="Times New Roman" w:hAnsi="Times New Roman"/>
                <w:color w:val="000000"/>
                <w:spacing w:val="-2"/>
                <w:lang w:eastAsia="pl-PL"/>
              </w:rPr>
              <w:t xml:space="preserve">. Prekonsultacje miały otwartą formę. W ich trakcie Ministerstwo Finansów otrzymało liczne uwagi z rynku dotyczące podatkowych obowiązków sprawozdawczych operatorów platform cyfrowych. W </w:t>
            </w:r>
            <w:r w:rsidR="000637DD">
              <w:rPr>
                <w:rFonts w:ascii="Times New Roman" w:hAnsi="Times New Roman"/>
                <w:color w:val="000000"/>
                <w:spacing w:val="-2"/>
                <w:lang w:eastAsia="pl-PL"/>
              </w:rPr>
              <w:t>lipcu i sierpniu odbyły się także spotkania</w:t>
            </w:r>
            <w:r w:rsidR="002B0012">
              <w:rPr>
                <w:rFonts w:ascii="Times New Roman" w:hAnsi="Times New Roman"/>
                <w:color w:val="000000"/>
                <w:spacing w:val="-2"/>
                <w:lang w:eastAsia="pl-PL"/>
              </w:rPr>
              <w:br/>
            </w:r>
            <w:r w:rsidR="000637DD">
              <w:rPr>
                <w:rFonts w:ascii="Times New Roman" w:hAnsi="Times New Roman"/>
                <w:color w:val="000000"/>
                <w:spacing w:val="-2"/>
                <w:lang w:eastAsia="pl-PL"/>
              </w:rPr>
              <w:t>z przedstawicielami przedsiębiorców</w:t>
            </w:r>
            <w:r w:rsidR="000211A6" w:rsidRPr="008C250A">
              <w:rPr>
                <w:rFonts w:ascii="Times New Roman" w:hAnsi="Times New Roman"/>
                <w:color w:val="000000"/>
                <w:spacing w:val="-2"/>
                <w:lang w:eastAsia="pl-PL"/>
              </w:rPr>
              <w:t>, w czasie którego uczestnicy mogli zgłosić swoje uwagi oraz uzyskać odpowiedzi na ich pytania.</w:t>
            </w:r>
          </w:p>
          <w:p w14:paraId="4B263A54" w14:textId="77777777" w:rsidR="006D0D93" w:rsidRPr="008C250A" w:rsidRDefault="006D0D93" w:rsidP="000211A6">
            <w:pPr>
              <w:spacing w:line="240" w:lineRule="auto"/>
              <w:jc w:val="both"/>
              <w:rPr>
                <w:rFonts w:ascii="Times New Roman" w:hAnsi="Times New Roman"/>
                <w:color w:val="000000"/>
                <w:spacing w:val="-2"/>
                <w:lang w:eastAsia="pl-PL"/>
              </w:rPr>
            </w:pPr>
          </w:p>
          <w:p w14:paraId="65988DD7" w14:textId="27F5B47B" w:rsidR="000211A6" w:rsidRPr="008C250A" w:rsidRDefault="000211A6" w:rsidP="006731E4">
            <w:pPr>
              <w:pStyle w:val="Default"/>
              <w:jc w:val="both"/>
              <w:rPr>
                <w:spacing w:val="-2"/>
                <w:sz w:val="22"/>
                <w:szCs w:val="22"/>
              </w:rPr>
            </w:pPr>
            <w:r w:rsidRPr="008C250A">
              <w:rPr>
                <w:spacing w:val="-2"/>
                <w:sz w:val="22"/>
                <w:szCs w:val="22"/>
              </w:rPr>
              <w:t xml:space="preserve">Konsultacje zostaną przeprowadzone </w:t>
            </w:r>
            <w:r w:rsidR="000637DD">
              <w:rPr>
                <w:spacing w:val="-2"/>
                <w:sz w:val="22"/>
                <w:szCs w:val="22"/>
              </w:rPr>
              <w:t>w pierwszej połowie stycznia i będą trwały 10</w:t>
            </w:r>
            <w:r w:rsidRPr="008C250A">
              <w:rPr>
                <w:spacing w:val="-2"/>
                <w:sz w:val="22"/>
                <w:szCs w:val="22"/>
              </w:rPr>
              <w:t xml:space="preserve"> dni. Skrócenie okresu konsultacji społecznych jest uzasadnione prze</w:t>
            </w:r>
            <w:r w:rsidR="000637DD">
              <w:rPr>
                <w:spacing w:val="-2"/>
                <w:sz w:val="22"/>
                <w:szCs w:val="22"/>
              </w:rPr>
              <w:t xml:space="preserve">prowadzonymi w lipcu </w:t>
            </w:r>
            <w:r w:rsidRPr="008C250A">
              <w:rPr>
                <w:spacing w:val="-2"/>
                <w:sz w:val="22"/>
                <w:szCs w:val="22"/>
              </w:rPr>
              <w:t xml:space="preserve">prekonsultacjami, jak również koniecznością </w:t>
            </w:r>
            <w:r w:rsidR="000637DD">
              <w:rPr>
                <w:spacing w:val="-2"/>
                <w:sz w:val="22"/>
                <w:szCs w:val="22"/>
              </w:rPr>
              <w:t xml:space="preserve">pilnego </w:t>
            </w:r>
            <w:r w:rsidRPr="008C250A">
              <w:rPr>
                <w:spacing w:val="-2"/>
                <w:sz w:val="22"/>
                <w:szCs w:val="22"/>
              </w:rPr>
              <w:t>wdrożeni</w:t>
            </w:r>
            <w:r w:rsidR="000637DD">
              <w:rPr>
                <w:spacing w:val="-2"/>
                <w:sz w:val="22"/>
                <w:szCs w:val="22"/>
              </w:rPr>
              <w:t>a dyrektywy DAC7.</w:t>
            </w:r>
          </w:p>
          <w:p w14:paraId="2FE5F1F6" w14:textId="77777777" w:rsidR="008718C6" w:rsidRPr="008C250A" w:rsidRDefault="008718C6" w:rsidP="006731E4">
            <w:pPr>
              <w:pStyle w:val="Default"/>
              <w:jc w:val="both"/>
              <w:rPr>
                <w:spacing w:val="-2"/>
                <w:sz w:val="22"/>
                <w:szCs w:val="22"/>
              </w:rPr>
            </w:pPr>
          </w:p>
          <w:p w14:paraId="4C07C72F" w14:textId="77777777" w:rsidR="008718C6" w:rsidRDefault="008718C6" w:rsidP="006731E4">
            <w:pPr>
              <w:pStyle w:val="Default"/>
              <w:jc w:val="both"/>
              <w:rPr>
                <w:spacing w:val="-2"/>
                <w:sz w:val="22"/>
                <w:szCs w:val="22"/>
              </w:rPr>
            </w:pPr>
            <w:r w:rsidRPr="008C250A">
              <w:rPr>
                <w:spacing w:val="-2"/>
                <w:sz w:val="22"/>
                <w:szCs w:val="22"/>
              </w:rPr>
              <w:t>Lista podmiotów, które wezmą udział w konsultacjach publicznych:</w:t>
            </w:r>
          </w:p>
          <w:p w14:paraId="56D07A88" w14:textId="77777777" w:rsidR="00C44551" w:rsidRPr="008C250A" w:rsidRDefault="00C44551" w:rsidP="006731E4">
            <w:pPr>
              <w:pStyle w:val="Default"/>
              <w:jc w:val="both"/>
              <w:rPr>
                <w:spacing w:val="-2"/>
                <w:sz w:val="22"/>
                <w:szCs w:val="22"/>
              </w:rPr>
            </w:pPr>
          </w:p>
          <w:p w14:paraId="37D145BA"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 xml:space="preserve">Niezależny Samorządny Związek Zawodowy „Solidarność”, </w:t>
            </w:r>
          </w:p>
          <w:p w14:paraId="726CAF4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Ogólnopolskie Porozumienie Związków Zawodowych,  </w:t>
            </w:r>
          </w:p>
          <w:p w14:paraId="4E8D5EA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 xml:space="preserve">Forum Związków Zawodowych, </w:t>
            </w:r>
          </w:p>
          <w:p w14:paraId="207441E6"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 xml:space="preserve">Związek Pracodawców Business Centre Club, </w:t>
            </w:r>
          </w:p>
          <w:p w14:paraId="2710CE40"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Gospodarki Nieruchomościami</w:t>
            </w:r>
          </w:p>
          <w:p w14:paraId="4AC541D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Business Centre Club</w:t>
            </w:r>
          </w:p>
          <w:p w14:paraId="0C7BD815"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Księgowych w Polsce</w:t>
            </w:r>
          </w:p>
          <w:p w14:paraId="061D649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Naczelna Rada Adwokacka</w:t>
            </w:r>
          </w:p>
          <w:p w14:paraId="30A8A8D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Biegłych Rewidentów</w:t>
            </w:r>
          </w:p>
          <w:p w14:paraId="5162B5A5"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Naczelna Rada Zrzeszeń Handlu i Usług</w:t>
            </w:r>
          </w:p>
          <w:p w14:paraId="52DF5DD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Doradców Podatkowych</w:t>
            </w:r>
          </w:p>
          <w:p w14:paraId="5E201EA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Gospodarcza</w:t>
            </w:r>
          </w:p>
          <w:p w14:paraId="1145D2A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Pracodawcy Rzeczypospolitej Polskiej</w:t>
            </w:r>
          </w:p>
          <w:p w14:paraId="3EB00C0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Konfederacja LEWIATAN</w:t>
            </w:r>
          </w:p>
          <w:p w14:paraId="02CAC9A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Radców Prawnych</w:t>
            </w:r>
          </w:p>
          <w:p w14:paraId="38A5F1D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Rada Biznesu</w:t>
            </w:r>
          </w:p>
          <w:p w14:paraId="513BA27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Handlu</w:t>
            </w:r>
          </w:p>
          <w:p w14:paraId="77D4AC8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Organizacja Handlu i Dystrybucji</w:t>
            </w:r>
          </w:p>
          <w:p w14:paraId="34EAEC0A"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Konferencja Przedsiębiorstw Finansowych w Polsce</w:t>
            </w:r>
          </w:p>
          <w:p w14:paraId="336E1C5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Rada Komornicza</w:t>
            </w:r>
          </w:p>
          <w:p w14:paraId="224308BC"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Paliw Płynnych</w:t>
            </w:r>
          </w:p>
          <w:p w14:paraId="00B2CBD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Organizacja Gazu Płynnego</w:t>
            </w:r>
          </w:p>
          <w:p w14:paraId="6642019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Organizacja Przemysłu i Handlu Naftowego</w:t>
            </w:r>
          </w:p>
          <w:p w14:paraId="0D44EB6F"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Importerów i Producentów Sprzętu Elektrycznego i Elektronicznego Branży RTV i IT - ZIPSEE „Cyfrowa Polska"</w:t>
            </w:r>
          </w:p>
          <w:p w14:paraId="2808C8E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Informatyki i Telekomunikacji</w:t>
            </w:r>
          </w:p>
          <w:p w14:paraId="740F4B7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Gospodarki Elektronicznej</w:t>
            </w:r>
          </w:p>
          <w:p w14:paraId="09CFB58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Izba Gospodarcza Elektroniki i Telekomunikacji</w:t>
            </w:r>
          </w:p>
          <w:p w14:paraId="0073E206"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Komunikacji Elektronicznej</w:t>
            </w:r>
          </w:p>
          <w:p w14:paraId="78B2BBD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Pracodawców Branży Internetowej IAB Polska</w:t>
            </w:r>
          </w:p>
          <w:p w14:paraId="7BDC579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APPLIA Polska - Członek Europejskiego Stowarzyszenia Producentów AGD</w:t>
            </w:r>
          </w:p>
          <w:p w14:paraId="4F19C57A"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Pracodawców Mediów Elektronicznych i Telekomunikacji Mediakom</w:t>
            </w:r>
          </w:p>
          <w:p w14:paraId="2AB9B004"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Przedsiębiorców i Pracodawców</w:t>
            </w:r>
          </w:p>
          <w:p w14:paraId="30A24300"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Federacja Przedsiębiorców Polskich</w:t>
            </w:r>
          </w:p>
          <w:p w14:paraId="5BF11DA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Rzemiosła Polskiego</w:t>
            </w:r>
          </w:p>
          <w:p w14:paraId="4C0B9AE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lastRenderedPageBreak/>
              <w:t>Ogólnopolska Federacja Przedsiębiorców i Pracodawców Przedsiębiorcy.pl</w:t>
            </w:r>
          </w:p>
          <w:p w14:paraId="7441BCA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Pracodawców Klastry Polskie</w:t>
            </w:r>
          </w:p>
          <w:p w14:paraId="18EFF3E5"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Polskie Towarzystwo Gospodarcze</w:t>
            </w:r>
          </w:p>
          <w:p w14:paraId="486C50C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Rada Spółdzielcza</w:t>
            </w:r>
          </w:p>
          <w:p w14:paraId="7E6327FF"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Przemysłowo-Handlowa Inwestorów w Polsce</w:t>
            </w:r>
          </w:p>
          <w:p w14:paraId="3D0255B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Gospodarcza Importerów, Eksporterów i Kooperacji</w:t>
            </w:r>
          </w:p>
          <w:p w14:paraId="1D9E9BC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Eksporterów Polskich</w:t>
            </w:r>
          </w:p>
          <w:p w14:paraId="68CBF74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Krajowe Stowarzyszenie Eksporterzy Rzeczypospolitej Polskiej</w:t>
            </w:r>
          </w:p>
          <w:p w14:paraId="73D9C5D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Rada Centrów Handlowych</w:t>
            </w:r>
          </w:p>
          <w:p w14:paraId="0487B6A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Ogólnopolskie Stowarzyszenie Kupców i Drobnej Wytwórczości</w:t>
            </w:r>
          </w:p>
          <w:p w14:paraId="6576EDB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 Związek Pracodawców Budownictwa</w:t>
            </w:r>
          </w:p>
          <w:p w14:paraId="1E8AAFDF"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Przemysłowo-Handlowa Budownictwa</w:t>
            </w:r>
          </w:p>
          <w:p w14:paraId="4989B36F"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Federacja Rynku Nieruchomości</w:t>
            </w:r>
          </w:p>
          <w:p w14:paraId="42B596B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Gospodarcza Hotelarstwa Polskiego</w:t>
            </w:r>
          </w:p>
          <w:p w14:paraId="4B63F22D"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Pracodawców Polskich</w:t>
            </w:r>
          </w:p>
          <w:p w14:paraId="544E8050"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Organizacja Franczyzodawców</w:t>
            </w:r>
          </w:p>
          <w:p w14:paraId="629D605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Rada Gospodarcza Strefy Wolnego Słowa</w:t>
            </w:r>
          </w:p>
          <w:p w14:paraId="4A85DD4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Samozatrudnieni</w:t>
            </w:r>
          </w:p>
          <w:p w14:paraId="0C87717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UNICORN Europejska Unia Małych i Średnich Przedsiębiorstw</w:t>
            </w:r>
          </w:p>
          <w:p w14:paraId="4318DFA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Giełda Papierów Wartościowych</w:t>
            </w:r>
          </w:p>
          <w:p w14:paraId="2C4932C8"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Domów Maklerskich</w:t>
            </w:r>
          </w:p>
          <w:p w14:paraId="0F2DFB1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Zarządzających Funduszami i Aktywami</w:t>
            </w:r>
          </w:p>
          <w:p w14:paraId="7205C84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Spółdzielcza Kasa Oszczędnościowo-Kredytowa</w:t>
            </w:r>
          </w:p>
          <w:p w14:paraId="62E0B3AA"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Krajowe Stowarzyszenie Funduszy Poręczeniowych</w:t>
            </w:r>
          </w:p>
          <w:p w14:paraId="61596E60"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Krajowy Związek Banków Spółdzielczych</w:t>
            </w:r>
          </w:p>
          <w:p w14:paraId="3EEC4F1D"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Pośredników Ubezpieczeniowych i Finansowych</w:t>
            </w:r>
          </w:p>
          <w:p w14:paraId="0AA3D724"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Ubezpieczeń</w:t>
            </w:r>
          </w:p>
          <w:p w14:paraId="4A813E1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Organizacja Niebankowych Instytucji Płatności - Związek Pracodawców</w:t>
            </w:r>
          </w:p>
          <w:p w14:paraId="5B38EE06"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 Związek Funduszy Pożyczkowych</w:t>
            </w:r>
          </w:p>
          <w:p w14:paraId="32102FF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 Związek Instytucji Pożyczkowych</w:t>
            </w:r>
          </w:p>
          <w:p w14:paraId="320C59F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Polskich Brokerów Ubezpieczeniowych i Reasekuracyjnych</w:t>
            </w:r>
          </w:p>
          <w:p w14:paraId="1EE426A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Banków Polskich</w:t>
            </w:r>
          </w:p>
          <w:p w14:paraId="31ABD146"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Polskiego Leasingu</w:t>
            </w:r>
          </w:p>
          <w:p w14:paraId="278846E5"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Krajowa Rada Notarialna</w:t>
            </w:r>
          </w:p>
          <w:p w14:paraId="3214783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Pracodawców Przemysłu Odzieżowego i Tekstylnego</w:t>
            </w:r>
          </w:p>
          <w:p w14:paraId="5654923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Gospodarcza „FARMACJA POLSKA"</w:t>
            </w:r>
          </w:p>
          <w:p w14:paraId="057A700C"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Zielarsko- Medyczna i Drogeryjna</w:t>
            </w:r>
          </w:p>
          <w:p w14:paraId="45293FF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 Związek Przemysłu Kosmetycznego</w:t>
            </w:r>
          </w:p>
          <w:p w14:paraId="5A86FA9C"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Polskie Stowarzyszenie Przemysłu Kosmetycznego i Detergentowego</w:t>
            </w:r>
          </w:p>
          <w:p w14:paraId="07490865"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Pracodawców Hurtowni Farmaceutycznych</w:t>
            </w:r>
          </w:p>
          <w:p w14:paraId="17D3B661"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Turystyki</w:t>
            </w:r>
          </w:p>
          <w:p w14:paraId="300856BE"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Druku</w:t>
            </w:r>
          </w:p>
          <w:p w14:paraId="4AF4970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Książki</w:t>
            </w:r>
          </w:p>
          <w:p w14:paraId="2451F55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Europejskie Centrum Konsumenckie w Polsce</w:t>
            </w:r>
          </w:p>
          <w:p w14:paraId="773E5E6D"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Federacja Konsumentów</w:t>
            </w:r>
          </w:p>
          <w:p w14:paraId="2EB9688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Konsumentów Polskich</w:t>
            </w:r>
          </w:p>
          <w:p w14:paraId="19EC7A89"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Fundacja Małych i Średnich Przedsiębiorstw</w:t>
            </w:r>
          </w:p>
          <w:p w14:paraId="20258BAD"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Fundacja Republikańska</w:t>
            </w:r>
          </w:p>
          <w:p w14:paraId="5B6C1E46"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Stowarzyszenie Dystrybutorów i Producentów Części Motoryzacyjnych</w:t>
            </w:r>
          </w:p>
          <w:p w14:paraId="5DD246A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Francusko-Polska Izba Gospodarcza</w:t>
            </w:r>
          </w:p>
          <w:p w14:paraId="66ECA192"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Polsko - Hiszpańska Izba Gospodarcza</w:t>
            </w:r>
          </w:p>
          <w:p w14:paraId="1EFF4D63"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Polsko-Niemiecka Izba Przemysłowo-Handlowa</w:t>
            </w:r>
          </w:p>
          <w:p w14:paraId="43487F4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Polsko-Szwedzka Izba Gospodarcza</w:t>
            </w:r>
          </w:p>
          <w:p w14:paraId="4F484027"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Izba Przemysłowo - Handlowa w Rzeszowie</w:t>
            </w:r>
          </w:p>
          <w:p w14:paraId="21D20531"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Niderlandzko-Polska Izba Gospodarcza</w:t>
            </w:r>
          </w:p>
          <w:p w14:paraId="111DE74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Związek Rzemiosła Polskiego</w:t>
            </w:r>
          </w:p>
          <w:p w14:paraId="433EEE74"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Polska Izba Przemysłu Farmaceutycznego i Wyrobów Medycznych POLFARMED</w:t>
            </w:r>
          </w:p>
          <w:p w14:paraId="604EB98C"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Ogólnopolska Izba Gospodarcza Producentów Mebli</w:t>
            </w:r>
          </w:p>
          <w:p w14:paraId="47310ECB" w14:textId="77777777" w:rsidR="00E43B8D" w:rsidRPr="00E43B8D" w:rsidRDefault="00E43B8D" w:rsidP="00E43B8D">
            <w:pPr>
              <w:pStyle w:val="Default"/>
              <w:numPr>
                <w:ilvl w:val="0"/>
                <w:numId w:val="40"/>
              </w:numPr>
              <w:jc w:val="both"/>
              <w:rPr>
                <w:spacing w:val="-2"/>
                <w:sz w:val="20"/>
                <w:szCs w:val="20"/>
              </w:rPr>
            </w:pPr>
            <w:r w:rsidRPr="00E43B8D">
              <w:rPr>
                <w:spacing w:val="-2"/>
                <w:sz w:val="20"/>
                <w:szCs w:val="20"/>
              </w:rPr>
              <w:t>Wirtualna Polska Media SA</w:t>
            </w:r>
          </w:p>
          <w:p w14:paraId="6BC935C1" w14:textId="77777777" w:rsidR="00DD5D7B" w:rsidRDefault="00DD5D7B" w:rsidP="00E43B8D">
            <w:pPr>
              <w:pStyle w:val="Default"/>
              <w:jc w:val="both"/>
              <w:rPr>
                <w:spacing w:val="-2"/>
                <w:sz w:val="20"/>
                <w:szCs w:val="20"/>
              </w:rPr>
            </w:pPr>
          </w:p>
          <w:p w14:paraId="7F34F1D9" w14:textId="77777777" w:rsidR="00E43B8D" w:rsidRPr="00B37C80" w:rsidRDefault="00E43B8D" w:rsidP="00E43B8D">
            <w:pPr>
              <w:pStyle w:val="Default"/>
              <w:jc w:val="both"/>
              <w:rPr>
                <w:spacing w:val="-2"/>
              </w:rPr>
            </w:pPr>
          </w:p>
        </w:tc>
      </w:tr>
      <w:tr w:rsidR="00DD5D7B" w:rsidRPr="008B4FE6" w14:paraId="455597E1" w14:textId="77777777" w:rsidTr="00676C8D">
        <w:trPr>
          <w:gridAfter w:val="1"/>
          <w:wAfter w:w="10" w:type="dxa"/>
          <w:trHeight w:val="363"/>
        </w:trPr>
        <w:tc>
          <w:tcPr>
            <w:tcW w:w="10937" w:type="dxa"/>
            <w:gridSpan w:val="29"/>
            <w:shd w:val="clear" w:color="auto" w:fill="99CCFF"/>
            <w:vAlign w:val="center"/>
          </w:tcPr>
          <w:p w14:paraId="02F32816" w14:textId="77777777" w:rsidR="00DD5D7B" w:rsidRPr="008B4FE6" w:rsidRDefault="00DD5D7B" w:rsidP="00DD5D7B">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DD5D7B" w:rsidRPr="008B4FE6" w14:paraId="2051B5B9" w14:textId="77777777" w:rsidTr="00676C8D">
        <w:trPr>
          <w:gridAfter w:val="1"/>
          <w:wAfter w:w="10" w:type="dxa"/>
          <w:trHeight w:val="142"/>
        </w:trPr>
        <w:tc>
          <w:tcPr>
            <w:tcW w:w="3133" w:type="dxa"/>
            <w:gridSpan w:val="4"/>
            <w:vMerge w:val="restart"/>
            <w:shd w:val="clear" w:color="auto" w:fill="FFFFFF"/>
          </w:tcPr>
          <w:p w14:paraId="7FB05BF1" w14:textId="5C7BF542" w:rsidR="00DD5D7B" w:rsidRPr="008C250A" w:rsidRDefault="004B0D13" w:rsidP="00DD5D7B">
            <w:pPr>
              <w:spacing w:before="40" w:after="40"/>
              <w:rPr>
                <w:rFonts w:ascii="Times New Roman" w:hAnsi="Times New Roman"/>
                <w:i/>
                <w:color w:val="000000"/>
              </w:rPr>
            </w:pPr>
            <w:r>
              <w:rPr>
                <w:rFonts w:ascii="Times New Roman" w:hAnsi="Times New Roman"/>
                <w:color w:val="000000"/>
              </w:rPr>
              <w:t xml:space="preserve">(ceny stałe z </w:t>
            </w:r>
            <w:bookmarkStart w:id="4" w:name="_GoBack"/>
            <w:r>
              <w:rPr>
                <w:rFonts w:ascii="Times New Roman" w:hAnsi="Times New Roman"/>
                <w:color w:val="000000"/>
              </w:rPr>
              <w:t>2022</w:t>
            </w:r>
            <w:bookmarkEnd w:id="4"/>
            <w:r>
              <w:rPr>
                <w:rFonts w:ascii="Times New Roman" w:hAnsi="Times New Roman"/>
                <w:color w:val="000000"/>
              </w:rPr>
              <w:t xml:space="preserve"> </w:t>
            </w:r>
            <w:r w:rsidR="00DD5D7B" w:rsidRPr="008C250A">
              <w:rPr>
                <w:rFonts w:ascii="Times New Roman" w:hAnsi="Times New Roman"/>
                <w:color w:val="000000"/>
              </w:rPr>
              <w:t>r.)</w:t>
            </w:r>
          </w:p>
        </w:tc>
        <w:tc>
          <w:tcPr>
            <w:tcW w:w="7804" w:type="dxa"/>
            <w:gridSpan w:val="25"/>
            <w:shd w:val="clear" w:color="auto" w:fill="FFFFFF"/>
          </w:tcPr>
          <w:p w14:paraId="2BC42F27" w14:textId="77777777" w:rsidR="00DD5D7B" w:rsidRPr="008C250A" w:rsidRDefault="00DD5D7B" w:rsidP="00DD5D7B">
            <w:pPr>
              <w:spacing w:before="40" w:after="40" w:line="240" w:lineRule="auto"/>
              <w:jc w:val="center"/>
              <w:rPr>
                <w:rFonts w:ascii="Times New Roman" w:hAnsi="Times New Roman"/>
                <w:i/>
                <w:color w:val="000000"/>
                <w:spacing w:val="-2"/>
              </w:rPr>
            </w:pPr>
            <w:r w:rsidRPr="008C250A">
              <w:rPr>
                <w:rFonts w:ascii="Times New Roman" w:hAnsi="Times New Roman"/>
                <w:color w:val="000000"/>
              </w:rPr>
              <w:t>Skutki w okresie 10 lat od wejścia w życie zmian [mln zł]</w:t>
            </w:r>
          </w:p>
        </w:tc>
      </w:tr>
      <w:tr w:rsidR="00DD5D7B" w:rsidRPr="008B4FE6" w14:paraId="71BBB94E" w14:textId="77777777" w:rsidTr="00676C8D">
        <w:trPr>
          <w:gridAfter w:val="1"/>
          <w:wAfter w:w="10" w:type="dxa"/>
          <w:trHeight w:val="142"/>
        </w:trPr>
        <w:tc>
          <w:tcPr>
            <w:tcW w:w="3133" w:type="dxa"/>
            <w:gridSpan w:val="4"/>
            <w:vMerge/>
            <w:shd w:val="clear" w:color="auto" w:fill="FFFFFF"/>
          </w:tcPr>
          <w:p w14:paraId="79B549C7" w14:textId="77777777" w:rsidR="00DD5D7B" w:rsidRPr="008C250A" w:rsidRDefault="00DD5D7B" w:rsidP="00DD5D7B">
            <w:pPr>
              <w:spacing w:before="40" w:after="40" w:line="240" w:lineRule="auto"/>
              <w:rPr>
                <w:rFonts w:ascii="Times New Roman" w:hAnsi="Times New Roman"/>
                <w:i/>
                <w:color w:val="000000"/>
              </w:rPr>
            </w:pPr>
          </w:p>
        </w:tc>
        <w:tc>
          <w:tcPr>
            <w:tcW w:w="569" w:type="dxa"/>
            <w:gridSpan w:val="2"/>
            <w:shd w:val="clear" w:color="auto" w:fill="FFFFFF"/>
          </w:tcPr>
          <w:p w14:paraId="3ADC53C0"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0</w:t>
            </w:r>
          </w:p>
        </w:tc>
        <w:tc>
          <w:tcPr>
            <w:tcW w:w="570" w:type="dxa"/>
            <w:gridSpan w:val="2"/>
            <w:shd w:val="clear" w:color="auto" w:fill="FFFFFF"/>
          </w:tcPr>
          <w:p w14:paraId="3185BB5A"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1</w:t>
            </w:r>
          </w:p>
        </w:tc>
        <w:tc>
          <w:tcPr>
            <w:tcW w:w="570" w:type="dxa"/>
            <w:gridSpan w:val="2"/>
            <w:shd w:val="clear" w:color="auto" w:fill="FFFFFF"/>
          </w:tcPr>
          <w:p w14:paraId="727133EC"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2</w:t>
            </w:r>
          </w:p>
        </w:tc>
        <w:tc>
          <w:tcPr>
            <w:tcW w:w="569" w:type="dxa"/>
            <w:gridSpan w:val="3"/>
            <w:shd w:val="clear" w:color="auto" w:fill="FFFFFF"/>
          </w:tcPr>
          <w:p w14:paraId="7BE1E8D4"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3</w:t>
            </w:r>
          </w:p>
        </w:tc>
        <w:tc>
          <w:tcPr>
            <w:tcW w:w="570" w:type="dxa"/>
            <w:gridSpan w:val="2"/>
            <w:shd w:val="clear" w:color="auto" w:fill="FFFFFF"/>
          </w:tcPr>
          <w:p w14:paraId="24AE1636"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4</w:t>
            </w:r>
          </w:p>
        </w:tc>
        <w:tc>
          <w:tcPr>
            <w:tcW w:w="570" w:type="dxa"/>
            <w:shd w:val="clear" w:color="auto" w:fill="FFFFFF"/>
          </w:tcPr>
          <w:p w14:paraId="4596DF92"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5</w:t>
            </w:r>
          </w:p>
        </w:tc>
        <w:tc>
          <w:tcPr>
            <w:tcW w:w="570" w:type="dxa"/>
            <w:gridSpan w:val="3"/>
            <w:shd w:val="clear" w:color="auto" w:fill="FFFFFF"/>
          </w:tcPr>
          <w:p w14:paraId="480BC898"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6</w:t>
            </w:r>
          </w:p>
        </w:tc>
        <w:tc>
          <w:tcPr>
            <w:tcW w:w="569" w:type="dxa"/>
            <w:gridSpan w:val="3"/>
            <w:shd w:val="clear" w:color="auto" w:fill="FFFFFF"/>
          </w:tcPr>
          <w:p w14:paraId="071B3FEC"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7</w:t>
            </w:r>
          </w:p>
        </w:tc>
        <w:tc>
          <w:tcPr>
            <w:tcW w:w="570" w:type="dxa"/>
            <w:gridSpan w:val="2"/>
            <w:shd w:val="clear" w:color="auto" w:fill="FFFFFF"/>
          </w:tcPr>
          <w:p w14:paraId="3B6FE5E6"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8</w:t>
            </w:r>
          </w:p>
        </w:tc>
        <w:tc>
          <w:tcPr>
            <w:tcW w:w="570" w:type="dxa"/>
            <w:gridSpan w:val="2"/>
            <w:shd w:val="clear" w:color="auto" w:fill="FFFFFF"/>
          </w:tcPr>
          <w:p w14:paraId="4ED385FD"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9</w:t>
            </w:r>
          </w:p>
        </w:tc>
        <w:tc>
          <w:tcPr>
            <w:tcW w:w="570" w:type="dxa"/>
            <w:gridSpan w:val="2"/>
            <w:shd w:val="clear" w:color="auto" w:fill="FFFFFF"/>
          </w:tcPr>
          <w:p w14:paraId="23C82828" w14:textId="77777777" w:rsidR="00DD5D7B" w:rsidRPr="008C250A" w:rsidRDefault="00DD5D7B" w:rsidP="00DD5D7B">
            <w:pPr>
              <w:spacing w:line="240" w:lineRule="auto"/>
              <w:jc w:val="center"/>
              <w:rPr>
                <w:rFonts w:ascii="Times New Roman" w:hAnsi="Times New Roman"/>
                <w:color w:val="000000"/>
              </w:rPr>
            </w:pPr>
            <w:r w:rsidRPr="008C250A">
              <w:rPr>
                <w:rFonts w:ascii="Times New Roman" w:hAnsi="Times New Roman"/>
                <w:color w:val="000000"/>
              </w:rPr>
              <w:t>10</w:t>
            </w:r>
          </w:p>
        </w:tc>
        <w:tc>
          <w:tcPr>
            <w:tcW w:w="1537" w:type="dxa"/>
            <w:shd w:val="clear" w:color="auto" w:fill="FFFFFF"/>
          </w:tcPr>
          <w:p w14:paraId="50B959ED" w14:textId="77777777" w:rsidR="00DD5D7B" w:rsidRPr="008C250A" w:rsidRDefault="00DD5D7B" w:rsidP="00DD5D7B">
            <w:pPr>
              <w:spacing w:before="40" w:after="40" w:line="240" w:lineRule="auto"/>
              <w:jc w:val="center"/>
              <w:rPr>
                <w:rFonts w:ascii="Times New Roman" w:hAnsi="Times New Roman"/>
                <w:i/>
                <w:color w:val="000000"/>
                <w:spacing w:val="-2"/>
              </w:rPr>
            </w:pPr>
            <w:r w:rsidRPr="008C250A">
              <w:rPr>
                <w:rFonts w:ascii="Times New Roman" w:hAnsi="Times New Roman"/>
                <w:i/>
                <w:color w:val="000000"/>
                <w:spacing w:val="-2"/>
              </w:rPr>
              <w:t>Łącznie (0-10)</w:t>
            </w:r>
          </w:p>
        </w:tc>
      </w:tr>
      <w:tr w:rsidR="00DD5D7B" w:rsidRPr="008B4FE6" w14:paraId="5DDF9EBF" w14:textId="77777777" w:rsidTr="00676C8D">
        <w:trPr>
          <w:trHeight w:val="321"/>
        </w:trPr>
        <w:tc>
          <w:tcPr>
            <w:tcW w:w="3133" w:type="dxa"/>
            <w:gridSpan w:val="4"/>
            <w:shd w:val="clear" w:color="auto" w:fill="FFFFFF"/>
            <w:vAlign w:val="center"/>
          </w:tcPr>
          <w:p w14:paraId="49C0C7DE" w14:textId="77777777" w:rsidR="00DD5D7B" w:rsidRPr="008C250A" w:rsidRDefault="00DD5D7B" w:rsidP="00DD5D7B">
            <w:pPr>
              <w:spacing w:line="240" w:lineRule="auto"/>
              <w:rPr>
                <w:rFonts w:ascii="Times New Roman" w:hAnsi="Times New Roman"/>
                <w:color w:val="000000"/>
              </w:rPr>
            </w:pPr>
            <w:r w:rsidRPr="008C250A">
              <w:rPr>
                <w:rFonts w:ascii="Times New Roman" w:hAnsi="Times New Roman"/>
                <w:b/>
                <w:color w:val="000000"/>
              </w:rPr>
              <w:t>Dochody ogółem</w:t>
            </w:r>
          </w:p>
        </w:tc>
        <w:tc>
          <w:tcPr>
            <w:tcW w:w="569" w:type="dxa"/>
            <w:gridSpan w:val="2"/>
            <w:shd w:val="clear" w:color="auto" w:fill="FFFFFF"/>
          </w:tcPr>
          <w:p w14:paraId="03C06419" w14:textId="77777777" w:rsidR="00DD5D7B" w:rsidRPr="007304B1"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6CCBB66" w14:textId="77777777" w:rsidR="00DD5D7B" w:rsidRPr="00C828BC"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773DE0E3" w14:textId="77777777" w:rsidR="00DD5D7B" w:rsidRPr="004129BA"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1BE96472"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63BF262E" w14:textId="77777777" w:rsidR="00DD5D7B" w:rsidRPr="00B37C80" w:rsidRDefault="00DD5D7B" w:rsidP="00DD5D7B">
            <w:pPr>
              <w:spacing w:line="240" w:lineRule="auto"/>
              <w:rPr>
                <w:rFonts w:ascii="Times New Roman" w:hAnsi="Times New Roman"/>
                <w:color w:val="000000"/>
                <w:sz w:val="21"/>
                <w:szCs w:val="21"/>
              </w:rPr>
            </w:pPr>
          </w:p>
        </w:tc>
        <w:tc>
          <w:tcPr>
            <w:tcW w:w="570" w:type="dxa"/>
            <w:shd w:val="clear" w:color="auto" w:fill="FFFFFF"/>
          </w:tcPr>
          <w:p w14:paraId="37289877"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3"/>
            <w:shd w:val="clear" w:color="auto" w:fill="FFFFFF"/>
          </w:tcPr>
          <w:p w14:paraId="2B6DDA55" w14:textId="77777777" w:rsidR="00DD5D7B" w:rsidRPr="00B37C80"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305DC533"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1862F299"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27018C7C"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1772DAB" w14:textId="77777777" w:rsidR="00DD5D7B" w:rsidRPr="00B37C80" w:rsidRDefault="00DD5D7B" w:rsidP="00DD5D7B">
            <w:pPr>
              <w:spacing w:line="240" w:lineRule="auto"/>
              <w:rPr>
                <w:rFonts w:ascii="Times New Roman" w:hAnsi="Times New Roman"/>
                <w:color w:val="000000"/>
                <w:sz w:val="21"/>
                <w:szCs w:val="21"/>
              </w:rPr>
            </w:pPr>
          </w:p>
        </w:tc>
        <w:tc>
          <w:tcPr>
            <w:tcW w:w="1547" w:type="dxa"/>
            <w:gridSpan w:val="2"/>
            <w:shd w:val="clear" w:color="auto" w:fill="FFFFFF"/>
          </w:tcPr>
          <w:p w14:paraId="541FAA93" w14:textId="77777777" w:rsidR="00DD5D7B" w:rsidRPr="00B37C80" w:rsidRDefault="00DD5D7B" w:rsidP="00DD5D7B">
            <w:pPr>
              <w:spacing w:line="240" w:lineRule="auto"/>
              <w:rPr>
                <w:rFonts w:ascii="Times New Roman" w:hAnsi="Times New Roman"/>
                <w:color w:val="000000"/>
                <w:spacing w:val="-2"/>
                <w:sz w:val="21"/>
                <w:szCs w:val="21"/>
              </w:rPr>
            </w:pPr>
          </w:p>
        </w:tc>
      </w:tr>
      <w:tr w:rsidR="00DD5D7B" w:rsidRPr="008B4FE6" w14:paraId="7AF50112" w14:textId="77777777" w:rsidTr="00676C8D">
        <w:trPr>
          <w:trHeight w:val="321"/>
        </w:trPr>
        <w:tc>
          <w:tcPr>
            <w:tcW w:w="3133" w:type="dxa"/>
            <w:gridSpan w:val="4"/>
            <w:shd w:val="clear" w:color="auto" w:fill="FFFFFF"/>
            <w:vAlign w:val="center"/>
          </w:tcPr>
          <w:p w14:paraId="66D9E66B" w14:textId="77777777" w:rsidR="00DD5D7B" w:rsidRPr="008C250A" w:rsidRDefault="00DD5D7B" w:rsidP="00DD5D7B">
            <w:pPr>
              <w:spacing w:line="240" w:lineRule="auto"/>
              <w:rPr>
                <w:rFonts w:ascii="Times New Roman" w:hAnsi="Times New Roman"/>
                <w:color w:val="000000"/>
              </w:rPr>
            </w:pPr>
            <w:r w:rsidRPr="008C250A">
              <w:rPr>
                <w:rFonts w:ascii="Times New Roman" w:hAnsi="Times New Roman"/>
                <w:color w:val="000000"/>
              </w:rPr>
              <w:lastRenderedPageBreak/>
              <w:t>budżet państwa</w:t>
            </w:r>
          </w:p>
        </w:tc>
        <w:tc>
          <w:tcPr>
            <w:tcW w:w="569" w:type="dxa"/>
            <w:gridSpan w:val="2"/>
            <w:shd w:val="clear" w:color="auto" w:fill="FFFFFF"/>
          </w:tcPr>
          <w:p w14:paraId="50697954" w14:textId="77777777" w:rsidR="00DD5D7B" w:rsidRPr="007304B1"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796058EA" w14:textId="77777777" w:rsidR="00DD5D7B" w:rsidRPr="00C828BC"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03FFB34" w14:textId="77777777" w:rsidR="00DD5D7B" w:rsidRPr="004129BA"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3194A679"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2EC34CB9" w14:textId="77777777" w:rsidR="00DD5D7B" w:rsidRPr="00B37C80" w:rsidRDefault="00DD5D7B" w:rsidP="00DD5D7B">
            <w:pPr>
              <w:spacing w:line="240" w:lineRule="auto"/>
              <w:rPr>
                <w:rFonts w:ascii="Times New Roman" w:hAnsi="Times New Roman"/>
                <w:color w:val="000000"/>
                <w:sz w:val="21"/>
                <w:szCs w:val="21"/>
              </w:rPr>
            </w:pPr>
          </w:p>
        </w:tc>
        <w:tc>
          <w:tcPr>
            <w:tcW w:w="570" w:type="dxa"/>
            <w:shd w:val="clear" w:color="auto" w:fill="FFFFFF"/>
          </w:tcPr>
          <w:p w14:paraId="15631220"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3"/>
            <w:shd w:val="clear" w:color="auto" w:fill="FFFFFF"/>
          </w:tcPr>
          <w:p w14:paraId="14BB22F4" w14:textId="77777777" w:rsidR="00DD5D7B" w:rsidRPr="00B37C80"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6A38AF7F"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1BB19892"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736CF11"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5CB2713A" w14:textId="77777777" w:rsidR="00DD5D7B" w:rsidRPr="00B37C80" w:rsidRDefault="00DD5D7B" w:rsidP="00DD5D7B">
            <w:pPr>
              <w:spacing w:line="240" w:lineRule="auto"/>
              <w:rPr>
                <w:rFonts w:ascii="Times New Roman" w:hAnsi="Times New Roman"/>
                <w:color w:val="000000"/>
                <w:sz w:val="21"/>
                <w:szCs w:val="21"/>
              </w:rPr>
            </w:pPr>
          </w:p>
        </w:tc>
        <w:tc>
          <w:tcPr>
            <w:tcW w:w="1547" w:type="dxa"/>
            <w:gridSpan w:val="2"/>
            <w:shd w:val="clear" w:color="auto" w:fill="FFFFFF"/>
          </w:tcPr>
          <w:p w14:paraId="44AEA4CC" w14:textId="77777777" w:rsidR="00DD5D7B" w:rsidRPr="00B37C80" w:rsidRDefault="00DD5D7B" w:rsidP="00DD5D7B">
            <w:pPr>
              <w:spacing w:line="240" w:lineRule="auto"/>
              <w:rPr>
                <w:rFonts w:ascii="Times New Roman" w:hAnsi="Times New Roman"/>
                <w:color w:val="000000"/>
                <w:spacing w:val="-2"/>
                <w:sz w:val="21"/>
                <w:szCs w:val="21"/>
              </w:rPr>
            </w:pPr>
          </w:p>
        </w:tc>
      </w:tr>
      <w:tr w:rsidR="00DD5D7B" w:rsidRPr="008B4FE6" w14:paraId="2FF50A1B" w14:textId="77777777" w:rsidTr="00676C8D">
        <w:trPr>
          <w:trHeight w:val="344"/>
        </w:trPr>
        <w:tc>
          <w:tcPr>
            <w:tcW w:w="3133" w:type="dxa"/>
            <w:gridSpan w:val="4"/>
            <w:shd w:val="clear" w:color="auto" w:fill="FFFFFF"/>
            <w:vAlign w:val="center"/>
          </w:tcPr>
          <w:p w14:paraId="2436FD03" w14:textId="77777777" w:rsidR="00DD5D7B" w:rsidRPr="008C250A" w:rsidRDefault="00DD5D7B" w:rsidP="00DD5D7B">
            <w:pPr>
              <w:spacing w:line="240" w:lineRule="auto"/>
              <w:rPr>
                <w:rFonts w:ascii="Times New Roman" w:hAnsi="Times New Roman"/>
                <w:color w:val="000000"/>
              </w:rPr>
            </w:pPr>
            <w:r w:rsidRPr="008C250A">
              <w:rPr>
                <w:rFonts w:ascii="Times New Roman" w:hAnsi="Times New Roman"/>
                <w:color w:val="000000"/>
              </w:rPr>
              <w:t>JST</w:t>
            </w:r>
          </w:p>
        </w:tc>
        <w:tc>
          <w:tcPr>
            <w:tcW w:w="569" w:type="dxa"/>
            <w:gridSpan w:val="2"/>
            <w:shd w:val="clear" w:color="auto" w:fill="FFFFFF"/>
          </w:tcPr>
          <w:p w14:paraId="6C951E19" w14:textId="77777777" w:rsidR="00DD5D7B" w:rsidRPr="007304B1"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2FB0A642" w14:textId="77777777" w:rsidR="00DD5D7B" w:rsidRPr="00C828BC"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26E71183" w14:textId="77777777" w:rsidR="00DD5D7B" w:rsidRPr="004129BA"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099798C6"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17CC90AA" w14:textId="77777777" w:rsidR="00DD5D7B" w:rsidRPr="00B37C80" w:rsidRDefault="00DD5D7B" w:rsidP="00DD5D7B">
            <w:pPr>
              <w:spacing w:line="240" w:lineRule="auto"/>
              <w:rPr>
                <w:rFonts w:ascii="Times New Roman" w:hAnsi="Times New Roman"/>
                <w:color w:val="000000"/>
                <w:sz w:val="21"/>
                <w:szCs w:val="21"/>
              </w:rPr>
            </w:pPr>
          </w:p>
        </w:tc>
        <w:tc>
          <w:tcPr>
            <w:tcW w:w="570" w:type="dxa"/>
            <w:shd w:val="clear" w:color="auto" w:fill="FFFFFF"/>
          </w:tcPr>
          <w:p w14:paraId="1DD68E18"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3"/>
            <w:shd w:val="clear" w:color="auto" w:fill="FFFFFF"/>
          </w:tcPr>
          <w:p w14:paraId="4B15FB5F" w14:textId="77777777" w:rsidR="00DD5D7B" w:rsidRPr="00B37C80"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25593E62"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6BBB0B64"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1B0FAB6"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7D8EC37F" w14:textId="77777777" w:rsidR="00DD5D7B" w:rsidRPr="00B37C80" w:rsidRDefault="00DD5D7B" w:rsidP="00DD5D7B">
            <w:pPr>
              <w:spacing w:line="240" w:lineRule="auto"/>
              <w:rPr>
                <w:rFonts w:ascii="Times New Roman" w:hAnsi="Times New Roman"/>
                <w:color w:val="000000"/>
                <w:sz w:val="21"/>
                <w:szCs w:val="21"/>
              </w:rPr>
            </w:pPr>
          </w:p>
        </w:tc>
        <w:tc>
          <w:tcPr>
            <w:tcW w:w="1547" w:type="dxa"/>
            <w:gridSpan w:val="2"/>
            <w:shd w:val="clear" w:color="auto" w:fill="FFFFFF"/>
          </w:tcPr>
          <w:p w14:paraId="68EEE5DC" w14:textId="77777777" w:rsidR="00DD5D7B" w:rsidRPr="00B37C80" w:rsidRDefault="00DD5D7B" w:rsidP="00DD5D7B">
            <w:pPr>
              <w:spacing w:line="240" w:lineRule="auto"/>
              <w:rPr>
                <w:rFonts w:ascii="Times New Roman" w:hAnsi="Times New Roman"/>
                <w:color w:val="000000"/>
                <w:sz w:val="21"/>
                <w:szCs w:val="21"/>
              </w:rPr>
            </w:pPr>
          </w:p>
        </w:tc>
      </w:tr>
      <w:tr w:rsidR="00DD5D7B" w:rsidRPr="008B4FE6" w14:paraId="45DE3B80" w14:textId="77777777" w:rsidTr="00676C8D">
        <w:trPr>
          <w:trHeight w:val="344"/>
        </w:trPr>
        <w:tc>
          <w:tcPr>
            <w:tcW w:w="3133" w:type="dxa"/>
            <w:gridSpan w:val="4"/>
            <w:shd w:val="clear" w:color="auto" w:fill="FFFFFF"/>
            <w:vAlign w:val="center"/>
          </w:tcPr>
          <w:p w14:paraId="669177D6" w14:textId="77777777" w:rsidR="00DD5D7B" w:rsidRPr="008C250A" w:rsidRDefault="00DD5D7B" w:rsidP="00DD5D7B">
            <w:pPr>
              <w:spacing w:line="240" w:lineRule="auto"/>
              <w:rPr>
                <w:rFonts w:ascii="Times New Roman" w:hAnsi="Times New Roman"/>
                <w:color w:val="000000"/>
              </w:rPr>
            </w:pPr>
            <w:r w:rsidRPr="008C250A">
              <w:rPr>
                <w:rFonts w:ascii="Times New Roman" w:hAnsi="Times New Roman"/>
                <w:color w:val="000000"/>
              </w:rPr>
              <w:t>pozostałe jednostki (oddzielnie)</w:t>
            </w:r>
          </w:p>
        </w:tc>
        <w:tc>
          <w:tcPr>
            <w:tcW w:w="569" w:type="dxa"/>
            <w:gridSpan w:val="2"/>
            <w:shd w:val="clear" w:color="auto" w:fill="FFFFFF"/>
          </w:tcPr>
          <w:p w14:paraId="75AF3843" w14:textId="77777777" w:rsidR="00DD5D7B" w:rsidRPr="007304B1"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5E0E5547" w14:textId="77777777" w:rsidR="00DD5D7B" w:rsidRPr="00C828BC"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66EA7735" w14:textId="77777777" w:rsidR="00DD5D7B" w:rsidRPr="004129BA"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4BEC141B"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3ACC2035" w14:textId="77777777" w:rsidR="00DD5D7B" w:rsidRPr="00B37C80" w:rsidRDefault="00DD5D7B" w:rsidP="00DD5D7B">
            <w:pPr>
              <w:spacing w:line="240" w:lineRule="auto"/>
              <w:rPr>
                <w:rFonts w:ascii="Times New Roman" w:hAnsi="Times New Roman"/>
                <w:color w:val="000000"/>
                <w:sz w:val="21"/>
                <w:szCs w:val="21"/>
              </w:rPr>
            </w:pPr>
          </w:p>
        </w:tc>
        <w:tc>
          <w:tcPr>
            <w:tcW w:w="570" w:type="dxa"/>
            <w:shd w:val="clear" w:color="auto" w:fill="FFFFFF"/>
          </w:tcPr>
          <w:p w14:paraId="43FC6746"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3"/>
            <w:shd w:val="clear" w:color="auto" w:fill="FFFFFF"/>
          </w:tcPr>
          <w:p w14:paraId="4512AFFC" w14:textId="77777777" w:rsidR="00DD5D7B" w:rsidRPr="00B37C80" w:rsidRDefault="00DD5D7B" w:rsidP="00DD5D7B">
            <w:pPr>
              <w:spacing w:line="240" w:lineRule="auto"/>
              <w:rPr>
                <w:rFonts w:ascii="Times New Roman" w:hAnsi="Times New Roman"/>
                <w:color w:val="000000"/>
                <w:sz w:val="21"/>
                <w:szCs w:val="21"/>
              </w:rPr>
            </w:pPr>
          </w:p>
        </w:tc>
        <w:tc>
          <w:tcPr>
            <w:tcW w:w="569" w:type="dxa"/>
            <w:gridSpan w:val="3"/>
            <w:shd w:val="clear" w:color="auto" w:fill="FFFFFF"/>
          </w:tcPr>
          <w:p w14:paraId="78F6424A"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1A5A18BB"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0D737D8D" w14:textId="77777777" w:rsidR="00DD5D7B" w:rsidRPr="00B37C80" w:rsidRDefault="00DD5D7B" w:rsidP="00DD5D7B">
            <w:pPr>
              <w:spacing w:line="240" w:lineRule="auto"/>
              <w:rPr>
                <w:rFonts w:ascii="Times New Roman" w:hAnsi="Times New Roman"/>
                <w:color w:val="000000"/>
                <w:sz w:val="21"/>
                <w:szCs w:val="21"/>
              </w:rPr>
            </w:pPr>
          </w:p>
        </w:tc>
        <w:tc>
          <w:tcPr>
            <w:tcW w:w="570" w:type="dxa"/>
            <w:gridSpan w:val="2"/>
            <w:shd w:val="clear" w:color="auto" w:fill="FFFFFF"/>
          </w:tcPr>
          <w:p w14:paraId="22A445DE" w14:textId="77777777" w:rsidR="00DD5D7B" w:rsidRPr="00B37C80" w:rsidRDefault="00DD5D7B" w:rsidP="00DD5D7B">
            <w:pPr>
              <w:spacing w:line="240" w:lineRule="auto"/>
              <w:rPr>
                <w:rFonts w:ascii="Times New Roman" w:hAnsi="Times New Roman"/>
                <w:color w:val="000000"/>
                <w:sz w:val="21"/>
                <w:szCs w:val="21"/>
              </w:rPr>
            </w:pPr>
          </w:p>
        </w:tc>
        <w:tc>
          <w:tcPr>
            <w:tcW w:w="1547" w:type="dxa"/>
            <w:gridSpan w:val="2"/>
            <w:shd w:val="clear" w:color="auto" w:fill="FFFFFF"/>
          </w:tcPr>
          <w:p w14:paraId="13191F9B" w14:textId="77777777" w:rsidR="00DD5D7B" w:rsidRPr="00B37C80" w:rsidRDefault="00DD5D7B" w:rsidP="00DD5D7B">
            <w:pPr>
              <w:spacing w:line="240" w:lineRule="auto"/>
              <w:rPr>
                <w:rFonts w:ascii="Times New Roman" w:hAnsi="Times New Roman"/>
                <w:color w:val="000000"/>
                <w:sz w:val="21"/>
                <w:szCs w:val="21"/>
              </w:rPr>
            </w:pPr>
          </w:p>
        </w:tc>
      </w:tr>
      <w:tr w:rsidR="007029EE" w:rsidRPr="008B4FE6" w14:paraId="5D5A65B9" w14:textId="77777777" w:rsidTr="00676C8D">
        <w:trPr>
          <w:trHeight w:val="330"/>
        </w:trPr>
        <w:tc>
          <w:tcPr>
            <w:tcW w:w="3133" w:type="dxa"/>
            <w:gridSpan w:val="4"/>
            <w:shd w:val="clear" w:color="auto" w:fill="FFFFFF"/>
            <w:vAlign w:val="center"/>
          </w:tcPr>
          <w:p w14:paraId="799D6E32"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b/>
                <w:color w:val="000000"/>
              </w:rPr>
              <w:t>Wydatki ogółem</w:t>
            </w:r>
          </w:p>
        </w:tc>
        <w:tc>
          <w:tcPr>
            <w:tcW w:w="569" w:type="dxa"/>
            <w:gridSpan w:val="2"/>
            <w:shd w:val="clear" w:color="auto" w:fill="FFFFFF"/>
          </w:tcPr>
          <w:p w14:paraId="2799660F"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42ED0486" w14:textId="2CF16194" w:rsidR="007029EE" w:rsidRPr="00C828BC" w:rsidRDefault="00C656C2" w:rsidP="007029EE">
            <w:pPr>
              <w:spacing w:line="240" w:lineRule="auto"/>
              <w:rPr>
                <w:rFonts w:ascii="Times New Roman" w:hAnsi="Times New Roman"/>
                <w:color w:val="000000"/>
                <w:sz w:val="21"/>
                <w:szCs w:val="21"/>
              </w:rPr>
            </w:pPr>
            <w:r w:rsidRPr="00C828BC">
              <w:rPr>
                <w:rFonts w:ascii="Times New Roman" w:hAnsi="Times New Roman"/>
                <w:color w:val="000000"/>
                <w:sz w:val="16"/>
                <w:szCs w:val="16"/>
              </w:rPr>
              <w:t>4,71</w:t>
            </w:r>
          </w:p>
        </w:tc>
        <w:tc>
          <w:tcPr>
            <w:tcW w:w="570" w:type="dxa"/>
            <w:gridSpan w:val="2"/>
            <w:shd w:val="clear" w:color="auto" w:fill="FFFFFF"/>
          </w:tcPr>
          <w:p w14:paraId="19D34F91" w14:textId="43393492" w:rsidR="007029EE" w:rsidRPr="004129BA" w:rsidRDefault="00C656C2" w:rsidP="007029EE">
            <w:pPr>
              <w:spacing w:line="240" w:lineRule="auto"/>
              <w:rPr>
                <w:rFonts w:ascii="Times New Roman" w:hAnsi="Times New Roman"/>
                <w:color w:val="000000"/>
                <w:sz w:val="21"/>
                <w:szCs w:val="21"/>
              </w:rPr>
            </w:pPr>
            <w:r w:rsidRPr="004129BA">
              <w:rPr>
                <w:rFonts w:ascii="Times New Roman" w:hAnsi="Times New Roman"/>
                <w:color w:val="000000"/>
                <w:sz w:val="16"/>
                <w:szCs w:val="16"/>
              </w:rPr>
              <w:t>2,90</w:t>
            </w:r>
          </w:p>
        </w:tc>
        <w:tc>
          <w:tcPr>
            <w:tcW w:w="569" w:type="dxa"/>
            <w:gridSpan w:val="3"/>
            <w:shd w:val="clear" w:color="auto" w:fill="FFFFFF"/>
          </w:tcPr>
          <w:p w14:paraId="5AA01AB5" w14:textId="04A29BA9"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3,14</w:t>
            </w:r>
          </w:p>
        </w:tc>
        <w:tc>
          <w:tcPr>
            <w:tcW w:w="570" w:type="dxa"/>
            <w:gridSpan w:val="2"/>
            <w:shd w:val="clear" w:color="auto" w:fill="FFFFFF"/>
          </w:tcPr>
          <w:p w14:paraId="4B2D71F6" w14:textId="6D3A54F8"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3,21</w:t>
            </w:r>
          </w:p>
        </w:tc>
        <w:tc>
          <w:tcPr>
            <w:tcW w:w="570" w:type="dxa"/>
            <w:shd w:val="clear" w:color="auto" w:fill="FFFFFF"/>
          </w:tcPr>
          <w:p w14:paraId="2979CCE6" w14:textId="71DA9F3C"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5,59</w:t>
            </w:r>
          </w:p>
        </w:tc>
        <w:tc>
          <w:tcPr>
            <w:tcW w:w="570" w:type="dxa"/>
            <w:gridSpan w:val="3"/>
            <w:shd w:val="clear" w:color="auto" w:fill="FFFFFF"/>
          </w:tcPr>
          <w:p w14:paraId="40B667ED" w14:textId="6B1BA56C"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3,81</w:t>
            </w:r>
          </w:p>
        </w:tc>
        <w:tc>
          <w:tcPr>
            <w:tcW w:w="569" w:type="dxa"/>
            <w:gridSpan w:val="3"/>
            <w:shd w:val="clear" w:color="auto" w:fill="FFFFFF"/>
          </w:tcPr>
          <w:p w14:paraId="30BDB6CE" w14:textId="1EA61E57"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3,91</w:t>
            </w:r>
          </w:p>
        </w:tc>
        <w:tc>
          <w:tcPr>
            <w:tcW w:w="570" w:type="dxa"/>
            <w:gridSpan w:val="2"/>
            <w:shd w:val="clear" w:color="auto" w:fill="FFFFFF"/>
          </w:tcPr>
          <w:p w14:paraId="791AD027" w14:textId="65E6BE0E"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5,98</w:t>
            </w:r>
          </w:p>
        </w:tc>
        <w:tc>
          <w:tcPr>
            <w:tcW w:w="570" w:type="dxa"/>
            <w:gridSpan w:val="2"/>
            <w:shd w:val="clear" w:color="auto" w:fill="FFFFFF"/>
          </w:tcPr>
          <w:p w14:paraId="14B067C6" w14:textId="6015FFBE"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3,52</w:t>
            </w:r>
          </w:p>
        </w:tc>
        <w:tc>
          <w:tcPr>
            <w:tcW w:w="570" w:type="dxa"/>
            <w:gridSpan w:val="2"/>
            <w:shd w:val="clear" w:color="auto" w:fill="FFFFFF"/>
          </w:tcPr>
          <w:p w14:paraId="4E89D74B" w14:textId="47010200"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4,60</w:t>
            </w:r>
          </w:p>
        </w:tc>
        <w:tc>
          <w:tcPr>
            <w:tcW w:w="1547" w:type="dxa"/>
            <w:gridSpan w:val="2"/>
            <w:shd w:val="clear" w:color="auto" w:fill="FFFFFF"/>
          </w:tcPr>
          <w:p w14:paraId="19153336" w14:textId="0CB69C02" w:rsidR="007029EE" w:rsidRPr="00B37C80" w:rsidRDefault="00DB1978" w:rsidP="007029EE">
            <w:pPr>
              <w:spacing w:line="240" w:lineRule="auto"/>
              <w:rPr>
                <w:rFonts w:ascii="Times New Roman" w:hAnsi="Times New Roman"/>
                <w:color w:val="000000"/>
                <w:sz w:val="21"/>
                <w:szCs w:val="21"/>
              </w:rPr>
            </w:pPr>
            <w:r>
              <w:rPr>
                <w:rFonts w:ascii="Times New Roman" w:hAnsi="Times New Roman"/>
                <w:color w:val="000000"/>
                <w:sz w:val="16"/>
                <w:szCs w:val="16"/>
              </w:rPr>
              <w:t>41,36</w:t>
            </w:r>
          </w:p>
        </w:tc>
      </w:tr>
      <w:tr w:rsidR="007029EE" w:rsidRPr="008B4FE6" w14:paraId="5E472CDC" w14:textId="77777777" w:rsidTr="00676C8D">
        <w:trPr>
          <w:trHeight w:val="330"/>
        </w:trPr>
        <w:tc>
          <w:tcPr>
            <w:tcW w:w="3133" w:type="dxa"/>
            <w:gridSpan w:val="4"/>
            <w:shd w:val="clear" w:color="auto" w:fill="FFFFFF"/>
            <w:vAlign w:val="center"/>
          </w:tcPr>
          <w:p w14:paraId="6FFD5281"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color w:val="000000"/>
              </w:rPr>
              <w:t>budżet państwa</w:t>
            </w:r>
          </w:p>
        </w:tc>
        <w:tc>
          <w:tcPr>
            <w:tcW w:w="569" w:type="dxa"/>
            <w:gridSpan w:val="2"/>
            <w:shd w:val="clear" w:color="auto" w:fill="FFFFFF"/>
          </w:tcPr>
          <w:p w14:paraId="64531912"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62F5AB44" w14:textId="548BC2AE" w:rsidR="007029EE" w:rsidRPr="00C828BC" w:rsidRDefault="00C656C2" w:rsidP="007029EE">
            <w:pPr>
              <w:spacing w:line="240" w:lineRule="auto"/>
              <w:rPr>
                <w:rFonts w:ascii="Times New Roman" w:hAnsi="Times New Roman"/>
                <w:color w:val="000000"/>
                <w:sz w:val="21"/>
                <w:szCs w:val="21"/>
              </w:rPr>
            </w:pPr>
            <w:r w:rsidRPr="00C828BC">
              <w:rPr>
                <w:rFonts w:ascii="Times New Roman" w:hAnsi="Times New Roman"/>
                <w:color w:val="000000"/>
                <w:sz w:val="16"/>
                <w:szCs w:val="16"/>
              </w:rPr>
              <w:t>4,71</w:t>
            </w:r>
          </w:p>
        </w:tc>
        <w:tc>
          <w:tcPr>
            <w:tcW w:w="570" w:type="dxa"/>
            <w:gridSpan w:val="2"/>
            <w:shd w:val="clear" w:color="auto" w:fill="FFFFFF"/>
          </w:tcPr>
          <w:p w14:paraId="05B846D8" w14:textId="10B871C5" w:rsidR="007029EE" w:rsidRPr="004129BA" w:rsidRDefault="00C656C2" w:rsidP="007029EE">
            <w:pPr>
              <w:spacing w:line="240" w:lineRule="auto"/>
              <w:rPr>
                <w:rFonts w:ascii="Times New Roman" w:hAnsi="Times New Roman"/>
                <w:color w:val="000000"/>
                <w:sz w:val="21"/>
                <w:szCs w:val="21"/>
              </w:rPr>
            </w:pPr>
            <w:r w:rsidRPr="004129BA">
              <w:rPr>
                <w:rFonts w:ascii="Times New Roman" w:hAnsi="Times New Roman"/>
                <w:color w:val="000000"/>
                <w:sz w:val="16"/>
                <w:szCs w:val="16"/>
              </w:rPr>
              <w:t>2,90</w:t>
            </w:r>
          </w:p>
        </w:tc>
        <w:tc>
          <w:tcPr>
            <w:tcW w:w="569" w:type="dxa"/>
            <w:gridSpan w:val="3"/>
            <w:shd w:val="clear" w:color="auto" w:fill="FFFFFF"/>
          </w:tcPr>
          <w:p w14:paraId="0982789B" w14:textId="0EF13CE7"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3,14</w:t>
            </w:r>
          </w:p>
        </w:tc>
        <w:tc>
          <w:tcPr>
            <w:tcW w:w="570" w:type="dxa"/>
            <w:gridSpan w:val="2"/>
            <w:shd w:val="clear" w:color="auto" w:fill="FFFFFF"/>
          </w:tcPr>
          <w:p w14:paraId="6D598542" w14:textId="57BA3572"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3,21</w:t>
            </w:r>
          </w:p>
        </w:tc>
        <w:tc>
          <w:tcPr>
            <w:tcW w:w="570" w:type="dxa"/>
            <w:shd w:val="clear" w:color="auto" w:fill="FFFFFF"/>
          </w:tcPr>
          <w:p w14:paraId="1E5A2299" w14:textId="1DA133DA"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5,59</w:t>
            </w:r>
          </w:p>
        </w:tc>
        <w:tc>
          <w:tcPr>
            <w:tcW w:w="570" w:type="dxa"/>
            <w:gridSpan w:val="3"/>
            <w:shd w:val="clear" w:color="auto" w:fill="FFFFFF"/>
          </w:tcPr>
          <w:p w14:paraId="02EE1789" w14:textId="4C4EF914"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3,81</w:t>
            </w:r>
          </w:p>
        </w:tc>
        <w:tc>
          <w:tcPr>
            <w:tcW w:w="569" w:type="dxa"/>
            <w:gridSpan w:val="3"/>
            <w:shd w:val="clear" w:color="auto" w:fill="FFFFFF"/>
          </w:tcPr>
          <w:p w14:paraId="03098EFB" w14:textId="0CB647AA"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3,91</w:t>
            </w:r>
          </w:p>
        </w:tc>
        <w:tc>
          <w:tcPr>
            <w:tcW w:w="570" w:type="dxa"/>
            <w:gridSpan w:val="2"/>
            <w:shd w:val="clear" w:color="auto" w:fill="FFFFFF"/>
          </w:tcPr>
          <w:p w14:paraId="20BEED1C" w14:textId="47E7FE9A"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5,98</w:t>
            </w:r>
          </w:p>
        </w:tc>
        <w:tc>
          <w:tcPr>
            <w:tcW w:w="570" w:type="dxa"/>
            <w:gridSpan w:val="2"/>
            <w:shd w:val="clear" w:color="auto" w:fill="FFFFFF"/>
          </w:tcPr>
          <w:p w14:paraId="579AFEF1" w14:textId="2A1F3C7A"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3,52</w:t>
            </w:r>
          </w:p>
        </w:tc>
        <w:tc>
          <w:tcPr>
            <w:tcW w:w="570" w:type="dxa"/>
            <w:gridSpan w:val="2"/>
            <w:shd w:val="clear" w:color="auto" w:fill="FFFFFF"/>
          </w:tcPr>
          <w:p w14:paraId="70334973" w14:textId="0B5FE8B1" w:rsidR="007029EE" w:rsidRPr="00B37C80" w:rsidRDefault="00C656C2" w:rsidP="007029EE">
            <w:pPr>
              <w:spacing w:line="240" w:lineRule="auto"/>
              <w:rPr>
                <w:rFonts w:ascii="Times New Roman" w:hAnsi="Times New Roman"/>
                <w:color w:val="000000"/>
                <w:sz w:val="21"/>
                <w:szCs w:val="21"/>
              </w:rPr>
            </w:pPr>
            <w:r>
              <w:rPr>
                <w:rFonts w:ascii="Times New Roman" w:hAnsi="Times New Roman"/>
                <w:color w:val="000000"/>
                <w:sz w:val="16"/>
                <w:szCs w:val="16"/>
              </w:rPr>
              <w:t>4,60</w:t>
            </w:r>
          </w:p>
        </w:tc>
        <w:tc>
          <w:tcPr>
            <w:tcW w:w="1547" w:type="dxa"/>
            <w:gridSpan w:val="2"/>
            <w:shd w:val="clear" w:color="auto" w:fill="FFFFFF"/>
          </w:tcPr>
          <w:p w14:paraId="7A95C22D" w14:textId="796E9601" w:rsidR="007029EE" w:rsidRPr="00B37C80" w:rsidRDefault="00DB1978" w:rsidP="007029EE">
            <w:pPr>
              <w:spacing w:line="240" w:lineRule="auto"/>
              <w:rPr>
                <w:rFonts w:ascii="Times New Roman" w:hAnsi="Times New Roman"/>
                <w:color w:val="000000"/>
                <w:sz w:val="21"/>
                <w:szCs w:val="21"/>
              </w:rPr>
            </w:pPr>
            <w:r>
              <w:rPr>
                <w:rFonts w:ascii="Times New Roman" w:hAnsi="Times New Roman"/>
                <w:color w:val="000000"/>
                <w:sz w:val="16"/>
                <w:szCs w:val="16"/>
              </w:rPr>
              <w:t>41,36</w:t>
            </w:r>
          </w:p>
        </w:tc>
      </w:tr>
      <w:tr w:rsidR="007029EE" w:rsidRPr="008B4FE6" w14:paraId="10D1B2EC" w14:textId="77777777" w:rsidTr="00676C8D">
        <w:trPr>
          <w:trHeight w:val="351"/>
        </w:trPr>
        <w:tc>
          <w:tcPr>
            <w:tcW w:w="3133" w:type="dxa"/>
            <w:gridSpan w:val="4"/>
            <w:shd w:val="clear" w:color="auto" w:fill="FFFFFF"/>
            <w:vAlign w:val="center"/>
          </w:tcPr>
          <w:p w14:paraId="6B90DF24"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color w:val="000000"/>
              </w:rPr>
              <w:t>JST</w:t>
            </w:r>
          </w:p>
        </w:tc>
        <w:tc>
          <w:tcPr>
            <w:tcW w:w="569" w:type="dxa"/>
            <w:gridSpan w:val="2"/>
            <w:shd w:val="clear" w:color="auto" w:fill="FFFFFF"/>
          </w:tcPr>
          <w:p w14:paraId="2FCD6582"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75BC08C3" w14:textId="77777777" w:rsidR="007029EE" w:rsidRPr="00C828BC"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49A90731" w14:textId="77777777" w:rsidR="007029EE" w:rsidRPr="004129BA" w:rsidRDefault="007029EE" w:rsidP="007029EE">
            <w:pPr>
              <w:spacing w:line="240" w:lineRule="auto"/>
              <w:rPr>
                <w:rFonts w:ascii="Times New Roman" w:hAnsi="Times New Roman"/>
                <w:color w:val="000000"/>
                <w:sz w:val="21"/>
                <w:szCs w:val="21"/>
              </w:rPr>
            </w:pPr>
          </w:p>
        </w:tc>
        <w:tc>
          <w:tcPr>
            <w:tcW w:w="569" w:type="dxa"/>
            <w:gridSpan w:val="3"/>
            <w:shd w:val="clear" w:color="auto" w:fill="FFFFFF"/>
          </w:tcPr>
          <w:p w14:paraId="7485C16F"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4A5AA8F9" w14:textId="77777777" w:rsidR="007029EE" w:rsidRPr="00B37C80" w:rsidRDefault="007029EE" w:rsidP="007029EE">
            <w:pPr>
              <w:spacing w:line="240" w:lineRule="auto"/>
              <w:rPr>
                <w:rFonts w:ascii="Times New Roman" w:hAnsi="Times New Roman"/>
                <w:color w:val="000000"/>
                <w:sz w:val="21"/>
                <w:szCs w:val="21"/>
              </w:rPr>
            </w:pPr>
          </w:p>
        </w:tc>
        <w:tc>
          <w:tcPr>
            <w:tcW w:w="570" w:type="dxa"/>
            <w:shd w:val="clear" w:color="auto" w:fill="FFFFFF"/>
          </w:tcPr>
          <w:p w14:paraId="131136CB"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3"/>
            <w:shd w:val="clear" w:color="auto" w:fill="FFFFFF"/>
          </w:tcPr>
          <w:p w14:paraId="166FD786" w14:textId="77777777" w:rsidR="007029EE" w:rsidRPr="00B37C80" w:rsidRDefault="007029EE" w:rsidP="007029EE">
            <w:pPr>
              <w:spacing w:line="240" w:lineRule="auto"/>
              <w:rPr>
                <w:rFonts w:ascii="Times New Roman" w:hAnsi="Times New Roman"/>
                <w:color w:val="000000"/>
                <w:sz w:val="21"/>
                <w:szCs w:val="21"/>
              </w:rPr>
            </w:pPr>
          </w:p>
        </w:tc>
        <w:tc>
          <w:tcPr>
            <w:tcW w:w="569" w:type="dxa"/>
            <w:gridSpan w:val="3"/>
            <w:shd w:val="clear" w:color="auto" w:fill="FFFFFF"/>
          </w:tcPr>
          <w:p w14:paraId="5BABF7FC"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6F55633F"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39CD6CE3"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18D703D4" w14:textId="77777777" w:rsidR="007029EE" w:rsidRPr="00B37C80" w:rsidRDefault="007029EE" w:rsidP="007029EE">
            <w:pPr>
              <w:spacing w:line="240" w:lineRule="auto"/>
              <w:rPr>
                <w:rFonts w:ascii="Times New Roman" w:hAnsi="Times New Roman"/>
                <w:color w:val="000000"/>
                <w:sz w:val="21"/>
                <w:szCs w:val="21"/>
              </w:rPr>
            </w:pPr>
          </w:p>
        </w:tc>
        <w:tc>
          <w:tcPr>
            <w:tcW w:w="1547" w:type="dxa"/>
            <w:gridSpan w:val="2"/>
            <w:shd w:val="clear" w:color="auto" w:fill="FFFFFF"/>
          </w:tcPr>
          <w:p w14:paraId="0BBA9ACF" w14:textId="77777777" w:rsidR="007029EE" w:rsidRPr="00B37C80" w:rsidRDefault="007029EE" w:rsidP="007029EE">
            <w:pPr>
              <w:spacing w:line="240" w:lineRule="auto"/>
              <w:rPr>
                <w:rFonts w:ascii="Times New Roman" w:hAnsi="Times New Roman"/>
                <w:color w:val="000000"/>
                <w:sz w:val="21"/>
                <w:szCs w:val="21"/>
              </w:rPr>
            </w:pPr>
          </w:p>
        </w:tc>
      </w:tr>
      <w:tr w:rsidR="007029EE" w:rsidRPr="008B4FE6" w14:paraId="2BEC94CC" w14:textId="77777777" w:rsidTr="00676C8D">
        <w:trPr>
          <w:trHeight w:val="351"/>
        </w:trPr>
        <w:tc>
          <w:tcPr>
            <w:tcW w:w="3133" w:type="dxa"/>
            <w:gridSpan w:val="4"/>
            <w:shd w:val="clear" w:color="auto" w:fill="FFFFFF"/>
            <w:vAlign w:val="center"/>
          </w:tcPr>
          <w:p w14:paraId="57C9B24B"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color w:val="000000"/>
              </w:rPr>
              <w:t>pozostałe jednostki (oddzielnie)</w:t>
            </w:r>
          </w:p>
        </w:tc>
        <w:tc>
          <w:tcPr>
            <w:tcW w:w="569" w:type="dxa"/>
            <w:gridSpan w:val="2"/>
            <w:shd w:val="clear" w:color="auto" w:fill="FFFFFF"/>
          </w:tcPr>
          <w:p w14:paraId="6FC9C7AD"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2AFE2F49" w14:textId="77777777" w:rsidR="007029EE" w:rsidRPr="00C828BC"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7468CBAC" w14:textId="77777777" w:rsidR="007029EE" w:rsidRPr="004129BA" w:rsidRDefault="007029EE" w:rsidP="007029EE">
            <w:pPr>
              <w:spacing w:line="240" w:lineRule="auto"/>
              <w:rPr>
                <w:rFonts w:ascii="Times New Roman" w:hAnsi="Times New Roman"/>
                <w:color w:val="000000"/>
                <w:sz w:val="21"/>
                <w:szCs w:val="21"/>
              </w:rPr>
            </w:pPr>
          </w:p>
        </w:tc>
        <w:tc>
          <w:tcPr>
            <w:tcW w:w="569" w:type="dxa"/>
            <w:gridSpan w:val="3"/>
            <w:shd w:val="clear" w:color="auto" w:fill="FFFFFF"/>
          </w:tcPr>
          <w:p w14:paraId="735A829D"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7251A80F" w14:textId="77777777" w:rsidR="007029EE" w:rsidRPr="00B37C80" w:rsidRDefault="007029EE" w:rsidP="007029EE">
            <w:pPr>
              <w:spacing w:line="240" w:lineRule="auto"/>
              <w:rPr>
                <w:rFonts w:ascii="Times New Roman" w:hAnsi="Times New Roman"/>
                <w:color w:val="000000"/>
                <w:sz w:val="21"/>
                <w:szCs w:val="21"/>
              </w:rPr>
            </w:pPr>
          </w:p>
        </w:tc>
        <w:tc>
          <w:tcPr>
            <w:tcW w:w="570" w:type="dxa"/>
            <w:shd w:val="clear" w:color="auto" w:fill="FFFFFF"/>
          </w:tcPr>
          <w:p w14:paraId="41A93E5C"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3"/>
            <w:shd w:val="clear" w:color="auto" w:fill="FFFFFF"/>
          </w:tcPr>
          <w:p w14:paraId="14CA3374" w14:textId="77777777" w:rsidR="007029EE" w:rsidRPr="00B37C80" w:rsidRDefault="007029EE" w:rsidP="007029EE">
            <w:pPr>
              <w:spacing w:line="240" w:lineRule="auto"/>
              <w:rPr>
                <w:rFonts w:ascii="Times New Roman" w:hAnsi="Times New Roman"/>
                <w:color w:val="000000"/>
                <w:sz w:val="21"/>
                <w:szCs w:val="21"/>
              </w:rPr>
            </w:pPr>
          </w:p>
        </w:tc>
        <w:tc>
          <w:tcPr>
            <w:tcW w:w="569" w:type="dxa"/>
            <w:gridSpan w:val="3"/>
            <w:shd w:val="clear" w:color="auto" w:fill="FFFFFF"/>
          </w:tcPr>
          <w:p w14:paraId="2C24AF6D"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166AAA9D"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151FFD7D" w14:textId="77777777" w:rsidR="007029EE" w:rsidRPr="00B37C80"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074C5D96" w14:textId="77777777" w:rsidR="007029EE" w:rsidRPr="00B37C80" w:rsidRDefault="007029EE" w:rsidP="007029EE">
            <w:pPr>
              <w:spacing w:line="240" w:lineRule="auto"/>
              <w:rPr>
                <w:rFonts w:ascii="Times New Roman" w:hAnsi="Times New Roman"/>
                <w:color w:val="000000"/>
                <w:sz w:val="21"/>
                <w:szCs w:val="21"/>
              </w:rPr>
            </w:pPr>
          </w:p>
        </w:tc>
        <w:tc>
          <w:tcPr>
            <w:tcW w:w="1547" w:type="dxa"/>
            <w:gridSpan w:val="2"/>
            <w:shd w:val="clear" w:color="auto" w:fill="FFFFFF"/>
          </w:tcPr>
          <w:p w14:paraId="17AEE750" w14:textId="77777777" w:rsidR="007029EE" w:rsidRPr="00B37C80" w:rsidRDefault="007029EE" w:rsidP="007029EE">
            <w:pPr>
              <w:spacing w:line="240" w:lineRule="auto"/>
              <w:rPr>
                <w:rFonts w:ascii="Times New Roman" w:hAnsi="Times New Roman"/>
                <w:color w:val="000000"/>
                <w:sz w:val="21"/>
                <w:szCs w:val="21"/>
              </w:rPr>
            </w:pPr>
          </w:p>
        </w:tc>
      </w:tr>
      <w:tr w:rsidR="007029EE" w:rsidRPr="008B4FE6" w14:paraId="2C6904DD" w14:textId="77777777" w:rsidTr="00676C8D">
        <w:trPr>
          <w:trHeight w:val="360"/>
        </w:trPr>
        <w:tc>
          <w:tcPr>
            <w:tcW w:w="3133" w:type="dxa"/>
            <w:gridSpan w:val="4"/>
            <w:shd w:val="clear" w:color="auto" w:fill="FFFFFF"/>
            <w:vAlign w:val="center"/>
          </w:tcPr>
          <w:p w14:paraId="2E151A72"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b/>
                <w:color w:val="000000"/>
              </w:rPr>
              <w:t>Saldo ogółem</w:t>
            </w:r>
          </w:p>
        </w:tc>
        <w:tc>
          <w:tcPr>
            <w:tcW w:w="569" w:type="dxa"/>
            <w:gridSpan w:val="2"/>
            <w:shd w:val="clear" w:color="auto" w:fill="FFFFFF"/>
          </w:tcPr>
          <w:p w14:paraId="7AA45410"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0D39E30D" w14:textId="227D9E0D" w:rsidR="007029EE" w:rsidRPr="00C828BC" w:rsidRDefault="007029EE" w:rsidP="007029EE">
            <w:pPr>
              <w:spacing w:line="240" w:lineRule="auto"/>
              <w:rPr>
                <w:rFonts w:ascii="Times New Roman" w:hAnsi="Times New Roman"/>
                <w:color w:val="000000"/>
                <w:sz w:val="21"/>
                <w:szCs w:val="21"/>
              </w:rPr>
            </w:pPr>
            <w:r w:rsidRPr="00C828BC">
              <w:rPr>
                <w:rFonts w:ascii="Times New Roman" w:hAnsi="Times New Roman"/>
                <w:color w:val="000000"/>
                <w:sz w:val="16"/>
                <w:szCs w:val="16"/>
              </w:rPr>
              <w:t>-</w:t>
            </w:r>
            <w:r w:rsidR="00C656C2" w:rsidRPr="00C828BC">
              <w:rPr>
                <w:rFonts w:ascii="Times New Roman" w:hAnsi="Times New Roman"/>
                <w:color w:val="000000"/>
                <w:sz w:val="16"/>
                <w:szCs w:val="16"/>
              </w:rPr>
              <w:t>4,71</w:t>
            </w:r>
          </w:p>
        </w:tc>
        <w:tc>
          <w:tcPr>
            <w:tcW w:w="570" w:type="dxa"/>
            <w:gridSpan w:val="2"/>
            <w:shd w:val="clear" w:color="auto" w:fill="FFFFFF"/>
          </w:tcPr>
          <w:p w14:paraId="00C8194E" w14:textId="48250B99" w:rsidR="007029EE" w:rsidRPr="002B0012" w:rsidRDefault="007029EE" w:rsidP="007029EE">
            <w:pPr>
              <w:spacing w:line="240" w:lineRule="auto"/>
              <w:rPr>
                <w:rFonts w:ascii="Times New Roman" w:hAnsi="Times New Roman"/>
                <w:color w:val="000000"/>
                <w:sz w:val="21"/>
                <w:szCs w:val="21"/>
              </w:rPr>
            </w:pPr>
            <w:r w:rsidRPr="004129BA">
              <w:rPr>
                <w:rFonts w:ascii="Times New Roman" w:hAnsi="Times New Roman"/>
                <w:color w:val="000000"/>
                <w:sz w:val="16"/>
                <w:szCs w:val="16"/>
              </w:rPr>
              <w:t>-</w:t>
            </w:r>
            <w:r w:rsidR="00C656C2" w:rsidRPr="004129BA">
              <w:rPr>
                <w:rFonts w:ascii="Times New Roman" w:hAnsi="Times New Roman"/>
                <w:color w:val="000000"/>
                <w:sz w:val="16"/>
                <w:szCs w:val="16"/>
              </w:rPr>
              <w:t>2,90</w:t>
            </w:r>
          </w:p>
        </w:tc>
        <w:tc>
          <w:tcPr>
            <w:tcW w:w="569" w:type="dxa"/>
            <w:gridSpan w:val="3"/>
            <w:shd w:val="clear" w:color="auto" w:fill="FFFFFF"/>
          </w:tcPr>
          <w:p w14:paraId="177F85ED" w14:textId="503AD33C"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3,14</w:t>
            </w:r>
          </w:p>
        </w:tc>
        <w:tc>
          <w:tcPr>
            <w:tcW w:w="570" w:type="dxa"/>
            <w:gridSpan w:val="2"/>
            <w:shd w:val="clear" w:color="auto" w:fill="FFFFFF"/>
          </w:tcPr>
          <w:p w14:paraId="12419E9B" w14:textId="7BC678CA"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3,21</w:t>
            </w:r>
          </w:p>
        </w:tc>
        <w:tc>
          <w:tcPr>
            <w:tcW w:w="570" w:type="dxa"/>
            <w:shd w:val="clear" w:color="auto" w:fill="FFFFFF"/>
          </w:tcPr>
          <w:p w14:paraId="7A6E668D" w14:textId="0814CEFA"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5,59</w:t>
            </w:r>
          </w:p>
        </w:tc>
        <w:tc>
          <w:tcPr>
            <w:tcW w:w="570" w:type="dxa"/>
            <w:gridSpan w:val="3"/>
            <w:shd w:val="clear" w:color="auto" w:fill="FFFFFF"/>
          </w:tcPr>
          <w:p w14:paraId="7861274B" w14:textId="21550E63"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3,81</w:t>
            </w:r>
          </w:p>
        </w:tc>
        <w:tc>
          <w:tcPr>
            <w:tcW w:w="569" w:type="dxa"/>
            <w:gridSpan w:val="3"/>
            <w:shd w:val="clear" w:color="auto" w:fill="FFFFFF"/>
          </w:tcPr>
          <w:p w14:paraId="422D586A" w14:textId="57159CF8"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3,91</w:t>
            </w:r>
          </w:p>
        </w:tc>
        <w:tc>
          <w:tcPr>
            <w:tcW w:w="570" w:type="dxa"/>
            <w:gridSpan w:val="2"/>
            <w:shd w:val="clear" w:color="auto" w:fill="FFFFFF"/>
          </w:tcPr>
          <w:p w14:paraId="60A5B133" w14:textId="7333A7FD"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5,98</w:t>
            </w:r>
          </w:p>
        </w:tc>
        <w:tc>
          <w:tcPr>
            <w:tcW w:w="570" w:type="dxa"/>
            <w:gridSpan w:val="2"/>
            <w:shd w:val="clear" w:color="auto" w:fill="FFFFFF"/>
          </w:tcPr>
          <w:p w14:paraId="4F8BD16F" w14:textId="1FC08335"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3,52</w:t>
            </w:r>
          </w:p>
        </w:tc>
        <w:tc>
          <w:tcPr>
            <w:tcW w:w="570" w:type="dxa"/>
            <w:gridSpan w:val="2"/>
            <w:shd w:val="clear" w:color="auto" w:fill="FFFFFF"/>
          </w:tcPr>
          <w:p w14:paraId="41EE7C58" w14:textId="37764A1E"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4,60</w:t>
            </w:r>
          </w:p>
        </w:tc>
        <w:tc>
          <w:tcPr>
            <w:tcW w:w="1547" w:type="dxa"/>
            <w:gridSpan w:val="2"/>
            <w:shd w:val="clear" w:color="auto" w:fill="FFFFFF"/>
          </w:tcPr>
          <w:p w14:paraId="752520D2" w14:textId="50062DC6"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DB1978">
              <w:rPr>
                <w:rFonts w:ascii="Times New Roman" w:hAnsi="Times New Roman"/>
                <w:color w:val="000000"/>
                <w:sz w:val="16"/>
                <w:szCs w:val="16"/>
              </w:rPr>
              <w:t>41,36</w:t>
            </w:r>
          </w:p>
        </w:tc>
      </w:tr>
      <w:tr w:rsidR="007029EE" w:rsidRPr="008B4FE6" w14:paraId="6ECAF8A5" w14:textId="77777777" w:rsidTr="00676C8D">
        <w:trPr>
          <w:trHeight w:val="360"/>
        </w:trPr>
        <w:tc>
          <w:tcPr>
            <w:tcW w:w="3133" w:type="dxa"/>
            <w:gridSpan w:val="4"/>
            <w:shd w:val="clear" w:color="auto" w:fill="FFFFFF"/>
            <w:vAlign w:val="center"/>
          </w:tcPr>
          <w:p w14:paraId="53EC4D67" w14:textId="77777777" w:rsidR="007029EE" w:rsidRPr="008C250A" w:rsidRDefault="007029EE" w:rsidP="007029EE">
            <w:pPr>
              <w:spacing w:line="240" w:lineRule="auto"/>
              <w:rPr>
                <w:rFonts w:ascii="Times New Roman" w:hAnsi="Times New Roman"/>
                <w:color w:val="000000"/>
              </w:rPr>
            </w:pPr>
            <w:r w:rsidRPr="008C250A">
              <w:rPr>
                <w:rFonts w:ascii="Times New Roman" w:hAnsi="Times New Roman"/>
                <w:color w:val="000000"/>
              </w:rPr>
              <w:t>budżet państwa</w:t>
            </w:r>
          </w:p>
        </w:tc>
        <w:tc>
          <w:tcPr>
            <w:tcW w:w="569" w:type="dxa"/>
            <w:gridSpan w:val="2"/>
            <w:shd w:val="clear" w:color="auto" w:fill="FFFFFF"/>
          </w:tcPr>
          <w:p w14:paraId="2B624E52" w14:textId="77777777" w:rsidR="007029EE" w:rsidRPr="007304B1" w:rsidRDefault="007029EE" w:rsidP="007029EE">
            <w:pPr>
              <w:spacing w:line="240" w:lineRule="auto"/>
              <w:rPr>
                <w:rFonts w:ascii="Times New Roman" w:hAnsi="Times New Roman"/>
                <w:color w:val="000000"/>
                <w:sz w:val="21"/>
                <w:szCs w:val="21"/>
              </w:rPr>
            </w:pPr>
          </w:p>
        </w:tc>
        <w:tc>
          <w:tcPr>
            <w:tcW w:w="570" w:type="dxa"/>
            <w:gridSpan w:val="2"/>
            <w:shd w:val="clear" w:color="auto" w:fill="FFFFFF"/>
          </w:tcPr>
          <w:p w14:paraId="75637AD3" w14:textId="1816ECB5" w:rsidR="007029EE" w:rsidRPr="00C828BC" w:rsidRDefault="007029EE" w:rsidP="007029EE">
            <w:pPr>
              <w:spacing w:line="240" w:lineRule="auto"/>
              <w:rPr>
                <w:rFonts w:ascii="Times New Roman" w:hAnsi="Times New Roman"/>
                <w:color w:val="000000"/>
                <w:sz w:val="21"/>
                <w:szCs w:val="21"/>
              </w:rPr>
            </w:pPr>
            <w:r w:rsidRPr="00C828BC">
              <w:rPr>
                <w:rFonts w:ascii="Times New Roman" w:hAnsi="Times New Roman"/>
                <w:color w:val="000000"/>
                <w:sz w:val="16"/>
                <w:szCs w:val="16"/>
              </w:rPr>
              <w:t>-</w:t>
            </w:r>
            <w:r w:rsidR="00C656C2" w:rsidRPr="00C828BC">
              <w:rPr>
                <w:rFonts w:ascii="Times New Roman" w:hAnsi="Times New Roman"/>
                <w:color w:val="000000"/>
                <w:sz w:val="16"/>
                <w:szCs w:val="16"/>
              </w:rPr>
              <w:t>4,71</w:t>
            </w:r>
          </w:p>
        </w:tc>
        <w:tc>
          <w:tcPr>
            <w:tcW w:w="570" w:type="dxa"/>
            <w:gridSpan w:val="2"/>
            <w:shd w:val="clear" w:color="auto" w:fill="FFFFFF"/>
          </w:tcPr>
          <w:p w14:paraId="046BE518" w14:textId="4283A52F" w:rsidR="007029EE" w:rsidRPr="002B0012" w:rsidRDefault="007029EE" w:rsidP="007029EE">
            <w:pPr>
              <w:spacing w:line="240" w:lineRule="auto"/>
              <w:rPr>
                <w:rFonts w:ascii="Times New Roman" w:hAnsi="Times New Roman"/>
                <w:color w:val="000000"/>
                <w:sz w:val="21"/>
                <w:szCs w:val="21"/>
              </w:rPr>
            </w:pPr>
            <w:r w:rsidRPr="004129BA">
              <w:rPr>
                <w:rFonts w:ascii="Times New Roman" w:hAnsi="Times New Roman"/>
                <w:color w:val="000000"/>
                <w:sz w:val="16"/>
                <w:szCs w:val="16"/>
              </w:rPr>
              <w:t>-</w:t>
            </w:r>
            <w:r w:rsidR="00C656C2" w:rsidRPr="004129BA">
              <w:rPr>
                <w:rFonts w:ascii="Times New Roman" w:hAnsi="Times New Roman"/>
                <w:color w:val="000000"/>
                <w:sz w:val="16"/>
                <w:szCs w:val="16"/>
              </w:rPr>
              <w:t>2,90</w:t>
            </w:r>
          </w:p>
        </w:tc>
        <w:tc>
          <w:tcPr>
            <w:tcW w:w="569" w:type="dxa"/>
            <w:gridSpan w:val="3"/>
            <w:shd w:val="clear" w:color="auto" w:fill="FFFFFF"/>
          </w:tcPr>
          <w:p w14:paraId="3A4087AF" w14:textId="4F64D636"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3,14</w:t>
            </w:r>
          </w:p>
        </w:tc>
        <w:tc>
          <w:tcPr>
            <w:tcW w:w="570" w:type="dxa"/>
            <w:gridSpan w:val="2"/>
            <w:shd w:val="clear" w:color="auto" w:fill="FFFFFF"/>
          </w:tcPr>
          <w:p w14:paraId="58A226BB" w14:textId="6A7AC329"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3,21</w:t>
            </w:r>
          </w:p>
        </w:tc>
        <w:tc>
          <w:tcPr>
            <w:tcW w:w="570" w:type="dxa"/>
            <w:shd w:val="clear" w:color="auto" w:fill="FFFFFF"/>
          </w:tcPr>
          <w:p w14:paraId="5FB4ABD3" w14:textId="029DEB2B"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5,59</w:t>
            </w:r>
          </w:p>
        </w:tc>
        <w:tc>
          <w:tcPr>
            <w:tcW w:w="570" w:type="dxa"/>
            <w:gridSpan w:val="3"/>
            <w:shd w:val="clear" w:color="auto" w:fill="FFFFFF"/>
          </w:tcPr>
          <w:p w14:paraId="313099F7" w14:textId="7F5379FA"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3,81</w:t>
            </w:r>
          </w:p>
        </w:tc>
        <w:tc>
          <w:tcPr>
            <w:tcW w:w="569" w:type="dxa"/>
            <w:gridSpan w:val="3"/>
            <w:shd w:val="clear" w:color="auto" w:fill="FFFFFF"/>
          </w:tcPr>
          <w:p w14:paraId="308F6A2E" w14:textId="407B7637"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3,91</w:t>
            </w:r>
          </w:p>
        </w:tc>
        <w:tc>
          <w:tcPr>
            <w:tcW w:w="570" w:type="dxa"/>
            <w:gridSpan w:val="2"/>
            <w:shd w:val="clear" w:color="auto" w:fill="FFFFFF"/>
          </w:tcPr>
          <w:p w14:paraId="08E92B33" w14:textId="5B72F944"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5,98</w:t>
            </w:r>
          </w:p>
        </w:tc>
        <w:tc>
          <w:tcPr>
            <w:tcW w:w="570" w:type="dxa"/>
            <w:gridSpan w:val="2"/>
            <w:shd w:val="clear" w:color="auto" w:fill="FFFFFF"/>
          </w:tcPr>
          <w:p w14:paraId="742AF7C0" w14:textId="64D18503"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3,52</w:t>
            </w:r>
          </w:p>
        </w:tc>
        <w:tc>
          <w:tcPr>
            <w:tcW w:w="570" w:type="dxa"/>
            <w:gridSpan w:val="2"/>
            <w:shd w:val="clear" w:color="auto" w:fill="FFFFFF"/>
          </w:tcPr>
          <w:p w14:paraId="2F6F71BE" w14:textId="54E89FBA"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C656C2">
              <w:rPr>
                <w:rFonts w:ascii="Times New Roman" w:hAnsi="Times New Roman"/>
                <w:color w:val="000000"/>
                <w:sz w:val="16"/>
                <w:szCs w:val="16"/>
              </w:rPr>
              <w:t>4,60</w:t>
            </w:r>
          </w:p>
        </w:tc>
        <w:tc>
          <w:tcPr>
            <w:tcW w:w="1547" w:type="dxa"/>
            <w:gridSpan w:val="2"/>
            <w:shd w:val="clear" w:color="auto" w:fill="FFFFFF"/>
          </w:tcPr>
          <w:p w14:paraId="616B5C90" w14:textId="7B448207" w:rsidR="007029EE" w:rsidRPr="00B37C80" w:rsidRDefault="007029EE" w:rsidP="007029EE">
            <w:pPr>
              <w:spacing w:line="240" w:lineRule="auto"/>
              <w:rPr>
                <w:rFonts w:ascii="Times New Roman" w:hAnsi="Times New Roman"/>
                <w:color w:val="000000"/>
                <w:sz w:val="21"/>
                <w:szCs w:val="21"/>
              </w:rPr>
            </w:pPr>
            <w:r w:rsidRPr="000B6F27">
              <w:rPr>
                <w:rFonts w:ascii="Times New Roman" w:hAnsi="Times New Roman"/>
                <w:color w:val="000000"/>
                <w:sz w:val="16"/>
                <w:szCs w:val="16"/>
              </w:rPr>
              <w:t>-</w:t>
            </w:r>
            <w:r w:rsidR="00DB1978">
              <w:rPr>
                <w:rFonts w:ascii="Times New Roman" w:hAnsi="Times New Roman"/>
                <w:color w:val="000000"/>
                <w:sz w:val="16"/>
                <w:szCs w:val="16"/>
              </w:rPr>
              <w:t>41,36</w:t>
            </w:r>
          </w:p>
        </w:tc>
      </w:tr>
      <w:tr w:rsidR="00D22123" w:rsidRPr="008B4FE6" w14:paraId="56B0ABFE" w14:textId="77777777" w:rsidTr="00676C8D">
        <w:trPr>
          <w:trHeight w:val="357"/>
        </w:trPr>
        <w:tc>
          <w:tcPr>
            <w:tcW w:w="3133" w:type="dxa"/>
            <w:gridSpan w:val="4"/>
            <w:shd w:val="clear" w:color="auto" w:fill="FFFFFF"/>
            <w:vAlign w:val="center"/>
          </w:tcPr>
          <w:p w14:paraId="7BB1C733"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JST</w:t>
            </w:r>
          </w:p>
        </w:tc>
        <w:tc>
          <w:tcPr>
            <w:tcW w:w="569" w:type="dxa"/>
            <w:gridSpan w:val="2"/>
            <w:shd w:val="clear" w:color="auto" w:fill="FFFFFF"/>
          </w:tcPr>
          <w:p w14:paraId="6E33FA11" w14:textId="77777777" w:rsidR="00D22123" w:rsidRPr="007304B1"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5B0D58D5" w14:textId="77777777" w:rsidR="00D22123" w:rsidRPr="00C828BC"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2A15CA8F" w14:textId="77777777" w:rsidR="00D22123" w:rsidRPr="004129BA" w:rsidRDefault="00D22123" w:rsidP="00D22123">
            <w:pPr>
              <w:spacing w:line="240" w:lineRule="auto"/>
              <w:rPr>
                <w:rFonts w:ascii="Times New Roman" w:hAnsi="Times New Roman"/>
                <w:color w:val="000000"/>
                <w:sz w:val="21"/>
                <w:szCs w:val="21"/>
              </w:rPr>
            </w:pPr>
          </w:p>
        </w:tc>
        <w:tc>
          <w:tcPr>
            <w:tcW w:w="569" w:type="dxa"/>
            <w:gridSpan w:val="3"/>
            <w:shd w:val="clear" w:color="auto" w:fill="FFFFFF"/>
          </w:tcPr>
          <w:p w14:paraId="210887FF"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5F561661" w14:textId="77777777" w:rsidR="00D22123" w:rsidRPr="00B37C80" w:rsidRDefault="00D22123" w:rsidP="00D22123">
            <w:pPr>
              <w:spacing w:line="240" w:lineRule="auto"/>
              <w:rPr>
                <w:rFonts w:ascii="Times New Roman" w:hAnsi="Times New Roman"/>
                <w:color w:val="000000"/>
                <w:sz w:val="21"/>
                <w:szCs w:val="21"/>
              </w:rPr>
            </w:pPr>
          </w:p>
        </w:tc>
        <w:tc>
          <w:tcPr>
            <w:tcW w:w="570" w:type="dxa"/>
            <w:shd w:val="clear" w:color="auto" w:fill="FFFFFF"/>
          </w:tcPr>
          <w:p w14:paraId="04A571CA"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3"/>
            <w:shd w:val="clear" w:color="auto" w:fill="FFFFFF"/>
          </w:tcPr>
          <w:p w14:paraId="5A0B1119" w14:textId="77777777" w:rsidR="00D22123" w:rsidRPr="00B37C80" w:rsidRDefault="00D22123" w:rsidP="00D22123">
            <w:pPr>
              <w:spacing w:line="240" w:lineRule="auto"/>
              <w:rPr>
                <w:rFonts w:ascii="Times New Roman" w:hAnsi="Times New Roman"/>
                <w:color w:val="000000"/>
                <w:sz w:val="21"/>
                <w:szCs w:val="21"/>
              </w:rPr>
            </w:pPr>
          </w:p>
        </w:tc>
        <w:tc>
          <w:tcPr>
            <w:tcW w:w="569" w:type="dxa"/>
            <w:gridSpan w:val="3"/>
            <w:shd w:val="clear" w:color="auto" w:fill="FFFFFF"/>
          </w:tcPr>
          <w:p w14:paraId="759BC731"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74359E34"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48033763"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3E70AC9A" w14:textId="77777777" w:rsidR="00D22123" w:rsidRPr="00B37C80" w:rsidRDefault="00D22123" w:rsidP="00D22123">
            <w:pPr>
              <w:spacing w:line="240" w:lineRule="auto"/>
              <w:rPr>
                <w:rFonts w:ascii="Times New Roman" w:hAnsi="Times New Roman"/>
                <w:color w:val="000000"/>
                <w:sz w:val="21"/>
                <w:szCs w:val="21"/>
              </w:rPr>
            </w:pPr>
          </w:p>
        </w:tc>
        <w:tc>
          <w:tcPr>
            <w:tcW w:w="1547" w:type="dxa"/>
            <w:gridSpan w:val="2"/>
            <w:shd w:val="clear" w:color="auto" w:fill="FFFFFF"/>
          </w:tcPr>
          <w:p w14:paraId="039A6F68" w14:textId="77777777" w:rsidR="00D22123" w:rsidRPr="00B37C80" w:rsidRDefault="00D22123" w:rsidP="00D22123">
            <w:pPr>
              <w:spacing w:line="240" w:lineRule="auto"/>
              <w:rPr>
                <w:rFonts w:ascii="Times New Roman" w:hAnsi="Times New Roman"/>
                <w:color w:val="000000"/>
                <w:sz w:val="21"/>
                <w:szCs w:val="21"/>
              </w:rPr>
            </w:pPr>
          </w:p>
        </w:tc>
      </w:tr>
      <w:tr w:rsidR="00D22123" w:rsidRPr="008B4FE6" w14:paraId="352A087C" w14:textId="77777777" w:rsidTr="00676C8D">
        <w:trPr>
          <w:trHeight w:val="357"/>
        </w:trPr>
        <w:tc>
          <w:tcPr>
            <w:tcW w:w="3133" w:type="dxa"/>
            <w:gridSpan w:val="4"/>
            <w:shd w:val="clear" w:color="auto" w:fill="FFFFFF"/>
            <w:vAlign w:val="center"/>
          </w:tcPr>
          <w:p w14:paraId="52C3067D"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pozostałe jednostki (oddzielnie)</w:t>
            </w:r>
          </w:p>
        </w:tc>
        <w:tc>
          <w:tcPr>
            <w:tcW w:w="569" w:type="dxa"/>
            <w:gridSpan w:val="2"/>
            <w:shd w:val="clear" w:color="auto" w:fill="FFFFFF"/>
          </w:tcPr>
          <w:p w14:paraId="1EDCD3BC" w14:textId="77777777" w:rsidR="00D22123" w:rsidRPr="007304B1"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18B3A379" w14:textId="77777777" w:rsidR="00D22123" w:rsidRPr="00C828BC"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3E931A12" w14:textId="77777777" w:rsidR="00D22123" w:rsidRPr="004129BA" w:rsidRDefault="00D22123" w:rsidP="00D22123">
            <w:pPr>
              <w:spacing w:line="240" w:lineRule="auto"/>
              <w:rPr>
                <w:rFonts w:ascii="Times New Roman" w:hAnsi="Times New Roman"/>
                <w:color w:val="000000"/>
                <w:sz w:val="21"/>
                <w:szCs w:val="21"/>
              </w:rPr>
            </w:pPr>
          </w:p>
        </w:tc>
        <w:tc>
          <w:tcPr>
            <w:tcW w:w="569" w:type="dxa"/>
            <w:gridSpan w:val="3"/>
            <w:shd w:val="clear" w:color="auto" w:fill="FFFFFF"/>
          </w:tcPr>
          <w:p w14:paraId="2C5BF876"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5F578B20" w14:textId="77777777" w:rsidR="00D22123" w:rsidRPr="00B37C80" w:rsidRDefault="00D22123" w:rsidP="00D22123">
            <w:pPr>
              <w:spacing w:line="240" w:lineRule="auto"/>
              <w:rPr>
                <w:rFonts w:ascii="Times New Roman" w:hAnsi="Times New Roman"/>
                <w:color w:val="000000"/>
                <w:sz w:val="21"/>
                <w:szCs w:val="21"/>
              </w:rPr>
            </w:pPr>
          </w:p>
        </w:tc>
        <w:tc>
          <w:tcPr>
            <w:tcW w:w="570" w:type="dxa"/>
            <w:shd w:val="clear" w:color="auto" w:fill="FFFFFF"/>
          </w:tcPr>
          <w:p w14:paraId="3C8136AC"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3"/>
            <w:shd w:val="clear" w:color="auto" w:fill="FFFFFF"/>
          </w:tcPr>
          <w:p w14:paraId="441B3B7A" w14:textId="77777777" w:rsidR="00D22123" w:rsidRPr="00B37C80" w:rsidRDefault="00D22123" w:rsidP="00D22123">
            <w:pPr>
              <w:spacing w:line="240" w:lineRule="auto"/>
              <w:rPr>
                <w:rFonts w:ascii="Times New Roman" w:hAnsi="Times New Roman"/>
                <w:color w:val="000000"/>
                <w:sz w:val="21"/>
                <w:szCs w:val="21"/>
              </w:rPr>
            </w:pPr>
          </w:p>
        </w:tc>
        <w:tc>
          <w:tcPr>
            <w:tcW w:w="569" w:type="dxa"/>
            <w:gridSpan w:val="3"/>
            <w:shd w:val="clear" w:color="auto" w:fill="FFFFFF"/>
          </w:tcPr>
          <w:p w14:paraId="63C58CBD"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2CB50B33"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387B6384" w14:textId="77777777" w:rsidR="00D22123" w:rsidRPr="00B37C80" w:rsidRDefault="00D22123" w:rsidP="00D22123">
            <w:pPr>
              <w:spacing w:line="240" w:lineRule="auto"/>
              <w:rPr>
                <w:rFonts w:ascii="Times New Roman" w:hAnsi="Times New Roman"/>
                <w:color w:val="000000"/>
                <w:sz w:val="21"/>
                <w:szCs w:val="21"/>
              </w:rPr>
            </w:pPr>
          </w:p>
        </w:tc>
        <w:tc>
          <w:tcPr>
            <w:tcW w:w="570" w:type="dxa"/>
            <w:gridSpan w:val="2"/>
            <w:shd w:val="clear" w:color="auto" w:fill="FFFFFF"/>
          </w:tcPr>
          <w:p w14:paraId="70A59D6F" w14:textId="77777777" w:rsidR="00D22123" w:rsidRPr="00B37C80" w:rsidRDefault="00D22123" w:rsidP="00D22123">
            <w:pPr>
              <w:spacing w:line="240" w:lineRule="auto"/>
              <w:rPr>
                <w:rFonts w:ascii="Times New Roman" w:hAnsi="Times New Roman"/>
                <w:color w:val="000000"/>
                <w:sz w:val="21"/>
                <w:szCs w:val="21"/>
              </w:rPr>
            </w:pPr>
          </w:p>
        </w:tc>
        <w:tc>
          <w:tcPr>
            <w:tcW w:w="1547" w:type="dxa"/>
            <w:gridSpan w:val="2"/>
            <w:shd w:val="clear" w:color="auto" w:fill="FFFFFF"/>
          </w:tcPr>
          <w:p w14:paraId="1C95AD67" w14:textId="77777777" w:rsidR="00D22123" w:rsidRPr="00B37C80" w:rsidRDefault="00D22123" w:rsidP="00D22123">
            <w:pPr>
              <w:spacing w:line="240" w:lineRule="auto"/>
              <w:rPr>
                <w:rFonts w:ascii="Times New Roman" w:hAnsi="Times New Roman"/>
                <w:color w:val="000000"/>
                <w:sz w:val="21"/>
                <w:szCs w:val="21"/>
              </w:rPr>
            </w:pPr>
          </w:p>
        </w:tc>
      </w:tr>
      <w:tr w:rsidR="00D22123" w:rsidRPr="008B4FE6" w14:paraId="47F83C4A" w14:textId="77777777" w:rsidTr="00676C8D">
        <w:trPr>
          <w:gridAfter w:val="1"/>
          <w:wAfter w:w="10" w:type="dxa"/>
          <w:trHeight w:val="348"/>
        </w:trPr>
        <w:tc>
          <w:tcPr>
            <w:tcW w:w="2243" w:type="dxa"/>
            <w:gridSpan w:val="2"/>
            <w:shd w:val="clear" w:color="auto" w:fill="FFFFFF"/>
            <w:vAlign w:val="center"/>
          </w:tcPr>
          <w:p w14:paraId="28943C23"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 xml:space="preserve">Źródła finansowania </w:t>
            </w:r>
          </w:p>
        </w:tc>
        <w:tc>
          <w:tcPr>
            <w:tcW w:w="8694" w:type="dxa"/>
            <w:gridSpan w:val="27"/>
            <w:shd w:val="clear" w:color="auto" w:fill="FFFFFF"/>
            <w:vAlign w:val="center"/>
          </w:tcPr>
          <w:p w14:paraId="309DB124" w14:textId="21FED3B7" w:rsidR="00D22123" w:rsidRPr="008C250A" w:rsidRDefault="000B7A2A" w:rsidP="00D22123">
            <w:pPr>
              <w:spacing w:line="240" w:lineRule="auto"/>
              <w:jc w:val="both"/>
              <w:rPr>
                <w:rFonts w:ascii="Times New Roman" w:hAnsi="Times New Roman"/>
                <w:color w:val="000000"/>
              </w:rPr>
            </w:pPr>
            <w:r w:rsidRPr="008C250A">
              <w:rPr>
                <w:rFonts w:ascii="Times New Roman" w:hAnsi="Times New Roman"/>
                <w:color w:val="000000"/>
              </w:rPr>
              <w:t>Wydatki wynikające z implementacji przewidzianych w projekcie rozwiązań sfinansowane zostaną ze środków części 19 budżetu państwa, której dysponentem jest minister właściwy do spraw budżetu, finansów publicznych i instytucji finansowych. W związku z powyższym konieczne będzie zwiększenie ww. części budżetu państwa o wskazane w tabeli kwoty.</w:t>
            </w:r>
          </w:p>
          <w:p w14:paraId="2CA16DA6" w14:textId="77777777" w:rsidR="00D22123" w:rsidRPr="00C828BC" w:rsidRDefault="00D22123" w:rsidP="00D22123">
            <w:pPr>
              <w:spacing w:line="240" w:lineRule="auto"/>
              <w:jc w:val="both"/>
              <w:rPr>
                <w:rFonts w:ascii="Times New Roman" w:hAnsi="Times New Roman"/>
                <w:color w:val="000000"/>
                <w:sz w:val="21"/>
                <w:szCs w:val="21"/>
              </w:rPr>
            </w:pPr>
          </w:p>
        </w:tc>
      </w:tr>
      <w:tr w:rsidR="00D22123" w:rsidRPr="008B4FE6" w14:paraId="50FECEDD" w14:textId="77777777" w:rsidTr="00676C8D">
        <w:trPr>
          <w:gridAfter w:val="1"/>
          <w:wAfter w:w="10" w:type="dxa"/>
          <w:trHeight w:val="1926"/>
        </w:trPr>
        <w:tc>
          <w:tcPr>
            <w:tcW w:w="2243" w:type="dxa"/>
            <w:gridSpan w:val="2"/>
            <w:shd w:val="clear" w:color="auto" w:fill="FFFFFF"/>
          </w:tcPr>
          <w:p w14:paraId="192DCB8F"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4F59C984" w14:textId="081D3633" w:rsidR="000B7A2A" w:rsidRDefault="00D22123" w:rsidP="000B7A2A">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 </w:t>
            </w:r>
          </w:p>
          <w:p w14:paraId="42949CFA" w14:textId="77777777" w:rsidR="000B7A2A" w:rsidRPr="008C250A" w:rsidRDefault="000B7A2A" w:rsidP="000B7A2A">
            <w:pPr>
              <w:spacing w:after="80" w:line="240" w:lineRule="auto"/>
              <w:jc w:val="both"/>
              <w:rPr>
                <w:rFonts w:ascii="Times New Roman" w:hAnsi="Times New Roman"/>
                <w:color w:val="000000"/>
              </w:rPr>
            </w:pPr>
            <w:r w:rsidRPr="008C250A">
              <w:rPr>
                <w:rFonts w:ascii="Times New Roman" w:hAnsi="Times New Roman"/>
                <w:color w:val="000000"/>
              </w:rPr>
              <w:t xml:space="preserve">Na wydatki budżetowe wynikające z implementacji projektowanych w ustawie rozwiązań składają się głównie dwie grupy kosztów: </w:t>
            </w:r>
          </w:p>
          <w:p w14:paraId="5A56FC5C" w14:textId="77777777" w:rsidR="000B7A2A" w:rsidRPr="008C250A" w:rsidRDefault="000B7A2A" w:rsidP="000B7A2A">
            <w:pPr>
              <w:numPr>
                <w:ilvl w:val="0"/>
                <w:numId w:val="23"/>
              </w:numPr>
              <w:spacing w:after="80" w:line="240" w:lineRule="auto"/>
              <w:ind w:left="360"/>
              <w:jc w:val="both"/>
              <w:rPr>
                <w:rFonts w:ascii="Times New Roman" w:hAnsi="Times New Roman"/>
                <w:color w:val="000000"/>
              </w:rPr>
            </w:pPr>
            <w:r w:rsidRPr="008C250A">
              <w:rPr>
                <w:rFonts w:ascii="Times New Roman" w:hAnsi="Times New Roman"/>
                <w:color w:val="000000"/>
              </w:rPr>
              <w:t>Szacunkowy koszt wdrożenia systemów teleinformatycznych, które służyć będą do pozyskiwania danych od raportujących operatorów platform;</w:t>
            </w:r>
          </w:p>
          <w:p w14:paraId="561C3195" w14:textId="77777777" w:rsidR="000B7A2A" w:rsidRPr="008C250A" w:rsidRDefault="000B7A2A" w:rsidP="000B7A2A">
            <w:pPr>
              <w:numPr>
                <w:ilvl w:val="0"/>
                <w:numId w:val="23"/>
              </w:numPr>
              <w:spacing w:after="80" w:line="240" w:lineRule="auto"/>
              <w:ind w:left="360"/>
              <w:jc w:val="both"/>
              <w:rPr>
                <w:rFonts w:ascii="Times New Roman" w:hAnsi="Times New Roman"/>
                <w:color w:val="000000"/>
              </w:rPr>
            </w:pPr>
            <w:r w:rsidRPr="008C250A">
              <w:rPr>
                <w:rFonts w:ascii="Times New Roman" w:hAnsi="Times New Roman"/>
                <w:color w:val="000000"/>
              </w:rPr>
              <w:t xml:space="preserve">Koszty osobowe wynikające z konieczności zapewnienia prawidłowego funkcjonowania projektowanych rozwiązań. </w:t>
            </w:r>
          </w:p>
          <w:p w14:paraId="12A70B01" w14:textId="77777777" w:rsidR="000B7A2A" w:rsidRPr="008C250A" w:rsidRDefault="000B7A2A" w:rsidP="000B7A2A">
            <w:pPr>
              <w:spacing w:after="120" w:line="240" w:lineRule="auto"/>
              <w:jc w:val="both"/>
              <w:rPr>
                <w:rFonts w:ascii="Times New Roman" w:hAnsi="Times New Roman"/>
                <w:color w:val="000000"/>
              </w:rPr>
            </w:pPr>
            <w:r w:rsidRPr="008C250A">
              <w:rPr>
                <w:rFonts w:ascii="Times New Roman" w:hAnsi="Times New Roman"/>
                <w:color w:val="000000"/>
              </w:rPr>
              <w:t xml:space="preserve">Przewiduje się, że koszt wdrożenia systemów teleinformatycznych wyniesie łącznie ok. 9,53 mln zł w okresie 10 lat, w tym 2 mln w 2023 r. Koszt ten ma charakter szacunkowy. Wynika to przede wszystkim z niemożliwości określenia kosztu prac techniczno – informatycznych mających na celu wdrożenie, utrzymanie i bieżącą pracę systemów teleinformatycznych. </w:t>
            </w:r>
          </w:p>
          <w:p w14:paraId="0B570EE8" w14:textId="77777777" w:rsidR="006A2106" w:rsidRPr="008C250A" w:rsidRDefault="006A2106" w:rsidP="006A2106">
            <w:pPr>
              <w:spacing w:line="240" w:lineRule="auto"/>
              <w:jc w:val="both"/>
              <w:rPr>
                <w:rFonts w:ascii="Times New Roman" w:hAnsi="Times New Roman"/>
                <w:color w:val="000000"/>
              </w:rPr>
            </w:pPr>
            <w:r w:rsidRPr="008C250A">
              <w:rPr>
                <w:rFonts w:ascii="Times New Roman" w:hAnsi="Times New Roman"/>
                <w:color w:val="000000"/>
              </w:rPr>
              <w:t>Wskazane koszty  infrastruktury zawierają:</w:t>
            </w:r>
          </w:p>
          <w:p w14:paraId="25E384EB" w14:textId="77777777" w:rsidR="006A2106" w:rsidRPr="008C250A" w:rsidRDefault="006A2106" w:rsidP="006A2106">
            <w:pPr>
              <w:spacing w:line="240" w:lineRule="auto"/>
              <w:jc w:val="both"/>
              <w:rPr>
                <w:rFonts w:ascii="Times New Roman" w:hAnsi="Times New Roman"/>
                <w:color w:val="000000"/>
              </w:rPr>
            </w:pPr>
            <w:r w:rsidRPr="008C250A">
              <w:rPr>
                <w:rFonts w:ascii="Times New Roman" w:hAnsi="Times New Roman"/>
                <w:color w:val="000000"/>
              </w:rPr>
              <w:t>- inicjalne koszty zakupu,</w:t>
            </w:r>
          </w:p>
          <w:p w14:paraId="246EEC69" w14:textId="5346B101" w:rsidR="006A2106" w:rsidRPr="008C250A" w:rsidRDefault="006A2106" w:rsidP="006A2106">
            <w:pPr>
              <w:spacing w:line="240" w:lineRule="auto"/>
              <w:jc w:val="both"/>
              <w:rPr>
                <w:rFonts w:ascii="Times New Roman" w:hAnsi="Times New Roman"/>
                <w:color w:val="000000"/>
              </w:rPr>
            </w:pPr>
            <w:r w:rsidRPr="008C250A">
              <w:rPr>
                <w:rFonts w:ascii="Times New Roman" w:hAnsi="Times New Roman"/>
                <w:color w:val="000000"/>
              </w:rPr>
              <w:t>- koszty uzupełnienia zasobów wraz z rosnącymi potrzebami w zakresie mocy obliczeniowej</w:t>
            </w:r>
            <w:r w:rsidR="002B0012">
              <w:rPr>
                <w:rFonts w:ascii="Times New Roman" w:hAnsi="Times New Roman"/>
                <w:color w:val="000000"/>
              </w:rPr>
              <w:br/>
            </w:r>
            <w:r w:rsidRPr="008C250A">
              <w:rPr>
                <w:rFonts w:ascii="Times New Roman" w:hAnsi="Times New Roman"/>
                <w:color w:val="000000"/>
              </w:rPr>
              <w:t>i pojemności (kolejne lata)</w:t>
            </w:r>
          </w:p>
          <w:p w14:paraId="4E704518" w14:textId="77777777" w:rsidR="006A2106" w:rsidRPr="008C250A" w:rsidRDefault="006A2106" w:rsidP="006A2106">
            <w:pPr>
              <w:spacing w:line="240" w:lineRule="auto"/>
              <w:jc w:val="both"/>
              <w:rPr>
                <w:rFonts w:ascii="Times New Roman" w:hAnsi="Times New Roman"/>
                <w:color w:val="000000"/>
              </w:rPr>
            </w:pPr>
            <w:r w:rsidRPr="008C250A">
              <w:rPr>
                <w:rFonts w:ascii="Times New Roman" w:hAnsi="Times New Roman"/>
                <w:color w:val="000000"/>
              </w:rPr>
              <w:t>- koszt serwisu pogwarancyjnego infrastruktury od 5 roku eksploatacji</w:t>
            </w:r>
          </w:p>
          <w:p w14:paraId="2ED0A961" w14:textId="7056BD49" w:rsidR="00FB4AC2" w:rsidRPr="008C250A" w:rsidRDefault="006A2106" w:rsidP="000B7A2A">
            <w:pPr>
              <w:spacing w:line="240" w:lineRule="auto"/>
              <w:jc w:val="both"/>
              <w:rPr>
                <w:rFonts w:ascii="Times New Roman" w:hAnsi="Times New Roman"/>
                <w:color w:val="000000"/>
              </w:rPr>
            </w:pPr>
            <w:r w:rsidRPr="008C250A">
              <w:rPr>
                <w:rFonts w:ascii="Times New Roman" w:hAnsi="Times New Roman"/>
                <w:color w:val="000000"/>
              </w:rPr>
              <w:t>- koszt odtworzenia zasobów w 8 roku eksploatacji</w:t>
            </w:r>
          </w:p>
          <w:p w14:paraId="2B6F7C76" w14:textId="77777777" w:rsidR="00FB4AC2" w:rsidRPr="008C250A" w:rsidRDefault="00FB4AC2" w:rsidP="000B7A2A">
            <w:pPr>
              <w:spacing w:line="240" w:lineRule="auto"/>
              <w:jc w:val="both"/>
              <w:rPr>
                <w:rFonts w:ascii="Times New Roman" w:hAnsi="Times New Roman"/>
                <w:color w:val="000000"/>
              </w:rPr>
            </w:pPr>
          </w:p>
          <w:p w14:paraId="44BF8CA7" w14:textId="77777777" w:rsidR="00FB4AC2" w:rsidRPr="008C250A" w:rsidRDefault="00FB4AC2" w:rsidP="00FB4AC2">
            <w:pPr>
              <w:spacing w:line="240" w:lineRule="auto"/>
              <w:jc w:val="both"/>
              <w:rPr>
                <w:rFonts w:ascii="Times New Roman" w:hAnsi="Times New Roman"/>
                <w:color w:val="000000"/>
              </w:rPr>
            </w:pPr>
            <w:r w:rsidRPr="008C250A">
              <w:rPr>
                <w:rFonts w:ascii="Times New Roman" w:hAnsi="Times New Roman"/>
                <w:color w:val="000000"/>
              </w:rPr>
              <w:t>W ramach projektu w ramach zleceń dla AK i CIRF konieczne będą do wykonania:</w:t>
            </w:r>
          </w:p>
          <w:p w14:paraId="104B0F51"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oprogramowanie interfejsowe do rejestracji raportujących platform cyfrowych,</w:t>
            </w:r>
          </w:p>
          <w:p w14:paraId="0F861805"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oprogramowanie interfejsowe do raportowania zestawów danych dotyczących sprzedawców i stosownych czynności,</w:t>
            </w:r>
          </w:p>
          <w:p w14:paraId="0B9AA744"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mechanizmy walidacji danych,</w:t>
            </w:r>
          </w:p>
          <w:p w14:paraId="01232622"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mechanizmy do automatycznej wymiany danych z innymi PCz,</w:t>
            </w:r>
          </w:p>
          <w:p w14:paraId="199E03DE"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rozbudowa infrastruktury (CHD, Repozytorium MF),</w:t>
            </w:r>
          </w:p>
          <w:p w14:paraId="337F4F2F"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dostosowanie środowisk produkcyjnych,</w:t>
            </w:r>
          </w:p>
          <w:p w14:paraId="38A29BD3"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mechanizmy przekazywania danych do CHD w celu umożliwienia analityki danych,</w:t>
            </w:r>
          </w:p>
          <w:p w14:paraId="3B11D57A"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testy wewnętrzne,</w:t>
            </w:r>
          </w:p>
          <w:p w14:paraId="6366926A" w14:textId="77777777" w:rsidR="00FB4AC2"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wytworzenie dokumentacji projektu,</w:t>
            </w:r>
          </w:p>
          <w:p w14:paraId="6E31FA11" w14:textId="77777777" w:rsidR="00903AC7" w:rsidRPr="008C250A" w:rsidRDefault="00FB4AC2" w:rsidP="00664B95">
            <w:pPr>
              <w:pStyle w:val="Akapitzlist"/>
              <w:numPr>
                <w:ilvl w:val="0"/>
                <w:numId w:val="36"/>
              </w:numPr>
              <w:spacing w:line="240" w:lineRule="auto"/>
              <w:jc w:val="both"/>
              <w:rPr>
                <w:rFonts w:ascii="Times New Roman" w:hAnsi="Times New Roman"/>
                <w:color w:val="000000"/>
              </w:rPr>
            </w:pPr>
            <w:r w:rsidRPr="008C250A">
              <w:rPr>
                <w:rFonts w:ascii="Times New Roman" w:hAnsi="Times New Roman"/>
                <w:color w:val="000000"/>
              </w:rPr>
              <w:t>utrzymanie, serwis i rozwój produktów projektu.</w:t>
            </w:r>
          </w:p>
          <w:p w14:paraId="1C470E27" w14:textId="77777777" w:rsidR="00FB4AC2" w:rsidRPr="008C250A" w:rsidRDefault="00FB4AC2" w:rsidP="00FB4AC2">
            <w:pPr>
              <w:spacing w:line="240" w:lineRule="auto"/>
              <w:jc w:val="both"/>
              <w:rPr>
                <w:rFonts w:ascii="Times New Roman" w:hAnsi="Times New Roman"/>
                <w:color w:val="000000"/>
              </w:rPr>
            </w:pPr>
          </w:p>
          <w:p w14:paraId="12DA627D" w14:textId="4AA87EE6" w:rsidR="00FB4AC2" w:rsidRPr="008C250A" w:rsidRDefault="00FB4AC2" w:rsidP="00FB4AC2">
            <w:pPr>
              <w:spacing w:line="240" w:lineRule="auto"/>
              <w:jc w:val="both"/>
              <w:rPr>
                <w:rFonts w:ascii="Times New Roman" w:hAnsi="Times New Roman"/>
                <w:color w:val="000000"/>
              </w:rPr>
            </w:pPr>
            <w:r w:rsidRPr="008C250A">
              <w:rPr>
                <w:rFonts w:ascii="Times New Roman" w:hAnsi="Times New Roman"/>
                <w:color w:val="000000"/>
              </w:rPr>
              <w:t>W ramach zespoł</w:t>
            </w:r>
            <w:r w:rsidR="00182481" w:rsidRPr="008C250A">
              <w:rPr>
                <w:rFonts w:ascii="Times New Roman" w:hAnsi="Times New Roman"/>
                <w:color w:val="000000"/>
              </w:rPr>
              <w:t>u</w:t>
            </w:r>
            <w:r w:rsidRPr="008C250A">
              <w:rPr>
                <w:rFonts w:ascii="Times New Roman" w:hAnsi="Times New Roman"/>
                <w:color w:val="000000"/>
              </w:rPr>
              <w:t xml:space="preserve"> projektowego niezbędna będzie realizacja w zakresie:</w:t>
            </w:r>
          </w:p>
          <w:p w14:paraId="5AF21AFA"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t>opracowania schemy dla przekazywanych zestawów danych,</w:t>
            </w:r>
          </w:p>
          <w:p w14:paraId="0303826E"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t>opracowania wzorów dokumentów elektronicznych,</w:t>
            </w:r>
          </w:p>
          <w:p w14:paraId="1C48711E"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t>aktualizacji serwisu podatki.gov.pl w zakresie schemy, wzorów dokumentów elektronicznych i adresów oprogramowani interfejsowych,</w:t>
            </w:r>
          </w:p>
          <w:p w14:paraId="0F3B3AEF"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t>wykonania dokumentacji projektu,</w:t>
            </w:r>
          </w:p>
          <w:p w14:paraId="41C3E915"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t>przeprowadzenia testów na środowiskach: testowym i produkcyjnym,</w:t>
            </w:r>
          </w:p>
          <w:p w14:paraId="61E2AFD4" w14:textId="77777777" w:rsidR="00FB4AC2" w:rsidRPr="008C250A" w:rsidRDefault="00FB4AC2" w:rsidP="00664B95">
            <w:pPr>
              <w:pStyle w:val="Akapitzlist"/>
              <w:numPr>
                <w:ilvl w:val="0"/>
                <w:numId w:val="37"/>
              </w:numPr>
              <w:spacing w:line="240" w:lineRule="auto"/>
              <w:jc w:val="both"/>
              <w:rPr>
                <w:rFonts w:ascii="Times New Roman" w:hAnsi="Times New Roman"/>
                <w:color w:val="000000"/>
              </w:rPr>
            </w:pPr>
            <w:r w:rsidRPr="008C250A">
              <w:rPr>
                <w:rFonts w:ascii="Times New Roman" w:hAnsi="Times New Roman"/>
                <w:color w:val="000000"/>
              </w:rPr>
              <w:lastRenderedPageBreak/>
              <w:t>ewaluacji projektu, składająca się m. in. z kompleksowej oceny projektu, biorącej pod uwagę wszystkie jego etapy, tj. planowanie, realizację oraz pomiar rezultatów. Dostarczy ona informacji wykorzystywanych przy procesie decyzyjnym.</w:t>
            </w:r>
          </w:p>
          <w:p w14:paraId="0CB84787" w14:textId="77777777" w:rsidR="00182481" w:rsidRPr="008C250A" w:rsidRDefault="00182481" w:rsidP="008C250A">
            <w:pPr>
              <w:spacing w:line="240" w:lineRule="auto"/>
              <w:jc w:val="both"/>
              <w:rPr>
                <w:rFonts w:ascii="Times New Roman" w:hAnsi="Times New Roman"/>
                <w:color w:val="000000"/>
              </w:rPr>
            </w:pPr>
          </w:p>
          <w:p w14:paraId="341BF94E" w14:textId="3D190E41" w:rsidR="00182481" w:rsidRPr="008C250A" w:rsidRDefault="00182481" w:rsidP="00182481">
            <w:pPr>
              <w:spacing w:line="240" w:lineRule="auto"/>
              <w:jc w:val="both"/>
              <w:rPr>
                <w:rFonts w:ascii="Times New Roman" w:hAnsi="Times New Roman"/>
                <w:color w:val="000000"/>
              </w:rPr>
            </w:pPr>
            <w:r w:rsidRPr="008C250A">
              <w:rPr>
                <w:rFonts w:ascii="Times New Roman" w:hAnsi="Times New Roman"/>
                <w:color w:val="000000"/>
              </w:rPr>
              <w:t>Przewiduje się, że koszty osobowe (wynagrodzenia pracowników) związane z implementacją przewidzianych w projektowanej ustawie rozwiązań wyniosą rocznie ok. 3,18 mln zł (koszt utworzenia, wyposażenia oraz utrzymania ok. 15 nowych etatów operacyjnych i 1 etatu orzeczniczo-interpretacyjnego).  Właściwa realizacja obowiązków narzuconych przez Dyrektywę, dynamiczny wzrost wykorzystywania przez obywateli platform cyfrowych przy tzw. sprzedaży Internetowej, ilość danych, które zostaną przekazane przez platformy, objęcie analizą cyfrowego obszaru systemu podatkowego (które jest zadaniem nowym na poziomie administracji podatkowych państw członkowskich) wiąże się z wysokim stopniem pracochłonności wdrożenia i funkcjonowania procesów przewidywanych w przepisach. Nie można wykluczyć, że realizacja wszystkich procedur w rzeczywistości będzie wymagać obsługi przez większą ilość etatów od tej zaproponowanej przez projektodawcę. Mając jednak na uwadze</w:t>
            </w:r>
            <w:r w:rsidR="000D5831" w:rsidRPr="008C250A">
              <w:rPr>
                <w:rFonts w:ascii="Times New Roman" w:hAnsi="Times New Roman"/>
                <w:color w:val="000000"/>
              </w:rPr>
              <w:t xml:space="preserve"> tzw.</w:t>
            </w:r>
            <w:r w:rsidRPr="008C250A">
              <w:rPr>
                <w:rFonts w:ascii="Times New Roman" w:hAnsi="Times New Roman"/>
                <w:color w:val="000000"/>
              </w:rPr>
              <w:t xml:space="preserve"> ograniczenia </w:t>
            </w:r>
            <w:r w:rsidR="000D5831" w:rsidRPr="008C250A">
              <w:rPr>
                <w:rFonts w:ascii="Times New Roman" w:hAnsi="Times New Roman"/>
                <w:color w:val="000000"/>
              </w:rPr>
              <w:t>budżetowe</w:t>
            </w:r>
            <w:r w:rsidRPr="008C250A">
              <w:rPr>
                <w:rFonts w:ascii="Times New Roman" w:hAnsi="Times New Roman"/>
                <w:color w:val="000000"/>
              </w:rPr>
              <w:t xml:space="preserve"> zdecydowano się zaproponować poziom etatów dla absolutnego minimum zapewnienia ciągłości pracy w jednostkach odpowiedzialnych za obsługę. </w:t>
            </w:r>
            <w:r w:rsidR="000D5831" w:rsidRPr="008C250A">
              <w:rPr>
                <w:rFonts w:ascii="Times New Roman" w:hAnsi="Times New Roman"/>
                <w:color w:val="000000"/>
              </w:rPr>
              <w:t>Mając na uwadze prognozowaną trudność realizowanych zadań, wymagającą w istocie „rynkowej” i „cyfrowej” wiedzy o transakcjach internetowych, a w szczególności złożonych aspektach podatkowych, a także bardzo prawdopodobne występowanie dokumentacji obcojęzycznej przyjęto, iż planowany mnożnik dla osób zatrudnionych przy ww. zadaniach powinien wynosić 4,0, a dla naczelnika wydziału 4,7 kwoty bazowej dla członków korpusu służby cywilnej.</w:t>
            </w:r>
          </w:p>
          <w:p w14:paraId="3038004D" w14:textId="77777777" w:rsidR="00182481" w:rsidRPr="008C250A" w:rsidRDefault="00182481" w:rsidP="00182481">
            <w:pPr>
              <w:spacing w:line="240" w:lineRule="auto"/>
              <w:jc w:val="both"/>
              <w:rPr>
                <w:rFonts w:ascii="Times New Roman" w:hAnsi="Times New Roman"/>
                <w:color w:val="000000"/>
              </w:rPr>
            </w:pPr>
          </w:p>
          <w:p w14:paraId="6F705114" w14:textId="052DC6B8" w:rsidR="00182481" w:rsidRPr="008C250A" w:rsidRDefault="00182481" w:rsidP="00182481">
            <w:pPr>
              <w:spacing w:line="240" w:lineRule="auto"/>
              <w:jc w:val="both"/>
              <w:rPr>
                <w:rFonts w:ascii="Times New Roman" w:hAnsi="Times New Roman"/>
                <w:color w:val="000000"/>
              </w:rPr>
            </w:pPr>
            <w:r w:rsidRPr="008C250A">
              <w:rPr>
                <w:rFonts w:ascii="Times New Roman" w:hAnsi="Times New Roman"/>
                <w:color w:val="000000"/>
              </w:rPr>
              <w:t>W zakresie Krajowej Administracji Skarbowej projekt przewiduje powołanie nowego wydziału z naczelnikiem i 5 etatami w zakresie analizy danych przekazywanych przez platformy oraz weryfikacji i kontroli poprawności rozliczeń podatkowych oraz wpłacanych należności powiązanych z wykorzystywaniem platform cyfrowych (realizacja nowego zadania); dwóch etatów związanych ze stworzeniem i utrzymaniem systemów informatycznych, w tym przede wszystkim zapewnieniem bezpieczeństwa otrzymywanych danych; dwóch etatów do obsługi wymiany informacji z państwami członkowskim i spoza UE zgodnie ze standardami, jakie nakłada na państwa członkowskie dyrektywa. Przewidywany etat orzeczniczo-interpretacyjny</w:t>
            </w:r>
            <w:r w:rsidR="002B0012">
              <w:rPr>
                <w:rFonts w:ascii="Times New Roman" w:hAnsi="Times New Roman"/>
                <w:color w:val="000000"/>
              </w:rPr>
              <w:br/>
            </w:r>
            <w:r w:rsidRPr="008C250A">
              <w:rPr>
                <w:rFonts w:ascii="Times New Roman" w:hAnsi="Times New Roman"/>
                <w:color w:val="000000"/>
              </w:rPr>
              <w:t>w Ministerstwie Finansów powstanie w celu zapewnienia spójnej wykładni obowiązujących przepisów oraz monitorowania i realizowania działań związanych z właściwą realizacją procedury w obszarze nieuregulowanym przez Dyrektywę DAC7, a które to kwestie będą regulowane w projektowanej dyrektywie DAC8</w:t>
            </w:r>
            <w:r w:rsidR="000D5831" w:rsidRPr="008C250A">
              <w:rPr>
                <w:rFonts w:ascii="Times New Roman" w:hAnsi="Times New Roman"/>
                <w:color w:val="000000"/>
              </w:rPr>
              <w:t>, nad którą prace rozpocz</w:t>
            </w:r>
            <w:r w:rsidR="005D2227">
              <w:rPr>
                <w:rFonts w:ascii="Times New Roman" w:hAnsi="Times New Roman"/>
                <w:color w:val="000000"/>
              </w:rPr>
              <w:t xml:space="preserve">ęły </w:t>
            </w:r>
            <w:r w:rsidR="000D5831" w:rsidRPr="008C250A">
              <w:rPr>
                <w:rFonts w:ascii="Times New Roman" w:hAnsi="Times New Roman"/>
                <w:color w:val="000000"/>
              </w:rPr>
              <w:t>się w listopadzie 2022 r.</w:t>
            </w:r>
          </w:p>
          <w:p w14:paraId="1D435BF9" w14:textId="77777777" w:rsidR="00182481" w:rsidRPr="008C250A" w:rsidRDefault="00182481" w:rsidP="00182481">
            <w:pPr>
              <w:spacing w:line="240" w:lineRule="auto"/>
              <w:jc w:val="both"/>
              <w:rPr>
                <w:rFonts w:ascii="Times New Roman" w:hAnsi="Times New Roman"/>
                <w:color w:val="000000"/>
              </w:rPr>
            </w:pPr>
          </w:p>
          <w:p w14:paraId="27CCFDB9" w14:textId="01DDCE45" w:rsidR="004E2776" w:rsidRPr="008C250A" w:rsidRDefault="00182481" w:rsidP="008C250A">
            <w:pPr>
              <w:spacing w:line="240" w:lineRule="auto"/>
              <w:jc w:val="both"/>
              <w:rPr>
                <w:rFonts w:ascii="Times New Roman" w:hAnsi="Times New Roman"/>
                <w:color w:val="000000"/>
              </w:rPr>
            </w:pPr>
            <w:r w:rsidRPr="008C250A">
              <w:rPr>
                <w:rFonts w:ascii="Times New Roman" w:hAnsi="Times New Roman"/>
                <w:color w:val="000000"/>
              </w:rPr>
              <w:t>5 etatów jest przeznaczonych dla Centrum Informatyki Resortu Finansów. 2 etaty związane będą z obsługą całodobowej I linii wsparcia serwisowego oraz II linii funkcjonującej w godzinach biznesowych. Mając na uwadze plany utrzymaniowo – rozwojowe ustalono, że CIRF będzie potrzebował także 3 etaty w celu zapewnienia ciągłego małego rozwoju i wsparcia na poziomie aplikacyjnym. Dla CIRF przyjęto kwotę na etat w wysokości 15 tys. zł., co daje rocznie na etat 0,18 mln zł. Kwota na etat została ustalona na podstawie uśrednienia wynagrodzeń w różnych obszarach IT na podstawie raportu płacowego Hays Poland za rok 2022.</w:t>
            </w:r>
          </w:p>
          <w:p w14:paraId="37EE6E00" w14:textId="28AF231C" w:rsidR="00FB4AC2" w:rsidRPr="00664B95" w:rsidRDefault="00FB4AC2" w:rsidP="00FB4AC2">
            <w:pPr>
              <w:spacing w:line="240" w:lineRule="auto"/>
              <w:jc w:val="both"/>
              <w:rPr>
                <w:rFonts w:ascii="Times New Roman" w:hAnsi="Times New Roman"/>
                <w:color w:val="000000"/>
                <w:sz w:val="21"/>
                <w:szCs w:val="21"/>
              </w:rPr>
            </w:pPr>
          </w:p>
        </w:tc>
      </w:tr>
      <w:tr w:rsidR="00D22123" w:rsidRPr="008B4FE6" w14:paraId="382D171B" w14:textId="77777777" w:rsidTr="00676C8D">
        <w:trPr>
          <w:gridAfter w:val="1"/>
          <w:wAfter w:w="10" w:type="dxa"/>
          <w:trHeight w:val="345"/>
        </w:trPr>
        <w:tc>
          <w:tcPr>
            <w:tcW w:w="10937" w:type="dxa"/>
            <w:gridSpan w:val="29"/>
            <w:shd w:val="clear" w:color="auto" w:fill="99CCFF"/>
          </w:tcPr>
          <w:p w14:paraId="5A52DE75" w14:textId="6E508B35" w:rsidR="00D22123" w:rsidRPr="008B4FE6" w:rsidRDefault="00D22123" w:rsidP="00D22123">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D22123" w:rsidRPr="008B4FE6" w14:paraId="7E308E6D" w14:textId="77777777" w:rsidTr="00676C8D">
        <w:trPr>
          <w:gridAfter w:val="1"/>
          <w:wAfter w:w="10" w:type="dxa"/>
          <w:trHeight w:val="142"/>
        </w:trPr>
        <w:tc>
          <w:tcPr>
            <w:tcW w:w="10937" w:type="dxa"/>
            <w:gridSpan w:val="29"/>
            <w:shd w:val="clear" w:color="auto" w:fill="FFFFFF"/>
          </w:tcPr>
          <w:p w14:paraId="34DC302A" w14:textId="77777777" w:rsidR="00D22123" w:rsidRPr="008C250A" w:rsidRDefault="00D22123" w:rsidP="00D22123">
            <w:pPr>
              <w:spacing w:line="240" w:lineRule="auto"/>
              <w:jc w:val="center"/>
              <w:rPr>
                <w:rFonts w:ascii="Times New Roman" w:hAnsi="Times New Roman"/>
                <w:color w:val="000000"/>
                <w:spacing w:val="-2"/>
              </w:rPr>
            </w:pPr>
            <w:r w:rsidRPr="008C250A">
              <w:rPr>
                <w:rFonts w:ascii="Times New Roman" w:hAnsi="Times New Roman"/>
                <w:color w:val="000000"/>
                <w:spacing w:val="-2"/>
              </w:rPr>
              <w:t>Skutki</w:t>
            </w:r>
          </w:p>
        </w:tc>
      </w:tr>
      <w:tr w:rsidR="00D22123" w:rsidRPr="008B4FE6" w14:paraId="43D69092" w14:textId="77777777" w:rsidTr="008C250A">
        <w:trPr>
          <w:gridAfter w:val="1"/>
          <w:wAfter w:w="10" w:type="dxa"/>
          <w:trHeight w:val="142"/>
        </w:trPr>
        <w:tc>
          <w:tcPr>
            <w:tcW w:w="3889" w:type="dxa"/>
            <w:gridSpan w:val="7"/>
            <w:shd w:val="clear" w:color="auto" w:fill="FFFFFF"/>
          </w:tcPr>
          <w:p w14:paraId="27D4DD44"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Czas w latach od wejścia w życie zmian</w:t>
            </w:r>
          </w:p>
        </w:tc>
        <w:tc>
          <w:tcPr>
            <w:tcW w:w="937" w:type="dxa"/>
            <w:gridSpan w:val="2"/>
            <w:shd w:val="clear" w:color="auto" w:fill="FFFFFF"/>
          </w:tcPr>
          <w:p w14:paraId="2C39424F"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0</w:t>
            </w:r>
          </w:p>
        </w:tc>
        <w:tc>
          <w:tcPr>
            <w:tcW w:w="938" w:type="dxa"/>
            <w:gridSpan w:val="5"/>
            <w:shd w:val="clear" w:color="auto" w:fill="FFFFFF"/>
          </w:tcPr>
          <w:p w14:paraId="2BB1AAEA"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1</w:t>
            </w:r>
          </w:p>
        </w:tc>
        <w:tc>
          <w:tcPr>
            <w:tcW w:w="938" w:type="dxa"/>
            <w:gridSpan w:val="4"/>
            <w:shd w:val="clear" w:color="auto" w:fill="FFFFFF"/>
          </w:tcPr>
          <w:p w14:paraId="59F6A128"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2</w:t>
            </w:r>
          </w:p>
        </w:tc>
        <w:tc>
          <w:tcPr>
            <w:tcW w:w="937" w:type="dxa"/>
            <w:gridSpan w:val="3"/>
            <w:shd w:val="clear" w:color="auto" w:fill="FFFFFF"/>
          </w:tcPr>
          <w:p w14:paraId="659166AD"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3</w:t>
            </w:r>
          </w:p>
        </w:tc>
        <w:tc>
          <w:tcPr>
            <w:tcW w:w="938" w:type="dxa"/>
            <w:gridSpan w:val="4"/>
            <w:shd w:val="clear" w:color="auto" w:fill="FFFFFF"/>
          </w:tcPr>
          <w:p w14:paraId="161CF150"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5</w:t>
            </w:r>
          </w:p>
        </w:tc>
        <w:tc>
          <w:tcPr>
            <w:tcW w:w="808" w:type="dxa"/>
            <w:gridSpan w:val="2"/>
            <w:shd w:val="clear" w:color="auto" w:fill="FFFFFF"/>
          </w:tcPr>
          <w:p w14:paraId="6F624434" w14:textId="77777777" w:rsidR="00D22123" w:rsidRPr="008C250A" w:rsidRDefault="00D22123" w:rsidP="00D22123">
            <w:pPr>
              <w:spacing w:line="240" w:lineRule="auto"/>
              <w:jc w:val="center"/>
              <w:rPr>
                <w:rFonts w:ascii="Times New Roman" w:hAnsi="Times New Roman"/>
                <w:color w:val="000000"/>
              </w:rPr>
            </w:pPr>
            <w:r w:rsidRPr="008C250A">
              <w:rPr>
                <w:rFonts w:ascii="Times New Roman" w:hAnsi="Times New Roman"/>
                <w:color w:val="000000"/>
              </w:rPr>
              <w:t>10</w:t>
            </w:r>
          </w:p>
        </w:tc>
        <w:tc>
          <w:tcPr>
            <w:tcW w:w="1552" w:type="dxa"/>
            <w:gridSpan w:val="2"/>
            <w:shd w:val="clear" w:color="auto" w:fill="FFFFFF"/>
          </w:tcPr>
          <w:p w14:paraId="27DF7D4C" w14:textId="77777777" w:rsidR="00D22123" w:rsidRPr="008C250A" w:rsidRDefault="00D22123" w:rsidP="00D22123">
            <w:pPr>
              <w:spacing w:line="240" w:lineRule="auto"/>
              <w:jc w:val="center"/>
              <w:rPr>
                <w:rFonts w:ascii="Times New Roman" w:hAnsi="Times New Roman"/>
                <w:i/>
                <w:color w:val="000000"/>
                <w:spacing w:val="-2"/>
              </w:rPr>
            </w:pPr>
            <w:r w:rsidRPr="008C250A">
              <w:rPr>
                <w:rFonts w:ascii="Times New Roman" w:hAnsi="Times New Roman"/>
                <w:i/>
                <w:color w:val="000000"/>
                <w:spacing w:val="-2"/>
              </w:rPr>
              <w:t>Łącznie</w:t>
            </w:r>
            <w:r w:rsidRPr="008C250A" w:rsidDel="0073273A">
              <w:rPr>
                <w:rFonts w:ascii="Times New Roman" w:hAnsi="Times New Roman"/>
                <w:i/>
                <w:color w:val="000000"/>
                <w:spacing w:val="-2"/>
              </w:rPr>
              <w:t xml:space="preserve"> </w:t>
            </w:r>
            <w:r w:rsidRPr="008C250A">
              <w:rPr>
                <w:rFonts w:ascii="Times New Roman" w:hAnsi="Times New Roman"/>
                <w:i/>
                <w:color w:val="000000"/>
                <w:spacing w:val="-2"/>
              </w:rPr>
              <w:t>(0-10)</w:t>
            </w:r>
          </w:p>
        </w:tc>
      </w:tr>
      <w:tr w:rsidR="00D22123" w:rsidRPr="008B4FE6" w14:paraId="7754AECF" w14:textId="77777777" w:rsidTr="008C250A">
        <w:trPr>
          <w:gridAfter w:val="1"/>
          <w:wAfter w:w="10" w:type="dxa"/>
          <w:trHeight w:val="142"/>
        </w:trPr>
        <w:tc>
          <w:tcPr>
            <w:tcW w:w="1596" w:type="dxa"/>
            <w:vMerge w:val="restart"/>
            <w:shd w:val="clear" w:color="auto" w:fill="FFFFFF"/>
          </w:tcPr>
          <w:p w14:paraId="19750137" w14:textId="77777777" w:rsidR="00D22123" w:rsidRPr="008C250A" w:rsidRDefault="00D22123" w:rsidP="00D22123">
            <w:pPr>
              <w:rPr>
                <w:rFonts w:ascii="Times New Roman" w:hAnsi="Times New Roman"/>
                <w:color w:val="000000"/>
              </w:rPr>
            </w:pPr>
            <w:r w:rsidRPr="008C250A">
              <w:rPr>
                <w:rFonts w:ascii="Times New Roman" w:hAnsi="Times New Roman"/>
                <w:color w:val="000000"/>
              </w:rPr>
              <w:t>W ujęciu pieniężnym</w:t>
            </w:r>
          </w:p>
          <w:p w14:paraId="38BC5C18" w14:textId="77777777" w:rsidR="00D22123" w:rsidRPr="008C250A" w:rsidRDefault="00D22123" w:rsidP="00D22123">
            <w:pPr>
              <w:rPr>
                <w:rFonts w:ascii="Times New Roman" w:hAnsi="Times New Roman"/>
                <w:spacing w:val="-2"/>
              </w:rPr>
            </w:pPr>
            <w:r w:rsidRPr="008C250A">
              <w:rPr>
                <w:rFonts w:ascii="Times New Roman" w:hAnsi="Times New Roman"/>
                <w:spacing w:val="-2"/>
              </w:rPr>
              <w:t xml:space="preserve">(w mln zł, </w:t>
            </w:r>
          </w:p>
          <w:p w14:paraId="2D25D8A4"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spacing w:val="-2"/>
              </w:rPr>
              <w:t>ceny stałe z …… r.)</w:t>
            </w:r>
          </w:p>
        </w:tc>
        <w:tc>
          <w:tcPr>
            <w:tcW w:w="2293" w:type="dxa"/>
            <w:gridSpan w:val="6"/>
            <w:shd w:val="clear" w:color="auto" w:fill="FFFFFF"/>
          </w:tcPr>
          <w:p w14:paraId="1FF4CFD7"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duże przedsiębiorstwa</w:t>
            </w:r>
          </w:p>
        </w:tc>
        <w:tc>
          <w:tcPr>
            <w:tcW w:w="937" w:type="dxa"/>
            <w:gridSpan w:val="2"/>
            <w:shd w:val="clear" w:color="auto" w:fill="FFFFFF"/>
          </w:tcPr>
          <w:p w14:paraId="0DD630CB"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5"/>
            <w:shd w:val="clear" w:color="auto" w:fill="FFFFFF"/>
          </w:tcPr>
          <w:p w14:paraId="6D1A8C5F" w14:textId="77777777" w:rsidR="00D22123" w:rsidRPr="00B37C80" w:rsidRDefault="00D22123" w:rsidP="00D2212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2E88144B"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7" w:type="dxa"/>
            <w:gridSpan w:val="3"/>
            <w:shd w:val="clear" w:color="auto" w:fill="FFFFFF"/>
          </w:tcPr>
          <w:p w14:paraId="357F5DC9"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4"/>
            <w:shd w:val="clear" w:color="auto" w:fill="FFFFFF"/>
          </w:tcPr>
          <w:p w14:paraId="723DA801"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808" w:type="dxa"/>
            <w:gridSpan w:val="2"/>
            <w:shd w:val="clear" w:color="auto" w:fill="FFFFFF"/>
          </w:tcPr>
          <w:p w14:paraId="42633336"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1552" w:type="dxa"/>
            <w:gridSpan w:val="2"/>
            <w:shd w:val="clear" w:color="auto" w:fill="FFFFFF"/>
          </w:tcPr>
          <w:p w14:paraId="72B07A67"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0</w:t>
            </w:r>
          </w:p>
        </w:tc>
      </w:tr>
      <w:tr w:rsidR="00D22123" w:rsidRPr="008B4FE6" w14:paraId="7E97F0A8" w14:textId="77777777" w:rsidTr="008C250A">
        <w:trPr>
          <w:gridAfter w:val="1"/>
          <w:wAfter w:w="10" w:type="dxa"/>
          <w:trHeight w:val="142"/>
        </w:trPr>
        <w:tc>
          <w:tcPr>
            <w:tcW w:w="1596" w:type="dxa"/>
            <w:vMerge/>
            <w:shd w:val="clear" w:color="auto" w:fill="FFFFFF"/>
          </w:tcPr>
          <w:p w14:paraId="06C342E6" w14:textId="77777777" w:rsidR="00D22123" w:rsidRPr="008C250A" w:rsidRDefault="00D22123" w:rsidP="00D22123">
            <w:pPr>
              <w:spacing w:line="240" w:lineRule="auto"/>
              <w:rPr>
                <w:rFonts w:ascii="Times New Roman" w:hAnsi="Times New Roman"/>
                <w:color w:val="000000"/>
              </w:rPr>
            </w:pPr>
          </w:p>
        </w:tc>
        <w:tc>
          <w:tcPr>
            <w:tcW w:w="2293" w:type="dxa"/>
            <w:gridSpan w:val="6"/>
            <w:shd w:val="clear" w:color="auto" w:fill="FFFFFF"/>
          </w:tcPr>
          <w:p w14:paraId="0BEA233C"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sektor mikro-, małych i średnich przedsiębiorstw</w:t>
            </w:r>
          </w:p>
        </w:tc>
        <w:tc>
          <w:tcPr>
            <w:tcW w:w="937" w:type="dxa"/>
            <w:gridSpan w:val="2"/>
            <w:shd w:val="clear" w:color="auto" w:fill="FFFFFF"/>
          </w:tcPr>
          <w:p w14:paraId="305678AF"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5"/>
            <w:shd w:val="clear" w:color="auto" w:fill="FFFFFF"/>
          </w:tcPr>
          <w:p w14:paraId="00609AC9" w14:textId="77777777" w:rsidR="00D22123" w:rsidRPr="00B37C80" w:rsidRDefault="00D22123" w:rsidP="00D2212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151EAFE5"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7" w:type="dxa"/>
            <w:gridSpan w:val="3"/>
            <w:shd w:val="clear" w:color="auto" w:fill="FFFFFF"/>
          </w:tcPr>
          <w:p w14:paraId="554E9160"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4"/>
            <w:shd w:val="clear" w:color="auto" w:fill="FFFFFF"/>
          </w:tcPr>
          <w:p w14:paraId="422BE606"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808" w:type="dxa"/>
            <w:gridSpan w:val="2"/>
            <w:shd w:val="clear" w:color="auto" w:fill="FFFFFF"/>
          </w:tcPr>
          <w:p w14:paraId="2924518B"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1552" w:type="dxa"/>
            <w:gridSpan w:val="2"/>
            <w:shd w:val="clear" w:color="auto" w:fill="FFFFFF"/>
          </w:tcPr>
          <w:p w14:paraId="71590168"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0</w:t>
            </w:r>
          </w:p>
        </w:tc>
      </w:tr>
      <w:tr w:rsidR="00D22123" w:rsidRPr="008B4FE6" w14:paraId="476046CE" w14:textId="77777777" w:rsidTr="008C250A">
        <w:trPr>
          <w:gridAfter w:val="1"/>
          <w:wAfter w:w="10" w:type="dxa"/>
          <w:trHeight w:val="142"/>
        </w:trPr>
        <w:tc>
          <w:tcPr>
            <w:tcW w:w="1596" w:type="dxa"/>
            <w:vMerge/>
            <w:shd w:val="clear" w:color="auto" w:fill="FFFFFF"/>
          </w:tcPr>
          <w:p w14:paraId="25F8633B" w14:textId="77777777" w:rsidR="00D22123" w:rsidRPr="008C250A" w:rsidRDefault="00D22123" w:rsidP="00D22123">
            <w:pPr>
              <w:spacing w:line="240" w:lineRule="auto"/>
              <w:rPr>
                <w:rFonts w:ascii="Times New Roman" w:hAnsi="Times New Roman"/>
                <w:color w:val="000000"/>
              </w:rPr>
            </w:pPr>
          </w:p>
        </w:tc>
        <w:tc>
          <w:tcPr>
            <w:tcW w:w="2293" w:type="dxa"/>
            <w:gridSpan w:val="6"/>
            <w:shd w:val="clear" w:color="auto" w:fill="FFFFFF"/>
          </w:tcPr>
          <w:p w14:paraId="45038E33"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rPr>
              <w:t>rodzina, obywatele oraz gospodarstwa domowe</w:t>
            </w:r>
          </w:p>
        </w:tc>
        <w:tc>
          <w:tcPr>
            <w:tcW w:w="937" w:type="dxa"/>
            <w:gridSpan w:val="2"/>
            <w:shd w:val="clear" w:color="auto" w:fill="FFFFFF"/>
          </w:tcPr>
          <w:p w14:paraId="3473041C"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5"/>
            <w:shd w:val="clear" w:color="auto" w:fill="FFFFFF"/>
          </w:tcPr>
          <w:p w14:paraId="3B7167E2" w14:textId="77777777" w:rsidR="00D22123" w:rsidRPr="00B37C80" w:rsidRDefault="00D22123" w:rsidP="00D22123">
            <w:pPr>
              <w:spacing w:line="240" w:lineRule="auto"/>
              <w:rPr>
                <w:rFonts w:ascii="Times New Roman" w:hAnsi="Times New Roman"/>
                <w:color w:val="000000"/>
                <w:sz w:val="21"/>
                <w:szCs w:val="21"/>
              </w:rPr>
            </w:pPr>
            <w:r>
              <w:rPr>
                <w:rFonts w:ascii="Times New Roman" w:hAnsi="Times New Roman"/>
                <w:color w:val="000000"/>
                <w:sz w:val="21"/>
                <w:szCs w:val="21"/>
              </w:rPr>
              <w:t>0</w:t>
            </w:r>
          </w:p>
        </w:tc>
        <w:tc>
          <w:tcPr>
            <w:tcW w:w="938" w:type="dxa"/>
            <w:gridSpan w:val="4"/>
            <w:shd w:val="clear" w:color="auto" w:fill="FFFFFF"/>
          </w:tcPr>
          <w:p w14:paraId="08AB2E69"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7" w:type="dxa"/>
            <w:gridSpan w:val="3"/>
            <w:shd w:val="clear" w:color="auto" w:fill="FFFFFF"/>
          </w:tcPr>
          <w:p w14:paraId="2A201570"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938" w:type="dxa"/>
            <w:gridSpan w:val="4"/>
            <w:shd w:val="clear" w:color="auto" w:fill="FFFFFF"/>
          </w:tcPr>
          <w:p w14:paraId="2BE3325F"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808" w:type="dxa"/>
            <w:gridSpan w:val="2"/>
            <w:shd w:val="clear" w:color="auto" w:fill="FFFFFF"/>
          </w:tcPr>
          <w:p w14:paraId="46102155"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0</w:t>
            </w:r>
          </w:p>
        </w:tc>
        <w:tc>
          <w:tcPr>
            <w:tcW w:w="1552" w:type="dxa"/>
            <w:gridSpan w:val="2"/>
            <w:shd w:val="clear" w:color="auto" w:fill="FFFFFF"/>
          </w:tcPr>
          <w:p w14:paraId="73DB83E8"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0</w:t>
            </w:r>
          </w:p>
        </w:tc>
      </w:tr>
      <w:tr w:rsidR="00D22123" w:rsidRPr="008B4FE6" w14:paraId="701F5B8C" w14:textId="77777777" w:rsidTr="008C250A">
        <w:trPr>
          <w:gridAfter w:val="1"/>
          <w:wAfter w:w="10" w:type="dxa"/>
          <w:trHeight w:val="142"/>
        </w:trPr>
        <w:tc>
          <w:tcPr>
            <w:tcW w:w="1596" w:type="dxa"/>
            <w:vMerge/>
            <w:shd w:val="clear" w:color="auto" w:fill="FFFFFF"/>
          </w:tcPr>
          <w:p w14:paraId="5389197D" w14:textId="77777777" w:rsidR="00D22123" w:rsidRPr="008C250A" w:rsidRDefault="00D22123" w:rsidP="00D22123">
            <w:pPr>
              <w:spacing w:line="240" w:lineRule="auto"/>
              <w:rPr>
                <w:rFonts w:ascii="Times New Roman" w:hAnsi="Times New Roman"/>
                <w:color w:val="000000"/>
              </w:rPr>
            </w:pPr>
          </w:p>
        </w:tc>
        <w:tc>
          <w:tcPr>
            <w:tcW w:w="2293" w:type="dxa"/>
            <w:gridSpan w:val="6"/>
            <w:shd w:val="clear" w:color="auto" w:fill="FFFFFF"/>
          </w:tcPr>
          <w:p w14:paraId="4DA3A348"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C250A">
              <w:rPr>
                <w:rFonts w:ascii="Times New Roman" w:hAnsi="Times New Roman"/>
                <w:color w:val="000000"/>
              </w:rPr>
              <w:instrText xml:space="preserve"> FORMTEXT </w:instrText>
            </w:r>
            <w:r w:rsidRPr="008C250A">
              <w:rPr>
                <w:rFonts w:ascii="Times New Roman" w:hAnsi="Times New Roman"/>
                <w:color w:val="000000"/>
              </w:rPr>
            </w:r>
            <w:r w:rsidRPr="008C250A">
              <w:rPr>
                <w:rFonts w:ascii="Times New Roman" w:hAnsi="Times New Roman"/>
                <w:color w:val="000000"/>
              </w:rPr>
              <w:fldChar w:fldCharType="separate"/>
            </w:r>
            <w:r w:rsidRPr="008C250A">
              <w:rPr>
                <w:rFonts w:ascii="Times New Roman" w:hAnsi="Times New Roman"/>
                <w:noProof/>
                <w:color w:val="000000"/>
              </w:rPr>
              <w:t>(dodaj/usuń)</w:t>
            </w:r>
            <w:r w:rsidRPr="008C250A">
              <w:rPr>
                <w:rFonts w:ascii="Times New Roman" w:hAnsi="Times New Roman"/>
                <w:color w:val="000000"/>
              </w:rPr>
              <w:fldChar w:fldCharType="end"/>
            </w:r>
          </w:p>
        </w:tc>
        <w:tc>
          <w:tcPr>
            <w:tcW w:w="937" w:type="dxa"/>
            <w:gridSpan w:val="2"/>
            <w:shd w:val="clear" w:color="auto" w:fill="FFFFFF"/>
          </w:tcPr>
          <w:p w14:paraId="19BBD6F4" w14:textId="77777777" w:rsidR="00D22123" w:rsidRPr="008C250A" w:rsidRDefault="00D22123" w:rsidP="00D22123">
            <w:pPr>
              <w:spacing w:line="240" w:lineRule="auto"/>
              <w:rPr>
                <w:rFonts w:ascii="Times New Roman" w:hAnsi="Times New Roman"/>
                <w:color w:val="000000"/>
              </w:rPr>
            </w:pPr>
          </w:p>
        </w:tc>
        <w:tc>
          <w:tcPr>
            <w:tcW w:w="938" w:type="dxa"/>
            <w:gridSpan w:val="5"/>
            <w:shd w:val="clear" w:color="auto" w:fill="FFFFFF"/>
          </w:tcPr>
          <w:p w14:paraId="5632014B" w14:textId="77777777" w:rsidR="00D22123" w:rsidRPr="00B37C80" w:rsidRDefault="00D22123" w:rsidP="00D22123">
            <w:pPr>
              <w:spacing w:line="240" w:lineRule="auto"/>
              <w:rPr>
                <w:rFonts w:ascii="Times New Roman" w:hAnsi="Times New Roman"/>
                <w:color w:val="000000"/>
                <w:sz w:val="21"/>
                <w:szCs w:val="21"/>
              </w:rPr>
            </w:pPr>
          </w:p>
        </w:tc>
        <w:tc>
          <w:tcPr>
            <w:tcW w:w="938" w:type="dxa"/>
            <w:gridSpan w:val="4"/>
            <w:shd w:val="clear" w:color="auto" w:fill="FFFFFF"/>
          </w:tcPr>
          <w:p w14:paraId="57686BFE" w14:textId="77777777" w:rsidR="00D22123" w:rsidRPr="00B37C80" w:rsidRDefault="00D22123" w:rsidP="00D22123">
            <w:pPr>
              <w:spacing w:line="240" w:lineRule="auto"/>
              <w:rPr>
                <w:rFonts w:ascii="Times New Roman" w:hAnsi="Times New Roman"/>
                <w:color w:val="000000"/>
                <w:sz w:val="21"/>
                <w:szCs w:val="21"/>
              </w:rPr>
            </w:pPr>
          </w:p>
        </w:tc>
        <w:tc>
          <w:tcPr>
            <w:tcW w:w="937" w:type="dxa"/>
            <w:gridSpan w:val="3"/>
            <w:shd w:val="clear" w:color="auto" w:fill="FFFFFF"/>
          </w:tcPr>
          <w:p w14:paraId="5C03CFA1" w14:textId="77777777" w:rsidR="00D22123" w:rsidRPr="00B37C80" w:rsidRDefault="00D22123" w:rsidP="00D22123">
            <w:pPr>
              <w:spacing w:line="240" w:lineRule="auto"/>
              <w:rPr>
                <w:rFonts w:ascii="Times New Roman" w:hAnsi="Times New Roman"/>
                <w:color w:val="000000"/>
                <w:sz w:val="21"/>
                <w:szCs w:val="21"/>
              </w:rPr>
            </w:pPr>
          </w:p>
        </w:tc>
        <w:tc>
          <w:tcPr>
            <w:tcW w:w="938" w:type="dxa"/>
            <w:gridSpan w:val="4"/>
            <w:shd w:val="clear" w:color="auto" w:fill="FFFFFF"/>
          </w:tcPr>
          <w:p w14:paraId="194143F5" w14:textId="77777777" w:rsidR="00D22123" w:rsidRPr="00B37C80" w:rsidRDefault="00D22123" w:rsidP="00D22123">
            <w:pPr>
              <w:spacing w:line="240" w:lineRule="auto"/>
              <w:rPr>
                <w:rFonts w:ascii="Times New Roman" w:hAnsi="Times New Roman"/>
                <w:color w:val="000000"/>
                <w:sz w:val="21"/>
                <w:szCs w:val="21"/>
              </w:rPr>
            </w:pPr>
          </w:p>
        </w:tc>
        <w:tc>
          <w:tcPr>
            <w:tcW w:w="808" w:type="dxa"/>
            <w:gridSpan w:val="2"/>
            <w:shd w:val="clear" w:color="auto" w:fill="FFFFFF"/>
          </w:tcPr>
          <w:p w14:paraId="77D8DA21" w14:textId="77777777" w:rsidR="00D22123" w:rsidRPr="00B37C80" w:rsidRDefault="00D22123" w:rsidP="00D22123">
            <w:pPr>
              <w:spacing w:line="240" w:lineRule="auto"/>
              <w:rPr>
                <w:rFonts w:ascii="Times New Roman" w:hAnsi="Times New Roman"/>
                <w:color w:val="000000"/>
                <w:sz w:val="21"/>
                <w:szCs w:val="21"/>
              </w:rPr>
            </w:pPr>
          </w:p>
        </w:tc>
        <w:tc>
          <w:tcPr>
            <w:tcW w:w="1552" w:type="dxa"/>
            <w:gridSpan w:val="2"/>
            <w:shd w:val="clear" w:color="auto" w:fill="FFFFFF"/>
          </w:tcPr>
          <w:p w14:paraId="553512CE" w14:textId="77777777" w:rsidR="00D22123" w:rsidRPr="00B37C80" w:rsidRDefault="00D22123" w:rsidP="00D22123">
            <w:pPr>
              <w:spacing w:line="240" w:lineRule="auto"/>
              <w:rPr>
                <w:rFonts w:ascii="Times New Roman" w:hAnsi="Times New Roman"/>
                <w:color w:val="000000"/>
                <w:spacing w:val="-2"/>
                <w:sz w:val="21"/>
                <w:szCs w:val="21"/>
              </w:rPr>
            </w:pPr>
          </w:p>
        </w:tc>
      </w:tr>
      <w:tr w:rsidR="00D22123" w:rsidRPr="008B4FE6" w14:paraId="16F45B19" w14:textId="77777777" w:rsidTr="00676C8D">
        <w:trPr>
          <w:gridAfter w:val="1"/>
          <w:wAfter w:w="10" w:type="dxa"/>
          <w:trHeight w:val="142"/>
        </w:trPr>
        <w:tc>
          <w:tcPr>
            <w:tcW w:w="1596" w:type="dxa"/>
            <w:vMerge w:val="restart"/>
            <w:shd w:val="clear" w:color="auto" w:fill="FFFFFF"/>
          </w:tcPr>
          <w:p w14:paraId="7E080D94"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W ujęciu niepieniężnym</w:t>
            </w:r>
          </w:p>
        </w:tc>
        <w:tc>
          <w:tcPr>
            <w:tcW w:w="2293" w:type="dxa"/>
            <w:gridSpan w:val="6"/>
            <w:shd w:val="clear" w:color="auto" w:fill="FFFFFF"/>
          </w:tcPr>
          <w:p w14:paraId="15FDF38F"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duże przedsiębiorstwa</w:t>
            </w:r>
          </w:p>
        </w:tc>
        <w:tc>
          <w:tcPr>
            <w:tcW w:w="7048" w:type="dxa"/>
            <w:gridSpan w:val="22"/>
            <w:shd w:val="clear" w:color="auto" w:fill="FFFFFF"/>
          </w:tcPr>
          <w:p w14:paraId="4A75741D"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 xml:space="preserve">Nowe obowiązki sprawozdawcze wynikające z DAC7 zostaną wprowadzone we wszystkich krajach członkowskich UE więc nie powinny mieć wpływu na konkurencyjność przedsiębiorstw na wspólnym rynku UE. </w:t>
            </w:r>
          </w:p>
        </w:tc>
      </w:tr>
      <w:tr w:rsidR="00D22123" w:rsidRPr="008B4FE6" w14:paraId="4A247352" w14:textId="77777777" w:rsidTr="00676C8D">
        <w:trPr>
          <w:gridAfter w:val="1"/>
          <w:wAfter w:w="10" w:type="dxa"/>
          <w:trHeight w:val="142"/>
        </w:trPr>
        <w:tc>
          <w:tcPr>
            <w:tcW w:w="1596" w:type="dxa"/>
            <w:vMerge/>
            <w:shd w:val="clear" w:color="auto" w:fill="FFFFFF"/>
          </w:tcPr>
          <w:p w14:paraId="37578A66" w14:textId="77777777" w:rsidR="00D22123" w:rsidRPr="008C250A" w:rsidRDefault="00D22123" w:rsidP="00D22123">
            <w:pPr>
              <w:spacing w:line="240" w:lineRule="auto"/>
              <w:rPr>
                <w:rFonts w:ascii="Times New Roman" w:hAnsi="Times New Roman"/>
                <w:color w:val="000000"/>
              </w:rPr>
            </w:pPr>
          </w:p>
        </w:tc>
        <w:tc>
          <w:tcPr>
            <w:tcW w:w="2293" w:type="dxa"/>
            <w:gridSpan w:val="6"/>
            <w:shd w:val="clear" w:color="auto" w:fill="FFFFFF"/>
          </w:tcPr>
          <w:p w14:paraId="34654D5D"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sektor mikro-, małych i średnich przedsiębiorstw</w:t>
            </w:r>
          </w:p>
        </w:tc>
        <w:tc>
          <w:tcPr>
            <w:tcW w:w="7048" w:type="dxa"/>
            <w:gridSpan w:val="22"/>
            <w:shd w:val="clear" w:color="auto" w:fill="FFFFFF"/>
          </w:tcPr>
          <w:p w14:paraId="2D55A840"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Nowe obowiązki sprawozdawcze wynikające z DAC7 zostaną wprowadzone we wszystkich krajach członkowskich UE więc nie powinny mieć wpływu na konkurencyjność przedsiębiorstw na wspólnym rynku UE.</w:t>
            </w:r>
          </w:p>
        </w:tc>
      </w:tr>
      <w:tr w:rsidR="00D22123" w:rsidRPr="008B4FE6" w14:paraId="2CD2A410" w14:textId="77777777" w:rsidTr="00676C8D">
        <w:trPr>
          <w:gridAfter w:val="1"/>
          <w:wAfter w:w="10" w:type="dxa"/>
          <w:trHeight w:val="596"/>
        </w:trPr>
        <w:tc>
          <w:tcPr>
            <w:tcW w:w="1596" w:type="dxa"/>
            <w:vMerge/>
            <w:shd w:val="clear" w:color="auto" w:fill="FFFFFF"/>
          </w:tcPr>
          <w:p w14:paraId="7368E2FC" w14:textId="77777777" w:rsidR="00D22123" w:rsidRPr="008C250A" w:rsidRDefault="00D22123" w:rsidP="00D22123">
            <w:pPr>
              <w:spacing w:line="240" w:lineRule="auto"/>
              <w:rPr>
                <w:rFonts w:ascii="Times New Roman" w:hAnsi="Times New Roman"/>
                <w:color w:val="000000"/>
              </w:rPr>
            </w:pPr>
          </w:p>
        </w:tc>
        <w:tc>
          <w:tcPr>
            <w:tcW w:w="2293" w:type="dxa"/>
            <w:gridSpan w:val="6"/>
            <w:shd w:val="clear" w:color="auto" w:fill="FFFFFF"/>
          </w:tcPr>
          <w:p w14:paraId="19D8C15B" w14:textId="77777777" w:rsidR="00D22123" w:rsidRPr="008C250A" w:rsidRDefault="00D22123" w:rsidP="00D22123">
            <w:pPr>
              <w:tabs>
                <w:tab w:val="right" w:pos="1936"/>
              </w:tabs>
              <w:spacing w:line="240" w:lineRule="auto"/>
              <w:rPr>
                <w:rFonts w:ascii="Times New Roman" w:hAnsi="Times New Roman"/>
                <w:color w:val="000000"/>
              </w:rPr>
            </w:pPr>
            <w:r w:rsidRPr="008C250A">
              <w:rPr>
                <w:rFonts w:ascii="Times New Roman" w:hAnsi="Times New Roman"/>
              </w:rPr>
              <w:t>rodzina, obywatele oraz gospodarstwa domowe</w:t>
            </w:r>
            <w:r w:rsidRPr="008C250A">
              <w:rPr>
                <w:rFonts w:ascii="Times New Roman" w:hAnsi="Times New Roman"/>
                <w:color w:val="000000"/>
              </w:rPr>
              <w:t xml:space="preserve"> </w:t>
            </w:r>
          </w:p>
        </w:tc>
        <w:tc>
          <w:tcPr>
            <w:tcW w:w="7048" w:type="dxa"/>
            <w:gridSpan w:val="22"/>
            <w:shd w:val="clear" w:color="auto" w:fill="FFFFFF"/>
          </w:tcPr>
          <w:p w14:paraId="2B7E7170"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Nowe obowiązki sprawozdawcze wynikające z DAC7 zostaną wprowadzone we wszystkich krajach członkowskich UE więc nie powinny mieć wpływu na konkurencyjność przedsiębiorstw na wspólnym rynku UE.</w:t>
            </w:r>
          </w:p>
        </w:tc>
      </w:tr>
      <w:tr w:rsidR="00D22123" w:rsidRPr="008B4FE6" w14:paraId="63343574" w14:textId="77777777" w:rsidTr="00676C8D">
        <w:trPr>
          <w:gridAfter w:val="1"/>
          <w:wAfter w:w="10" w:type="dxa"/>
          <w:trHeight w:val="142"/>
        </w:trPr>
        <w:tc>
          <w:tcPr>
            <w:tcW w:w="1596" w:type="dxa"/>
            <w:shd w:val="clear" w:color="auto" w:fill="FFFFFF"/>
          </w:tcPr>
          <w:p w14:paraId="27ECD381"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Niemierzalne</w:t>
            </w:r>
          </w:p>
        </w:tc>
        <w:tc>
          <w:tcPr>
            <w:tcW w:w="2293" w:type="dxa"/>
            <w:gridSpan w:val="6"/>
            <w:shd w:val="clear" w:color="auto" w:fill="FFFFFF"/>
          </w:tcPr>
          <w:p w14:paraId="437ABF99"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Efekt behawioralny</w:t>
            </w:r>
          </w:p>
        </w:tc>
        <w:tc>
          <w:tcPr>
            <w:tcW w:w="7048" w:type="dxa"/>
            <w:gridSpan w:val="22"/>
            <w:shd w:val="clear" w:color="auto" w:fill="FFFFFF"/>
          </w:tcPr>
          <w:p w14:paraId="57153236" w14:textId="77777777" w:rsidR="00D22123" w:rsidRPr="008C250A" w:rsidRDefault="00D22123" w:rsidP="00D22123">
            <w:pPr>
              <w:spacing w:line="240" w:lineRule="auto"/>
              <w:rPr>
                <w:rFonts w:ascii="Times New Roman" w:hAnsi="Times New Roman"/>
                <w:color w:val="000000"/>
                <w:spacing w:val="-2"/>
              </w:rPr>
            </w:pPr>
            <w:r w:rsidRPr="008C250A">
              <w:rPr>
                <w:rFonts w:ascii="Times New Roman" w:hAnsi="Times New Roman"/>
                <w:color w:val="000000"/>
                <w:spacing w:val="-2"/>
              </w:rPr>
              <w:t xml:space="preserve">Przewiduje się większą przejrzystość i transparentność dotyczącą deklarowania przez obywateli dochodów uzyskiwanych przez obywateli za pośrednictwem platform cyfrowych. </w:t>
            </w:r>
          </w:p>
        </w:tc>
      </w:tr>
      <w:tr w:rsidR="00D22123" w:rsidRPr="008B4FE6" w14:paraId="320EB956" w14:textId="77777777" w:rsidTr="00676C8D">
        <w:trPr>
          <w:gridAfter w:val="1"/>
          <w:wAfter w:w="10" w:type="dxa"/>
          <w:trHeight w:val="1643"/>
        </w:trPr>
        <w:tc>
          <w:tcPr>
            <w:tcW w:w="2243" w:type="dxa"/>
            <w:gridSpan w:val="2"/>
            <w:shd w:val="clear" w:color="auto" w:fill="FFFFFF"/>
          </w:tcPr>
          <w:p w14:paraId="64F39C4C" w14:textId="77777777" w:rsidR="00D22123" w:rsidRPr="008C250A" w:rsidRDefault="00D22123" w:rsidP="00D22123">
            <w:pPr>
              <w:spacing w:line="240" w:lineRule="auto"/>
              <w:rPr>
                <w:rFonts w:ascii="Times New Roman" w:hAnsi="Times New Roman"/>
                <w:color w:val="000000"/>
              </w:rPr>
            </w:pPr>
            <w:r w:rsidRPr="008C250A">
              <w:rPr>
                <w:rFonts w:ascii="Times New Roman" w:hAnsi="Times New Roman"/>
                <w:color w:val="000000"/>
              </w:rPr>
              <w:t xml:space="preserve">Dodatkowe informacje, w tym wskazanie źródeł danych i przyjętych do obliczeń założeń </w:t>
            </w:r>
          </w:p>
        </w:tc>
        <w:tc>
          <w:tcPr>
            <w:tcW w:w="8694" w:type="dxa"/>
            <w:gridSpan w:val="27"/>
            <w:shd w:val="clear" w:color="auto" w:fill="FFFFFF"/>
            <w:vAlign w:val="center"/>
          </w:tcPr>
          <w:p w14:paraId="2D46F8AB" w14:textId="77777777" w:rsidR="00D22123" w:rsidRDefault="000B7A2A">
            <w:pPr>
              <w:spacing w:line="240" w:lineRule="auto"/>
              <w:jc w:val="both"/>
              <w:rPr>
                <w:rFonts w:ascii="Times New Roman" w:hAnsi="Times New Roman"/>
                <w:color w:val="000000"/>
              </w:rPr>
            </w:pPr>
            <w:r w:rsidRPr="008C250A">
              <w:rPr>
                <w:rFonts w:ascii="Times New Roman" w:hAnsi="Times New Roman"/>
                <w:color w:val="000000"/>
              </w:rPr>
              <w:t xml:space="preserve">Należy założyć, że wraz z implementacją dyrektywy podmioty obowiązane do raportowania poniosą dodatkowe koszty związane z  dopełnieniem obowiązków sprawozdawczych. Bardzo istotne z punktu widzenia wyjątkowości tej regulacji są procedury zawarte w rozdziale 4 projektu ustawy, które mają na celu obniżenie kosztów dostosowania do wdrażanej dyrektywy dla operatorów platform. Po pierwsze, obowiązek zgłaszania dochodów występuje tylko w jednym państwie członkowskim, przez jeden podmiot, pod warunkiem, że raportujący operator platformy poinformuje o tym inne państwa członkowskie. Operator platformy raportujący w innym państwie niż Polska będzie zwolniony z obowiązków raportowania wynikających z polskich regulacji. Po drugie, raportujący operatorzy platform, którzy działają na unijnym rynku, ale nie mają siedziby w państwie, z którymi UE ma podpisane kwalifikujące umowy o wymianie informacji, są zobowiązani do rejestracji wyłącznie w jednym państwie członkowskim (obowiązek jednorazowej rejestracji). </w:t>
            </w:r>
          </w:p>
          <w:p w14:paraId="1184E340" w14:textId="43586DF1" w:rsidR="004E2776" w:rsidRPr="008C250A" w:rsidRDefault="004E2776">
            <w:pPr>
              <w:spacing w:line="240" w:lineRule="auto"/>
              <w:jc w:val="both"/>
              <w:rPr>
                <w:rFonts w:ascii="Times New Roman" w:hAnsi="Times New Roman"/>
                <w:color w:val="000000"/>
              </w:rPr>
            </w:pPr>
          </w:p>
        </w:tc>
      </w:tr>
      <w:tr w:rsidR="00D22123" w:rsidRPr="008B4FE6" w14:paraId="7568A628" w14:textId="77777777" w:rsidTr="00676C8D">
        <w:trPr>
          <w:gridAfter w:val="1"/>
          <w:wAfter w:w="10" w:type="dxa"/>
          <w:trHeight w:val="342"/>
        </w:trPr>
        <w:tc>
          <w:tcPr>
            <w:tcW w:w="10937" w:type="dxa"/>
            <w:gridSpan w:val="29"/>
            <w:shd w:val="clear" w:color="auto" w:fill="99CCFF"/>
            <w:vAlign w:val="center"/>
          </w:tcPr>
          <w:p w14:paraId="79E8DCB9" w14:textId="77777777" w:rsidR="00D22123" w:rsidRPr="008B4FE6" w:rsidRDefault="00D22123" w:rsidP="00D22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D22123" w:rsidRPr="008B4FE6" w14:paraId="0C36F42C" w14:textId="77777777" w:rsidTr="00676C8D">
        <w:trPr>
          <w:gridAfter w:val="1"/>
          <w:wAfter w:w="10" w:type="dxa"/>
          <w:trHeight w:val="151"/>
        </w:trPr>
        <w:tc>
          <w:tcPr>
            <w:tcW w:w="10937" w:type="dxa"/>
            <w:gridSpan w:val="29"/>
            <w:shd w:val="clear" w:color="auto" w:fill="FFFFFF"/>
          </w:tcPr>
          <w:p w14:paraId="4ABB3D99" w14:textId="77777777" w:rsidR="00D22123" w:rsidRPr="008B4FE6" w:rsidRDefault="00D22123" w:rsidP="00D22123">
            <w:pPr>
              <w:spacing w:line="240" w:lineRule="auto"/>
              <w:rPr>
                <w:rFonts w:ascii="Times New Roman" w:hAnsi="Times New Roman"/>
                <w:color w:val="000000"/>
              </w:rPr>
            </w:pPr>
            <w:r w:rsidRPr="001A5FDA">
              <w:rPr>
                <w:rFonts w:ascii="Times New Roman" w:hAnsi="Times New Roman"/>
                <w:color w:val="000000"/>
              </w:rPr>
              <w:fldChar w:fldCharType="begin">
                <w:ffData>
                  <w:name w:val="Wybór1"/>
                  <w:enabled/>
                  <w:calcOnExit w:val="0"/>
                  <w:checkBox>
                    <w:sizeAuto/>
                    <w:default w:val="0"/>
                  </w:checkBox>
                </w:ffData>
              </w:fldChar>
            </w:r>
            <w:r w:rsidRPr="001A5FDA">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1A5FDA">
              <w:rPr>
                <w:rFonts w:ascii="Times New Roman" w:hAnsi="Times New Roman"/>
                <w:color w:val="000000"/>
              </w:rPr>
              <w:fldChar w:fldCharType="end"/>
            </w:r>
            <w:r w:rsidRPr="001A5FDA">
              <w:rPr>
                <w:rFonts w:ascii="Times New Roman" w:hAnsi="Times New Roman"/>
                <w:color w:val="000000"/>
              </w:rPr>
              <w:t xml:space="preserve"> </w:t>
            </w:r>
            <w:r w:rsidRPr="001A5FDA">
              <w:rPr>
                <w:rFonts w:ascii="Times New Roman" w:hAnsi="Times New Roman"/>
                <w:color w:val="000000"/>
                <w:spacing w:val="-2"/>
              </w:rPr>
              <w:t>nie dotyczy</w:t>
            </w:r>
          </w:p>
        </w:tc>
      </w:tr>
      <w:tr w:rsidR="00D22123" w:rsidRPr="008B4FE6" w14:paraId="7E290150" w14:textId="77777777" w:rsidTr="00676C8D">
        <w:trPr>
          <w:gridAfter w:val="1"/>
          <w:wAfter w:w="10" w:type="dxa"/>
          <w:trHeight w:val="946"/>
        </w:trPr>
        <w:tc>
          <w:tcPr>
            <w:tcW w:w="5111" w:type="dxa"/>
            <w:gridSpan w:val="12"/>
            <w:shd w:val="clear" w:color="auto" w:fill="FFFFFF"/>
          </w:tcPr>
          <w:p w14:paraId="3341EA71" w14:textId="77777777" w:rsidR="00D22123" w:rsidRDefault="00D22123" w:rsidP="00D22123">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826" w:type="dxa"/>
            <w:gridSpan w:val="17"/>
            <w:shd w:val="clear" w:color="auto" w:fill="FFFFFF"/>
          </w:tcPr>
          <w:p w14:paraId="02CBBC35" w14:textId="77777777" w:rsidR="00D22123"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tak</w:t>
            </w:r>
          </w:p>
          <w:p w14:paraId="5CFFF7D9" w14:textId="77777777" w:rsidR="00D22123" w:rsidRDefault="00D22123" w:rsidP="00D2212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nie</w:t>
            </w:r>
          </w:p>
          <w:p w14:paraId="62D41B52" w14:textId="77777777" w:rsidR="00D22123" w:rsidRDefault="00D22123" w:rsidP="00D22123">
            <w:pPr>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tc>
      </w:tr>
      <w:tr w:rsidR="00D22123" w:rsidRPr="008B4FE6" w14:paraId="57B1A29D" w14:textId="77777777" w:rsidTr="00676C8D">
        <w:trPr>
          <w:gridAfter w:val="1"/>
          <w:wAfter w:w="10" w:type="dxa"/>
          <w:trHeight w:val="1245"/>
        </w:trPr>
        <w:tc>
          <w:tcPr>
            <w:tcW w:w="5111" w:type="dxa"/>
            <w:gridSpan w:val="12"/>
            <w:shd w:val="clear" w:color="auto" w:fill="FFFFFF"/>
          </w:tcPr>
          <w:p w14:paraId="062442D1" w14:textId="77777777" w:rsidR="00D22123" w:rsidRPr="008B4FE6"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dokumentów</w:t>
            </w:r>
            <w:r>
              <w:rPr>
                <w:rFonts w:ascii="Times New Roman" w:hAnsi="Times New Roman"/>
                <w:color w:val="000000"/>
                <w:spacing w:val="-2"/>
              </w:rPr>
              <w:t xml:space="preserve"> </w:t>
            </w:r>
          </w:p>
          <w:p w14:paraId="3823FD01" w14:textId="77777777" w:rsidR="00D22123" w:rsidRPr="008B4FE6"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zmniejszenie liczby procedur</w:t>
            </w:r>
          </w:p>
          <w:p w14:paraId="57ADE83A" w14:textId="77777777" w:rsidR="00D22123"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skrócenie czasu</w:t>
            </w:r>
            <w:r>
              <w:rPr>
                <w:rFonts w:ascii="Times New Roman" w:hAnsi="Times New Roman"/>
                <w:color w:val="000000"/>
                <w:spacing w:val="-2"/>
              </w:rPr>
              <w:t xml:space="preserve"> na załatwienie sprawy</w:t>
            </w:r>
          </w:p>
          <w:p w14:paraId="45B2E33E" w14:textId="77777777" w:rsidR="00D22123" w:rsidRPr="008B4FE6" w:rsidRDefault="00D22123" w:rsidP="00D22123">
            <w:pPr>
              <w:rPr>
                <w:rFonts w:ascii="Times New Roman" w:hAnsi="Times New Roman"/>
                <w:b/>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5826" w:type="dxa"/>
            <w:gridSpan w:val="17"/>
            <w:shd w:val="clear" w:color="auto" w:fill="FFFFFF"/>
          </w:tcPr>
          <w:p w14:paraId="7AC4AA1F" w14:textId="77777777" w:rsidR="00D22123" w:rsidRPr="008B4FE6" w:rsidRDefault="00D22123" w:rsidP="00D2212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dokumentów</w:t>
            </w:r>
          </w:p>
          <w:p w14:paraId="65BF56FA" w14:textId="77777777" w:rsidR="00D22123" w:rsidRPr="008B4FE6" w:rsidRDefault="00D22123" w:rsidP="00D2212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zwiększenie liczby procedur</w:t>
            </w:r>
          </w:p>
          <w:p w14:paraId="7878AE6D" w14:textId="77777777" w:rsidR="00D22123" w:rsidRPr="008B4FE6"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wydłużenie czasu</w:t>
            </w:r>
            <w:r>
              <w:rPr>
                <w:rFonts w:ascii="Times New Roman" w:hAnsi="Times New Roman"/>
                <w:color w:val="000000"/>
                <w:spacing w:val="-2"/>
              </w:rPr>
              <w:t xml:space="preserve"> na załatwienie sprawy</w:t>
            </w:r>
          </w:p>
          <w:p w14:paraId="48C8843B" w14:textId="77777777" w:rsidR="00D22123" w:rsidRPr="008B4FE6"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inne:</w:t>
            </w:r>
            <w:r w:rsidRPr="008B4FE6">
              <w:rPr>
                <w:rFonts w:ascii="Times New Roman" w:hAnsi="Times New Roman"/>
                <w:color w:val="000000"/>
              </w:rPr>
              <w:t xml:space="preserv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p w14:paraId="4F85B65B" w14:textId="77777777" w:rsidR="00D22123" w:rsidRPr="008B4FE6" w:rsidRDefault="00D22123" w:rsidP="00D22123">
            <w:pPr>
              <w:spacing w:line="240" w:lineRule="auto"/>
              <w:rPr>
                <w:rFonts w:ascii="Times New Roman" w:hAnsi="Times New Roman"/>
                <w:color w:val="000000"/>
              </w:rPr>
            </w:pPr>
          </w:p>
        </w:tc>
      </w:tr>
      <w:tr w:rsidR="00D22123" w:rsidRPr="008B4FE6" w14:paraId="50DD589D" w14:textId="77777777" w:rsidTr="00676C8D">
        <w:trPr>
          <w:gridAfter w:val="1"/>
          <w:wAfter w:w="10" w:type="dxa"/>
          <w:trHeight w:val="870"/>
        </w:trPr>
        <w:tc>
          <w:tcPr>
            <w:tcW w:w="5111" w:type="dxa"/>
            <w:gridSpan w:val="12"/>
            <w:shd w:val="clear" w:color="auto" w:fill="FFFFFF"/>
          </w:tcPr>
          <w:p w14:paraId="54B84DE8" w14:textId="77777777" w:rsidR="00D22123" w:rsidRPr="008B4FE6" w:rsidRDefault="00D22123" w:rsidP="00D22123">
            <w:pPr>
              <w:spacing w:line="240" w:lineRule="auto"/>
              <w:rPr>
                <w:rFonts w:ascii="Times New Roman" w:hAnsi="Times New Roman"/>
                <w:color w:val="000000"/>
              </w:rPr>
            </w:pPr>
            <w:r>
              <w:rPr>
                <w:rFonts w:ascii="Times New Roman" w:hAnsi="Times New Roman"/>
                <w:color w:val="000000"/>
                <w:spacing w:val="-2"/>
              </w:rPr>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826" w:type="dxa"/>
            <w:gridSpan w:val="17"/>
            <w:shd w:val="clear" w:color="auto" w:fill="FFFFFF"/>
          </w:tcPr>
          <w:p w14:paraId="3D919433" w14:textId="77777777" w:rsidR="00D22123" w:rsidRDefault="00D22123" w:rsidP="00D2212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Pr>
                <w:rFonts w:ascii="Times New Roman" w:hAnsi="Times New Roman"/>
                <w:color w:val="000000"/>
              </w:rPr>
              <w:t xml:space="preserve"> tak</w:t>
            </w:r>
          </w:p>
          <w:p w14:paraId="14EF36FB" w14:textId="77777777" w:rsidR="00D22123"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w:t>
            </w:r>
          </w:p>
          <w:p w14:paraId="381CF57B" w14:textId="77777777" w:rsidR="00D22123"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Pr>
                <w:rFonts w:ascii="Times New Roman" w:hAnsi="Times New Roman"/>
                <w:color w:val="000000"/>
              </w:rPr>
              <w:t xml:space="preserve"> nie dotyczy</w:t>
            </w:r>
          </w:p>
          <w:p w14:paraId="4A022F4C" w14:textId="77777777" w:rsidR="00D22123" w:rsidRPr="008B4FE6" w:rsidRDefault="00D22123" w:rsidP="00D22123">
            <w:pPr>
              <w:spacing w:line="240" w:lineRule="auto"/>
              <w:rPr>
                <w:rFonts w:ascii="Times New Roman" w:hAnsi="Times New Roman"/>
                <w:color w:val="000000"/>
              </w:rPr>
            </w:pPr>
          </w:p>
        </w:tc>
      </w:tr>
      <w:tr w:rsidR="00D22123" w:rsidRPr="008B4FE6" w14:paraId="6BA0CBF2" w14:textId="77777777" w:rsidTr="00676C8D">
        <w:trPr>
          <w:gridAfter w:val="1"/>
          <w:wAfter w:w="10" w:type="dxa"/>
          <w:trHeight w:val="630"/>
        </w:trPr>
        <w:tc>
          <w:tcPr>
            <w:tcW w:w="10937" w:type="dxa"/>
            <w:gridSpan w:val="29"/>
            <w:shd w:val="clear" w:color="auto" w:fill="FFFFFF"/>
          </w:tcPr>
          <w:p w14:paraId="203F07C9" w14:textId="77777777" w:rsidR="003E4DF3" w:rsidRDefault="00D22123" w:rsidP="00D22123">
            <w:pPr>
              <w:spacing w:line="240" w:lineRule="auto"/>
              <w:jc w:val="both"/>
              <w:rPr>
                <w:rFonts w:ascii="Times New Roman" w:hAnsi="Times New Roman"/>
                <w:color w:val="000000"/>
              </w:rPr>
            </w:pPr>
            <w:r>
              <w:rPr>
                <w:rFonts w:ascii="Times New Roman" w:hAnsi="Times New Roman"/>
                <w:color w:val="000000"/>
              </w:rPr>
              <w:t>Komentarz:</w:t>
            </w:r>
            <w:r w:rsidR="00D26913">
              <w:rPr>
                <w:rFonts w:ascii="Times New Roman" w:hAnsi="Times New Roman"/>
                <w:color w:val="000000"/>
              </w:rPr>
              <w:t xml:space="preserve"> </w:t>
            </w:r>
          </w:p>
          <w:p w14:paraId="3F4BE4D0" w14:textId="2D1A7E3E" w:rsidR="00BD6A24" w:rsidRDefault="00D26913" w:rsidP="00D22123">
            <w:pPr>
              <w:spacing w:line="240" w:lineRule="auto"/>
              <w:jc w:val="both"/>
              <w:rPr>
                <w:rFonts w:ascii="Times New Roman" w:hAnsi="Times New Roman"/>
                <w:color w:val="000000"/>
              </w:rPr>
            </w:pPr>
            <w:r>
              <w:rPr>
                <w:rFonts w:ascii="Times New Roman" w:hAnsi="Times New Roman"/>
                <w:color w:val="000000"/>
              </w:rPr>
              <w:t xml:space="preserve">Na operatorów platform zostaną nałożone obowiązki </w:t>
            </w:r>
            <w:r w:rsidR="00BD6A24">
              <w:rPr>
                <w:rFonts w:ascii="Times New Roman" w:hAnsi="Times New Roman"/>
                <w:color w:val="000000"/>
              </w:rPr>
              <w:t>w postaci:</w:t>
            </w:r>
          </w:p>
          <w:p w14:paraId="4538DC6E" w14:textId="49DAEC1D" w:rsidR="00BD6A24" w:rsidRPr="00BD6A24" w:rsidRDefault="00D26913" w:rsidP="003E4DF3">
            <w:pPr>
              <w:pStyle w:val="Akapitzlist"/>
              <w:numPr>
                <w:ilvl w:val="0"/>
                <w:numId w:val="38"/>
              </w:numPr>
              <w:spacing w:line="240" w:lineRule="auto"/>
              <w:jc w:val="both"/>
              <w:rPr>
                <w:rFonts w:ascii="Times New Roman" w:hAnsi="Times New Roman"/>
                <w:color w:val="000000"/>
              </w:rPr>
            </w:pPr>
            <w:r w:rsidRPr="003E4DF3">
              <w:rPr>
                <w:rFonts w:ascii="Times New Roman" w:hAnsi="Times New Roman"/>
                <w:color w:val="000000"/>
              </w:rPr>
              <w:t>procedur należytej staranności (dot. zbierania oraz weryfik</w:t>
            </w:r>
            <w:r w:rsidR="00BD6A24" w:rsidRPr="00BD6A24">
              <w:rPr>
                <w:rFonts w:ascii="Times New Roman" w:hAnsi="Times New Roman"/>
                <w:color w:val="000000"/>
              </w:rPr>
              <w:t>acji informacji o sprzedawcach)</w:t>
            </w:r>
            <w:r w:rsidR="00BD6A24">
              <w:rPr>
                <w:rFonts w:ascii="Times New Roman" w:hAnsi="Times New Roman"/>
                <w:color w:val="000000"/>
              </w:rPr>
              <w:t>;</w:t>
            </w:r>
          </w:p>
          <w:p w14:paraId="578BAA21" w14:textId="353EDB13" w:rsidR="00BD6A24" w:rsidRDefault="00D26913" w:rsidP="003E4DF3">
            <w:pPr>
              <w:pStyle w:val="Akapitzlist"/>
              <w:numPr>
                <w:ilvl w:val="0"/>
                <w:numId w:val="38"/>
              </w:numPr>
              <w:spacing w:line="240" w:lineRule="auto"/>
              <w:jc w:val="both"/>
              <w:rPr>
                <w:rFonts w:ascii="Times New Roman" w:hAnsi="Times New Roman"/>
                <w:color w:val="000000"/>
              </w:rPr>
            </w:pPr>
            <w:r w:rsidRPr="003E4DF3">
              <w:rPr>
                <w:rFonts w:ascii="Times New Roman" w:hAnsi="Times New Roman"/>
                <w:color w:val="000000"/>
              </w:rPr>
              <w:t>obowiązków sprawozdawczych.</w:t>
            </w:r>
          </w:p>
          <w:p w14:paraId="00B9E5E8" w14:textId="77777777" w:rsidR="00BD6A24" w:rsidRPr="003E4DF3" w:rsidRDefault="00BD6A24" w:rsidP="00BD6A24">
            <w:pPr>
              <w:spacing w:line="240" w:lineRule="auto"/>
              <w:jc w:val="both"/>
              <w:rPr>
                <w:rFonts w:ascii="Times New Roman" w:hAnsi="Times New Roman"/>
                <w:color w:val="000000"/>
              </w:rPr>
            </w:pPr>
          </w:p>
          <w:p w14:paraId="1AA3252B" w14:textId="38F67266" w:rsidR="003E4DF3" w:rsidRDefault="003E4DF3" w:rsidP="00D22123">
            <w:pPr>
              <w:jc w:val="both"/>
              <w:rPr>
                <w:rFonts w:ascii="Times New Roman" w:hAnsi="Times New Roman"/>
                <w:color w:val="000000"/>
              </w:rPr>
            </w:pPr>
            <w:r>
              <w:rPr>
                <w:rFonts w:ascii="Times New Roman" w:hAnsi="Times New Roman"/>
                <w:color w:val="000000"/>
              </w:rPr>
              <w:t xml:space="preserve">Procedury należytej staranności to m. in. obowiązki raportujących operatorów platform polegające na zbieraniu informacji o sprzedawcach korzystających z </w:t>
            </w:r>
            <w:r w:rsidR="003B4DEC">
              <w:rPr>
                <w:rFonts w:ascii="Times New Roman" w:hAnsi="Times New Roman"/>
                <w:color w:val="000000"/>
              </w:rPr>
              <w:t>ich usług</w:t>
            </w:r>
            <w:r>
              <w:rPr>
                <w:rFonts w:ascii="Times New Roman" w:hAnsi="Times New Roman"/>
                <w:color w:val="000000"/>
              </w:rPr>
              <w:t>. Są to dane identyfik</w:t>
            </w:r>
            <w:r w:rsidR="00E175C4">
              <w:rPr>
                <w:rFonts w:ascii="Times New Roman" w:hAnsi="Times New Roman"/>
                <w:color w:val="000000"/>
              </w:rPr>
              <w:t>ujące</w:t>
            </w:r>
            <w:r>
              <w:rPr>
                <w:rFonts w:ascii="Times New Roman" w:hAnsi="Times New Roman"/>
                <w:color w:val="000000"/>
              </w:rPr>
              <w:t xml:space="preserve"> sprzedawcy będącego osobą fizyczną lub podmiotem. Procedurom należytej staranności podlegają także informacje na temat nieruchomości objętych sprawozdawczością. </w:t>
            </w:r>
            <w:r w:rsidR="003B4DEC">
              <w:rPr>
                <w:rFonts w:ascii="Times New Roman" w:hAnsi="Times New Roman"/>
                <w:color w:val="000000"/>
              </w:rPr>
              <w:t xml:space="preserve">Dane takie muszą zostać zweryfikowane za pomocą wszelkich informacji oraz dokumentów dostępnych w toku prowadzonej przez niego działalności, a także dowolnego interfejsu elektronicznego udostępnianego bezpłatnie przez państwo członkowskie lub UE. Operator zwraca się do sprzedawcy o skorygowanie przekazanych informacji w przypadku kiedy ma powody sądzić, że są one niewiarygodne.  </w:t>
            </w:r>
          </w:p>
          <w:p w14:paraId="149886EE" w14:textId="77777777" w:rsidR="006D0D93" w:rsidRDefault="006D0D93" w:rsidP="00D22123">
            <w:pPr>
              <w:jc w:val="both"/>
              <w:rPr>
                <w:rFonts w:ascii="Times New Roman" w:hAnsi="Times New Roman"/>
                <w:color w:val="000000"/>
              </w:rPr>
            </w:pPr>
          </w:p>
          <w:p w14:paraId="3256ADC5" w14:textId="77777777" w:rsidR="00286ACA" w:rsidRDefault="00E175C4" w:rsidP="00D22123">
            <w:pPr>
              <w:jc w:val="both"/>
              <w:rPr>
                <w:rFonts w:ascii="Times New Roman" w:hAnsi="Times New Roman"/>
                <w:color w:val="000000"/>
              </w:rPr>
            </w:pPr>
            <w:r>
              <w:rPr>
                <w:rFonts w:ascii="Times New Roman" w:hAnsi="Times New Roman"/>
                <w:color w:val="000000"/>
              </w:rPr>
              <w:t>Obowiązki sprawozdawcze polegają na przekazywaniu przez operatorów platform Szefowi KAS informacji na temat zawieranych za pomocą platformy transakcji. Dot. m. in. danych identyfikujących operatora oraz sprzedawcy podlegającemu raportowaniu oraz łącznej kwoty wynagrodzenia uzyskanego przez sprzedawcę wraz z liczbą zawartych transakcji. Przekazywanie informacji ma odbywać się do 31 stycznia każdego roku kalendarzowego.</w:t>
            </w:r>
          </w:p>
          <w:p w14:paraId="697C50A7" w14:textId="77777777" w:rsidR="006D0D93" w:rsidRDefault="006D0D93" w:rsidP="00D22123">
            <w:pPr>
              <w:jc w:val="both"/>
              <w:rPr>
                <w:rFonts w:ascii="Times New Roman" w:hAnsi="Times New Roman"/>
                <w:color w:val="000000"/>
              </w:rPr>
            </w:pPr>
          </w:p>
          <w:p w14:paraId="224ADE82" w14:textId="04C32C06" w:rsidR="00D22123" w:rsidRDefault="00422514" w:rsidP="00395749">
            <w:pPr>
              <w:jc w:val="both"/>
              <w:rPr>
                <w:rFonts w:ascii="Times New Roman" w:hAnsi="Times New Roman"/>
                <w:color w:val="000000"/>
              </w:rPr>
            </w:pPr>
            <w:r>
              <w:rPr>
                <w:rFonts w:ascii="Times New Roman" w:hAnsi="Times New Roman"/>
                <w:color w:val="000000"/>
              </w:rPr>
              <w:t>Dokumenty wymagane m. in. do rejestracji operatora platformy w Pol</w:t>
            </w:r>
            <w:r w:rsidR="00571B87">
              <w:rPr>
                <w:rFonts w:ascii="Times New Roman" w:hAnsi="Times New Roman"/>
                <w:color w:val="000000"/>
              </w:rPr>
              <w:t>sce,</w:t>
            </w:r>
            <w:r>
              <w:rPr>
                <w:rFonts w:ascii="Times New Roman" w:hAnsi="Times New Roman"/>
                <w:color w:val="000000"/>
              </w:rPr>
              <w:t xml:space="preserve"> wykonywania procedur należytej staranności oraz obowiązków sprawozdawczych będą w formie elektronicznej.</w:t>
            </w:r>
            <w:r w:rsidR="00286ACA">
              <w:rPr>
                <w:rFonts w:ascii="Times New Roman" w:hAnsi="Times New Roman"/>
                <w:color w:val="000000"/>
              </w:rPr>
              <w:t xml:space="preserve"> Również wymiana informacji pomiędzy państwami </w:t>
            </w:r>
            <w:r w:rsidR="00286ACA">
              <w:rPr>
                <w:rFonts w:ascii="Times New Roman" w:hAnsi="Times New Roman"/>
                <w:color w:val="000000"/>
              </w:rPr>
              <w:lastRenderedPageBreak/>
              <w:t>odbywać się będzie elektronicznie.</w:t>
            </w:r>
            <w:r w:rsidR="003C630F">
              <w:rPr>
                <w:rFonts w:ascii="Times New Roman" w:hAnsi="Times New Roman"/>
                <w:color w:val="000000"/>
              </w:rPr>
              <w:t xml:space="preserve"> </w:t>
            </w:r>
            <w:r w:rsidR="00395749">
              <w:rPr>
                <w:rFonts w:ascii="Times New Roman" w:hAnsi="Times New Roman"/>
                <w:color w:val="000000"/>
              </w:rPr>
              <w:t>Z</w:t>
            </w:r>
            <w:r w:rsidR="00244472">
              <w:rPr>
                <w:rFonts w:ascii="Times New Roman" w:hAnsi="Times New Roman"/>
                <w:color w:val="000000"/>
              </w:rPr>
              <w:t>większenie liczby</w:t>
            </w:r>
            <w:r w:rsidR="00A25D7F">
              <w:rPr>
                <w:rFonts w:ascii="Times New Roman" w:hAnsi="Times New Roman"/>
                <w:color w:val="000000"/>
              </w:rPr>
              <w:t xml:space="preserve"> dokumentów</w:t>
            </w:r>
            <w:r w:rsidR="003E4DF3">
              <w:rPr>
                <w:rFonts w:ascii="Times New Roman" w:hAnsi="Times New Roman"/>
                <w:color w:val="000000"/>
              </w:rPr>
              <w:t xml:space="preserve"> </w:t>
            </w:r>
            <w:r w:rsidR="00395749">
              <w:rPr>
                <w:rFonts w:ascii="Times New Roman" w:hAnsi="Times New Roman"/>
                <w:color w:val="000000"/>
              </w:rPr>
              <w:t xml:space="preserve">oraz wszystkie nakładane obowiązki </w:t>
            </w:r>
            <w:r w:rsidR="003E4DF3">
              <w:rPr>
                <w:rFonts w:ascii="Times New Roman" w:hAnsi="Times New Roman"/>
                <w:color w:val="000000"/>
              </w:rPr>
              <w:t xml:space="preserve">wynikają z </w:t>
            </w:r>
            <w:r w:rsidR="00BE7872">
              <w:rPr>
                <w:rFonts w:ascii="Times New Roman" w:hAnsi="Times New Roman"/>
                <w:color w:val="000000"/>
              </w:rPr>
              <w:t xml:space="preserve">konieczności wdrożenia </w:t>
            </w:r>
            <w:r w:rsidR="003E4DF3">
              <w:rPr>
                <w:rFonts w:ascii="Times New Roman" w:hAnsi="Times New Roman"/>
                <w:color w:val="000000"/>
              </w:rPr>
              <w:t>dyrektywy 2021/514</w:t>
            </w:r>
            <w:r w:rsidR="00BE7872">
              <w:rPr>
                <w:rFonts w:ascii="Times New Roman" w:hAnsi="Times New Roman"/>
                <w:color w:val="000000"/>
              </w:rPr>
              <w:t>.</w:t>
            </w:r>
          </w:p>
          <w:p w14:paraId="70C5B43F" w14:textId="6AAAEE7F" w:rsidR="004E2776" w:rsidRPr="008B4FE6" w:rsidRDefault="004E2776" w:rsidP="00395749">
            <w:pPr>
              <w:jc w:val="both"/>
              <w:rPr>
                <w:rFonts w:ascii="Times New Roman" w:hAnsi="Times New Roman"/>
                <w:color w:val="000000"/>
              </w:rPr>
            </w:pPr>
          </w:p>
        </w:tc>
      </w:tr>
      <w:tr w:rsidR="00D22123" w:rsidRPr="008B4FE6" w14:paraId="760B4037" w14:textId="77777777" w:rsidTr="00676C8D">
        <w:trPr>
          <w:gridAfter w:val="1"/>
          <w:wAfter w:w="10" w:type="dxa"/>
          <w:trHeight w:val="142"/>
        </w:trPr>
        <w:tc>
          <w:tcPr>
            <w:tcW w:w="10937" w:type="dxa"/>
            <w:gridSpan w:val="29"/>
            <w:shd w:val="clear" w:color="auto" w:fill="99CCFF"/>
          </w:tcPr>
          <w:p w14:paraId="12BCF4E2" w14:textId="77777777" w:rsidR="00D22123" w:rsidRPr="008B4FE6" w:rsidRDefault="00D22123" w:rsidP="00D2212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lastRenderedPageBreak/>
              <w:t xml:space="preserve">Wpływ na rynek pracy </w:t>
            </w:r>
          </w:p>
        </w:tc>
      </w:tr>
      <w:tr w:rsidR="00D22123" w:rsidRPr="008B4FE6" w14:paraId="53916448" w14:textId="77777777" w:rsidTr="00676C8D">
        <w:trPr>
          <w:gridAfter w:val="1"/>
          <w:wAfter w:w="10" w:type="dxa"/>
          <w:trHeight w:val="142"/>
        </w:trPr>
        <w:tc>
          <w:tcPr>
            <w:tcW w:w="10937" w:type="dxa"/>
            <w:gridSpan w:val="29"/>
            <w:shd w:val="clear" w:color="auto" w:fill="auto"/>
          </w:tcPr>
          <w:p w14:paraId="28AB6E13" w14:textId="77777777" w:rsidR="00D22123" w:rsidRPr="008B4FE6" w:rsidRDefault="00D22123" w:rsidP="00D22123">
            <w:pPr>
              <w:spacing w:line="240" w:lineRule="auto"/>
              <w:jc w:val="both"/>
              <w:rPr>
                <w:rFonts w:ascii="Times New Roman" w:hAnsi="Times New Roman"/>
                <w:color w:val="000000"/>
              </w:rPr>
            </w:pPr>
            <w:r>
              <w:rPr>
                <w:rFonts w:ascii="Times New Roman" w:hAnsi="Times New Roman"/>
                <w:color w:val="000000"/>
              </w:rPr>
              <w:t>Bezpośredni wpływ proponowanych zmian na rynek pracy jest praktycznie znikomy.</w:t>
            </w:r>
          </w:p>
          <w:p w14:paraId="53AA9E8D" w14:textId="77777777" w:rsidR="00D22123" w:rsidRPr="008B4FE6" w:rsidRDefault="00D22123" w:rsidP="00D22123">
            <w:pPr>
              <w:spacing w:line="240" w:lineRule="auto"/>
              <w:jc w:val="both"/>
              <w:rPr>
                <w:rFonts w:ascii="Times New Roman" w:hAnsi="Times New Roman"/>
                <w:color w:val="000000"/>
              </w:rPr>
            </w:pPr>
          </w:p>
        </w:tc>
      </w:tr>
      <w:tr w:rsidR="00D22123" w:rsidRPr="008B4FE6" w14:paraId="08665BBD" w14:textId="77777777" w:rsidTr="00676C8D">
        <w:trPr>
          <w:gridAfter w:val="1"/>
          <w:wAfter w:w="10" w:type="dxa"/>
          <w:trHeight w:val="142"/>
        </w:trPr>
        <w:tc>
          <w:tcPr>
            <w:tcW w:w="10937" w:type="dxa"/>
            <w:gridSpan w:val="29"/>
            <w:shd w:val="clear" w:color="auto" w:fill="99CCFF"/>
          </w:tcPr>
          <w:p w14:paraId="0BC10EED" w14:textId="77777777" w:rsidR="00D22123" w:rsidRPr="008B4FE6" w:rsidRDefault="00D22123" w:rsidP="00D22123">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D22123" w:rsidRPr="008B4FE6" w14:paraId="792430F6" w14:textId="77777777" w:rsidTr="00676C8D">
        <w:trPr>
          <w:gridAfter w:val="1"/>
          <w:wAfter w:w="10" w:type="dxa"/>
          <w:trHeight w:val="1031"/>
        </w:trPr>
        <w:tc>
          <w:tcPr>
            <w:tcW w:w="3547" w:type="dxa"/>
            <w:gridSpan w:val="5"/>
            <w:shd w:val="clear" w:color="auto" w:fill="FFFFFF"/>
          </w:tcPr>
          <w:p w14:paraId="59DA19A1" w14:textId="77777777" w:rsidR="00D22123" w:rsidRPr="008B4FE6" w:rsidRDefault="00D22123" w:rsidP="00D22123">
            <w:pPr>
              <w:spacing w:line="240" w:lineRule="auto"/>
              <w:rPr>
                <w:rFonts w:ascii="Times New Roman" w:hAnsi="Times New Roman"/>
                <w:color w:val="000000"/>
              </w:rPr>
            </w:pPr>
          </w:p>
          <w:p w14:paraId="1F1629A1" w14:textId="77777777" w:rsidR="00D22123" w:rsidRPr="008B4FE6"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środowisko naturalne</w:t>
            </w:r>
          </w:p>
          <w:p w14:paraId="3047CDCC" w14:textId="77777777" w:rsidR="00D22123"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rPr>
              <w:t>sytuacja i rozwój regionalny</w:t>
            </w:r>
          </w:p>
          <w:p w14:paraId="4DAEC973" w14:textId="77777777" w:rsidR="00D22123" w:rsidRPr="00BF6667"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D93C2B">
              <w:rPr>
                <w:rFonts w:ascii="Times New Roman" w:hAnsi="Times New Roman"/>
                <w:spacing w:val="-2"/>
              </w:rPr>
              <w:t>sądy powszechne, administracyjne lub wojskowe</w:t>
            </w:r>
          </w:p>
        </w:tc>
        <w:tc>
          <w:tcPr>
            <w:tcW w:w="3687" w:type="dxa"/>
            <w:gridSpan w:val="15"/>
            <w:shd w:val="clear" w:color="auto" w:fill="FFFFFF"/>
          </w:tcPr>
          <w:p w14:paraId="45731F69" w14:textId="77777777" w:rsidR="00D22123" w:rsidRPr="008B4FE6" w:rsidRDefault="00D22123" w:rsidP="00D22123">
            <w:pPr>
              <w:spacing w:line="240" w:lineRule="auto"/>
              <w:rPr>
                <w:rFonts w:ascii="Times New Roman" w:hAnsi="Times New Roman"/>
                <w:color w:val="000000"/>
              </w:rPr>
            </w:pPr>
          </w:p>
          <w:p w14:paraId="6C88E8CB" w14:textId="77777777" w:rsidR="00D22123" w:rsidRPr="008B4FE6" w:rsidRDefault="00D22123" w:rsidP="00D22123">
            <w:pPr>
              <w:spacing w:line="240" w:lineRule="auto"/>
              <w:rPr>
                <w:rFonts w:ascii="Times New Roman" w:hAnsi="Times New Roman"/>
                <w:color w:val="000000"/>
                <w:spacing w:val="-2"/>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demografia</w:t>
            </w:r>
          </w:p>
          <w:p w14:paraId="5B5791EE" w14:textId="77777777" w:rsidR="00D22123" w:rsidRDefault="00D22123" w:rsidP="00D22123">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rPr>
              <w:t>mienie państwowe</w:t>
            </w:r>
          </w:p>
          <w:p w14:paraId="49863DBD" w14:textId="77777777" w:rsidR="00D22123" w:rsidRPr="008B4FE6"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 xml:space="preserve">inne: </w:t>
            </w:r>
            <w:r w:rsidRPr="008B4FE6">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rFonts w:ascii="Times New Roman" w:hAnsi="Times New Roman"/>
                <w:color w:val="000000"/>
              </w:rPr>
              <w:instrText xml:space="preserve"> FORMTEXT </w:instrText>
            </w:r>
            <w:r w:rsidRPr="008B4FE6">
              <w:rPr>
                <w:rFonts w:ascii="Times New Roman" w:hAnsi="Times New Roman"/>
                <w:color w:val="000000"/>
              </w:rPr>
            </w:r>
            <w:r w:rsidRPr="008B4FE6">
              <w:rPr>
                <w:rFonts w:ascii="Times New Roman" w:hAnsi="Times New Roman"/>
                <w:color w:val="000000"/>
              </w:rPr>
              <w:fldChar w:fldCharType="separate"/>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noProof/>
                <w:color w:val="000000"/>
              </w:rPr>
              <w:t> </w:t>
            </w:r>
            <w:r w:rsidRPr="008B4FE6">
              <w:rPr>
                <w:rFonts w:ascii="Times New Roman" w:hAnsi="Times New Roman"/>
                <w:color w:val="000000"/>
              </w:rPr>
              <w:fldChar w:fldCharType="end"/>
            </w:r>
          </w:p>
        </w:tc>
        <w:tc>
          <w:tcPr>
            <w:tcW w:w="3703" w:type="dxa"/>
            <w:gridSpan w:val="9"/>
            <w:shd w:val="clear" w:color="auto" w:fill="FFFFFF"/>
          </w:tcPr>
          <w:p w14:paraId="3DFB532D" w14:textId="77777777" w:rsidR="00D22123" w:rsidRPr="008B4FE6" w:rsidRDefault="00D22123" w:rsidP="00D22123">
            <w:pPr>
              <w:spacing w:line="240" w:lineRule="auto"/>
              <w:rPr>
                <w:rFonts w:ascii="Times New Roman" w:hAnsi="Times New Roman"/>
                <w:color w:val="000000"/>
              </w:rPr>
            </w:pPr>
          </w:p>
          <w:p w14:paraId="6DB2C52E" w14:textId="77777777" w:rsidR="00D22123" w:rsidRDefault="00D22123" w:rsidP="00D22123">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1"/>
                  </w:checkBox>
                </w:ffData>
              </w:fldChar>
            </w:r>
            <w:r>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Pr>
                <w:rFonts w:ascii="Times New Roman" w:hAnsi="Times New Roman"/>
                <w:color w:val="000000"/>
              </w:rPr>
              <w:fldChar w:fldCharType="end"/>
            </w:r>
            <w:r w:rsidRPr="008B4FE6">
              <w:rPr>
                <w:rFonts w:ascii="Times New Roman" w:hAnsi="Times New Roman"/>
                <w:color w:val="000000"/>
                <w:sz w:val="20"/>
                <w:szCs w:val="20"/>
              </w:rPr>
              <w:t xml:space="preserve"> </w:t>
            </w:r>
            <w:r w:rsidRPr="008B4FE6">
              <w:rPr>
                <w:rFonts w:ascii="Times New Roman" w:hAnsi="Times New Roman"/>
                <w:color w:val="000000"/>
                <w:spacing w:val="-2"/>
              </w:rPr>
              <w:t>informatyzacja</w:t>
            </w:r>
          </w:p>
          <w:p w14:paraId="7E435BC3" w14:textId="77777777" w:rsidR="00D22123" w:rsidRPr="008B4FE6" w:rsidRDefault="00D22123" w:rsidP="00D22123">
            <w:pPr>
              <w:spacing w:line="240" w:lineRule="auto"/>
              <w:rPr>
                <w:rFonts w:ascii="Times New Roman" w:hAnsi="Times New Roman"/>
                <w:color w:val="000000"/>
              </w:rPr>
            </w:pPr>
            <w:r w:rsidRPr="008B4FE6">
              <w:rPr>
                <w:rFonts w:ascii="Times New Roman" w:hAnsi="Times New Roman"/>
                <w:color w:val="000000"/>
              </w:rPr>
              <w:fldChar w:fldCharType="begin">
                <w:ffData>
                  <w:name w:val="Wybór1"/>
                  <w:enabled/>
                  <w:calcOnExit w:val="0"/>
                  <w:checkBox>
                    <w:sizeAuto/>
                    <w:default w:val="0"/>
                  </w:checkBox>
                </w:ffData>
              </w:fldChar>
            </w:r>
            <w:r w:rsidRPr="008B4FE6">
              <w:rPr>
                <w:rFonts w:ascii="Times New Roman" w:hAnsi="Times New Roman"/>
                <w:color w:val="000000"/>
              </w:rPr>
              <w:instrText xml:space="preserve"> FORMCHECKBOX </w:instrText>
            </w:r>
            <w:r w:rsidR="001F2E8C">
              <w:rPr>
                <w:rFonts w:ascii="Times New Roman" w:hAnsi="Times New Roman"/>
                <w:color w:val="000000"/>
              </w:rPr>
            </w:r>
            <w:r w:rsidR="001F2E8C">
              <w:rPr>
                <w:rFonts w:ascii="Times New Roman" w:hAnsi="Times New Roman"/>
                <w:color w:val="000000"/>
              </w:rPr>
              <w:fldChar w:fldCharType="separate"/>
            </w:r>
            <w:r w:rsidRPr="008B4FE6">
              <w:rPr>
                <w:rFonts w:ascii="Times New Roman" w:hAnsi="Times New Roman"/>
                <w:color w:val="000000"/>
              </w:rPr>
              <w:fldChar w:fldCharType="end"/>
            </w:r>
            <w:r w:rsidRPr="008B4FE6">
              <w:rPr>
                <w:rFonts w:ascii="Times New Roman" w:hAnsi="Times New Roman"/>
                <w:color w:val="000000"/>
                <w:sz w:val="20"/>
                <w:szCs w:val="20"/>
              </w:rPr>
              <w:t xml:space="preserve"> </w:t>
            </w:r>
            <w:r>
              <w:rPr>
                <w:rFonts w:ascii="Times New Roman" w:hAnsi="Times New Roman"/>
                <w:color w:val="000000"/>
                <w:spacing w:val="-2"/>
              </w:rPr>
              <w:t>zdrowie</w:t>
            </w:r>
          </w:p>
        </w:tc>
      </w:tr>
      <w:tr w:rsidR="00D22123" w:rsidRPr="008B4FE6" w14:paraId="26E208FE" w14:textId="77777777" w:rsidTr="00676C8D">
        <w:trPr>
          <w:gridAfter w:val="1"/>
          <w:wAfter w:w="10" w:type="dxa"/>
          <w:trHeight w:val="712"/>
        </w:trPr>
        <w:tc>
          <w:tcPr>
            <w:tcW w:w="2243" w:type="dxa"/>
            <w:gridSpan w:val="2"/>
            <w:shd w:val="clear" w:color="auto" w:fill="FFFFFF"/>
            <w:vAlign w:val="center"/>
          </w:tcPr>
          <w:p w14:paraId="7C774792" w14:textId="77777777" w:rsidR="00D22123" w:rsidRPr="008B4FE6" w:rsidRDefault="00D22123" w:rsidP="00D22123">
            <w:pPr>
              <w:spacing w:line="240" w:lineRule="auto"/>
              <w:rPr>
                <w:rFonts w:ascii="Times New Roman" w:hAnsi="Times New Roman"/>
                <w:color w:val="000000"/>
              </w:rPr>
            </w:pPr>
            <w:r w:rsidRPr="008B4FE6">
              <w:rPr>
                <w:rFonts w:ascii="Times New Roman" w:hAnsi="Times New Roman"/>
                <w:color w:val="000000"/>
              </w:rPr>
              <w:t>Omówienie wpływu</w:t>
            </w:r>
          </w:p>
        </w:tc>
        <w:tc>
          <w:tcPr>
            <w:tcW w:w="8694" w:type="dxa"/>
            <w:gridSpan w:val="27"/>
            <w:shd w:val="clear" w:color="auto" w:fill="FFFFFF"/>
            <w:vAlign w:val="center"/>
          </w:tcPr>
          <w:p w14:paraId="0701B623" w14:textId="77777777" w:rsidR="00D22123" w:rsidRPr="008B4FE6" w:rsidRDefault="00D22123" w:rsidP="00D22123">
            <w:pPr>
              <w:spacing w:line="240" w:lineRule="auto"/>
              <w:jc w:val="both"/>
              <w:rPr>
                <w:rFonts w:ascii="Times New Roman" w:hAnsi="Times New Roman"/>
                <w:color w:val="000000"/>
                <w:spacing w:val="-2"/>
              </w:rPr>
            </w:pPr>
            <w:r>
              <w:rPr>
                <w:rFonts w:ascii="Times New Roman" w:hAnsi="Times New Roman"/>
                <w:color w:val="000000"/>
                <w:spacing w:val="-2"/>
              </w:rPr>
              <w:t xml:space="preserve">Proponowane zmiany wpłyną pozytywnie na informatyzację poprzez usprawnienie obecnie funkcjonujących rozwiązań. </w:t>
            </w:r>
          </w:p>
          <w:p w14:paraId="67B50732" w14:textId="77777777" w:rsidR="00D22123" w:rsidRPr="008B4FE6" w:rsidRDefault="00D22123" w:rsidP="00D22123">
            <w:pPr>
              <w:spacing w:line="240" w:lineRule="auto"/>
              <w:jc w:val="both"/>
              <w:rPr>
                <w:rFonts w:ascii="Times New Roman" w:hAnsi="Times New Roman"/>
                <w:color w:val="000000"/>
                <w:spacing w:val="-2"/>
              </w:rPr>
            </w:pPr>
          </w:p>
        </w:tc>
      </w:tr>
      <w:tr w:rsidR="00D22123" w:rsidRPr="008B4FE6" w14:paraId="69FA3C39" w14:textId="77777777" w:rsidTr="00676C8D">
        <w:trPr>
          <w:gridAfter w:val="1"/>
          <w:wAfter w:w="10" w:type="dxa"/>
          <w:trHeight w:val="142"/>
        </w:trPr>
        <w:tc>
          <w:tcPr>
            <w:tcW w:w="10937" w:type="dxa"/>
            <w:gridSpan w:val="29"/>
            <w:shd w:val="clear" w:color="auto" w:fill="99CCFF"/>
          </w:tcPr>
          <w:p w14:paraId="487FCD77" w14:textId="77777777" w:rsidR="00D22123" w:rsidRPr="00627221" w:rsidRDefault="00D22123" w:rsidP="00D22123">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D22123" w:rsidRPr="008B4FE6" w14:paraId="2D645A7F" w14:textId="77777777" w:rsidTr="00676C8D">
        <w:trPr>
          <w:gridAfter w:val="1"/>
          <w:wAfter w:w="10" w:type="dxa"/>
          <w:trHeight w:val="142"/>
        </w:trPr>
        <w:tc>
          <w:tcPr>
            <w:tcW w:w="10937" w:type="dxa"/>
            <w:gridSpan w:val="29"/>
            <w:shd w:val="clear" w:color="auto" w:fill="FFFFFF"/>
          </w:tcPr>
          <w:p w14:paraId="174A8E89" w14:textId="4E7C913C" w:rsidR="004E2776" w:rsidRPr="00B37C80" w:rsidRDefault="00D22123" w:rsidP="00D22123">
            <w:pPr>
              <w:spacing w:line="240" w:lineRule="auto"/>
              <w:jc w:val="both"/>
              <w:rPr>
                <w:rFonts w:ascii="Times New Roman" w:hAnsi="Times New Roman"/>
                <w:spacing w:val="-2"/>
              </w:rPr>
            </w:pPr>
            <w:r>
              <w:rPr>
                <w:rFonts w:ascii="Times New Roman" w:hAnsi="Times New Roman"/>
                <w:spacing w:val="-2"/>
              </w:rPr>
              <w:t xml:space="preserve">Przepisy ustawy wejdą w życie z dniem 1 stycznia 2023r. </w:t>
            </w:r>
          </w:p>
          <w:p w14:paraId="5A3E9198" w14:textId="77777777" w:rsidR="00D22123" w:rsidRPr="00B37C80" w:rsidRDefault="00D22123" w:rsidP="00D22123">
            <w:pPr>
              <w:spacing w:line="240" w:lineRule="auto"/>
              <w:jc w:val="both"/>
              <w:rPr>
                <w:rFonts w:ascii="Times New Roman" w:hAnsi="Times New Roman"/>
                <w:spacing w:val="-2"/>
              </w:rPr>
            </w:pPr>
          </w:p>
        </w:tc>
      </w:tr>
      <w:tr w:rsidR="00D22123" w:rsidRPr="008B4FE6" w14:paraId="11109381" w14:textId="77777777" w:rsidTr="00676C8D">
        <w:trPr>
          <w:gridAfter w:val="1"/>
          <w:wAfter w:w="10" w:type="dxa"/>
          <w:trHeight w:val="142"/>
        </w:trPr>
        <w:tc>
          <w:tcPr>
            <w:tcW w:w="10937" w:type="dxa"/>
            <w:gridSpan w:val="29"/>
            <w:shd w:val="clear" w:color="auto" w:fill="99CCFF"/>
          </w:tcPr>
          <w:p w14:paraId="7DF091A6" w14:textId="77777777" w:rsidR="00D22123" w:rsidRPr="008B4FE6" w:rsidRDefault="00D22123" w:rsidP="00D22123">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D22123" w:rsidRPr="008B4FE6" w14:paraId="70782F7D" w14:textId="77777777" w:rsidTr="00676C8D">
        <w:trPr>
          <w:gridAfter w:val="1"/>
          <w:wAfter w:w="10" w:type="dxa"/>
          <w:trHeight w:val="142"/>
        </w:trPr>
        <w:tc>
          <w:tcPr>
            <w:tcW w:w="10937" w:type="dxa"/>
            <w:gridSpan w:val="29"/>
            <w:shd w:val="clear" w:color="auto" w:fill="FFFFFF"/>
          </w:tcPr>
          <w:p w14:paraId="6CFAD3FB"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Ewaluacja projektu nastąpi po 5 latach od dnia wejścia w życie projektowanej ustawy z uwagi na przewidywane terminy raportowania, przewidywaną</w:t>
            </w:r>
            <w:r w:rsidRPr="0004617D">
              <w:rPr>
                <w:rFonts w:ascii="Times New Roman" w:hAnsi="Times New Roman"/>
                <w:color w:val="000000"/>
                <w:spacing w:val="-2"/>
              </w:rPr>
              <w:t xml:space="preserve"> w </w:t>
            </w:r>
            <w:r>
              <w:rPr>
                <w:rFonts w:ascii="Times New Roman" w:hAnsi="Times New Roman"/>
                <w:color w:val="000000"/>
                <w:spacing w:val="-2"/>
              </w:rPr>
              <w:t>projekcie ustawy</w:t>
            </w:r>
            <w:r w:rsidRPr="0004617D">
              <w:rPr>
                <w:rFonts w:ascii="Times New Roman" w:hAnsi="Times New Roman"/>
                <w:color w:val="000000"/>
                <w:spacing w:val="-2"/>
              </w:rPr>
              <w:t xml:space="preserve"> możliwość składania korekt, </w:t>
            </w:r>
            <w:r>
              <w:rPr>
                <w:rFonts w:ascii="Times New Roman" w:hAnsi="Times New Roman"/>
                <w:color w:val="000000"/>
                <w:spacing w:val="-2"/>
              </w:rPr>
              <w:t xml:space="preserve">dodatkowe </w:t>
            </w:r>
            <w:r w:rsidRPr="0004617D">
              <w:rPr>
                <w:rFonts w:ascii="Times New Roman" w:hAnsi="Times New Roman"/>
                <w:color w:val="000000"/>
                <w:spacing w:val="-2"/>
              </w:rPr>
              <w:t>informacje, o których wspomniano w punkcie 7 (informacje dodatkowe).</w:t>
            </w:r>
          </w:p>
          <w:p w14:paraId="6DA32F67"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xml:space="preserve">Proponowane mierniki: </w:t>
            </w:r>
          </w:p>
          <w:p w14:paraId="285E7FED"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ilość zrealizowanych zapytań o wymianę informacji podatkowych</w:t>
            </w:r>
          </w:p>
          <w:p w14:paraId="4C5E642A"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ilość wysłanych zapytań o wymianę informacji podatkowych</w:t>
            </w:r>
          </w:p>
          <w:p w14:paraId="5C357A85" w14:textId="77777777" w:rsidR="000B7A2A"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xml:space="preserve">- ilość wszczętych wspólnych kontroli </w:t>
            </w:r>
          </w:p>
          <w:p w14:paraId="0AAA234D" w14:textId="77777777" w:rsidR="000B7A2A" w:rsidRPr="00B37C80"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xml:space="preserve">- ilość i wartość zakończonych wspólnych kontroli. </w:t>
            </w:r>
          </w:p>
          <w:p w14:paraId="3C18F26D" w14:textId="77777777" w:rsidR="000B7A2A" w:rsidRDefault="000B7A2A" w:rsidP="000B7A2A">
            <w:pPr>
              <w:spacing w:line="240" w:lineRule="auto"/>
              <w:jc w:val="both"/>
              <w:rPr>
                <w:rFonts w:ascii="Times New Roman" w:hAnsi="Times New Roman"/>
                <w:color w:val="000000"/>
                <w:spacing w:val="-2"/>
              </w:rPr>
            </w:pPr>
          </w:p>
          <w:p w14:paraId="4FA7B92F" w14:textId="241914F1" w:rsidR="00D22123" w:rsidRPr="00B37C80" w:rsidRDefault="000B7A2A" w:rsidP="000B7A2A">
            <w:pPr>
              <w:spacing w:line="240" w:lineRule="auto"/>
              <w:jc w:val="both"/>
              <w:rPr>
                <w:rFonts w:ascii="Times New Roman" w:hAnsi="Times New Roman"/>
                <w:color w:val="000000"/>
                <w:spacing w:val="-2"/>
              </w:rPr>
            </w:pPr>
            <w:r>
              <w:rPr>
                <w:rFonts w:ascii="Times New Roman" w:hAnsi="Times New Roman"/>
                <w:color w:val="000000"/>
                <w:spacing w:val="-2"/>
              </w:rPr>
              <w:t xml:space="preserve">Należy oczekiwać, że implementacja dyrektywy pozwoli na pozyskanie z platform niezbędnych danych do analiz pozwalających na zabezpieczenie </w:t>
            </w:r>
            <w:r w:rsidRPr="00437A74">
              <w:rPr>
                <w:rFonts w:ascii="Times New Roman" w:hAnsi="Times New Roman"/>
                <w:color w:val="000000"/>
                <w:spacing w:val="-2"/>
              </w:rPr>
              <w:t>dochodów podatkowych.</w:t>
            </w:r>
            <w:r>
              <w:rPr>
                <w:rFonts w:ascii="Times New Roman" w:hAnsi="Times New Roman"/>
                <w:color w:val="000000"/>
                <w:spacing w:val="-2"/>
              </w:rPr>
              <w:t xml:space="preserve"> Na podstawie powyższych danych możliwe będzie oszacowanie wielkości zabezpieczonych wpływów budżetowych z tytułu implementacji dyrektywy wynikających z różnicy pomiędzy deklarowanymi dochodami przez podatników a danymi dostarczonymi w wyniku wymiany informacji i danymi pozyskanymi z platform.</w:t>
            </w:r>
          </w:p>
        </w:tc>
      </w:tr>
      <w:tr w:rsidR="00D22123" w:rsidRPr="008B4FE6" w14:paraId="460FC843" w14:textId="77777777" w:rsidTr="00676C8D">
        <w:trPr>
          <w:gridAfter w:val="1"/>
          <w:wAfter w:w="10" w:type="dxa"/>
          <w:trHeight w:val="142"/>
        </w:trPr>
        <w:tc>
          <w:tcPr>
            <w:tcW w:w="10937" w:type="dxa"/>
            <w:gridSpan w:val="29"/>
            <w:shd w:val="clear" w:color="auto" w:fill="99CCFF"/>
          </w:tcPr>
          <w:p w14:paraId="4DC2D26F" w14:textId="77777777" w:rsidR="00D22123" w:rsidRPr="008B4FE6" w:rsidRDefault="00D22123" w:rsidP="00D22123">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D22123" w:rsidRPr="008B4FE6" w14:paraId="3043B019" w14:textId="77777777" w:rsidTr="00676C8D">
        <w:trPr>
          <w:gridAfter w:val="1"/>
          <w:wAfter w:w="10" w:type="dxa"/>
          <w:trHeight w:val="142"/>
        </w:trPr>
        <w:tc>
          <w:tcPr>
            <w:tcW w:w="10937" w:type="dxa"/>
            <w:gridSpan w:val="29"/>
            <w:shd w:val="clear" w:color="auto" w:fill="FFFFFF"/>
          </w:tcPr>
          <w:p w14:paraId="6682874E" w14:textId="77777777" w:rsidR="00D22123" w:rsidRPr="00C828BC" w:rsidRDefault="00D22123" w:rsidP="00D22123">
            <w:pPr>
              <w:spacing w:line="240" w:lineRule="auto"/>
              <w:jc w:val="both"/>
              <w:rPr>
                <w:rFonts w:ascii="Times New Roman" w:hAnsi="Times New Roman"/>
                <w:color w:val="000000"/>
                <w:spacing w:val="-2"/>
              </w:rPr>
            </w:pPr>
            <w:r w:rsidRPr="008C250A">
              <w:rPr>
                <w:rFonts w:ascii="Times New Roman" w:hAnsi="Times New Roman"/>
                <w:color w:val="000000"/>
                <w:spacing w:val="-2"/>
              </w:rPr>
              <w:t xml:space="preserve">Brak. </w:t>
            </w:r>
          </w:p>
          <w:p w14:paraId="388DBACA" w14:textId="77777777" w:rsidR="00D22123" w:rsidRPr="00B37C80" w:rsidRDefault="00D22123" w:rsidP="00D22123">
            <w:pPr>
              <w:spacing w:line="240" w:lineRule="auto"/>
              <w:jc w:val="both"/>
              <w:rPr>
                <w:rFonts w:ascii="Times New Roman" w:hAnsi="Times New Roman"/>
                <w:color w:val="000000"/>
                <w:spacing w:val="-2"/>
              </w:rPr>
            </w:pPr>
          </w:p>
        </w:tc>
      </w:tr>
    </w:tbl>
    <w:p w14:paraId="2FC78B52" w14:textId="77777777" w:rsidR="006176ED" w:rsidRPr="00522D94" w:rsidRDefault="009D0655" w:rsidP="003C6E5C">
      <w:pPr>
        <w:pStyle w:val="Nagwek1"/>
        <w:rPr>
          <w:rFonts w:ascii="Times New Roman" w:hAnsi="Times New Roman"/>
          <w:sz w:val="20"/>
          <w:szCs w:val="20"/>
        </w:rPr>
      </w:pPr>
      <w:r>
        <w:rPr>
          <w:rFonts w:ascii="Times New Roman" w:hAnsi="Times New Roman"/>
          <w:sz w:val="20"/>
          <w:szCs w:val="20"/>
        </w:rPr>
        <w:t xml:space="preserve"> </w:t>
      </w: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552A4" w14:textId="77777777" w:rsidR="001F2E8C" w:rsidRDefault="001F2E8C" w:rsidP="00044739">
      <w:pPr>
        <w:spacing w:line="240" w:lineRule="auto"/>
      </w:pPr>
      <w:r>
        <w:separator/>
      </w:r>
    </w:p>
  </w:endnote>
  <w:endnote w:type="continuationSeparator" w:id="0">
    <w:p w14:paraId="77BD89E7" w14:textId="77777777" w:rsidR="001F2E8C" w:rsidRDefault="001F2E8C"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EC893" w14:textId="77777777" w:rsidR="001F2E8C" w:rsidRDefault="001F2E8C" w:rsidP="00044739">
      <w:pPr>
        <w:spacing w:line="240" w:lineRule="auto"/>
      </w:pPr>
      <w:r>
        <w:separator/>
      </w:r>
    </w:p>
  </w:footnote>
  <w:footnote w:type="continuationSeparator" w:id="0">
    <w:p w14:paraId="3F48FE56" w14:textId="77777777" w:rsidR="001F2E8C" w:rsidRDefault="001F2E8C" w:rsidP="00044739">
      <w:pPr>
        <w:spacing w:line="240" w:lineRule="auto"/>
      </w:pPr>
      <w:r>
        <w:continuationSeparator/>
      </w:r>
    </w:p>
  </w:footnote>
  <w:footnote w:id="1">
    <w:p w14:paraId="3BADB566" w14:textId="178C2D29" w:rsidR="00E43B8D" w:rsidRDefault="00E43B8D">
      <w:pPr>
        <w:pStyle w:val="Tekstprzypisudolnego"/>
      </w:pPr>
      <w:r>
        <w:rPr>
          <w:rStyle w:val="Odwoanieprzypisudolnego"/>
        </w:rPr>
        <w:footnoteRef/>
      </w:r>
      <w:r>
        <w:t xml:space="preserve"> </w:t>
      </w:r>
      <w:r w:rsidRPr="00C31ED1">
        <w:t>https://eur-lex.europa.eu/legal-content/PL/TXT/HTML/?uri=CELEX:32022R1467&amp;from=PL#ntr1-L_2022231PL.01004302-E0001</w:t>
      </w:r>
    </w:p>
  </w:footnote>
  <w:footnote w:id="2">
    <w:p w14:paraId="4E036B43" w14:textId="6C006F6D" w:rsidR="00E43B8D" w:rsidRDefault="00E43B8D">
      <w:pPr>
        <w:pStyle w:val="Tekstprzypisudolnego"/>
      </w:pPr>
      <w:r>
        <w:rPr>
          <w:rStyle w:val="Odwoanieprzypisudolnego"/>
        </w:rPr>
        <w:footnoteRef/>
      </w:r>
      <w:r>
        <w:t xml:space="preserve"> </w:t>
      </w:r>
      <w:r w:rsidRPr="009646B8">
        <w:t>https://www.oecd-ilibrary.org/sites/7edbf4f1-en/index.html?itemId=/content/component/7edbf4f1-en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997"/>
    <w:multiLevelType w:val="hybridMultilevel"/>
    <w:tmpl w:val="6C486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D8004A"/>
    <w:multiLevelType w:val="hybridMultilevel"/>
    <w:tmpl w:val="8B689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1A62EE"/>
    <w:multiLevelType w:val="hybridMultilevel"/>
    <w:tmpl w:val="19C05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6">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FAE16C7"/>
    <w:multiLevelType w:val="hybridMultilevel"/>
    <w:tmpl w:val="FD52F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1">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7114A5"/>
    <w:multiLevelType w:val="hybridMultilevel"/>
    <w:tmpl w:val="5928E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F675A9"/>
    <w:multiLevelType w:val="hybridMultilevel"/>
    <w:tmpl w:val="669AC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AA239A"/>
    <w:multiLevelType w:val="hybridMultilevel"/>
    <w:tmpl w:val="6E04E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7">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450B0C83"/>
    <w:multiLevelType w:val="hybridMultilevel"/>
    <w:tmpl w:val="5580A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1">
    <w:nsid w:val="4AE50059"/>
    <w:multiLevelType w:val="hybridMultilevel"/>
    <w:tmpl w:val="8CCE30A4"/>
    <w:lvl w:ilvl="0" w:tplc="3286BB6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547232"/>
    <w:multiLevelType w:val="hybridMultilevel"/>
    <w:tmpl w:val="80744432"/>
    <w:lvl w:ilvl="0" w:tplc="C34859FC">
      <w:start w:val="1"/>
      <w:numFmt w:val="decimal"/>
      <w:lvlText w:val="%1."/>
      <w:lvlJc w:val="left"/>
      <w:pPr>
        <w:ind w:left="1065" w:hanging="705"/>
      </w:pPr>
      <w:rPr>
        <w:rFonts w:hint="default"/>
      </w:rPr>
    </w:lvl>
    <w:lvl w:ilvl="1" w:tplc="7EC4A2B8">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4">
    <w:nsid w:val="53AB1067"/>
    <w:multiLevelType w:val="hybridMultilevel"/>
    <w:tmpl w:val="C7440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811510"/>
    <w:multiLevelType w:val="hybridMultilevel"/>
    <w:tmpl w:val="8ED65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7">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8">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9">
    <w:nsid w:val="61327D64"/>
    <w:multiLevelType w:val="hybridMultilevel"/>
    <w:tmpl w:val="819A8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167727D"/>
    <w:multiLevelType w:val="hybridMultilevel"/>
    <w:tmpl w:val="CDA6E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5A5D1D"/>
    <w:multiLevelType w:val="hybridMultilevel"/>
    <w:tmpl w:val="C3FA0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4">
    <w:nsid w:val="668D0293"/>
    <w:multiLevelType w:val="hybridMultilevel"/>
    <w:tmpl w:val="D018C78C"/>
    <w:lvl w:ilvl="0" w:tplc="B4BE6CD6">
      <w:start w:val="3"/>
      <w:numFmt w:val="decimal"/>
      <w:lvlText w:val="%1)"/>
      <w:lvlJc w:val="left"/>
      <w:pPr>
        <w:ind w:left="720" w:hanging="360"/>
      </w:pPr>
      <w:rPr>
        <w:rFonts w:ascii="Times New Roman" w:hAnsi="Times New Roman" w:cs="Times New Roman"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6BD22FC8"/>
    <w:multiLevelType w:val="hybridMultilevel"/>
    <w:tmpl w:val="B49C7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796274ED"/>
    <w:multiLevelType w:val="hybridMultilevel"/>
    <w:tmpl w:val="1120546A"/>
    <w:lvl w:ilvl="0" w:tplc="04150001">
      <w:start w:val="1"/>
      <w:numFmt w:val="bullet"/>
      <w:lvlText w:val=""/>
      <w:lvlJc w:val="left"/>
      <w:pPr>
        <w:ind w:left="720" w:hanging="360"/>
      </w:pPr>
      <w:rPr>
        <w:rFonts w:ascii="Symbol" w:hAnsi="Symbol"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15"/>
  </w:num>
  <w:num w:numId="4">
    <w:abstractNumId w:val="31"/>
  </w:num>
  <w:num w:numId="5">
    <w:abstractNumId w:val="2"/>
  </w:num>
  <w:num w:numId="6">
    <w:abstractNumId w:val="11"/>
  </w:num>
  <w:num w:numId="7">
    <w:abstractNumId w:val="19"/>
  </w:num>
  <w:num w:numId="8">
    <w:abstractNumId w:val="8"/>
  </w:num>
  <w:num w:numId="9">
    <w:abstractNumId w:val="23"/>
  </w:num>
  <w:num w:numId="10">
    <w:abstractNumId w:val="17"/>
  </w:num>
  <w:num w:numId="11">
    <w:abstractNumId w:val="20"/>
  </w:num>
  <w:num w:numId="12">
    <w:abstractNumId w:val="5"/>
  </w:num>
  <w:num w:numId="13">
    <w:abstractNumId w:val="16"/>
  </w:num>
  <w:num w:numId="14">
    <w:abstractNumId w:val="33"/>
  </w:num>
  <w:num w:numId="15">
    <w:abstractNumId w:val="26"/>
  </w:num>
  <w:num w:numId="16">
    <w:abstractNumId w:val="28"/>
  </w:num>
  <w:num w:numId="17">
    <w:abstractNumId w:val="9"/>
  </w:num>
  <w:num w:numId="18">
    <w:abstractNumId w:val="36"/>
  </w:num>
  <w:num w:numId="19">
    <w:abstractNumId w:val="38"/>
  </w:num>
  <w:num w:numId="20">
    <w:abstractNumId w:val="27"/>
  </w:num>
  <w:num w:numId="21">
    <w:abstractNumId w:val="10"/>
  </w:num>
  <w:num w:numId="22">
    <w:abstractNumId w:val="13"/>
  </w:num>
  <w:num w:numId="23">
    <w:abstractNumId w:val="12"/>
  </w:num>
  <w:num w:numId="24">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3"/>
  </w:num>
  <w:num w:numId="31">
    <w:abstractNumId w:val="22"/>
  </w:num>
  <w:num w:numId="32">
    <w:abstractNumId w:val="0"/>
  </w:num>
  <w:num w:numId="33">
    <w:abstractNumId w:val="24"/>
  </w:num>
  <w:num w:numId="34">
    <w:abstractNumId w:val="35"/>
  </w:num>
  <w:num w:numId="35">
    <w:abstractNumId w:val="14"/>
  </w:num>
  <w:num w:numId="36">
    <w:abstractNumId w:val="7"/>
  </w:num>
  <w:num w:numId="37">
    <w:abstractNumId w:val="18"/>
  </w:num>
  <w:num w:numId="38">
    <w:abstractNumId w:val="4"/>
  </w:num>
  <w:num w:numId="39">
    <w:abstractNumId w:val="2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CB"/>
    <w:rsid w:val="000008E5"/>
    <w:rsid w:val="000015EE"/>
    <w:rsid w:val="000022D5"/>
    <w:rsid w:val="00004C6A"/>
    <w:rsid w:val="00012D11"/>
    <w:rsid w:val="00013EB5"/>
    <w:rsid w:val="000211A6"/>
    <w:rsid w:val="00023836"/>
    <w:rsid w:val="000356A9"/>
    <w:rsid w:val="000374B2"/>
    <w:rsid w:val="000406C2"/>
    <w:rsid w:val="00043695"/>
    <w:rsid w:val="00044138"/>
    <w:rsid w:val="00044739"/>
    <w:rsid w:val="000466EF"/>
    <w:rsid w:val="00051637"/>
    <w:rsid w:val="00056681"/>
    <w:rsid w:val="000602B0"/>
    <w:rsid w:val="000637DD"/>
    <w:rsid w:val="000648A7"/>
    <w:rsid w:val="0006618B"/>
    <w:rsid w:val="000670C0"/>
    <w:rsid w:val="00071B99"/>
    <w:rsid w:val="000756E5"/>
    <w:rsid w:val="0007704E"/>
    <w:rsid w:val="00080EC8"/>
    <w:rsid w:val="00085E83"/>
    <w:rsid w:val="00091B3C"/>
    <w:rsid w:val="0009295D"/>
    <w:rsid w:val="000944AC"/>
    <w:rsid w:val="00094CB9"/>
    <w:rsid w:val="000956B2"/>
    <w:rsid w:val="000969E7"/>
    <w:rsid w:val="000A23DE"/>
    <w:rsid w:val="000A2FE2"/>
    <w:rsid w:val="000A4020"/>
    <w:rsid w:val="000B1D72"/>
    <w:rsid w:val="000B54FB"/>
    <w:rsid w:val="000B7A2A"/>
    <w:rsid w:val="000C29B0"/>
    <w:rsid w:val="000C76FC"/>
    <w:rsid w:val="000D38FC"/>
    <w:rsid w:val="000D4421"/>
    <w:rsid w:val="000D4D90"/>
    <w:rsid w:val="000D5831"/>
    <w:rsid w:val="000E02E1"/>
    <w:rsid w:val="000E2D10"/>
    <w:rsid w:val="000F3204"/>
    <w:rsid w:val="000F6828"/>
    <w:rsid w:val="0010086C"/>
    <w:rsid w:val="00102638"/>
    <w:rsid w:val="0010548B"/>
    <w:rsid w:val="001072D1"/>
    <w:rsid w:val="00117017"/>
    <w:rsid w:val="00126DEA"/>
    <w:rsid w:val="00130E8E"/>
    <w:rsid w:val="0013216E"/>
    <w:rsid w:val="001401B5"/>
    <w:rsid w:val="001422B9"/>
    <w:rsid w:val="00142423"/>
    <w:rsid w:val="00144132"/>
    <w:rsid w:val="00145477"/>
    <w:rsid w:val="0014665F"/>
    <w:rsid w:val="00146F79"/>
    <w:rsid w:val="00153464"/>
    <w:rsid w:val="001541B3"/>
    <w:rsid w:val="00155B15"/>
    <w:rsid w:val="001625BE"/>
    <w:rsid w:val="001643A4"/>
    <w:rsid w:val="001666DF"/>
    <w:rsid w:val="001727BB"/>
    <w:rsid w:val="00180D25"/>
    <w:rsid w:val="00182481"/>
    <w:rsid w:val="0018318D"/>
    <w:rsid w:val="00183B57"/>
    <w:rsid w:val="0018572C"/>
    <w:rsid w:val="0018589F"/>
    <w:rsid w:val="00187E79"/>
    <w:rsid w:val="00187F0D"/>
    <w:rsid w:val="00192CC5"/>
    <w:rsid w:val="001956A7"/>
    <w:rsid w:val="001A118A"/>
    <w:rsid w:val="001A27F4"/>
    <w:rsid w:val="001A2D95"/>
    <w:rsid w:val="001A566C"/>
    <w:rsid w:val="001A69FC"/>
    <w:rsid w:val="001B3460"/>
    <w:rsid w:val="001B35B0"/>
    <w:rsid w:val="001B4CA1"/>
    <w:rsid w:val="001B75D8"/>
    <w:rsid w:val="001C1060"/>
    <w:rsid w:val="001C3C63"/>
    <w:rsid w:val="001D4732"/>
    <w:rsid w:val="001D6364"/>
    <w:rsid w:val="001D6A3C"/>
    <w:rsid w:val="001D6D51"/>
    <w:rsid w:val="001D7A81"/>
    <w:rsid w:val="001E23B7"/>
    <w:rsid w:val="001F2E8C"/>
    <w:rsid w:val="001F61C3"/>
    <w:rsid w:val="001F653A"/>
    <w:rsid w:val="001F6979"/>
    <w:rsid w:val="00200B64"/>
    <w:rsid w:val="00202BC6"/>
    <w:rsid w:val="002043F6"/>
    <w:rsid w:val="00205141"/>
    <w:rsid w:val="0020516B"/>
    <w:rsid w:val="00213559"/>
    <w:rsid w:val="00213EFD"/>
    <w:rsid w:val="002172F1"/>
    <w:rsid w:val="0021795D"/>
    <w:rsid w:val="00223C7B"/>
    <w:rsid w:val="00224AB1"/>
    <w:rsid w:val="0022687A"/>
    <w:rsid w:val="00230728"/>
    <w:rsid w:val="00234040"/>
    <w:rsid w:val="00235BFF"/>
    <w:rsid w:val="00235CD2"/>
    <w:rsid w:val="00244472"/>
    <w:rsid w:val="002523AC"/>
    <w:rsid w:val="00254DED"/>
    <w:rsid w:val="00255619"/>
    <w:rsid w:val="00255DAD"/>
    <w:rsid w:val="00256108"/>
    <w:rsid w:val="00260F33"/>
    <w:rsid w:val="002613BD"/>
    <w:rsid w:val="002624F1"/>
    <w:rsid w:val="00270C81"/>
    <w:rsid w:val="00271326"/>
    <w:rsid w:val="00271558"/>
    <w:rsid w:val="00274862"/>
    <w:rsid w:val="00280760"/>
    <w:rsid w:val="00281A74"/>
    <w:rsid w:val="00282D72"/>
    <w:rsid w:val="00283402"/>
    <w:rsid w:val="00286ACA"/>
    <w:rsid w:val="00290FD6"/>
    <w:rsid w:val="002914AF"/>
    <w:rsid w:val="00294259"/>
    <w:rsid w:val="002945F0"/>
    <w:rsid w:val="002A2C81"/>
    <w:rsid w:val="002B0012"/>
    <w:rsid w:val="002B1815"/>
    <w:rsid w:val="002B3D1A"/>
    <w:rsid w:val="002B3E51"/>
    <w:rsid w:val="002C18E8"/>
    <w:rsid w:val="002C27D0"/>
    <w:rsid w:val="002C2C9B"/>
    <w:rsid w:val="002C5D8F"/>
    <w:rsid w:val="002D036C"/>
    <w:rsid w:val="002D17D6"/>
    <w:rsid w:val="002D18D7"/>
    <w:rsid w:val="002D21CE"/>
    <w:rsid w:val="002E174F"/>
    <w:rsid w:val="002E3DA3"/>
    <w:rsid w:val="002E450F"/>
    <w:rsid w:val="002E6B38"/>
    <w:rsid w:val="002E6D63"/>
    <w:rsid w:val="002E6E2B"/>
    <w:rsid w:val="002F33CF"/>
    <w:rsid w:val="002F500B"/>
    <w:rsid w:val="002F5D1B"/>
    <w:rsid w:val="00300991"/>
    <w:rsid w:val="00301959"/>
    <w:rsid w:val="00302306"/>
    <w:rsid w:val="00305B8A"/>
    <w:rsid w:val="00314656"/>
    <w:rsid w:val="00331BF9"/>
    <w:rsid w:val="0033495E"/>
    <w:rsid w:val="00334A79"/>
    <w:rsid w:val="00334D8D"/>
    <w:rsid w:val="00337345"/>
    <w:rsid w:val="00337DD2"/>
    <w:rsid w:val="003404D1"/>
    <w:rsid w:val="003443FF"/>
    <w:rsid w:val="00355808"/>
    <w:rsid w:val="00355AC2"/>
    <w:rsid w:val="00362C7E"/>
    <w:rsid w:val="00363309"/>
    <w:rsid w:val="00363601"/>
    <w:rsid w:val="0037303B"/>
    <w:rsid w:val="00376AC9"/>
    <w:rsid w:val="00393032"/>
    <w:rsid w:val="00394B69"/>
    <w:rsid w:val="00395749"/>
    <w:rsid w:val="00397078"/>
    <w:rsid w:val="003A0CCE"/>
    <w:rsid w:val="003A405B"/>
    <w:rsid w:val="003A6953"/>
    <w:rsid w:val="003B3404"/>
    <w:rsid w:val="003B4DEC"/>
    <w:rsid w:val="003B6083"/>
    <w:rsid w:val="003C3838"/>
    <w:rsid w:val="003C5847"/>
    <w:rsid w:val="003C630F"/>
    <w:rsid w:val="003C6E5C"/>
    <w:rsid w:val="003D0681"/>
    <w:rsid w:val="003D0AEE"/>
    <w:rsid w:val="003D12F6"/>
    <w:rsid w:val="003D1426"/>
    <w:rsid w:val="003E15C6"/>
    <w:rsid w:val="003E2F4E"/>
    <w:rsid w:val="003E4DF3"/>
    <w:rsid w:val="003E720A"/>
    <w:rsid w:val="00403E6E"/>
    <w:rsid w:val="0041278A"/>
    <w:rsid w:val="004129B4"/>
    <w:rsid w:val="004129BA"/>
    <w:rsid w:val="00416D35"/>
    <w:rsid w:val="00417EF0"/>
    <w:rsid w:val="00422181"/>
    <w:rsid w:val="00422514"/>
    <w:rsid w:val="004244A8"/>
    <w:rsid w:val="00425F72"/>
    <w:rsid w:val="00427736"/>
    <w:rsid w:val="00432B18"/>
    <w:rsid w:val="00441787"/>
    <w:rsid w:val="004430F9"/>
    <w:rsid w:val="00444F2D"/>
    <w:rsid w:val="00452034"/>
    <w:rsid w:val="00455FA6"/>
    <w:rsid w:val="00466C70"/>
    <w:rsid w:val="004702C9"/>
    <w:rsid w:val="00472E45"/>
    <w:rsid w:val="00473FEA"/>
    <w:rsid w:val="0047579D"/>
    <w:rsid w:val="00483262"/>
    <w:rsid w:val="00484107"/>
    <w:rsid w:val="00485CC5"/>
    <w:rsid w:val="0049343F"/>
    <w:rsid w:val="004964FC"/>
    <w:rsid w:val="004A145E"/>
    <w:rsid w:val="004A1F15"/>
    <w:rsid w:val="004A2A81"/>
    <w:rsid w:val="004A7BD7"/>
    <w:rsid w:val="004B0D13"/>
    <w:rsid w:val="004C15C2"/>
    <w:rsid w:val="004C36D8"/>
    <w:rsid w:val="004C6A0C"/>
    <w:rsid w:val="004D1248"/>
    <w:rsid w:val="004D1E3C"/>
    <w:rsid w:val="004D2BAA"/>
    <w:rsid w:val="004D4169"/>
    <w:rsid w:val="004D5022"/>
    <w:rsid w:val="004D6E14"/>
    <w:rsid w:val="004D7CF6"/>
    <w:rsid w:val="004E2776"/>
    <w:rsid w:val="004F4E17"/>
    <w:rsid w:val="004F5C72"/>
    <w:rsid w:val="0050082F"/>
    <w:rsid w:val="00500C56"/>
    <w:rsid w:val="00501713"/>
    <w:rsid w:val="00503CDF"/>
    <w:rsid w:val="00506568"/>
    <w:rsid w:val="0051551B"/>
    <w:rsid w:val="00520C57"/>
    <w:rsid w:val="00522D94"/>
    <w:rsid w:val="005331A6"/>
    <w:rsid w:val="00533D89"/>
    <w:rsid w:val="00536564"/>
    <w:rsid w:val="00544597"/>
    <w:rsid w:val="00544FFE"/>
    <w:rsid w:val="005473F5"/>
    <w:rsid w:val="005477E7"/>
    <w:rsid w:val="00552794"/>
    <w:rsid w:val="00556410"/>
    <w:rsid w:val="0055700C"/>
    <w:rsid w:val="00563199"/>
    <w:rsid w:val="00564874"/>
    <w:rsid w:val="00565064"/>
    <w:rsid w:val="00567963"/>
    <w:rsid w:val="0057009A"/>
    <w:rsid w:val="00571260"/>
    <w:rsid w:val="0057189C"/>
    <w:rsid w:val="00571B87"/>
    <w:rsid w:val="00573FC1"/>
    <w:rsid w:val="005741EE"/>
    <w:rsid w:val="0057668E"/>
    <w:rsid w:val="005827F1"/>
    <w:rsid w:val="00595E83"/>
    <w:rsid w:val="00596530"/>
    <w:rsid w:val="0059675D"/>
    <w:rsid w:val="005967F3"/>
    <w:rsid w:val="005A06DF"/>
    <w:rsid w:val="005A5527"/>
    <w:rsid w:val="005A5AE6"/>
    <w:rsid w:val="005B0E55"/>
    <w:rsid w:val="005B1206"/>
    <w:rsid w:val="005B37E8"/>
    <w:rsid w:val="005B7069"/>
    <w:rsid w:val="005C0056"/>
    <w:rsid w:val="005D050B"/>
    <w:rsid w:val="005D2227"/>
    <w:rsid w:val="005D61D6"/>
    <w:rsid w:val="005E0D13"/>
    <w:rsid w:val="005E2A9C"/>
    <w:rsid w:val="005E4799"/>
    <w:rsid w:val="005E5047"/>
    <w:rsid w:val="005E7205"/>
    <w:rsid w:val="005E7371"/>
    <w:rsid w:val="005E7FBC"/>
    <w:rsid w:val="005F116C"/>
    <w:rsid w:val="005F2131"/>
    <w:rsid w:val="00605EF6"/>
    <w:rsid w:val="00606455"/>
    <w:rsid w:val="00614070"/>
    <w:rsid w:val="00614929"/>
    <w:rsid w:val="00616511"/>
    <w:rsid w:val="006176ED"/>
    <w:rsid w:val="006202F3"/>
    <w:rsid w:val="0062097A"/>
    <w:rsid w:val="00621DA6"/>
    <w:rsid w:val="00623CFE"/>
    <w:rsid w:val="00627221"/>
    <w:rsid w:val="00627EE8"/>
    <w:rsid w:val="0063105D"/>
    <w:rsid w:val="006316FA"/>
    <w:rsid w:val="006370D2"/>
    <w:rsid w:val="0064074F"/>
    <w:rsid w:val="00641F55"/>
    <w:rsid w:val="0064226E"/>
    <w:rsid w:val="00644563"/>
    <w:rsid w:val="00645E4A"/>
    <w:rsid w:val="00646245"/>
    <w:rsid w:val="00653688"/>
    <w:rsid w:val="0066091B"/>
    <w:rsid w:val="00663C54"/>
    <w:rsid w:val="00664B95"/>
    <w:rsid w:val="006660E9"/>
    <w:rsid w:val="00667249"/>
    <w:rsid w:val="00667558"/>
    <w:rsid w:val="00671523"/>
    <w:rsid w:val="006731E4"/>
    <w:rsid w:val="006754EF"/>
    <w:rsid w:val="00676C8D"/>
    <w:rsid w:val="00676F1F"/>
    <w:rsid w:val="00677381"/>
    <w:rsid w:val="00677414"/>
    <w:rsid w:val="006832CF"/>
    <w:rsid w:val="00685F9F"/>
    <w:rsid w:val="0068601E"/>
    <w:rsid w:val="0069486B"/>
    <w:rsid w:val="006A2106"/>
    <w:rsid w:val="006A4904"/>
    <w:rsid w:val="006A548F"/>
    <w:rsid w:val="006A701A"/>
    <w:rsid w:val="006B64DC"/>
    <w:rsid w:val="006B7A91"/>
    <w:rsid w:val="006D0D93"/>
    <w:rsid w:val="006D46C4"/>
    <w:rsid w:val="006D4704"/>
    <w:rsid w:val="006D6A2D"/>
    <w:rsid w:val="006E1E18"/>
    <w:rsid w:val="006E31CE"/>
    <w:rsid w:val="006E34D3"/>
    <w:rsid w:val="006F1435"/>
    <w:rsid w:val="006F78C4"/>
    <w:rsid w:val="007024B3"/>
    <w:rsid w:val="007029EE"/>
    <w:rsid w:val="007031A0"/>
    <w:rsid w:val="00705A29"/>
    <w:rsid w:val="00707498"/>
    <w:rsid w:val="00711A65"/>
    <w:rsid w:val="007136B1"/>
    <w:rsid w:val="00713F57"/>
    <w:rsid w:val="00714133"/>
    <w:rsid w:val="00714DA4"/>
    <w:rsid w:val="007158B2"/>
    <w:rsid w:val="00716081"/>
    <w:rsid w:val="00716A0F"/>
    <w:rsid w:val="00722B48"/>
    <w:rsid w:val="00724164"/>
    <w:rsid w:val="00725DE7"/>
    <w:rsid w:val="0072636A"/>
    <w:rsid w:val="00726B44"/>
    <w:rsid w:val="007275A5"/>
    <w:rsid w:val="007304B1"/>
    <w:rsid w:val="007318DD"/>
    <w:rsid w:val="00733167"/>
    <w:rsid w:val="00740D2C"/>
    <w:rsid w:val="007443D4"/>
    <w:rsid w:val="00744BF9"/>
    <w:rsid w:val="00746C19"/>
    <w:rsid w:val="00752623"/>
    <w:rsid w:val="00760F1F"/>
    <w:rsid w:val="007634CC"/>
    <w:rsid w:val="0076423E"/>
    <w:rsid w:val="007646CB"/>
    <w:rsid w:val="0076658F"/>
    <w:rsid w:val="00767743"/>
    <w:rsid w:val="0077040A"/>
    <w:rsid w:val="00772D64"/>
    <w:rsid w:val="007745AE"/>
    <w:rsid w:val="00774DE5"/>
    <w:rsid w:val="00790C8E"/>
    <w:rsid w:val="00792609"/>
    <w:rsid w:val="00792887"/>
    <w:rsid w:val="007943E2"/>
    <w:rsid w:val="00794F2C"/>
    <w:rsid w:val="00796460"/>
    <w:rsid w:val="007A3BC7"/>
    <w:rsid w:val="007A5AC4"/>
    <w:rsid w:val="007B0FDD"/>
    <w:rsid w:val="007B4802"/>
    <w:rsid w:val="007B6668"/>
    <w:rsid w:val="007B6B33"/>
    <w:rsid w:val="007C122A"/>
    <w:rsid w:val="007C2701"/>
    <w:rsid w:val="007C61E5"/>
    <w:rsid w:val="007D2192"/>
    <w:rsid w:val="007E3ED1"/>
    <w:rsid w:val="007F0021"/>
    <w:rsid w:val="007F2F52"/>
    <w:rsid w:val="00801F71"/>
    <w:rsid w:val="00804F79"/>
    <w:rsid w:val="00805F28"/>
    <w:rsid w:val="008061DD"/>
    <w:rsid w:val="0080749F"/>
    <w:rsid w:val="00811D46"/>
    <w:rsid w:val="008125B0"/>
    <w:rsid w:val="008144CB"/>
    <w:rsid w:val="00821717"/>
    <w:rsid w:val="00824210"/>
    <w:rsid w:val="008263C0"/>
    <w:rsid w:val="00830DCC"/>
    <w:rsid w:val="00834CC3"/>
    <w:rsid w:val="00841422"/>
    <w:rsid w:val="00841D3B"/>
    <w:rsid w:val="0084314C"/>
    <w:rsid w:val="00843171"/>
    <w:rsid w:val="008575C3"/>
    <w:rsid w:val="00863D28"/>
    <w:rsid w:val="008648C3"/>
    <w:rsid w:val="008718C6"/>
    <w:rsid w:val="008770AF"/>
    <w:rsid w:val="00880F26"/>
    <w:rsid w:val="00890AF0"/>
    <w:rsid w:val="008928C2"/>
    <w:rsid w:val="008934A9"/>
    <w:rsid w:val="0089453C"/>
    <w:rsid w:val="00896C2E"/>
    <w:rsid w:val="008A4C9C"/>
    <w:rsid w:val="008A5095"/>
    <w:rsid w:val="008A608F"/>
    <w:rsid w:val="008B1A9A"/>
    <w:rsid w:val="008B4FE6"/>
    <w:rsid w:val="008B6C37"/>
    <w:rsid w:val="008C250A"/>
    <w:rsid w:val="008D0959"/>
    <w:rsid w:val="008D5AD2"/>
    <w:rsid w:val="008D5EB1"/>
    <w:rsid w:val="008E18F7"/>
    <w:rsid w:val="008E1E10"/>
    <w:rsid w:val="008E291B"/>
    <w:rsid w:val="008E4F2F"/>
    <w:rsid w:val="008E74B0"/>
    <w:rsid w:val="008F041D"/>
    <w:rsid w:val="009008A8"/>
    <w:rsid w:val="00903AC7"/>
    <w:rsid w:val="009054A1"/>
    <w:rsid w:val="009063B0"/>
    <w:rsid w:val="00907106"/>
    <w:rsid w:val="009107FD"/>
    <w:rsid w:val="0091137C"/>
    <w:rsid w:val="00911567"/>
    <w:rsid w:val="00917AAE"/>
    <w:rsid w:val="009251A9"/>
    <w:rsid w:val="00930699"/>
    <w:rsid w:val="00931F69"/>
    <w:rsid w:val="00934123"/>
    <w:rsid w:val="00950452"/>
    <w:rsid w:val="00955774"/>
    <w:rsid w:val="009560B5"/>
    <w:rsid w:val="009646B8"/>
    <w:rsid w:val="00965FF4"/>
    <w:rsid w:val="009703D6"/>
    <w:rsid w:val="0097181B"/>
    <w:rsid w:val="00976DC5"/>
    <w:rsid w:val="009773DD"/>
    <w:rsid w:val="009804F1"/>
    <w:rsid w:val="009818C7"/>
    <w:rsid w:val="00982DD4"/>
    <w:rsid w:val="009841E5"/>
    <w:rsid w:val="0098479F"/>
    <w:rsid w:val="00984A8A"/>
    <w:rsid w:val="009857B6"/>
    <w:rsid w:val="00985A8D"/>
    <w:rsid w:val="00986610"/>
    <w:rsid w:val="009877DC"/>
    <w:rsid w:val="00991F96"/>
    <w:rsid w:val="00996F0A"/>
    <w:rsid w:val="009A1D86"/>
    <w:rsid w:val="009B049C"/>
    <w:rsid w:val="009B11C8"/>
    <w:rsid w:val="009B2BCF"/>
    <w:rsid w:val="009B2FF8"/>
    <w:rsid w:val="009B5BA3"/>
    <w:rsid w:val="009D0027"/>
    <w:rsid w:val="009D0655"/>
    <w:rsid w:val="009D4C1C"/>
    <w:rsid w:val="009D6FD6"/>
    <w:rsid w:val="009E1E98"/>
    <w:rsid w:val="009E3ABE"/>
    <w:rsid w:val="009E3C4B"/>
    <w:rsid w:val="009E47D7"/>
    <w:rsid w:val="009E7A13"/>
    <w:rsid w:val="009F0637"/>
    <w:rsid w:val="009F4306"/>
    <w:rsid w:val="009F62A6"/>
    <w:rsid w:val="009F674F"/>
    <w:rsid w:val="009F799E"/>
    <w:rsid w:val="00A02020"/>
    <w:rsid w:val="00A056CB"/>
    <w:rsid w:val="00A05BDF"/>
    <w:rsid w:val="00A06EB0"/>
    <w:rsid w:val="00A07A29"/>
    <w:rsid w:val="00A1040D"/>
    <w:rsid w:val="00A10FF1"/>
    <w:rsid w:val="00A1506B"/>
    <w:rsid w:val="00A17CB2"/>
    <w:rsid w:val="00A23191"/>
    <w:rsid w:val="00A25D7F"/>
    <w:rsid w:val="00A319C0"/>
    <w:rsid w:val="00A33560"/>
    <w:rsid w:val="00A34527"/>
    <w:rsid w:val="00A364E4"/>
    <w:rsid w:val="00A371A5"/>
    <w:rsid w:val="00A47BDF"/>
    <w:rsid w:val="00A51CD7"/>
    <w:rsid w:val="00A52ADB"/>
    <w:rsid w:val="00A533E8"/>
    <w:rsid w:val="00A542D9"/>
    <w:rsid w:val="00A56E64"/>
    <w:rsid w:val="00A624C3"/>
    <w:rsid w:val="00A6641C"/>
    <w:rsid w:val="00A767D2"/>
    <w:rsid w:val="00A77616"/>
    <w:rsid w:val="00A80047"/>
    <w:rsid w:val="00A805DA"/>
    <w:rsid w:val="00A811B4"/>
    <w:rsid w:val="00A87CDE"/>
    <w:rsid w:val="00A92BAF"/>
    <w:rsid w:val="00A94737"/>
    <w:rsid w:val="00A94BA3"/>
    <w:rsid w:val="00A95C5C"/>
    <w:rsid w:val="00A96CBA"/>
    <w:rsid w:val="00AB18CD"/>
    <w:rsid w:val="00AB1ACD"/>
    <w:rsid w:val="00AB277F"/>
    <w:rsid w:val="00AB4099"/>
    <w:rsid w:val="00AB449A"/>
    <w:rsid w:val="00AC11EB"/>
    <w:rsid w:val="00AC3E83"/>
    <w:rsid w:val="00AD0648"/>
    <w:rsid w:val="00AD14F9"/>
    <w:rsid w:val="00AD35D6"/>
    <w:rsid w:val="00AD58C5"/>
    <w:rsid w:val="00AE36C4"/>
    <w:rsid w:val="00AE472C"/>
    <w:rsid w:val="00AE5275"/>
    <w:rsid w:val="00AE5375"/>
    <w:rsid w:val="00AE6CF8"/>
    <w:rsid w:val="00AF242C"/>
    <w:rsid w:val="00AF3360"/>
    <w:rsid w:val="00AF4CAC"/>
    <w:rsid w:val="00B03E0D"/>
    <w:rsid w:val="00B054F8"/>
    <w:rsid w:val="00B1470E"/>
    <w:rsid w:val="00B2219A"/>
    <w:rsid w:val="00B3581B"/>
    <w:rsid w:val="00B36884"/>
    <w:rsid w:val="00B36B81"/>
    <w:rsid w:val="00B36FEE"/>
    <w:rsid w:val="00B37C80"/>
    <w:rsid w:val="00B43890"/>
    <w:rsid w:val="00B5092B"/>
    <w:rsid w:val="00B5194E"/>
    <w:rsid w:val="00B51AF5"/>
    <w:rsid w:val="00B531FC"/>
    <w:rsid w:val="00B55347"/>
    <w:rsid w:val="00B569A1"/>
    <w:rsid w:val="00B57E5E"/>
    <w:rsid w:val="00B61F37"/>
    <w:rsid w:val="00B6755F"/>
    <w:rsid w:val="00B70991"/>
    <w:rsid w:val="00B7770F"/>
    <w:rsid w:val="00B77A89"/>
    <w:rsid w:val="00B77B27"/>
    <w:rsid w:val="00B8134E"/>
    <w:rsid w:val="00B81B55"/>
    <w:rsid w:val="00B84613"/>
    <w:rsid w:val="00B8497E"/>
    <w:rsid w:val="00B87AF0"/>
    <w:rsid w:val="00B9037B"/>
    <w:rsid w:val="00B910BD"/>
    <w:rsid w:val="00B91F03"/>
    <w:rsid w:val="00B92A85"/>
    <w:rsid w:val="00B93834"/>
    <w:rsid w:val="00B96469"/>
    <w:rsid w:val="00BA0DA2"/>
    <w:rsid w:val="00BA2981"/>
    <w:rsid w:val="00BA42EE"/>
    <w:rsid w:val="00BA48F9"/>
    <w:rsid w:val="00BA6597"/>
    <w:rsid w:val="00BA664B"/>
    <w:rsid w:val="00BB0DCA"/>
    <w:rsid w:val="00BB2666"/>
    <w:rsid w:val="00BB6B80"/>
    <w:rsid w:val="00BC3773"/>
    <w:rsid w:val="00BC381A"/>
    <w:rsid w:val="00BC405B"/>
    <w:rsid w:val="00BD0962"/>
    <w:rsid w:val="00BD1EED"/>
    <w:rsid w:val="00BD6A24"/>
    <w:rsid w:val="00BE7872"/>
    <w:rsid w:val="00BF0DA2"/>
    <w:rsid w:val="00BF109C"/>
    <w:rsid w:val="00BF2B49"/>
    <w:rsid w:val="00BF34FA"/>
    <w:rsid w:val="00BF6667"/>
    <w:rsid w:val="00C004B6"/>
    <w:rsid w:val="00C047A7"/>
    <w:rsid w:val="00C05DE5"/>
    <w:rsid w:val="00C14725"/>
    <w:rsid w:val="00C33027"/>
    <w:rsid w:val="00C3326B"/>
    <w:rsid w:val="00C36A1E"/>
    <w:rsid w:val="00C37667"/>
    <w:rsid w:val="00C435DB"/>
    <w:rsid w:val="00C44551"/>
    <w:rsid w:val="00C44D73"/>
    <w:rsid w:val="00C50B42"/>
    <w:rsid w:val="00C516FF"/>
    <w:rsid w:val="00C52BFA"/>
    <w:rsid w:val="00C53D1D"/>
    <w:rsid w:val="00C53F26"/>
    <w:rsid w:val="00C540BC"/>
    <w:rsid w:val="00C55431"/>
    <w:rsid w:val="00C620CA"/>
    <w:rsid w:val="00C64F7D"/>
    <w:rsid w:val="00C656C2"/>
    <w:rsid w:val="00C67309"/>
    <w:rsid w:val="00C7614E"/>
    <w:rsid w:val="00C77BF1"/>
    <w:rsid w:val="00C80D60"/>
    <w:rsid w:val="00C81BA9"/>
    <w:rsid w:val="00C828BC"/>
    <w:rsid w:val="00C82FBD"/>
    <w:rsid w:val="00C85267"/>
    <w:rsid w:val="00C8721B"/>
    <w:rsid w:val="00C9372C"/>
    <w:rsid w:val="00C9470E"/>
    <w:rsid w:val="00C948B7"/>
    <w:rsid w:val="00C95CEB"/>
    <w:rsid w:val="00CA1054"/>
    <w:rsid w:val="00CA63EB"/>
    <w:rsid w:val="00CA69F1"/>
    <w:rsid w:val="00CA7A9C"/>
    <w:rsid w:val="00CA7CF2"/>
    <w:rsid w:val="00CB6991"/>
    <w:rsid w:val="00CC604A"/>
    <w:rsid w:val="00CC6194"/>
    <w:rsid w:val="00CC6305"/>
    <w:rsid w:val="00CC78A5"/>
    <w:rsid w:val="00CD0516"/>
    <w:rsid w:val="00CD5990"/>
    <w:rsid w:val="00CD756B"/>
    <w:rsid w:val="00CE3F70"/>
    <w:rsid w:val="00CE734F"/>
    <w:rsid w:val="00CF112E"/>
    <w:rsid w:val="00CF161D"/>
    <w:rsid w:val="00CF5F4F"/>
    <w:rsid w:val="00D0314F"/>
    <w:rsid w:val="00D106E9"/>
    <w:rsid w:val="00D158BF"/>
    <w:rsid w:val="00D218DC"/>
    <w:rsid w:val="00D22123"/>
    <w:rsid w:val="00D24ABD"/>
    <w:rsid w:val="00D24E56"/>
    <w:rsid w:val="00D26913"/>
    <w:rsid w:val="00D31643"/>
    <w:rsid w:val="00D31AEB"/>
    <w:rsid w:val="00D32ECD"/>
    <w:rsid w:val="00D361E4"/>
    <w:rsid w:val="00D42A8F"/>
    <w:rsid w:val="00D439F6"/>
    <w:rsid w:val="00D459C6"/>
    <w:rsid w:val="00D50729"/>
    <w:rsid w:val="00D50C19"/>
    <w:rsid w:val="00D5379E"/>
    <w:rsid w:val="00D562B5"/>
    <w:rsid w:val="00D62643"/>
    <w:rsid w:val="00D64860"/>
    <w:rsid w:val="00D64C0F"/>
    <w:rsid w:val="00D72EFE"/>
    <w:rsid w:val="00D76227"/>
    <w:rsid w:val="00D77DF1"/>
    <w:rsid w:val="00D84299"/>
    <w:rsid w:val="00D86AFF"/>
    <w:rsid w:val="00D93C2B"/>
    <w:rsid w:val="00D95A44"/>
    <w:rsid w:val="00D95D16"/>
    <w:rsid w:val="00D97C76"/>
    <w:rsid w:val="00DA6627"/>
    <w:rsid w:val="00DB02B4"/>
    <w:rsid w:val="00DB1026"/>
    <w:rsid w:val="00DB1978"/>
    <w:rsid w:val="00DB538D"/>
    <w:rsid w:val="00DB68EF"/>
    <w:rsid w:val="00DC275C"/>
    <w:rsid w:val="00DC4B0D"/>
    <w:rsid w:val="00DC7FE1"/>
    <w:rsid w:val="00DD3F3F"/>
    <w:rsid w:val="00DD5572"/>
    <w:rsid w:val="00DD5D7B"/>
    <w:rsid w:val="00DD6216"/>
    <w:rsid w:val="00DE3111"/>
    <w:rsid w:val="00DE31DA"/>
    <w:rsid w:val="00DE5D80"/>
    <w:rsid w:val="00DF1117"/>
    <w:rsid w:val="00DF58CD"/>
    <w:rsid w:val="00DF65DE"/>
    <w:rsid w:val="00E019A5"/>
    <w:rsid w:val="00E02EC8"/>
    <w:rsid w:val="00E03161"/>
    <w:rsid w:val="00E037F5"/>
    <w:rsid w:val="00E04B8F"/>
    <w:rsid w:val="00E04ECB"/>
    <w:rsid w:val="00E05A09"/>
    <w:rsid w:val="00E061BA"/>
    <w:rsid w:val="00E06CA1"/>
    <w:rsid w:val="00E10126"/>
    <w:rsid w:val="00E172B8"/>
    <w:rsid w:val="00E175C4"/>
    <w:rsid w:val="00E17FB4"/>
    <w:rsid w:val="00E20B75"/>
    <w:rsid w:val="00E214F2"/>
    <w:rsid w:val="00E2371E"/>
    <w:rsid w:val="00E24BD7"/>
    <w:rsid w:val="00E26523"/>
    <w:rsid w:val="00E26809"/>
    <w:rsid w:val="00E3412D"/>
    <w:rsid w:val="00E43B8D"/>
    <w:rsid w:val="00E57322"/>
    <w:rsid w:val="00E628CB"/>
    <w:rsid w:val="00E62AD9"/>
    <w:rsid w:val="00E638C8"/>
    <w:rsid w:val="00E63FD2"/>
    <w:rsid w:val="00E66A31"/>
    <w:rsid w:val="00E6710E"/>
    <w:rsid w:val="00E7509B"/>
    <w:rsid w:val="00E761A3"/>
    <w:rsid w:val="00E86590"/>
    <w:rsid w:val="00E907FF"/>
    <w:rsid w:val="00EA42D1"/>
    <w:rsid w:val="00EA42EF"/>
    <w:rsid w:val="00EB2DD1"/>
    <w:rsid w:val="00EB6B37"/>
    <w:rsid w:val="00EC29FE"/>
    <w:rsid w:val="00EC3C70"/>
    <w:rsid w:val="00ED3A3D"/>
    <w:rsid w:val="00ED538A"/>
    <w:rsid w:val="00ED5C65"/>
    <w:rsid w:val="00ED6FBC"/>
    <w:rsid w:val="00EE2F16"/>
    <w:rsid w:val="00EE3861"/>
    <w:rsid w:val="00EF2E73"/>
    <w:rsid w:val="00EF7683"/>
    <w:rsid w:val="00EF7A2D"/>
    <w:rsid w:val="00F04F8D"/>
    <w:rsid w:val="00F06EC7"/>
    <w:rsid w:val="00F10AD0"/>
    <w:rsid w:val="00F116CC"/>
    <w:rsid w:val="00F12BD1"/>
    <w:rsid w:val="00F12FD7"/>
    <w:rsid w:val="00F14EC4"/>
    <w:rsid w:val="00F15327"/>
    <w:rsid w:val="00F168CF"/>
    <w:rsid w:val="00F2555C"/>
    <w:rsid w:val="00F25DBB"/>
    <w:rsid w:val="00F31DF3"/>
    <w:rsid w:val="00F33AE5"/>
    <w:rsid w:val="00F3597D"/>
    <w:rsid w:val="00F40C4B"/>
    <w:rsid w:val="00F4376D"/>
    <w:rsid w:val="00F45399"/>
    <w:rsid w:val="00F465EA"/>
    <w:rsid w:val="00F54E7B"/>
    <w:rsid w:val="00F55A88"/>
    <w:rsid w:val="00F57B9B"/>
    <w:rsid w:val="00F71827"/>
    <w:rsid w:val="00F74005"/>
    <w:rsid w:val="00F76884"/>
    <w:rsid w:val="00F83D24"/>
    <w:rsid w:val="00F83DD9"/>
    <w:rsid w:val="00F83F40"/>
    <w:rsid w:val="00F93F6F"/>
    <w:rsid w:val="00FA117A"/>
    <w:rsid w:val="00FA1CDE"/>
    <w:rsid w:val="00FB386A"/>
    <w:rsid w:val="00FB3AEC"/>
    <w:rsid w:val="00FB4AC2"/>
    <w:rsid w:val="00FC0786"/>
    <w:rsid w:val="00FC44ED"/>
    <w:rsid w:val="00FC49EF"/>
    <w:rsid w:val="00FC4A72"/>
    <w:rsid w:val="00FE36E2"/>
    <w:rsid w:val="00FF11AD"/>
    <w:rsid w:val="00FF2971"/>
    <w:rsid w:val="00FF34D4"/>
    <w:rsid w:val="00FF3ED5"/>
    <w:rsid w:val="00FF6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58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customStyle="1" w:styleId="Default">
    <w:name w:val="Default"/>
    <w:rsid w:val="00965FF4"/>
    <w:pPr>
      <w:autoSpaceDE w:val="0"/>
      <w:autoSpaceDN w:val="0"/>
      <w:adjustRightInd w:val="0"/>
    </w:pPr>
    <w:rPr>
      <w:rFonts w:ascii="Times New Roman" w:hAnsi="Times New Roman"/>
      <w:color w:val="000000"/>
      <w:sz w:val="24"/>
      <w:szCs w:val="24"/>
    </w:rPr>
  </w:style>
  <w:style w:type="paragraph" w:styleId="Poprawka">
    <w:name w:val="Revision"/>
    <w:hidden/>
    <w:uiPriority w:val="99"/>
    <w:semiHidden/>
    <w:rsid w:val="00BA66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83398067">
      <w:bodyDiv w:val="1"/>
      <w:marLeft w:val="0"/>
      <w:marRight w:val="0"/>
      <w:marTop w:val="0"/>
      <w:marBottom w:val="0"/>
      <w:divBdr>
        <w:top w:val="none" w:sz="0" w:space="0" w:color="auto"/>
        <w:left w:val="none" w:sz="0" w:space="0" w:color="auto"/>
        <w:bottom w:val="none" w:sz="0" w:space="0" w:color="auto"/>
        <w:right w:val="none" w:sz="0" w:space="0" w:color="auto"/>
      </w:divBdr>
    </w:div>
    <w:div w:id="200747695">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258569066">
      <w:bodyDiv w:val="1"/>
      <w:marLeft w:val="0"/>
      <w:marRight w:val="0"/>
      <w:marTop w:val="0"/>
      <w:marBottom w:val="0"/>
      <w:divBdr>
        <w:top w:val="none" w:sz="0" w:space="0" w:color="auto"/>
        <w:left w:val="none" w:sz="0" w:space="0" w:color="auto"/>
        <w:bottom w:val="none" w:sz="0" w:space="0" w:color="auto"/>
        <w:right w:val="none" w:sz="0" w:space="0" w:color="auto"/>
      </w:divBdr>
    </w:div>
    <w:div w:id="509489223">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07084935">
      <w:bodyDiv w:val="1"/>
      <w:marLeft w:val="0"/>
      <w:marRight w:val="0"/>
      <w:marTop w:val="0"/>
      <w:marBottom w:val="0"/>
      <w:divBdr>
        <w:top w:val="none" w:sz="0" w:space="0" w:color="auto"/>
        <w:left w:val="none" w:sz="0" w:space="0" w:color="auto"/>
        <w:bottom w:val="none" w:sz="0" w:space="0" w:color="auto"/>
        <w:right w:val="none" w:sz="0" w:space="0" w:color="auto"/>
      </w:divBdr>
    </w:div>
    <w:div w:id="608900236">
      <w:bodyDiv w:val="1"/>
      <w:marLeft w:val="0"/>
      <w:marRight w:val="0"/>
      <w:marTop w:val="0"/>
      <w:marBottom w:val="0"/>
      <w:divBdr>
        <w:top w:val="none" w:sz="0" w:space="0" w:color="auto"/>
        <w:left w:val="none" w:sz="0" w:space="0" w:color="auto"/>
        <w:bottom w:val="none" w:sz="0" w:space="0" w:color="auto"/>
        <w:right w:val="none" w:sz="0" w:space="0" w:color="auto"/>
      </w:divBdr>
    </w:div>
    <w:div w:id="780683374">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4040163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088190421">
      <w:bodyDiv w:val="1"/>
      <w:marLeft w:val="0"/>
      <w:marRight w:val="0"/>
      <w:marTop w:val="0"/>
      <w:marBottom w:val="0"/>
      <w:divBdr>
        <w:top w:val="none" w:sz="0" w:space="0" w:color="auto"/>
        <w:left w:val="none" w:sz="0" w:space="0" w:color="auto"/>
        <w:bottom w:val="none" w:sz="0" w:space="0" w:color="auto"/>
        <w:right w:val="none" w:sz="0" w:space="0" w:color="auto"/>
      </w:divBdr>
    </w:div>
    <w:div w:id="1170371488">
      <w:bodyDiv w:val="1"/>
      <w:marLeft w:val="0"/>
      <w:marRight w:val="0"/>
      <w:marTop w:val="0"/>
      <w:marBottom w:val="0"/>
      <w:divBdr>
        <w:top w:val="none" w:sz="0" w:space="0" w:color="auto"/>
        <w:left w:val="none" w:sz="0" w:space="0" w:color="auto"/>
        <w:bottom w:val="none" w:sz="0" w:space="0" w:color="auto"/>
        <w:right w:val="none" w:sz="0" w:space="0" w:color="auto"/>
      </w:divBdr>
    </w:div>
    <w:div w:id="1291545982">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92664095">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4540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nf.gov.pl/podmioty/Podmioty_rynku_kapitalowego/Fundusze_Inwestycyjne/TFI_i_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nf.gov.pl/?articleId=56224&amp;p_id=18" TargetMode="External"/><Relationship Id="rId17" Type="http://schemas.openxmlformats.org/officeDocument/2006/relationships/hyperlink" Target="https://www.oecd.org/tax/beps/corporate-tax-statistics-database.htm" TargetMode="External"/><Relationship Id="rId2" Type="http://schemas.openxmlformats.org/officeDocument/2006/relationships/customXml" Target="../customXml/item2.xml"/><Relationship Id="rId16" Type="http://schemas.openxmlformats.org/officeDocument/2006/relationships/hyperlink" Target="https://www.knf.gov.pl/podmioty/Podmioty_sektora_kas_spoldzielczy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sp@mf.gov.pl" TargetMode="External"/><Relationship Id="rId5" Type="http://schemas.openxmlformats.org/officeDocument/2006/relationships/numbering" Target="numbering.xml"/><Relationship Id="rId15" Type="http://schemas.openxmlformats.org/officeDocument/2006/relationships/hyperlink" Target="https://www.knf.gov.pl/podmioty/Podmioty_rynku_kapitalowego/Firmy_inwestycyjne_i_Agenci_firm_inwestycyjnych/domy_maklersk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f.gov.pl/?articleId=72459&amp;p_id=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21942581B7A194D9A78FE60FBE7319B" ma:contentTypeVersion="2" ma:contentTypeDescription="Utwórz nowy dokument." ma:contentTypeScope="" ma:versionID="bffafb75af97cd960ff0316491eaf00c">
  <xsd:schema xmlns:xsd="http://www.w3.org/2001/XMLSchema" xmlns:xs="http://www.w3.org/2001/XMLSchema" xmlns:p="http://schemas.microsoft.com/office/2006/metadata/properties" xmlns:ns2="d97432ee-d591-4880-933f-8a3b52f87fbf" targetNamespace="http://schemas.microsoft.com/office/2006/metadata/properties" ma:root="true" ma:fieldsID="b57f6d6cf64c6ffc1c9c2ad4b0350684" ns2:_="">
    <xsd:import namespace="d97432ee-d591-4880-933f-8a3b52f87f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432ee-d591-4880-933f-8a3b52f87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2925-C5C9-4B33-93A3-D507435A62A0}">
  <ds:schemaRefs>
    <ds:schemaRef ds:uri="http://schemas.microsoft.com/sharepoint/v3/contenttype/forms"/>
  </ds:schemaRefs>
</ds:datastoreItem>
</file>

<file path=customXml/itemProps2.xml><?xml version="1.0" encoding="utf-8"?>
<ds:datastoreItem xmlns:ds="http://schemas.openxmlformats.org/officeDocument/2006/customXml" ds:itemID="{DEDA7940-D7D4-48E0-A8A5-1A79D4EA4B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BB21A5-97C4-4694-AF0E-5B6EC1EB9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432ee-d591-4880-933f-8a3b52f87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023EB-9DDA-4CD3-B5C5-3DB16D92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6416</Words>
  <Characters>38498</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44825</CharactersWithSpaces>
  <SharedDoc>false</SharedDoc>
  <HLinks>
    <vt:vector size="18" baseType="variant">
      <vt:variant>
        <vt:i4>1638433</vt:i4>
      </vt:variant>
      <vt:variant>
        <vt:i4>69</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66</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ariant>
        <vt:i4>1638432</vt:i4>
      </vt:variant>
      <vt:variant>
        <vt:i4>0</vt:i4>
      </vt:variant>
      <vt:variant>
        <vt:i4>0</vt:i4>
      </vt:variant>
      <vt:variant>
        <vt:i4>5</vt:i4>
      </vt:variant>
      <vt:variant>
        <vt:lpwstr>mailto:sekretariat.dsp@mf.gov.pl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2022-09-30T10:41:00Z</dcterms:created>
  <dcterms:modified xsi:type="dcterms:W3CDTF">2023-02-06T21:30:00Z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0x010100521942581B7A194D9A78FE60FBE7319B</vt:lpwstr>
  </property>
  <property fmtid="{D5CDD505-2E9C-101B-9397-08002B2CF9AE}" pid="3" name="MFCATEGORY">
    <vt:lpwstr>InformacjePrzeznaczoneWylacznieDoUzytkuWewnetrznego</vt:lpwstr>
  </property>
  <property fmtid="{D5CDD505-2E9C-101B-9397-08002B2CF9AE}" pid="4" name="MFClassifiedBy">
    <vt:lpwstr>MF\HEAD;Syliwoniuk Marlena</vt:lpwstr>
  </property>
  <property fmtid="{D5CDD505-2E9C-101B-9397-08002B2CF9AE}" pid="5" name="MFClassificationDate">
    <vt:lpwstr>2022-06-21T15:26:01.8894313+02:00</vt:lpwstr>
  </property>
  <property fmtid="{D5CDD505-2E9C-101B-9397-08002B2CF9AE}" pid="6" name="MFClassifiedBySID">
    <vt:lpwstr>MF\S-1-5-21-1525952054-1005573771-2909822258-403032</vt:lpwstr>
  </property>
  <property fmtid="{D5CDD505-2E9C-101B-9397-08002B2CF9AE}" pid="7" name="MFGRNItemId">
    <vt:lpwstr>GRN-fcd49425-6cd6-472f-b809-abae5707309b</vt:lpwstr>
  </property>
  <property fmtid="{D5CDD505-2E9C-101B-9397-08002B2CF9AE}" pid="8" name="MFHash">
    <vt:lpwstr>nwZFoy7Pny+f0VdxjtX3/vSEPtiNCbqxtc7IcJAw/Jo=</vt:lpwstr>
  </property>
  <property fmtid="{D5CDD505-2E9C-101B-9397-08002B2CF9AE}" pid="9" name="DLPManualFileClassification">
    <vt:lpwstr>{5fdfc941-3fcf-4a5b-87be-4848800d39d0}</vt:lpwstr>
  </property>
  <property fmtid="{D5CDD505-2E9C-101B-9397-08002B2CF9AE}" pid="10" name="MFRefresh">
    <vt:lpwstr>False</vt:lpwstr>
  </property>
</Properties>
</file>