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550"/>
      </w:tblGrid>
      <w:tr w:rsidR="00F02452" w:rsidRPr="00F02452" w14:paraId="08838899" w14:textId="77777777" w:rsidTr="0021478A">
        <w:trPr>
          <w:trHeight w:val="1611"/>
        </w:trPr>
        <w:tc>
          <w:tcPr>
            <w:tcW w:w="6631" w:type="dxa"/>
            <w:gridSpan w:val="17"/>
          </w:tcPr>
          <w:p w14:paraId="65C18A14" w14:textId="77777777" w:rsidR="00F02452" w:rsidRPr="00F02452" w:rsidRDefault="00F02452" w:rsidP="00F02452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r w:rsidRPr="00F02452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4CDB18DA" w14:textId="2C4DF686" w:rsidR="00F02452" w:rsidRPr="00DB1A35" w:rsidRDefault="00F02452" w:rsidP="00F0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1" w:name="t2"/>
            <w:r w:rsidRPr="00DB1A35">
              <w:rPr>
                <w:rFonts w:ascii="Times New Roman" w:eastAsia="Calibri" w:hAnsi="Times New Roman" w:cs="Times New Roman"/>
              </w:rPr>
              <w:t>Rozporządzenie Ministra Klimatu i Środowiska</w:t>
            </w:r>
            <w:r w:rsidRPr="00DB1A35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bookmarkEnd w:id="1"/>
            <w:r w:rsidR="00DB1A35" w:rsidRPr="00DB1A35">
              <w:rPr>
                <w:rFonts w:ascii="Times New Roman" w:eastAsia="Calibri" w:hAnsi="Times New Roman" w:cs="Times New Roman"/>
                <w:lang w:eastAsia="pl-PL"/>
              </w:rPr>
              <w:t>w sprawie wzorów wniosków o wypłatę wyrównania i wzoru wniosku o rozliczenie wyrównania wniosków</w:t>
            </w:r>
            <w:r w:rsidR="00406A61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14:paraId="0C553924" w14:textId="77777777" w:rsidR="00F02452" w:rsidRPr="00F02452" w:rsidRDefault="00F02452" w:rsidP="00F02452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C7DDAAB" w14:textId="77777777" w:rsidR="00F02452" w:rsidRPr="00F02452" w:rsidRDefault="00F02452" w:rsidP="00F02452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t>Ministerstwo Klimatu i Środowiska</w:t>
            </w:r>
          </w:p>
          <w:p w14:paraId="433A9BA0" w14:textId="77777777" w:rsidR="00F02452" w:rsidRPr="00F02452" w:rsidRDefault="00F02452" w:rsidP="00F02452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A712A3C" w14:textId="77777777" w:rsidR="00F02452" w:rsidRPr="00F02452" w:rsidRDefault="00F02452" w:rsidP="00F02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F024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226E02DC" w14:textId="77777777" w:rsidR="00F02452" w:rsidRPr="00F02452" w:rsidRDefault="00F02452" w:rsidP="00F02452">
            <w:pPr>
              <w:widowControl w:val="0"/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t>Anna Łukaszewska-Trzeciakowska – Podsekretarz Stanu w Ministerstwie Klimatu i Środowiska</w:t>
            </w:r>
          </w:p>
          <w:p w14:paraId="71707B33" w14:textId="77777777" w:rsidR="00F02452" w:rsidRPr="00F02452" w:rsidRDefault="00F02452" w:rsidP="00F02452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projektu:</w:t>
            </w:r>
          </w:p>
          <w:p w14:paraId="6114D637" w14:textId="06F1998C" w:rsidR="00F02452" w:rsidRPr="00F02452" w:rsidRDefault="00610BBE" w:rsidP="00610BBE">
            <w:pPr>
              <w:widowControl w:val="0"/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610BBE">
              <w:rPr>
                <w:rFonts w:ascii="Times New Roman" w:eastAsia="Calibri" w:hAnsi="Times New Roman" w:cs="Times New Roman"/>
                <w:color w:val="000000"/>
              </w:rPr>
              <w:t xml:space="preserve">Grzegorz </w:t>
            </w:r>
            <w:proofErr w:type="spellStart"/>
            <w:r w:rsidRPr="00610BBE">
              <w:rPr>
                <w:rFonts w:ascii="Times New Roman" w:eastAsia="Calibri" w:hAnsi="Times New Roman" w:cs="Times New Roman"/>
                <w:color w:val="000000"/>
              </w:rPr>
              <w:t>Tobolczyk</w:t>
            </w:r>
            <w:proofErr w:type="spellEnd"/>
            <w:r w:rsidRPr="00610BBE">
              <w:rPr>
                <w:rFonts w:ascii="Times New Roman" w:eastAsia="Calibri" w:hAnsi="Times New Roman" w:cs="Times New Roman"/>
                <w:color w:val="000000"/>
              </w:rPr>
              <w:t>- Dyrektor Departamentu Ciepłownictwa</w:t>
            </w:r>
          </w:p>
          <w:p w14:paraId="776AF178" w14:textId="77777777" w:rsidR="00F02452" w:rsidRPr="00F02452" w:rsidRDefault="00F02452" w:rsidP="00F024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34" w:type="dxa"/>
            <w:gridSpan w:val="12"/>
            <w:shd w:val="clear" w:color="auto" w:fill="FFFFFF"/>
          </w:tcPr>
          <w:p w14:paraId="5CBE723E" w14:textId="5486856B" w:rsidR="00F02452" w:rsidRPr="00F02452" w:rsidRDefault="00F02452" w:rsidP="00F02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Data sporządzenia</w:t>
            </w:r>
            <w:r w:rsidRPr="00F024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</w:r>
            <w:r w:rsidR="001711A9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07</w:t>
            </w:r>
            <w:r w:rsidRPr="00F0245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.0</w:t>
            </w:r>
            <w:r w:rsidR="001711A9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2</w:t>
            </w:r>
            <w:r w:rsidRPr="00F0245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.202</w:t>
            </w:r>
            <w:r w:rsidR="00610BBE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3</w:t>
            </w:r>
            <w:r w:rsidRPr="00F0245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r.</w:t>
            </w:r>
          </w:p>
          <w:p w14:paraId="113192DD" w14:textId="77777777" w:rsidR="00F02452" w:rsidRPr="00F02452" w:rsidRDefault="00F02452" w:rsidP="00F024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5DBCFB3" w14:textId="7110BE1B" w:rsidR="00F02452" w:rsidRPr="00F02452" w:rsidRDefault="00F02452" w:rsidP="00F024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02452">
              <w:rPr>
                <w:rFonts w:ascii="Times New Roman" w:eastAsia="Calibri" w:hAnsi="Times New Roman" w:cs="Times New Roman"/>
                <w:b/>
              </w:rPr>
              <w:t>Źródło:</w:t>
            </w:r>
            <w:bookmarkStart w:id="2" w:name="Lista1"/>
          </w:p>
          <w:bookmarkEnd w:id="2"/>
          <w:p w14:paraId="4CBBCE55" w14:textId="27ECF43F" w:rsidR="00F02452" w:rsidRPr="00F02452" w:rsidRDefault="00F02452" w:rsidP="00F024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2452">
              <w:rPr>
                <w:rFonts w:ascii="Times New Roman" w:eastAsia="Calibri" w:hAnsi="Times New Roman" w:cs="Times New Roman"/>
              </w:rPr>
              <w:t>U</w:t>
            </w:r>
            <w:r w:rsidR="00E16A68">
              <w:rPr>
                <w:rFonts w:ascii="Times New Roman" w:eastAsia="Calibri" w:hAnsi="Times New Roman" w:cs="Times New Roman"/>
              </w:rPr>
              <w:t>poważnienie ustawowe: a</w:t>
            </w:r>
            <w:r w:rsidR="00E16A68" w:rsidRPr="00E16A68">
              <w:rPr>
                <w:rFonts w:ascii="Times New Roman" w:eastAsia="Calibri" w:hAnsi="Times New Roman" w:cs="Times New Roman"/>
              </w:rPr>
              <w:t>rt. 1</w:t>
            </w:r>
            <w:r w:rsidR="00610BBE">
              <w:rPr>
                <w:rFonts w:ascii="Times New Roman" w:eastAsia="Calibri" w:hAnsi="Times New Roman" w:cs="Times New Roman"/>
              </w:rPr>
              <w:t>2d</w:t>
            </w:r>
            <w:r w:rsidR="00E16A68" w:rsidRPr="00E16A68">
              <w:rPr>
                <w:rFonts w:ascii="Times New Roman" w:eastAsia="Calibri" w:hAnsi="Times New Roman" w:cs="Times New Roman"/>
              </w:rPr>
              <w:t xml:space="preserve"> ustawy z dnia </w:t>
            </w:r>
            <w:r w:rsidR="00EC5E47">
              <w:rPr>
                <w:rFonts w:ascii="Times New Roman" w:eastAsia="Calibri" w:hAnsi="Times New Roman" w:cs="Times New Roman"/>
              </w:rPr>
              <w:t>15</w:t>
            </w:r>
            <w:r w:rsidR="00E16A68" w:rsidRPr="00E16A68">
              <w:rPr>
                <w:rFonts w:ascii="Times New Roman" w:eastAsia="Calibri" w:hAnsi="Times New Roman" w:cs="Times New Roman"/>
              </w:rPr>
              <w:t xml:space="preserve"> września 2022 r. o szczególnych rozwiązaniach w zakresie niektórych źródeł ciepła w związku z sytuacją na rynku paliw </w:t>
            </w:r>
          </w:p>
          <w:p w14:paraId="5BE77795" w14:textId="0349A96B" w:rsidR="00F02452" w:rsidRPr="00F02452" w:rsidRDefault="00F02452" w:rsidP="00F0245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</w:rPr>
              <w:t>Nr w wykazie prac</w:t>
            </w:r>
            <w:r w:rsidR="000A6959">
              <w:rPr>
                <w:rFonts w:ascii="Times New Roman" w:eastAsia="Calibri" w:hAnsi="Times New Roman" w:cs="Times New Roman"/>
                <w:b/>
                <w:color w:val="000000"/>
              </w:rPr>
              <w:t xml:space="preserve"> legislacyjnych Ministra Klimatu i Środowiska:</w:t>
            </w:r>
            <w:r w:rsidR="00A07E92" w:rsidRPr="00727D06">
              <w:rPr>
                <w:rFonts w:ascii="Times New Roman" w:eastAsia="Calibri" w:hAnsi="Times New Roman" w:cs="Times New Roman"/>
                <w:bCs/>
                <w:color w:val="000000"/>
              </w:rPr>
              <w:t>1003</w:t>
            </w:r>
          </w:p>
          <w:p w14:paraId="59E36DC3" w14:textId="77777777" w:rsidR="00F02452" w:rsidRPr="00F02452" w:rsidRDefault="00F02452" w:rsidP="00F024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4F6BB7E" w14:textId="77777777" w:rsidR="00F02452" w:rsidRPr="00F02452" w:rsidRDefault="00F02452" w:rsidP="00F024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2452" w:rsidRPr="00F02452" w14:paraId="056EA0C9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99CCFF"/>
          </w:tcPr>
          <w:p w14:paraId="391C156C" w14:textId="77777777" w:rsidR="00F02452" w:rsidRPr="00F02452" w:rsidRDefault="00F02452" w:rsidP="00F0245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F02452" w:rsidRPr="00F02452" w14:paraId="2659D25A" w14:textId="77777777" w:rsidTr="0021478A">
        <w:trPr>
          <w:trHeight w:val="333"/>
        </w:trPr>
        <w:tc>
          <w:tcPr>
            <w:tcW w:w="10065" w:type="dxa"/>
            <w:gridSpan w:val="29"/>
            <w:shd w:val="clear" w:color="auto" w:fill="99CCFF"/>
            <w:vAlign w:val="center"/>
          </w:tcPr>
          <w:p w14:paraId="001AFC9D" w14:textId="77777777" w:rsidR="00F02452" w:rsidRPr="00F02452" w:rsidRDefault="00F02452" w:rsidP="00F02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F02452" w:rsidRPr="00F02452" w14:paraId="741289D6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FFFFFF"/>
          </w:tcPr>
          <w:p w14:paraId="52F58B08" w14:textId="51321AF2" w:rsidR="00610BBE" w:rsidRDefault="00965118" w:rsidP="005A50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>staw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a z dnia 8 lutego 2023 r. 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o zmianie ustawy o szczególnych rozwiązaniach w zakresie niektórych źródeł ciepła w związku z sytuacją na rynku paliw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oraz niektórych innych ustaw (Dz. U. poz. 295)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 xml:space="preserve"> wprowadza 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nowe narzędzie 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 xml:space="preserve">służące ochronie 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odbiorców 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 xml:space="preserve">jakimi są 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>gospodars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>twa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domow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>oraz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instytucj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użyteczności publicznej, do których ciepło jest dostarczane za pośrednictwem sieci ciepłowniczej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610BBE">
              <w:t xml:space="preserve"> 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>Projektowana regulacja przewiduje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 xml:space="preserve"> zastosowanie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maksymaln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>ej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cen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dostawy ciepła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 xml:space="preserve">, która znajdzie zastosowanie od dnia 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1 </w:t>
            </w:r>
            <w:r w:rsidR="0064207C">
              <w:rPr>
                <w:rFonts w:ascii="Times New Roman" w:eastAsia="Calibri" w:hAnsi="Times New Roman" w:cs="Times New Roman"/>
                <w:color w:val="000000"/>
              </w:rPr>
              <w:t>marca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2023 r. do dnia 31 grudnia 2023 r.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B92134"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>okrycie części należności odbiorców ciepła wobec przedsiębiorstw energetycznych prowadzących działalność niekoncesjonowaną i koncesjonowaną w zakresie sprzedaży ciepła wynikających ze wzrostu kosztów ogrzewania</w:t>
            </w:r>
            <w:r w:rsidR="00B92134">
              <w:rPr>
                <w:rFonts w:ascii="Times New Roman" w:eastAsia="Calibri" w:hAnsi="Times New Roman" w:cs="Times New Roman"/>
                <w:color w:val="000000"/>
              </w:rPr>
              <w:t xml:space="preserve"> nastąpi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przez </w:t>
            </w:r>
            <w:r w:rsidR="00B92134">
              <w:rPr>
                <w:rFonts w:ascii="Times New Roman" w:eastAsia="Calibri" w:hAnsi="Times New Roman" w:cs="Times New Roman"/>
                <w:color w:val="000000"/>
              </w:rPr>
              <w:t xml:space="preserve">wypłatę 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>wyrównani</w:t>
            </w:r>
            <w:r w:rsidR="00B92134">
              <w:rPr>
                <w:rFonts w:ascii="Times New Roman" w:eastAsia="Calibri" w:hAnsi="Times New Roman" w:cs="Times New Roman"/>
                <w:color w:val="000000"/>
              </w:rPr>
              <w:t xml:space="preserve">a. 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Dzięki zaprojektowanemu mechanizmowi wsparcia, jeżeli nastąpi wzrost cen dostawy ciepła, obejmujących wszystkie opłaty i stawki nałożone na odbiorcę ciepła, większy niż 40%, w stosunku do cen obowiązujących na dzień 30 września 2022 r., przedsiębiorstwa energetyczne otrzymają wyrównanie, tak aby odbiorc</w:t>
            </w:r>
            <w:r w:rsidR="00B92134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B92134">
              <w:rPr>
                <w:rFonts w:ascii="Times New Roman" w:eastAsia="Calibri" w:hAnsi="Times New Roman" w:cs="Times New Roman"/>
                <w:color w:val="000000"/>
              </w:rPr>
              <w:t xml:space="preserve">z 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>katalogu podmiotów uprawnionych nie zosta</w:t>
            </w:r>
            <w:r w:rsidR="00B92134">
              <w:rPr>
                <w:rFonts w:ascii="Times New Roman" w:eastAsia="Calibri" w:hAnsi="Times New Roman" w:cs="Times New Roman"/>
                <w:color w:val="000000"/>
              </w:rPr>
              <w:t>li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obciąż</w:t>
            </w:r>
            <w:r w:rsidR="00B92134">
              <w:rPr>
                <w:rFonts w:ascii="Times New Roman" w:eastAsia="Calibri" w:hAnsi="Times New Roman" w:cs="Times New Roman"/>
                <w:color w:val="000000"/>
              </w:rPr>
              <w:t>eni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nadmiernym wzrostem kosztów ogrzewania. </w:t>
            </w:r>
          </w:p>
          <w:p w14:paraId="3F53AADF" w14:textId="104B7938" w:rsidR="00610BBE" w:rsidRPr="00610BBE" w:rsidRDefault="005D0E2C" w:rsidP="005A50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Aby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 xml:space="preserve"> możliwe było płynne 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>uruchomieni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>e nowego</w:t>
            </w:r>
            <w:r w:rsidR="00610BBE" w:rsidRPr="00610BBE">
              <w:rPr>
                <w:rFonts w:ascii="Times New Roman" w:eastAsia="Calibri" w:hAnsi="Times New Roman" w:cs="Times New Roman"/>
                <w:color w:val="000000"/>
              </w:rPr>
              <w:t xml:space="preserve"> systemu wnioskowania o wypłaty i rozliczanie 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>wyrównania</w:t>
            </w:r>
            <w:r w:rsidR="00B92134">
              <w:rPr>
                <w:rFonts w:ascii="Times New Roman" w:eastAsia="Calibri" w:hAnsi="Times New Roman" w:cs="Times New Roman"/>
                <w:color w:val="000000"/>
              </w:rPr>
              <w:t>, k</w:t>
            </w:r>
            <w:r w:rsidR="00610BBE">
              <w:rPr>
                <w:rFonts w:ascii="Times New Roman" w:eastAsia="Calibri" w:hAnsi="Times New Roman" w:cs="Times New Roman"/>
                <w:color w:val="000000"/>
              </w:rPr>
              <w:t xml:space="preserve">onieczne jest wprowadzenie wzorów nowych wniosków. </w:t>
            </w:r>
          </w:p>
          <w:p w14:paraId="5EE78CD4" w14:textId="38A693C3" w:rsidR="00F02452" w:rsidRPr="00F02452" w:rsidRDefault="00F02452" w:rsidP="00930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F02452" w:rsidRPr="00F02452" w14:paraId="34726C1B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99CCFF"/>
            <w:vAlign w:val="center"/>
          </w:tcPr>
          <w:p w14:paraId="063EDB5E" w14:textId="77777777" w:rsidR="00F02452" w:rsidRPr="00F02452" w:rsidRDefault="00F02452" w:rsidP="00F02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F02452" w:rsidRPr="00F02452" w14:paraId="2DEDCE13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auto"/>
          </w:tcPr>
          <w:p w14:paraId="27DFB108" w14:textId="099073C0" w:rsidR="00FE088E" w:rsidRDefault="00F02452" w:rsidP="005A50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 celu zapewnienia przejrzystości i komunikatywności, celowe jest określenie </w:t>
            </w:r>
            <w:r w:rsidRPr="00F02452">
              <w:rPr>
                <w:rFonts w:ascii="Times New Roman" w:eastAsia="Calibri" w:hAnsi="Times New Roman" w:cs="Times New Roman"/>
              </w:rPr>
              <w:t xml:space="preserve">wzoru wniosków o wypłatę </w:t>
            </w:r>
            <w:r w:rsidR="00B92134">
              <w:rPr>
                <w:rFonts w:ascii="Times New Roman" w:eastAsia="Calibri" w:hAnsi="Times New Roman" w:cs="Times New Roman"/>
              </w:rPr>
              <w:t xml:space="preserve">i </w:t>
            </w:r>
            <w:r w:rsidRPr="00F02452">
              <w:rPr>
                <w:rFonts w:ascii="Times New Roman" w:eastAsia="Calibri" w:hAnsi="Times New Roman" w:cs="Times New Roman"/>
              </w:rPr>
              <w:t xml:space="preserve">rozliczenie </w:t>
            </w:r>
            <w:r w:rsidR="00B92134">
              <w:rPr>
                <w:rFonts w:ascii="Times New Roman" w:eastAsia="Calibri" w:hAnsi="Times New Roman" w:cs="Times New Roman"/>
              </w:rPr>
              <w:t xml:space="preserve">wyrównania </w:t>
            </w:r>
            <w:r w:rsidRPr="00F02452">
              <w:rPr>
                <w:rFonts w:ascii="Times New Roman" w:eastAsia="Calibri" w:hAnsi="Times New Roman" w:cs="Times New Roman"/>
              </w:rPr>
              <w:t xml:space="preserve">składanych przez </w:t>
            </w:r>
            <w:r w:rsidR="00B92134">
              <w:rPr>
                <w:rFonts w:ascii="Times New Roman" w:eastAsia="Calibri" w:hAnsi="Times New Roman" w:cs="Times New Roman"/>
              </w:rPr>
              <w:t>przedsiębiorstwa energetyczne (w tym sprzedawców ciepła)</w:t>
            </w:r>
            <w:r w:rsidRPr="00F02452">
              <w:rPr>
                <w:rFonts w:ascii="Times New Roman" w:eastAsia="Calibri" w:hAnsi="Times New Roman" w:cs="Times New Roman"/>
              </w:rPr>
              <w:t xml:space="preserve"> stosujących </w:t>
            </w:r>
            <w:r w:rsidR="00B92134">
              <w:rPr>
                <w:rFonts w:ascii="Times New Roman" w:eastAsia="Calibri" w:hAnsi="Times New Roman" w:cs="Times New Roman"/>
              </w:rPr>
              <w:t xml:space="preserve">maksymalną cenę dostawy ciepła.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Przygotowanie jednolitych wzorów dla wszystkich </w:t>
            </w:r>
            <w:r w:rsidR="00B9213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podmiotów, uprawnionych do wypłaty i rozliczenia wyrównania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w Polsce przyczyni się do odciążenia podmiotów wypłacających rekompensaty</w:t>
            </w:r>
            <w:r w:rsidR="00437CB5">
              <w:rPr>
                <w:rFonts w:ascii="Times New Roman" w:eastAsia="Calibri" w:hAnsi="Times New Roman" w:cs="Times New Roman"/>
                <w:color w:val="000000"/>
                <w:spacing w:val="-2"/>
              </w:rPr>
              <w:t>,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tj. Zarządcy Rozliczeń </w:t>
            </w:r>
            <w:r w:rsidR="00EF5D21">
              <w:rPr>
                <w:rFonts w:ascii="Times New Roman" w:eastAsia="Calibri" w:hAnsi="Times New Roman" w:cs="Times New Roman"/>
                <w:color w:val="000000"/>
                <w:spacing w:val="-2"/>
              </w:rPr>
              <w:t>S.A.</w:t>
            </w:r>
            <w:r w:rsidR="0049472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oraz gmin</w:t>
            </w:r>
            <w:r w:rsidR="00437CB5">
              <w:rPr>
                <w:rFonts w:ascii="Times New Roman" w:eastAsia="Calibri" w:hAnsi="Times New Roman" w:cs="Times New Roman"/>
                <w:color w:val="000000"/>
                <w:spacing w:val="-2"/>
              </w:rPr>
              <w:t>,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B9213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 tym zwolni ich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z konieczności podejmowania indywidulanych uchwał w tej sprawie i wyeliminuje stosowanie różnych wzorów. Jednocześnie działanie to przyspieszy proces uruchomienia systemu wnioskowania o wypłaty i rozliczanie</w:t>
            </w:r>
            <w:r w:rsidR="00B9213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="00B92134">
              <w:rPr>
                <w:rFonts w:ascii="Times New Roman" w:eastAsia="Calibri" w:hAnsi="Times New Roman" w:cs="Times New Roman"/>
                <w:color w:val="000000"/>
                <w:spacing w:val="-2"/>
              </w:rPr>
              <w:t>wyrównań</w:t>
            </w:r>
            <w:proofErr w:type="spellEnd"/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  <w:p w14:paraId="24AA222D" w14:textId="7E969E37" w:rsidR="00FE088E" w:rsidRPr="00FE088E" w:rsidRDefault="00FE088E" w:rsidP="005A50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E088E">
              <w:rPr>
                <w:rFonts w:ascii="Times New Roman" w:eastAsia="Calibri" w:hAnsi="Times New Roman" w:cs="Times New Roman"/>
                <w:color w:val="000000"/>
                <w:spacing w:val="-2"/>
              </w:rPr>
              <w:t>Nie jest możliwe osiągnięcie celów projektowanego rozporządzenia w drodze poza legislacyjnej.</w:t>
            </w:r>
          </w:p>
        </w:tc>
      </w:tr>
      <w:tr w:rsidR="00F02452" w:rsidRPr="00F02452" w14:paraId="12B1C544" w14:textId="77777777" w:rsidTr="0021478A">
        <w:trPr>
          <w:trHeight w:val="307"/>
        </w:trPr>
        <w:tc>
          <w:tcPr>
            <w:tcW w:w="10065" w:type="dxa"/>
            <w:gridSpan w:val="29"/>
            <w:shd w:val="clear" w:color="auto" w:fill="99CCFF"/>
            <w:vAlign w:val="center"/>
          </w:tcPr>
          <w:p w14:paraId="17076B72" w14:textId="77777777" w:rsidR="00F02452" w:rsidRPr="00F02452" w:rsidRDefault="00F02452" w:rsidP="00F02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F02452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F02452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F02452" w:rsidRPr="00F02452" w14:paraId="3F32D808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auto"/>
          </w:tcPr>
          <w:p w14:paraId="48E974CE" w14:textId="77777777" w:rsidR="00F02452" w:rsidRPr="00F02452" w:rsidRDefault="00F02452" w:rsidP="00F0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F02452" w:rsidRPr="00F02452" w14:paraId="52B4E47C" w14:textId="77777777" w:rsidTr="0021478A">
        <w:trPr>
          <w:trHeight w:val="359"/>
        </w:trPr>
        <w:tc>
          <w:tcPr>
            <w:tcW w:w="10065" w:type="dxa"/>
            <w:gridSpan w:val="29"/>
            <w:shd w:val="clear" w:color="auto" w:fill="99CCFF"/>
            <w:vAlign w:val="center"/>
          </w:tcPr>
          <w:p w14:paraId="1C96728A" w14:textId="77777777" w:rsidR="00F02452" w:rsidRPr="00F02452" w:rsidRDefault="00F02452" w:rsidP="00F02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F02452" w:rsidRPr="00F02452" w14:paraId="1AA19595" w14:textId="77777777" w:rsidTr="0021478A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0AE4669" w14:textId="77777777" w:rsidR="00F02452" w:rsidRPr="00F02452" w:rsidRDefault="00F02452" w:rsidP="00F0245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8CFEA0F" w14:textId="77777777" w:rsidR="00F02452" w:rsidRPr="00F02452" w:rsidRDefault="00F02452" w:rsidP="00F0245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B5318F8" w14:textId="77777777" w:rsidR="00F02452" w:rsidRPr="00F02452" w:rsidRDefault="00F02452" w:rsidP="00F0245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F02452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109" w:type="dxa"/>
            <w:gridSpan w:val="6"/>
            <w:shd w:val="clear" w:color="auto" w:fill="auto"/>
          </w:tcPr>
          <w:p w14:paraId="5DF1A707" w14:textId="77777777" w:rsidR="00F02452" w:rsidRPr="00F02452" w:rsidRDefault="00F02452" w:rsidP="00F0245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F02452" w:rsidRPr="00F02452" w14:paraId="337C2C24" w14:textId="77777777" w:rsidTr="0021478A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3F42708" w14:textId="77777777" w:rsidR="00F02452" w:rsidRPr="00F02452" w:rsidRDefault="00F02452" w:rsidP="00F0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t>Gminy w Polsce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88A36B3" w14:textId="77777777" w:rsidR="00F02452" w:rsidRPr="00F02452" w:rsidRDefault="00F02452" w:rsidP="00F0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2477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9612DDF" w14:textId="77777777" w:rsidR="00F02452" w:rsidRPr="00F02452" w:rsidRDefault="00F02452" w:rsidP="00F0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GUS – stan na 1 stycznia 2022 r. </w:t>
            </w:r>
          </w:p>
          <w:p w14:paraId="60298A5E" w14:textId="77777777" w:rsidR="00F02452" w:rsidRPr="00F02452" w:rsidRDefault="00F02452" w:rsidP="00F0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https://stat.gov.pl/statystyka-regionalna/jednostki-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 xml:space="preserve">terytorialne/podzial-administracyjny-polski/ </w:t>
            </w:r>
          </w:p>
        </w:tc>
        <w:tc>
          <w:tcPr>
            <w:tcW w:w="2109" w:type="dxa"/>
            <w:gridSpan w:val="6"/>
            <w:shd w:val="clear" w:color="auto" w:fill="auto"/>
          </w:tcPr>
          <w:p w14:paraId="34AE277E" w14:textId="6A7AB4ED" w:rsidR="00F02452" w:rsidRPr="00F02452" w:rsidRDefault="00F02452" w:rsidP="00F0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 xml:space="preserve">Podmiot odpowiedzialny za wypłatę i rozliczenie </w:t>
            </w:r>
            <w:r w:rsidR="00B92134">
              <w:rPr>
                <w:rFonts w:ascii="Times New Roman" w:eastAsia="Calibri" w:hAnsi="Times New Roman" w:cs="Times New Roman"/>
                <w:color w:val="000000"/>
                <w:spacing w:val="-2"/>
              </w:rPr>
              <w:t>wyrównania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  <w:p w14:paraId="182DE378" w14:textId="007BE7B4" w:rsidR="00F02452" w:rsidRPr="00F02452" w:rsidRDefault="00F02452" w:rsidP="00F0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Niższe koszty obsługi oraz brak konieczności samodzielnego ustalania wzoru wniosku o</w:t>
            </w:r>
            <w:r w:rsidR="00B9213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wypłatę i rozliczenie wyrównania.</w:t>
            </w:r>
          </w:p>
        </w:tc>
      </w:tr>
      <w:tr w:rsidR="00F02452" w:rsidRPr="00F02452" w14:paraId="22CC2C84" w14:textId="77777777" w:rsidTr="0021478A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DB627BC" w14:textId="585B9A9D" w:rsidR="00F02452" w:rsidRPr="00F02452" w:rsidRDefault="00F02452" w:rsidP="00F0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lastRenderedPageBreak/>
              <w:t>Zarządca Rozliczeń S</w:t>
            </w:r>
            <w:r w:rsidR="00EF5D2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EF5D2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01F3C27" w14:textId="77777777" w:rsidR="00F02452" w:rsidRPr="00F02452" w:rsidRDefault="00F02452" w:rsidP="00F0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536A61" w14:textId="77777777" w:rsidR="00F02452" w:rsidRPr="00F02452" w:rsidRDefault="00F02452" w:rsidP="00F0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Ustawa z dnia 28 grudnia 2018 r. o zmianie ustawy o podatku akcyzowym oraz o zmianie niektórych innych ustaw (Dz. U. poz. 2538, z </w:t>
            </w:r>
            <w:proofErr w:type="spellStart"/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późn</w:t>
            </w:r>
            <w:proofErr w:type="spellEnd"/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. zm.)</w:t>
            </w:r>
          </w:p>
        </w:tc>
        <w:tc>
          <w:tcPr>
            <w:tcW w:w="2109" w:type="dxa"/>
            <w:gridSpan w:val="6"/>
            <w:shd w:val="clear" w:color="auto" w:fill="auto"/>
          </w:tcPr>
          <w:p w14:paraId="3024C648" w14:textId="2C74A4AE" w:rsidR="00F02452" w:rsidRPr="00F02452" w:rsidRDefault="00F02452" w:rsidP="00F0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Podmiot odpowiedzialny za wypłatę i rozliczenie </w:t>
            </w:r>
            <w:r w:rsidR="00B92134">
              <w:rPr>
                <w:rFonts w:ascii="Times New Roman" w:eastAsia="Calibri" w:hAnsi="Times New Roman" w:cs="Times New Roman"/>
                <w:color w:val="000000"/>
                <w:spacing w:val="-2"/>
              </w:rPr>
              <w:t>wyrównania.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  <w:p w14:paraId="0DD79718" w14:textId="11DE7B36" w:rsidR="00F02452" w:rsidRPr="00F02452" w:rsidRDefault="00F02452" w:rsidP="00F0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Niższe koszty obsługi oraz brak konieczności samodzielnego ustalania wzoru wniosku o </w:t>
            </w:r>
            <w:r w:rsidR="00B92134">
              <w:rPr>
                <w:rFonts w:ascii="Times New Roman" w:eastAsia="Calibri" w:hAnsi="Times New Roman" w:cs="Times New Roman"/>
                <w:color w:val="000000"/>
                <w:spacing w:val="-2"/>
              </w:rPr>
              <w:t>wypłatę i rozliczenie wyrównania.</w:t>
            </w:r>
          </w:p>
        </w:tc>
      </w:tr>
      <w:tr w:rsidR="00F02452" w:rsidRPr="00F02452" w14:paraId="6B7D84A6" w14:textId="77777777" w:rsidTr="0021478A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DD491A8" w14:textId="77777777" w:rsidR="00F02452" w:rsidRPr="00F02452" w:rsidRDefault="00F02452" w:rsidP="00F0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t xml:space="preserve">Przedsiębiorstwa energetyczne wykonujące działalność gospodarczą w zakresie wytwarzania ciepła, które dostarczane jest do gospodarstw domowych oraz podmiotów użyteczności publicznej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EE49B5F" w14:textId="5A6C4393" w:rsidR="00F02452" w:rsidRPr="00F02452" w:rsidRDefault="00F02452" w:rsidP="00F0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ok. 1</w:t>
            </w:r>
            <w:r w:rsidR="00437CB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100 przedsiębiorstw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3294DFA" w14:textId="77777777" w:rsidR="00F02452" w:rsidRPr="00F02452" w:rsidRDefault="00F02452" w:rsidP="00F0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Oszacowanie własne na podstawie danych URE oraz danych własnych</w:t>
            </w:r>
          </w:p>
        </w:tc>
        <w:tc>
          <w:tcPr>
            <w:tcW w:w="2109" w:type="dxa"/>
            <w:gridSpan w:val="6"/>
            <w:shd w:val="clear" w:color="auto" w:fill="auto"/>
          </w:tcPr>
          <w:p w14:paraId="32A127B8" w14:textId="52485DA7" w:rsidR="00F02452" w:rsidRPr="00F02452" w:rsidRDefault="00F02452" w:rsidP="00F02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Podmioty składające wnioski o wypłat</w:t>
            </w:r>
            <w:r w:rsidR="00B92134">
              <w:rPr>
                <w:rFonts w:ascii="Times New Roman" w:eastAsia="Calibri" w:hAnsi="Times New Roman" w:cs="Times New Roman"/>
                <w:color w:val="000000"/>
                <w:spacing w:val="-2"/>
              </w:rPr>
              <w:t>ę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i rozliczeni</w:t>
            </w:r>
            <w:r w:rsidR="00B92134">
              <w:rPr>
                <w:rFonts w:ascii="Times New Roman" w:eastAsia="Calibri" w:hAnsi="Times New Roman" w:cs="Times New Roman"/>
                <w:color w:val="000000"/>
                <w:spacing w:val="-2"/>
              </w:rPr>
              <w:t>e wyrównania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</w:tr>
      <w:tr w:rsidR="00F02452" w:rsidRPr="00F02452" w14:paraId="2120C80D" w14:textId="77777777" w:rsidTr="0021478A">
        <w:trPr>
          <w:trHeight w:val="302"/>
        </w:trPr>
        <w:tc>
          <w:tcPr>
            <w:tcW w:w="10065" w:type="dxa"/>
            <w:gridSpan w:val="29"/>
            <w:shd w:val="clear" w:color="auto" w:fill="99CCFF"/>
            <w:vAlign w:val="center"/>
          </w:tcPr>
          <w:p w14:paraId="4956C718" w14:textId="77777777" w:rsidR="00F02452" w:rsidRPr="00F02452" w:rsidRDefault="00F02452" w:rsidP="00F024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F675B" w:rsidRPr="00F02452" w14:paraId="292E9A4C" w14:textId="77777777" w:rsidTr="0021478A">
        <w:trPr>
          <w:trHeight w:val="342"/>
        </w:trPr>
        <w:tc>
          <w:tcPr>
            <w:tcW w:w="10065" w:type="dxa"/>
            <w:gridSpan w:val="29"/>
            <w:shd w:val="clear" w:color="auto" w:fill="FFFFFF"/>
          </w:tcPr>
          <w:p w14:paraId="5B368155" w14:textId="0A4089D6" w:rsidR="00415C9A" w:rsidRPr="00415C9A" w:rsidRDefault="00415C9A" w:rsidP="005A50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>prekonsultacji</w:t>
            </w:r>
            <w:proofErr w:type="spellEnd"/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  <w:p w14:paraId="04DBDF2C" w14:textId="6E264B88" w:rsidR="00C64226" w:rsidRPr="00C64226" w:rsidRDefault="00415C9A" w:rsidP="005A50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Projekt, zgodnie z art. 5 ustawy z dnia 7 lipca 2005 r. o działalności lobbingowej w procesie stanowienia prawa (Dz. U. z 2017 r. poz. 248) i § 52 uchwały nr 190 Rady Ministrów z dnia 29 października 2013 r. – Regulamin pracy Rady Ministrów (M.</w:t>
            </w:r>
            <w:r w:rsidR="009309A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P. z 2016 r. poz. 1006, z </w:t>
            </w:r>
            <w:proofErr w:type="spellStart"/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>późn</w:t>
            </w:r>
            <w:proofErr w:type="spellEnd"/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>. zm.), został udostępniony w Biuletynie Informacji Publicznej, na stronie podmiotowej Rządowego Centrum Legislacji, w serwisie Rządowy Proces Legislacyjny.</w:t>
            </w:r>
          </w:p>
          <w:p w14:paraId="191EF868" w14:textId="25920F48" w:rsidR="00C64226" w:rsidRPr="00C64226" w:rsidRDefault="00C64226" w:rsidP="005A50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6422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</w:t>
            </w:r>
            <w:r w:rsidR="009309A5" w:rsidRPr="00C64226">
              <w:rPr>
                <w:rFonts w:ascii="Times New Roman" w:eastAsia="Calibri" w:hAnsi="Times New Roman" w:cs="Times New Roman"/>
                <w:color w:val="000000"/>
                <w:spacing w:val="-2"/>
              </w:rPr>
              <w:t>zosta</w:t>
            </w:r>
            <w:r w:rsidR="005D0E2C">
              <w:rPr>
                <w:rFonts w:ascii="Times New Roman" w:eastAsia="Calibri" w:hAnsi="Times New Roman" w:cs="Times New Roman"/>
                <w:color w:val="000000"/>
                <w:spacing w:val="-2"/>
              </w:rPr>
              <w:t>nie</w:t>
            </w:r>
            <w:r w:rsidR="009309A5" w:rsidRPr="00C6422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C64226">
              <w:rPr>
                <w:rFonts w:ascii="Times New Roman" w:eastAsia="Calibri" w:hAnsi="Times New Roman" w:cs="Times New Roman"/>
                <w:color w:val="000000"/>
                <w:spacing w:val="-2"/>
              </w:rPr>
              <w:t>przekazany do zaopiniowania (3 dni) do następujących podmiotów:</w:t>
            </w:r>
          </w:p>
          <w:p w14:paraId="542C6AB2" w14:textId="75C19A59" w:rsidR="00C64226" w:rsidRPr="00C64226" w:rsidRDefault="00C64226" w:rsidP="00C64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64226">
              <w:rPr>
                <w:rFonts w:ascii="Times New Roman" w:eastAsia="Calibri" w:hAnsi="Times New Roman" w:cs="Times New Roman"/>
                <w:color w:val="000000"/>
                <w:spacing w:val="-2"/>
              </w:rPr>
              <w:t>1)</w:t>
            </w:r>
            <w:r w:rsidRPr="00C64226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Urz</w:t>
            </w:r>
            <w:r w:rsidR="00E95258">
              <w:rPr>
                <w:rFonts w:ascii="Times New Roman" w:eastAsia="Calibri" w:hAnsi="Times New Roman" w:cs="Times New Roman"/>
                <w:color w:val="000000"/>
                <w:spacing w:val="-2"/>
              </w:rPr>
              <w:t>ędu</w:t>
            </w:r>
            <w:r w:rsidRPr="00C6422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Regulacji Energetyki,</w:t>
            </w:r>
          </w:p>
          <w:p w14:paraId="29B7B997" w14:textId="1C6BA86D" w:rsidR="00415C9A" w:rsidRPr="00415C9A" w:rsidRDefault="00C64226" w:rsidP="00CA2C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64226">
              <w:rPr>
                <w:rFonts w:ascii="Times New Roman" w:eastAsia="Calibri" w:hAnsi="Times New Roman" w:cs="Times New Roman"/>
                <w:color w:val="000000"/>
                <w:spacing w:val="-2"/>
              </w:rPr>
              <w:t>2)</w:t>
            </w:r>
            <w:r w:rsidRPr="00C64226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Zarządc</w:t>
            </w:r>
            <w:r w:rsidR="00E95258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Rozliczeń S.A.</w:t>
            </w:r>
          </w:p>
          <w:p w14:paraId="23CE95F0" w14:textId="6F60FA12" w:rsidR="00415C9A" w:rsidRPr="00415C9A" w:rsidRDefault="00415C9A" w:rsidP="005A50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 uwagi na zakres projektu, który nie dotyczy zadań związków zawodowych ani praw i interesów związków pracodawców, projekt </w:t>
            </w:r>
            <w:r w:rsidR="005D0E2C">
              <w:rPr>
                <w:rFonts w:ascii="Times New Roman" w:eastAsia="Calibri" w:hAnsi="Times New Roman" w:cs="Times New Roman"/>
                <w:color w:val="000000"/>
                <w:spacing w:val="-2"/>
              </w:rPr>
              <w:t>nie będzie podlegał</w:t>
            </w: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opiniowaniu przez reprezentatywne związki zawodowe ani przez reprezentatywne organizacje pracodawców.  </w:t>
            </w:r>
          </w:p>
          <w:p w14:paraId="038010B3" w14:textId="3A49D7DA" w:rsidR="00415C9A" w:rsidRPr="00415C9A" w:rsidRDefault="00415C9A" w:rsidP="005A50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nie dotyczy spraw, o których mowa w art. 1 ustawy z dnia 24 lipca 2015 r. o Radzie Dialogu Społecznego i innych instytucji dialogu społecznego (Dz. U. z 2018 r. poz. 2232, z </w:t>
            </w:r>
            <w:proofErr w:type="spellStart"/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>późn</w:t>
            </w:r>
            <w:proofErr w:type="spellEnd"/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. zm.), wobec czego nie </w:t>
            </w:r>
            <w:r w:rsidR="005D0E2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będzie </w:t>
            </w: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>wymaga</w:t>
            </w:r>
            <w:r w:rsidR="009309A5">
              <w:rPr>
                <w:rFonts w:ascii="Times New Roman" w:eastAsia="Calibri" w:hAnsi="Times New Roman" w:cs="Times New Roman"/>
                <w:color w:val="000000"/>
                <w:spacing w:val="-2"/>
              </w:rPr>
              <w:t>ł</w:t>
            </w: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zaopiniowania przez R</w:t>
            </w:r>
            <w:r w:rsidR="009309A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adę </w:t>
            </w: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="009309A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ialogu </w:t>
            </w: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="009309A5">
              <w:rPr>
                <w:rFonts w:ascii="Times New Roman" w:eastAsia="Calibri" w:hAnsi="Times New Roman" w:cs="Times New Roman"/>
                <w:color w:val="000000"/>
                <w:spacing w:val="-2"/>
              </w:rPr>
              <w:t>połecznego</w:t>
            </w: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. </w:t>
            </w:r>
          </w:p>
          <w:p w14:paraId="5D2A0433" w14:textId="118124C9" w:rsidR="00415C9A" w:rsidRDefault="00415C9A" w:rsidP="005A50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nie </w:t>
            </w:r>
            <w:r w:rsidR="005D0E2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będzie </w:t>
            </w: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>wymaga</w:t>
            </w:r>
            <w:r w:rsidR="005D0E2C">
              <w:rPr>
                <w:rFonts w:ascii="Times New Roman" w:eastAsia="Calibri" w:hAnsi="Times New Roman" w:cs="Times New Roman"/>
                <w:color w:val="000000"/>
                <w:spacing w:val="-2"/>
              </w:rPr>
              <w:t>ł</w:t>
            </w: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przedstawienia właściwym instytucjom i organom Unii Europejskiej, w tym Europejskiemu Bankowi Centralnemu, celem uzyskania opinii, dokonania powiadomienia, konsultacji albo uzgodnienia projektu. </w:t>
            </w:r>
          </w:p>
          <w:p w14:paraId="14BBC06F" w14:textId="77777777" w:rsidR="005D0E2C" w:rsidRDefault="00415C9A" w:rsidP="005D0E2C">
            <w:pPr>
              <w:spacing w:before="120" w:after="120" w:line="240" w:lineRule="auto"/>
              <w:jc w:val="both"/>
            </w:pP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Pilne procedowanie oraz priorytetowe traktowanie projektowanej regulacji jest zasadne z uwagi na konieczność niezwłocznego wdrożenia </w:t>
            </w:r>
            <w:r w:rsidR="00DB1A3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nowych </w:t>
            </w: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>wzor</w:t>
            </w:r>
            <w:r w:rsidR="00DB1A35">
              <w:rPr>
                <w:rFonts w:ascii="Times New Roman" w:eastAsia="Calibri" w:hAnsi="Times New Roman" w:cs="Times New Roman"/>
                <w:color w:val="000000"/>
                <w:spacing w:val="-2"/>
              </w:rPr>
              <w:t>ów</w:t>
            </w: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wniosku o wypłatę i rozliczenie </w:t>
            </w:r>
            <w:r w:rsidR="00DB1A3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wyrównania </w:t>
            </w: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 celu usprawnienia funkcjonowania mechanizmu jego wypłat, zwłaszcza w kontekście postępującego wzrostu cen energii oraz </w:t>
            </w:r>
            <w:r w:rsidRPr="00415C9A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dynamiczną sytuacją na rynku.</w:t>
            </w:r>
          </w:p>
          <w:p w14:paraId="5896B871" w14:textId="7666783A" w:rsidR="00BF675B" w:rsidRPr="00F02452" w:rsidRDefault="00B276AC" w:rsidP="005A50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276A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nie </w:t>
            </w:r>
            <w:r w:rsidR="005D0E2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będzie </w:t>
            </w:r>
            <w:r w:rsidRPr="00B276AC">
              <w:rPr>
                <w:rFonts w:ascii="Times New Roman" w:eastAsia="Calibri" w:hAnsi="Times New Roman" w:cs="Times New Roman"/>
                <w:color w:val="000000"/>
                <w:spacing w:val="-2"/>
              </w:rPr>
              <w:t>podlega</w:t>
            </w:r>
            <w:r w:rsidR="009309A5">
              <w:rPr>
                <w:rFonts w:ascii="Times New Roman" w:eastAsia="Calibri" w:hAnsi="Times New Roman" w:cs="Times New Roman"/>
                <w:color w:val="000000"/>
                <w:spacing w:val="-2"/>
              </w:rPr>
              <w:t>ł</w:t>
            </w:r>
            <w:r w:rsidRPr="00B276A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opiniowaniu przez Komisję Wspólną Rządu i Samorządu Terytorialnego, gdyż nie dotyczy spraw związanych z samorządem terytorialnym, o których mowa w ustawie z dnia 6 maja 2005 r. o Komisji Wspólnej Rządu i Samorządu Terytorialnego oraz o przedstawicielach Rzeczypospolitej Polskiej w Komitecie Regionów Unii Europejskiej.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</w:tr>
      <w:tr w:rsidR="00BF675B" w:rsidRPr="00F02452" w14:paraId="2E20CD83" w14:textId="77777777" w:rsidTr="0021478A">
        <w:trPr>
          <w:trHeight w:val="363"/>
        </w:trPr>
        <w:tc>
          <w:tcPr>
            <w:tcW w:w="10065" w:type="dxa"/>
            <w:gridSpan w:val="29"/>
            <w:shd w:val="clear" w:color="auto" w:fill="99CCFF"/>
            <w:vAlign w:val="center"/>
          </w:tcPr>
          <w:p w14:paraId="7BE227E1" w14:textId="77777777" w:rsidR="00BF675B" w:rsidRPr="00F02452" w:rsidRDefault="00BF675B" w:rsidP="00BF67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F675B" w:rsidRPr="00F02452" w14:paraId="05C5C236" w14:textId="77777777" w:rsidTr="0021478A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B78EE49" w14:textId="77777777" w:rsidR="00BF675B" w:rsidRPr="00F02452" w:rsidRDefault="00BF675B" w:rsidP="00BF675B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(ceny stałe z 2021 r.)</w:t>
            </w:r>
          </w:p>
        </w:tc>
        <w:tc>
          <w:tcPr>
            <w:tcW w:w="6932" w:type="dxa"/>
            <w:gridSpan w:val="25"/>
            <w:shd w:val="clear" w:color="auto" w:fill="FFFFFF"/>
          </w:tcPr>
          <w:p w14:paraId="295A3C3D" w14:textId="77777777" w:rsidR="00BF675B" w:rsidRPr="00F02452" w:rsidRDefault="00BF675B" w:rsidP="00BF675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BF675B" w:rsidRPr="00F02452" w14:paraId="59DA9211" w14:textId="77777777" w:rsidTr="0021478A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EB84120" w14:textId="77777777" w:rsidR="00BF675B" w:rsidRPr="00F02452" w:rsidRDefault="00BF675B" w:rsidP="00BF675B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DA7223F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D99884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  <w:p w14:paraId="79BCBA52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44C8BC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  <w:p w14:paraId="61D5B255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273F25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  <w:p w14:paraId="22AE473C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EF85A4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  <w:p w14:paraId="09E6AAF0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70" w:type="dxa"/>
            <w:shd w:val="clear" w:color="auto" w:fill="FFFFFF"/>
          </w:tcPr>
          <w:p w14:paraId="7138822A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  <w:p w14:paraId="1FE68251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922170B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  <w:p w14:paraId="5BDAF4FC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F54847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  <w:p w14:paraId="51E2B8BD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D608B3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  <w:p w14:paraId="0B186CEF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17BF41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  <w:p w14:paraId="0110F474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70" w:type="dxa"/>
            <w:shd w:val="clear" w:color="auto" w:fill="FFFFFF"/>
          </w:tcPr>
          <w:p w14:paraId="027EB427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  <w:p w14:paraId="51D1DD83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B2BC968" w14:textId="77777777" w:rsidR="00BF675B" w:rsidRPr="00F02452" w:rsidRDefault="00BF675B" w:rsidP="00BF675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BF675B" w:rsidRPr="00F02452" w14:paraId="073E6399" w14:textId="77777777" w:rsidTr="0021478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22769C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2D0FBF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C1DA64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E41D85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4D666F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5F987A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69463B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B80AF7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899526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2BB08B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2080E4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FD6DBD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667CD5D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675B" w:rsidRPr="00F02452" w14:paraId="64876A62" w14:textId="77777777" w:rsidTr="0021478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8CF7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4FDC43" w14:textId="3BCD59A0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C1CBFC" w14:textId="4FF42BBC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BB4DA1" w14:textId="653EB89E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9DCD1E" w14:textId="323D5FC3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D2B124" w14:textId="778F97EC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E2A997" w14:textId="5AC44200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990D4E8" w14:textId="3624F136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4493F5" w14:textId="42467E15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ED0960" w14:textId="255FC0D3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8D8CE1" w14:textId="65752648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6267E2" w14:textId="5A4A8ADF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0382244" w14:textId="78BE6A5F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675B" w:rsidRPr="00F02452" w14:paraId="396B32E8" w14:textId="77777777" w:rsidTr="0021478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A093015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86607C" w14:textId="36F0218D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303A21" w14:textId="3543DFB6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32EFF7" w14:textId="07EA1985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2C8078" w14:textId="3AE1B2F9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4935BC" w14:textId="7F9BC203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9F6BB4" w14:textId="156ED8D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CF39C5A" w14:textId="58816B5F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C1F8DE" w14:textId="78010F59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754420" w14:textId="5BB6C27D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C3538C" w14:textId="0D502AAD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D68E61F" w14:textId="5781EC96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2C50F8F2" w14:textId="2E5E2A1C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675B" w:rsidRPr="00F02452" w14:paraId="1EEA25F9" w14:textId="77777777" w:rsidTr="0021478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08CC3B3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3C8691" w14:textId="766B75B8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0328AB" w14:textId="138FF999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3BE03E" w14:textId="15672FD6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16863D" w14:textId="32A2E2A2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289239" w14:textId="2DDD3C0A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7E7A29" w14:textId="1B5527A6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214E7C" w14:textId="2CDEC0E1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CCD1DA" w14:textId="789A4CB4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9B53C4" w14:textId="527D94D8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E94931" w14:textId="36C3FB42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A99F1D" w14:textId="178AF62F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3049EBDC" w14:textId="49132F6F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675B" w:rsidRPr="00F02452" w14:paraId="4FA7485B" w14:textId="77777777" w:rsidTr="0021478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BF8D23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963CBA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A46A35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8B6DC4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FEAB01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F3250B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BE1157B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501B42C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69E76F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E052EF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DA6ADA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041E05F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5A4978AC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BF675B" w:rsidRPr="00F02452" w14:paraId="0049F8E2" w14:textId="77777777" w:rsidTr="0021478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8FBE26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7E91A5" w14:textId="59DBE0BB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A6389E" w14:textId="6349452A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D6B86C" w14:textId="0CEF574B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6DFBD3" w14:textId="54F49576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629968" w14:textId="4616B911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A3F6C3" w14:textId="70C69BE9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3E515C" w14:textId="0E583894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C40AF0" w14:textId="697F2DDA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E49531" w14:textId="4F0EE4DA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3C6A51" w14:textId="096E652D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9C78663" w14:textId="6B2C2AFD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467B3917" w14:textId="187A1C3B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675B" w:rsidRPr="00F02452" w14:paraId="5BC4CBDE" w14:textId="77777777" w:rsidTr="0021478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DD9B31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77D45" w14:textId="2CAAD996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AD9976" w14:textId="316A1999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E4EBBB" w14:textId="4E64CEB5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3430B0" w14:textId="0C5AE494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3C9BEA" w14:textId="15FFA7AF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3640E4" w14:textId="0BD0949B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2643F59" w14:textId="5BE1C258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DF0EFA" w14:textId="7EE9811B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4E57E5" w14:textId="5F0AF286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8EEC8C" w14:textId="4206F97D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815702E" w14:textId="209DFF16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97D6CD3" w14:textId="684FBE30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675B" w:rsidRPr="00F02452" w14:paraId="344FE90A" w14:textId="77777777" w:rsidTr="0021478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CDEF2C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5D3790" w14:textId="0136791E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295B36" w14:textId="21D1214F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9D26E4" w14:textId="6EF78A05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E9F7D5" w14:textId="2976E19C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D57BA5" w14:textId="50B9DC3C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7F55DE7" w14:textId="0542DD5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205597" w14:textId="71320986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804045" w14:textId="27A45F5B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2E7CAB" w14:textId="67EADB55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7191A7" w14:textId="37ED2B5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ED6BDE" w14:textId="20A46BD2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154FDFF8" w14:textId="5EC90824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675B" w:rsidRPr="00F02452" w14:paraId="3A42D898" w14:textId="77777777" w:rsidTr="0021478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ABE418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5A6726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341584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2A3467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29503F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F87266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849BA74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82B04F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B29B12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F3C93F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7C4935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F114F7F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26237B6D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BF675B" w:rsidRPr="00F02452" w14:paraId="478ADB4B" w14:textId="77777777" w:rsidTr="0021478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7C0A73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A99F56" w14:textId="1F6DA5B5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52A3F9" w14:textId="4C7AE366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695982" w14:textId="2172A74F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9B7FBA" w14:textId="468940B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8008EA" w14:textId="1A847D1B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3E2ED13" w14:textId="67C0395E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ADB33E" w14:textId="5465ACB4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C213FC" w14:textId="5B9F6243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8588CE" w14:textId="0C897B43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DE3402" w14:textId="114A616E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7DFD27" w14:textId="6D887341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2565A580" w14:textId="26BA6A98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675B" w:rsidRPr="00F02452" w14:paraId="531A5ADF" w14:textId="77777777" w:rsidTr="0021478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0BA423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A4AF07" w14:textId="60996EF5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DB70FE" w14:textId="7942893D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8A84C3" w14:textId="0897DA02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13E110" w14:textId="4493211E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AE13CE" w14:textId="5B6A640C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23A9C61" w14:textId="1B8D0CA2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8E0736" w14:textId="0D2A6863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B77185" w14:textId="2EF36705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8AB90E" w14:textId="4AC4087A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EA41B4" w14:textId="5D860C1B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E7545C" w14:textId="7A8B5533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4E9C0937" w14:textId="4E508D39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675B" w:rsidRPr="00F02452" w14:paraId="0ECE1AFC" w14:textId="77777777" w:rsidTr="0021478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1CF953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95B69A" w14:textId="71E4CB39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8AF66F" w14:textId="71553D8B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1CB48D" w14:textId="6E26F6CD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474FDA" w14:textId="67D719AC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CF34BD" w14:textId="4200B76C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2708A2" w14:textId="30897F34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82FDC1" w14:textId="25E1C6FB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4D92DB" w14:textId="619B63E6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07A8CF" w14:textId="21544ACB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E3F175" w14:textId="39C6183A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B2CA53" w14:textId="7F9C31AC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1508D488" w14:textId="262A9410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675B" w:rsidRPr="00F02452" w14:paraId="19711B8A" w14:textId="77777777" w:rsidTr="0021478A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3EDE428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822" w:type="dxa"/>
            <w:gridSpan w:val="27"/>
            <w:shd w:val="clear" w:color="auto" w:fill="FFFFFF"/>
            <w:vAlign w:val="center"/>
          </w:tcPr>
          <w:p w14:paraId="28568542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Projekt rozporządzenia nie generuje wydatków dla budżetu państwa.</w:t>
            </w:r>
          </w:p>
          <w:p w14:paraId="1A430DB2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675B" w:rsidRPr="00F02452" w14:paraId="033CDFCC" w14:textId="77777777" w:rsidTr="0021478A">
        <w:trPr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233A479D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7822" w:type="dxa"/>
            <w:gridSpan w:val="27"/>
            <w:shd w:val="clear" w:color="auto" w:fill="FFFFFF"/>
          </w:tcPr>
          <w:p w14:paraId="0DDA1AA5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BF675B" w:rsidRPr="00F02452" w14:paraId="40C70857" w14:textId="77777777" w:rsidTr="0021478A">
        <w:trPr>
          <w:trHeight w:val="345"/>
        </w:trPr>
        <w:tc>
          <w:tcPr>
            <w:tcW w:w="10065" w:type="dxa"/>
            <w:gridSpan w:val="29"/>
            <w:shd w:val="clear" w:color="auto" w:fill="99CCFF"/>
          </w:tcPr>
          <w:p w14:paraId="51623CE5" w14:textId="77777777" w:rsidR="00BF675B" w:rsidRPr="00F02452" w:rsidRDefault="00BF675B" w:rsidP="00BF67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F02452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F675B" w:rsidRPr="00F02452" w14:paraId="12616F33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FFFFFF"/>
          </w:tcPr>
          <w:p w14:paraId="2E97D8B5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F675B" w:rsidRPr="00F02452" w14:paraId="73337CAE" w14:textId="77777777" w:rsidTr="0021478A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EF3AA08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CEB8B8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9912D15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17B47FC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18561B8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5029B25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006C956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50" w:type="dxa"/>
            <w:shd w:val="clear" w:color="auto" w:fill="FFFFFF"/>
          </w:tcPr>
          <w:p w14:paraId="0F66BB7E" w14:textId="77777777" w:rsidR="00BF675B" w:rsidRPr="00F02452" w:rsidRDefault="00BF675B" w:rsidP="00BF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F02452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F675B" w:rsidRPr="00F02452" w14:paraId="39F2B637" w14:textId="77777777" w:rsidTr="0021478A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94309FD" w14:textId="77777777" w:rsidR="00BF675B" w:rsidRPr="00F02452" w:rsidRDefault="00BF675B" w:rsidP="00BF675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3BE2DC3E" w14:textId="77777777" w:rsidR="00BF675B" w:rsidRPr="00F02452" w:rsidRDefault="00BF675B" w:rsidP="00BF675B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09280C3F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2021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06A7891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FA04EE8" w14:textId="6B7606D3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3FFFA43" w14:textId="29F0B208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E30D067" w14:textId="11EAAD9B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1B7E731" w14:textId="7312DED5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72D3298" w14:textId="35FB952E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BFACB5B" w14:textId="0F96CCAC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14:paraId="3F584F9B" w14:textId="2736967D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675B" w:rsidRPr="00F02452" w14:paraId="617E57E7" w14:textId="77777777" w:rsidTr="0021478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F452BB5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BAA7C6C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6740185" w14:textId="7007BED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B6B0D54" w14:textId="74312BB9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4EB2A54" w14:textId="1D674E85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C3B80D" w14:textId="1F3C16F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B7894E6" w14:textId="5F49C29E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BF53504" w14:textId="2BBC0CC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14:paraId="58FF9EDD" w14:textId="6842FEEA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675B" w:rsidRPr="00F02452" w14:paraId="5A2A6A73" w14:textId="77777777" w:rsidTr="0021478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6FF2E08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95BF13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9D01164" w14:textId="7FED1AD6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E383332" w14:textId="462B7914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D10E766" w14:textId="0CD0DF7E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C89EC8D" w14:textId="441A957A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244B56A" w14:textId="4AE545B5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0F07555" w14:textId="58B0092B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14:paraId="73D1FED7" w14:textId="745C9D58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675B" w:rsidRPr="00F02452" w14:paraId="596E8C90" w14:textId="77777777" w:rsidTr="0021478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842B0CB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1852E9E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D5A3932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950E5D0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F8D54AD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BF62AD8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DD66A92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5C35587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FFFFFF"/>
          </w:tcPr>
          <w:p w14:paraId="41B50ADD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F675B" w:rsidRPr="00F02452" w14:paraId="47EAC880" w14:textId="77777777" w:rsidTr="0021478A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11346B6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W ujęciu </w:t>
            </w: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B8C51CA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duże przedsiębiorstwa</w:t>
            </w:r>
          </w:p>
        </w:tc>
        <w:tc>
          <w:tcPr>
            <w:tcW w:w="6176" w:type="dxa"/>
            <w:gridSpan w:val="22"/>
            <w:shd w:val="clear" w:color="auto" w:fill="FFFFFF"/>
          </w:tcPr>
          <w:p w14:paraId="312A8987" w14:textId="541F344B" w:rsidR="00BF675B" w:rsidRPr="00F02452" w:rsidRDefault="001711A9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 xml:space="preserve">Pozytywny.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Uproszczone procedury</w:t>
            </w:r>
            <w:r w:rsidRPr="00F02452" w:rsidDel="001711A9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  <w:tr w:rsidR="00BF675B" w:rsidRPr="00F02452" w14:paraId="3036F09A" w14:textId="77777777" w:rsidTr="0021478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51AA2C8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9E382B0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176" w:type="dxa"/>
            <w:gridSpan w:val="22"/>
            <w:shd w:val="clear" w:color="auto" w:fill="FFFFFF"/>
          </w:tcPr>
          <w:p w14:paraId="68195DF8" w14:textId="4C25F863" w:rsidR="00BF675B" w:rsidRPr="00F02452" w:rsidRDefault="001711A9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 xml:space="preserve">Pozytywny.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Uproszczone procedury</w:t>
            </w:r>
            <w:r w:rsidRPr="00F02452" w:rsidDel="001711A9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  <w:tr w:rsidR="00BF675B" w:rsidRPr="00F02452" w14:paraId="59F63A76" w14:textId="77777777" w:rsidTr="0021478A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46B900F0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265CB7B" w14:textId="3EC6557B" w:rsidR="00BF675B" w:rsidRPr="00F02452" w:rsidRDefault="00BF675B" w:rsidP="00BF675B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</w:t>
            </w:r>
            <w:r w:rsidR="00354040">
              <w:rPr>
                <w:rFonts w:ascii="Times New Roman" w:eastAsia="Calibri" w:hAnsi="Times New Roman" w:cs="Times New Roman"/>
                <w:sz w:val="21"/>
                <w:szCs w:val="21"/>
              </w:rPr>
              <w:t>, osoby starsze i niepełnosprawne</w:t>
            </w:r>
            <w:r w:rsidRPr="00F0245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oraz gospodarstwa domowe</w:t>
            </w: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176" w:type="dxa"/>
            <w:gridSpan w:val="22"/>
            <w:shd w:val="clear" w:color="auto" w:fill="FFFFFF"/>
          </w:tcPr>
          <w:p w14:paraId="563C14C9" w14:textId="037B0BBC" w:rsidR="00BF675B" w:rsidRPr="00F02452" w:rsidRDefault="001711A9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BF675B" w:rsidRPr="00F02452" w14:paraId="7A3D967F" w14:textId="77777777" w:rsidTr="0021478A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562D99BB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E6F851C" w14:textId="77777777" w:rsidR="00BF675B" w:rsidRPr="00F02452" w:rsidRDefault="00BF675B" w:rsidP="00BF675B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sz w:val="21"/>
                <w:szCs w:val="21"/>
              </w:rPr>
              <w:t>JST (gminy)</w:t>
            </w:r>
          </w:p>
        </w:tc>
        <w:tc>
          <w:tcPr>
            <w:tcW w:w="6176" w:type="dxa"/>
            <w:gridSpan w:val="22"/>
            <w:shd w:val="clear" w:color="auto" w:fill="FFFFFF"/>
          </w:tcPr>
          <w:p w14:paraId="0752456A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Pozytywny, ujednolicenie procesu składania wniosku.</w:t>
            </w:r>
          </w:p>
        </w:tc>
      </w:tr>
      <w:tr w:rsidR="00BF675B" w:rsidRPr="00F02452" w14:paraId="1205B4F1" w14:textId="77777777" w:rsidTr="0021478A">
        <w:trPr>
          <w:gridAfter w:val="28"/>
          <w:wAfter w:w="8469" w:type="dxa"/>
          <w:trHeight w:val="241"/>
        </w:trPr>
        <w:tc>
          <w:tcPr>
            <w:tcW w:w="1596" w:type="dxa"/>
            <w:vMerge/>
            <w:shd w:val="clear" w:color="auto" w:fill="FFFFFF"/>
          </w:tcPr>
          <w:p w14:paraId="27C37FAC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675B" w:rsidRPr="00F02452" w14:paraId="180D8D6D" w14:textId="77777777" w:rsidTr="0021478A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7FFB31A7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822" w:type="dxa"/>
            <w:gridSpan w:val="27"/>
            <w:shd w:val="clear" w:color="auto" w:fill="FFFFFF"/>
            <w:vAlign w:val="center"/>
          </w:tcPr>
          <w:p w14:paraId="62ACC508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 dotyczy</w:t>
            </w:r>
          </w:p>
          <w:p w14:paraId="190FBD5E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0BE0837D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3F20F8B3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6EF1BDE5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4B0EF659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F675B" w:rsidRPr="00F02452" w14:paraId="5A838683" w14:textId="77777777" w:rsidTr="0021478A">
        <w:trPr>
          <w:trHeight w:val="342"/>
        </w:trPr>
        <w:tc>
          <w:tcPr>
            <w:tcW w:w="10065" w:type="dxa"/>
            <w:gridSpan w:val="29"/>
            <w:shd w:val="clear" w:color="auto" w:fill="99CCFF"/>
            <w:vAlign w:val="center"/>
          </w:tcPr>
          <w:p w14:paraId="5AF740F3" w14:textId="77777777" w:rsidR="00BF675B" w:rsidRPr="00F02452" w:rsidRDefault="00BF675B" w:rsidP="00BF67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BF675B" w:rsidRPr="00F02452" w14:paraId="70D0AAED" w14:textId="77777777" w:rsidTr="0021478A">
        <w:trPr>
          <w:trHeight w:val="151"/>
        </w:trPr>
        <w:tc>
          <w:tcPr>
            <w:tcW w:w="10065" w:type="dxa"/>
            <w:gridSpan w:val="29"/>
            <w:shd w:val="clear" w:color="auto" w:fill="FFFFFF"/>
          </w:tcPr>
          <w:p w14:paraId="02CC4070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BF675B" w:rsidRPr="00F02452" w14:paraId="134561DC" w14:textId="77777777" w:rsidTr="0021478A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03A46AE" w14:textId="77777777" w:rsidR="00BF675B" w:rsidRPr="00F02452" w:rsidRDefault="00BF675B" w:rsidP="00BF675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4954" w:type="dxa"/>
            <w:gridSpan w:val="17"/>
            <w:shd w:val="clear" w:color="auto" w:fill="FFFFFF"/>
          </w:tcPr>
          <w:p w14:paraId="26B64014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38C501F4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78E8BA70" w14:textId="77777777" w:rsidR="00BF675B" w:rsidRPr="00F02452" w:rsidRDefault="00BF675B" w:rsidP="00BF675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BF675B" w:rsidRPr="00F02452" w14:paraId="2204E7DC" w14:textId="77777777" w:rsidTr="0021478A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7C80278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7F13B5B8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322F44E9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5A737C3B" w14:textId="77777777" w:rsidR="00BF675B" w:rsidRPr="00F02452" w:rsidRDefault="00BF675B" w:rsidP="00BF675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4954" w:type="dxa"/>
            <w:gridSpan w:val="17"/>
            <w:shd w:val="clear" w:color="auto" w:fill="FFFFFF"/>
          </w:tcPr>
          <w:p w14:paraId="1B71B841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74B660C3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13AB202A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26FDA089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6B0460DD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F675B" w:rsidRPr="00F02452" w14:paraId="6438709A" w14:textId="77777777" w:rsidTr="0021478A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13FBA37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4954" w:type="dxa"/>
            <w:gridSpan w:val="17"/>
            <w:shd w:val="clear" w:color="auto" w:fill="FFFFFF"/>
          </w:tcPr>
          <w:p w14:paraId="74D79AE8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0E5EA8B3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607A9C97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14:paraId="5AD62438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F675B" w:rsidRPr="00F02452" w14:paraId="3A76B663" w14:textId="77777777" w:rsidTr="0021478A">
        <w:trPr>
          <w:trHeight w:val="630"/>
        </w:trPr>
        <w:tc>
          <w:tcPr>
            <w:tcW w:w="10065" w:type="dxa"/>
            <w:gridSpan w:val="29"/>
            <w:shd w:val="clear" w:color="auto" w:fill="FFFFFF"/>
          </w:tcPr>
          <w:p w14:paraId="6444B23D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t>Komentarz: Wzór wniosków o wypłatę i rozliczenie rekompensat ma na celu zapewnienie przejrzystości i komunikatywności tego wniosku oraz potrzebę ujednolicenia jego formy.</w:t>
            </w:r>
          </w:p>
        </w:tc>
      </w:tr>
      <w:tr w:rsidR="00BF675B" w:rsidRPr="00F02452" w14:paraId="63D5DFE1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99CCFF"/>
          </w:tcPr>
          <w:p w14:paraId="773FC0D7" w14:textId="77777777" w:rsidR="00BF675B" w:rsidRPr="00F02452" w:rsidRDefault="00BF675B" w:rsidP="00BF67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BF675B" w:rsidRPr="00F02452" w14:paraId="116FDD6B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auto"/>
          </w:tcPr>
          <w:p w14:paraId="1EFAAA9C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t>Brak przewidywanego wpływu na rynek pracy.</w:t>
            </w:r>
          </w:p>
        </w:tc>
      </w:tr>
      <w:tr w:rsidR="00BF675B" w:rsidRPr="00F02452" w14:paraId="64C5DE1A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99CCFF"/>
          </w:tcPr>
          <w:p w14:paraId="0B8E14EF" w14:textId="77777777" w:rsidR="00BF675B" w:rsidRPr="00F02452" w:rsidRDefault="00BF675B" w:rsidP="00BF67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BF675B" w:rsidRPr="00F02452" w14:paraId="1BEF4515" w14:textId="77777777" w:rsidTr="0021478A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5E67E03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67D0884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45BC781C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t>sytuacja i rozwój regionalny</w:t>
            </w:r>
          </w:p>
          <w:p w14:paraId="6A58A0F0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522FE10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A7994B7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754AEF58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t>mienie państwowe</w:t>
            </w:r>
          </w:p>
          <w:p w14:paraId="56CCEC04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2831" w:type="dxa"/>
            <w:gridSpan w:val="9"/>
            <w:shd w:val="clear" w:color="auto" w:fill="FFFFFF"/>
          </w:tcPr>
          <w:p w14:paraId="0E8748C5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6FF75F2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415CB096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F0245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F024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BF675B" w:rsidRPr="00F02452" w14:paraId="58AE4617" w14:textId="77777777" w:rsidTr="0021478A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53A0142" w14:textId="77777777" w:rsidR="00BF675B" w:rsidRPr="00F02452" w:rsidRDefault="00BF675B" w:rsidP="00BF67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7822" w:type="dxa"/>
            <w:gridSpan w:val="27"/>
            <w:shd w:val="clear" w:color="auto" w:fill="FFFFFF"/>
            <w:vAlign w:val="center"/>
          </w:tcPr>
          <w:p w14:paraId="5D4F1784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3E461B4A" w14:textId="76D6DC1E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Wnioski o wypłatę </w:t>
            </w:r>
            <w:r w:rsidR="00DB1A3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 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rozliczenie </w:t>
            </w:r>
            <w:r w:rsidR="00DB1A35">
              <w:rPr>
                <w:rFonts w:ascii="Times New Roman" w:eastAsia="Calibri" w:hAnsi="Times New Roman" w:cs="Times New Roman"/>
                <w:color w:val="000000"/>
                <w:spacing w:val="-2"/>
              </w:rPr>
              <w:t>wyrównania</w:t>
            </w:r>
            <w:r w:rsidRPr="00F0245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składa się do wójta, burmistrza albo prezydenta miasta na piśmie lub za pomocą środków komunikacji elektronicznej w rozumieniu ustawy z dnia 18 lipca 2002 r. o świadczeniu usług drogą elektroniczną (Dz. U. z 2020 r. poz. 344), a do zarządcy rozliczeń – wyłącznie za pomocą środków komunikacji elektronicznej w sposób wskazany w art. 18 ust. 2.</w:t>
            </w:r>
          </w:p>
          <w:p w14:paraId="2291B4C9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4AD140C3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BF675B" w:rsidRPr="00F02452" w14:paraId="615A6FDC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99CCFF"/>
          </w:tcPr>
          <w:p w14:paraId="30C3C49C" w14:textId="77777777" w:rsidR="00BF675B" w:rsidRPr="00F02452" w:rsidRDefault="00BF675B" w:rsidP="00BF67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02452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BF675B" w:rsidRPr="00F02452" w14:paraId="4D1C7AC3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FFFFFF"/>
          </w:tcPr>
          <w:p w14:paraId="658226EF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</w:rPr>
              <w:t>Proponuje się, aby projektowane rozporządzenie weszło w życie w dniu następującym po dniu ogłoszenia.</w:t>
            </w:r>
          </w:p>
        </w:tc>
      </w:tr>
      <w:tr w:rsidR="00BF675B" w:rsidRPr="00F02452" w14:paraId="4ECE614A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99CCFF"/>
          </w:tcPr>
          <w:p w14:paraId="589E5FCF" w14:textId="77777777" w:rsidR="00BF675B" w:rsidRPr="00F02452" w:rsidRDefault="00BF675B" w:rsidP="00BF67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</w:t>
            </w:r>
            <w:r w:rsidRPr="00F02452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BF675B" w:rsidRPr="00F02452" w14:paraId="1CF6C5D2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FFFFFF"/>
          </w:tcPr>
          <w:p w14:paraId="5E772C99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</w:rPr>
              <w:t>Nie dotyczy.</w:t>
            </w:r>
          </w:p>
        </w:tc>
      </w:tr>
      <w:tr w:rsidR="00BF675B" w:rsidRPr="00F02452" w14:paraId="743BF52B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99CCFF"/>
          </w:tcPr>
          <w:p w14:paraId="420FD3C5" w14:textId="77777777" w:rsidR="00BF675B" w:rsidRPr="00F02452" w:rsidRDefault="00BF675B" w:rsidP="00BF67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F02452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F02452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F675B" w:rsidRPr="00F02452" w14:paraId="260539AE" w14:textId="77777777" w:rsidTr="0021478A">
        <w:trPr>
          <w:trHeight w:val="142"/>
        </w:trPr>
        <w:tc>
          <w:tcPr>
            <w:tcW w:w="10065" w:type="dxa"/>
            <w:gridSpan w:val="29"/>
            <w:shd w:val="clear" w:color="auto" w:fill="FFFFFF"/>
          </w:tcPr>
          <w:p w14:paraId="3B397333" w14:textId="77777777" w:rsidR="00BF675B" w:rsidRPr="00F02452" w:rsidRDefault="00BF675B" w:rsidP="00BF6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02452">
              <w:rPr>
                <w:rFonts w:ascii="Times New Roman" w:eastAsia="Calibri" w:hAnsi="Times New Roman" w:cs="Times New Roman"/>
              </w:rPr>
              <w:t>Nie dotyczy.</w:t>
            </w:r>
          </w:p>
        </w:tc>
      </w:tr>
    </w:tbl>
    <w:p w14:paraId="5F27C5EE" w14:textId="77777777" w:rsidR="00415D4E" w:rsidRDefault="00415D4E"/>
    <w:sectPr w:rsidR="00415D4E" w:rsidSect="001D0A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E6F3" w14:textId="77777777" w:rsidR="00351251" w:rsidRDefault="00351251" w:rsidP="005D0E2C">
      <w:pPr>
        <w:spacing w:after="0" w:line="240" w:lineRule="auto"/>
      </w:pPr>
      <w:r>
        <w:separator/>
      </w:r>
    </w:p>
  </w:endnote>
  <w:endnote w:type="continuationSeparator" w:id="0">
    <w:p w14:paraId="62E8CC66" w14:textId="77777777" w:rsidR="00351251" w:rsidRDefault="00351251" w:rsidP="005D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0554" w14:textId="77777777" w:rsidR="00351251" w:rsidRDefault="00351251" w:rsidP="005D0E2C">
      <w:pPr>
        <w:spacing w:after="0" w:line="240" w:lineRule="auto"/>
      </w:pPr>
      <w:r>
        <w:separator/>
      </w:r>
    </w:p>
  </w:footnote>
  <w:footnote w:type="continuationSeparator" w:id="0">
    <w:p w14:paraId="674E0373" w14:textId="77777777" w:rsidR="00351251" w:rsidRDefault="00351251" w:rsidP="005D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282A"/>
    <w:multiLevelType w:val="hybridMultilevel"/>
    <w:tmpl w:val="2616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765128">
    <w:abstractNumId w:val="1"/>
  </w:num>
  <w:num w:numId="2" w16cid:durableId="14256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0EE"/>
    <w:rsid w:val="000A6959"/>
    <w:rsid w:val="00123495"/>
    <w:rsid w:val="00154020"/>
    <w:rsid w:val="001711A9"/>
    <w:rsid w:val="001E3BA0"/>
    <w:rsid w:val="00237C09"/>
    <w:rsid w:val="002910CC"/>
    <w:rsid w:val="002F7DA6"/>
    <w:rsid w:val="00351251"/>
    <w:rsid w:val="00354040"/>
    <w:rsid w:val="003A0D1F"/>
    <w:rsid w:val="00406A61"/>
    <w:rsid w:val="00415C9A"/>
    <w:rsid w:val="00415D4E"/>
    <w:rsid w:val="00437CB5"/>
    <w:rsid w:val="004736DD"/>
    <w:rsid w:val="0049472F"/>
    <w:rsid w:val="00496851"/>
    <w:rsid w:val="00517831"/>
    <w:rsid w:val="00530A28"/>
    <w:rsid w:val="005A506B"/>
    <w:rsid w:val="005D0E2C"/>
    <w:rsid w:val="00610BBE"/>
    <w:rsid w:val="006369C2"/>
    <w:rsid w:val="0064207C"/>
    <w:rsid w:val="0066655D"/>
    <w:rsid w:val="00676368"/>
    <w:rsid w:val="00676746"/>
    <w:rsid w:val="00727D06"/>
    <w:rsid w:val="007A1FEA"/>
    <w:rsid w:val="007C6AE7"/>
    <w:rsid w:val="008262ED"/>
    <w:rsid w:val="009025A0"/>
    <w:rsid w:val="009309A5"/>
    <w:rsid w:val="00965118"/>
    <w:rsid w:val="009841C6"/>
    <w:rsid w:val="009A766C"/>
    <w:rsid w:val="00A07E92"/>
    <w:rsid w:val="00AC7322"/>
    <w:rsid w:val="00B276AC"/>
    <w:rsid w:val="00B92134"/>
    <w:rsid w:val="00B95F6A"/>
    <w:rsid w:val="00BF675B"/>
    <w:rsid w:val="00C130D3"/>
    <w:rsid w:val="00C23104"/>
    <w:rsid w:val="00C35686"/>
    <w:rsid w:val="00C600A1"/>
    <w:rsid w:val="00C64226"/>
    <w:rsid w:val="00C952FA"/>
    <w:rsid w:val="00CA2CF2"/>
    <w:rsid w:val="00CA7B84"/>
    <w:rsid w:val="00D36B2A"/>
    <w:rsid w:val="00D60AEE"/>
    <w:rsid w:val="00DB1A35"/>
    <w:rsid w:val="00DB25E3"/>
    <w:rsid w:val="00DC74BA"/>
    <w:rsid w:val="00DE317A"/>
    <w:rsid w:val="00DF1A5F"/>
    <w:rsid w:val="00E140EE"/>
    <w:rsid w:val="00E15939"/>
    <w:rsid w:val="00E16A68"/>
    <w:rsid w:val="00E17EED"/>
    <w:rsid w:val="00E22C41"/>
    <w:rsid w:val="00E50859"/>
    <w:rsid w:val="00E60BF9"/>
    <w:rsid w:val="00E869AE"/>
    <w:rsid w:val="00E95258"/>
    <w:rsid w:val="00EC5E47"/>
    <w:rsid w:val="00EF5D21"/>
    <w:rsid w:val="00F02452"/>
    <w:rsid w:val="00FC7543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55E5"/>
  <w15:docId w15:val="{1CBB2C89-DD01-4542-A2C0-00C55CF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7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5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D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D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D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5D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9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E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E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Solarska Weronika</dc:creator>
  <cp:lastModifiedBy>Banaszak Wojciech</cp:lastModifiedBy>
  <cp:revision>8</cp:revision>
  <dcterms:created xsi:type="dcterms:W3CDTF">2023-02-15T09:23:00Z</dcterms:created>
  <dcterms:modified xsi:type="dcterms:W3CDTF">2023-02-17T13:50:00Z</dcterms:modified>
</cp:coreProperties>
</file>