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2254E" w14:textId="77777777" w:rsidR="004B2E08" w:rsidRDefault="00290A49" w:rsidP="009C46BA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90A49">
        <w:rPr>
          <w:rFonts w:ascii="Times New Roman" w:hAnsi="Times New Roman" w:cs="Times New Roman"/>
          <w:b/>
          <w:sz w:val="24"/>
        </w:rPr>
        <w:t>UZASADNIENIE</w:t>
      </w:r>
    </w:p>
    <w:p w14:paraId="789DC466" w14:textId="161063E7" w:rsidR="00135BDF" w:rsidRDefault="00135BDF" w:rsidP="00094A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rozporządzenia </w:t>
      </w:r>
      <w:r w:rsidR="00B44E6A">
        <w:rPr>
          <w:rFonts w:ascii="Times New Roman" w:hAnsi="Times New Roman" w:cs="Times New Roman"/>
          <w:sz w:val="24"/>
        </w:rPr>
        <w:t>zmienia</w:t>
      </w:r>
      <w:r>
        <w:rPr>
          <w:rFonts w:ascii="Times New Roman" w:hAnsi="Times New Roman" w:cs="Times New Roman"/>
          <w:sz w:val="24"/>
        </w:rPr>
        <w:t xml:space="preserve"> </w:t>
      </w:r>
      <w:r w:rsidRPr="00135BDF">
        <w:rPr>
          <w:rFonts w:ascii="Times New Roman" w:hAnsi="Times New Roman" w:cs="Times New Roman"/>
          <w:sz w:val="24"/>
        </w:rPr>
        <w:t>rozporządzeni</w:t>
      </w:r>
      <w:r w:rsidR="00225EDE">
        <w:rPr>
          <w:rFonts w:ascii="Times New Roman" w:hAnsi="Times New Roman" w:cs="Times New Roman"/>
          <w:sz w:val="24"/>
        </w:rPr>
        <w:t>e</w:t>
      </w:r>
      <w:r w:rsidRPr="00135BDF">
        <w:rPr>
          <w:rFonts w:ascii="Times New Roman" w:hAnsi="Times New Roman" w:cs="Times New Roman"/>
          <w:sz w:val="24"/>
        </w:rPr>
        <w:t xml:space="preserve"> Ministra Finansów, Funduszy i Polityki Regionalnej z dnia 18 listopada 2020 r. w sprawie sposobu, trybu oraz warunków prowadzenia działalności przez towarzystwa funduszy inwestycyjnych (Dz. U. poz. 2103, z późn. zm.), dalej „</w:t>
      </w:r>
      <w:r w:rsidR="0045117D" w:rsidRPr="00135BDF">
        <w:rPr>
          <w:rFonts w:ascii="Times New Roman" w:hAnsi="Times New Roman" w:cs="Times New Roman"/>
          <w:sz w:val="24"/>
        </w:rPr>
        <w:t xml:space="preserve">zmieniane </w:t>
      </w:r>
      <w:r w:rsidRPr="00135BDF">
        <w:rPr>
          <w:rFonts w:ascii="Times New Roman" w:hAnsi="Times New Roman" w:cs="Times New Roman"/>
          <w:sz w:val="24"/>
        </w:rPr>
        <w:t>rozporządzenie”</w:t>
      </w:r>
      <w:r>
        <w:rPr>
          <w:rFonts w:ascii="Times New Roman" w:hAnsi="Times New Roman" w:cs="Times New Roman"/>
          <w:sz w:val="24"/>
        </w:rPr>
        <w:t>. Rozporządzenie to w</w:t>
      </w:r>
      <w:r w:rsidRPr="00135BDF">
        <w:rPr>
          <w:rFonts w:ascii="Times New Roman" w:hAnsi="Times New Roman" w:cs="Times New Roman"/>
          <w:sz w:val="24"/>
        </w:rPr>
        <w:t>ykon</w:t>
      </w:r>
      <w:r>
        <w:rPr>
          <w:rFonts w:ascii="Times New Roman" w:hAnsi="Times New Roman" w:cs="Times New Roman"/>
          <w:sz w:val="24"/>
        </w:rPr>
        <w:t xml:space="preserve">uje </w:t>
      </w:r>
      <w:r w:rsidRPr="00135BDF">
        <w:rPr>
          <w:rFonts w:ascii="Times New Roman" w:hAnsi="Times New Roman" w:cs="Times New Roman"/>
          <w:sz w:val="24"/>
        </w:rPr>
        <w:t>upoważnieni</w:t>
      </w:r>
      <w:r>
        <w:rPr>
          <w:rFonts w:ascii="Times New Roman" w:hAnsi="Times New Roman" w:cs="Times New Roman"/>
          <w:sz w:val="24"/>
        </w:rPr>
        <w:t>e</w:t>
      </w:r>
      <w:r w:rsidR="00BB0874">
        <w:rPr>
          <w:rFonts w:ascii="Times New Roman" w:hAnsi="Times New Roman" w:cs="Times New Roman"/>
          <w:sz w:val="24"/>
        </w:rPr>
        <w:t xml:space="preserve"> ustawowe zawarte w art. </w:t>
      </w:r>
      <w:r w:rsidRPr="00135BDF">
        <w:rPr>
          <w:rFonts w:ascii="Times New Roman" w:hAnsi="Times New Roman" w:cs="Times New Roman"/>
          <w:sz w:val="24"/>
        </w:rPr>
        <w:t>48a ustawy z dnia 27 maja 2004 r. o funduszach inwestycyjnych i zarządzaniu alternatywnymi funduszami inwestycyjnymi (Dz. U. z 2022 r. poz. 1523</w:t>
      </w:r>
      <w:r>
        <w:rPr>
          <w:rFonts w:ascii="Times New Roman" w:hAnsi="Times New Roman" w:cs="Times New Roman"/>
          <w:sz w:val="24"/>
        </w:rPr>
        <w:t xml:space="preserve">, z poźn. zm.). </w:t>
      </w:r>
    </w:p>
    <w:p w14:paraId="57847D8E" w14:textId="50A32613" w:rsidR="00135BDF" w:rsidRDefault="00135BDF" w:rsidP="00094A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Celem </w:t>
      </w:r>
      <w:r w:rsidR="006612D1">
        <w:rPr>
          <w:rFonts w:ascii="Times New Roman" w:hAnsi="Times New Roman" w:cs="Times New Roman"/>
          <w:sz w:val="24"/>
        </w:rPr>
        <w:t xml:space="preserve">projektu rozporządzenia </w:t>
      </w:r>
      <w:r>
        <w:rPr>
          <w:rFonts w:ascii="Times New Roman" w:hAnsi="Times New Roman" w:cs="Times New Roman"/>
          <w:sz w:val="24"/>
        </w:rPr>
        <w:t xml:space="preserve">jest </w:t>
      </w:r>
      <w:r w:rsidR="00290A49">
        <w:rPr>
          <w:rFonts w:ascii="Times New Roman" w:hAnsi="Times New Roman" w:cs="Times New Roman"/>
          <w:sz w:val="24"/>
        </w:rPr>
        <w:t>uzupełnienie wdrożenia do polskiego porządku prawnego dyrektywy delegowanej Komisji (UE) 2021/1269 z dnia 21 kwietnia 2021</w:t>
      </w:r>
      <w:r>
        <w:rPr>
          <w:rFonts w:ascii="Times New Roman" w:hAnsi="Times New Roman" w:cs="Times New Roman"/>
          <w:sz w:val="24"/>
        </w:rPr>
        <w:t> </w:t>
      </w:r>
      <w:r w:rsidR="00290A49">
        <w:rPr>
          <w:rFonts w:ascii="Times New Roman" w:hAnsi="Times New Roman" w:cs="Times New Roman"/>
          <w:sz w:val="24"/>
        </w:rPr>
        <w:t>r. zmieniającej dyrektywę delegowaną (UE) 2017/593 w odniesieniu do uwzględnienia czynników zrównoważonego rozwoju w zobowiązaniach w zakresie zarządzania produktami (Dz. Urz. UE L 277 z 02.08.2021, str. 137), dalej „</w:t>
      </w:r>
      <w:r w:rsidR="00802F08">
        <w:rPr>
          <w:rFonts w:ascii="Times New Roman" w:hAnsi="Times New Roman" w:cs="Times New Roman"/>
          <w:sz w:val="24"/>
        </w:rPr>
        <w:t>dyrektywa</w:t>
      </w:r>
      <w:r w:rsidR="00290A49">
        <w:rPr>
          <w:rFonts w:ascii="Times New Roman" w:hAnsi="Times New Roman" w:cs="Times New Roman"/>
          <w:sz w:val="24"/>
        </w:rPr>
        <w:t xml:space="preserve"> 2021/1269”.</w:t>
      </w:r>
      <w:r w:rsidR="00717370" w:rsidRPr="00717370">
        <w:rPr>
          <w:rFonts w:ascii="Times New Roman" w:hAnsi="Times New Roman" w:cs="Times New Roman"/>
          <w:sz w:val="24"/>
        </w:rPr>
        <w:t xml:space="preserve"> </w:t>
      </w:r>
      <w:r w:rsidR="00717370">
        <w:rPr>
          <w:rFonts w:ascii="Times New Roman" w:hAnsi="Times New Roman" w:cs="Times New Roman"/>
          <w:sz w:val="24"/>
        </w:rPr>
        <w:t xml:space="preserve">Dyrektywa ta służy </w:t>
      </w:r>
      <w:r w:rsidR="00717370" w:rsidRPr="00337E01">
        <w:rPr>
          <w:rFonts w:ascii="Times New Roman" w:hAnsi="Times New Roman" w:cs="Times New Roman"/>
          <w:sz w:val="24"/>
        </w:rPr>
        <w:t>zapewni</w:t>
      </w:r>
      <w:r w:rsidR="00717370">
        <w:rPr>
          <w:rFonts w:ascii="Times New Roman" w:hAnsi="Times New Roman" w:cs="Times New Roman"/>
          <w:sz w:val="24"/>
        </w:rPr>
        <w:t xml:space="preserve">eniu </w:t>
      </w:r>
      <w:r w:rsidR="00717370" w:rsidRPr="00337E01">
        <w:rPr>
          <w:rFonts w:ascii="Times New Roman" w:hAnsi="Times New Roman" w:cs="Times New Roman"/>
          <w:sz w:val="24"/>
        </w:rPr>
        <w:t>zgodności przepływów kapitału z dążeniem do niskiego poziom</w:t>
      </w:r>
      <w:r w:rsidR="00BB0874">
        <w:rPr>
          <w:rFonts w:ascii="Times New Roman" w:hAnsi="Times New Roman" w:cs="Times New Roman"/>
          <w:sz w:val="24"/>
        </w:rPr>
        <w:t>u emisji gazów cieplarnianych i </w:t>
      </w:r>
      <w:r w:rsidR="00717370" w:rsidRPr="00337E01">
        <w:rPr>
          <w:rFonts w:ascii="Times New Roman" w:hAnsi="Times New Roman" w:cs="Times New Roman"/>
          <w:sz w:val="24"/>
        </w:rPr>
        <w:t xml:space="preserve">rozwoju odpornego na zmiany klimatu. Zgodne z celami zrównoważonego rozwoju przejście na niskoemisyjną, bardziej zrównoważoną i oszczędną gospodarkę będzie miało kluczowe znaczenie dla zapewnienia długoterminowej konkurencyjności gospodarki Unii Europejskiej. Wsparcie zrównoważonych inwestycji powinno przełożyć </w:t>
      </w:r>
      <w:r w:rsidR="00717370">
        <w:rPr>
          <w:rFonts w:ascii="Times New Roman" w:hAnsi="Times New Roman" w:cs="Times New Roman"/>
          <w:sz w:val="24"/>
        </w:rPr>
        <w:t xml:space="preserve">się </w:t>
      </w:r>
      <w:r w:rsidR="00717370" w:rsidRPr="00337E01">
        <w:rPr>
          <w:rFonts w:ascii="Times New Roman" w:hAnsi="Times New Roman" w:cs="Times New Roman"/>
          <w:sz w:val="24"/>
        </w:rPr>
        <w:t>na zwiększenie popytu na takie inwestycje, co z kolei jest warunkiem realizacji celów klimatycznych.</w:t>
      </w:r>
    </w:p>
    <w:p w14:paraId="10D19E36" w14:textId="45530D84" w:rsidR="0045117D" w:rsidRDefault="00207DA0" w:rsidP="00094A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Dyrektywa 2021/1269 została</w:t>
      </w:r>
      <w:r w:rsidR="00225ED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02BB7">
        <w:rPr>
          <w:rFonts w:ascii="Times New Roman" w:hAnsi="Times New Roman" w:cs="Times New Roman"/>
          <w:sz w:val="24"/>
        </w:rPr>
        <w:t>co do zasady</w:t>
      </w:r>
      <w:r w:rsidR="00225EDE">
        <w:rPr>
          <w:rFonts w:ascii="Times New Roman" w:hAnsi="Times New Roman" w:cs="Times New Roman"/>
          <w:sz w:val="24"/>
        </w:rPr>
        <w:t>,</w:t>
      </w:r>
      <w:r w:rsidR="00102BB7">
        <w:rPr>
          <w:rFonts w:ascii="Times New Roman" w:hAnsi="Times New Roman" w:cs="Times New Roman"/>
          <w:sz w:val="24"/>
        </w:rPr>
        <w:t xml:space="preserve"> </w:t>
      </w:r>
      <w:r w:rsidR="00135BDF">
        <w:rPr>
          <w:rFonts w:ascii="Times New Roman" w:hAnsi="Times New Roman" w:cs="Times New Roman"/>
          <w:sz w:val="24"/>
        </w:rPr>
        <w:t xml:space="preserve">wdrożona </w:t>
      </w:r>
      <w:r>
        <w:rPr>
          <w:rFonts w:ascii="Times New Roman" w:hAnsi="Times New Roman" w:cs="Times New Roman"/>
          <w:sz w:val="24"/>
        </w:rPr>
        <w:t xml:space="preserve">w rozporządzeniu Ministra </w:t>
      </w:r>
      <w:r w:rsidR="00290A49">
        <w:rPr>
          <w:rFonts w:ascii="Times New Roman" w:hAnsi="Times New Roman" w:cs="Times New Roman"/>
          <w:sz w:val="24"/>
        </w:rPr>
        <w:t>Finansów z dnia</w:t>
      </w:r>
      <w:r>
        <w:rPr>
          <w:rFonts w:ascii="Times New Roman" w:hAnsi="Times New Roman" w:cs="Times New Roman"/>
          <w:sz w:val="24"/>
        </w:rPr>
        <w:t xml:space="preserve"> 11 sierpnia 2022</w:t>
      </w:r>
      <w:r w:rsidR="0071737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r. zmieniającym</w:t>
      </w:r>
      <w:r w:rsidR="00290A49">
        <w:rPr>
          <w:rFonts w:ascii="Times New Roman" w:hAnsi="Times New Roman" w:cs="Times New Roman"/>
          <w:sz w:val="24"/>
        </w:rPr>
        <w:t xml:space="preserve"> rozporządzenie w sprawie trybu i warunków postępowania firm inwestycyjnych, banków, o których mowa w art. 70 ust. 2 ustawy o obrocie instrumentami finansowymi, oraz banków powierniczych (Dz. U. poz. 1740)</w:t>
      </w:r>
      <w:r>
        <w:rPr>
          <w:rFonts w:ascii="Times New Roman" w:hAnsi="Times New Roman" w:cs="Times New Roman"/>
          <w:sz w:val="24"/>
        </w:rPr>
        <w:t xml:space="preserve">, </w:t>
      </w:r>
      <w:r w:rsidR="00802F08">
        <w:rPr>
          <w:rFonts w:ascii="Times New Roman" w:hAnsi="Times New Roman" w:cs="Times New Roman"/>
          <w:sz w:val="24"/>
        </w:rPr>
        <w:t>dalej „rozporządzenie w sprawie postępowania firm inwestycyjnych”</w:t>
      </w:r>
      <w:r w:rsidR="00717370">
        <w:rPr>
          <w:rFonts w:ascii="Times New Roman" w:hAnsi="Times New Roman" w:cs="Times New Roman"/>
          <w:sz w:val="24"/>
        </w:rPr>
        <w:t xml:space="preserve">. W efekcie tego wdrożenia firmy inwestycyjne obowiązane zostały od </w:t>
      </w:r>
      <w:r>
        <w:rPr>
          <w:rFonts w:ascii="Times New Roman" w:hAnsi="Times New Roman" w:cs="Times New Roman"/>
          <w:sz w:val="24"/>
        </w:rPr>
        <w:t>22 listopada 2022 r.</w:t>
      </w:r>
      <w:r w:rsidR="00717370">
        <w:rPr>
          <w:rFonts w:ascii="Times New Roman" w:hAnsi="Times New Roman" w:cs="Times New Roman"/>
          <w:sz w:val="24"/>
        </w:rPr>
        <w:t xml:space="preserve"> do uwzględniania w trakcie tworzenia grup docelowych w procesie </w:t>
      </w:r>
      <w:r w:rsidR="00717370" w:rsidRPr="00717370">
        <w:rPr>
          <w:rFonts w:ascii="Times New Roman" w:hAnsi="Times New Roman" w:cs="Times New Roman"/>
          <w:sz w:val="24"/>
        </w:rPr>
        <w:t>zarządzania produktowego (</w:t>
      </w:r>
      <w:r w:rsidR="00717370" w:rsidRPr="00717370">
        <w:rPr>
          <w:rFonts w:ascii="Times New Roman" w:hAnsi="Times New Roman" w:cs="Times New Roman"/>
          <w:i/>
          <w:sz w:val="24"/>
        </w:rPr>
        <w:t>product governance</w:t>
      </w:r>
      <w:r w:rsidR="00717370" w:rsidRPr="00717370">
        <w:rPr>
          <w:rFonts w:ascii="Times New Roman" w:hAnsi="Times New Roman" w:cs="Times New Roman"/>
          <w:sz w:val="24"/>
        </w:rPr>
        <w:t>)</w:t>
      </w:r>
      <w:r w:rsidR="00717370">
        <w:rPr>
          <w:rFonts w:ascii="Times New Roman" w:hAnsi="Times New Roman" w:cs="Times New Roman"/>
          <w:sz w:val="24"/>
        </w:rPr>
        <w:t xml:space="preserve"> </w:t>
      </w:r>
      <w:r w:rsidR="00717370" w:rsidRPr="00717370">
        <w:rPr>
          <w:rFonts w:ascii="Times New Roman" w:hAnsi="Times New Roman" w:cs="Times New Roman"/>
          <w:sz w:val="24"/>
        </w:rPr>
        <w:t>kryteriów obejmujących czynniki zrównoważonego rozwoju</w:t>
      </w:r>
      <w:r w:rsidR="0045117D">
        <w:rPr>
          <w:rFonts w:ascii="Times New Roman" w:hAnsi="Times New Roman" w:cs="Times New Roman"/>
          <w:sz w:val="24"/>
        </w:rPr>
        <w:t xml:space="preserve">. </w:t>
      </w:r>
      <w:r w:rsidR="007659FE">
        <w:rPr>
          <w:rFonts w:ascii="Times New Roman" w:hAnsi="Times New Roman" w:cs="Times New Roman"/>
          <w:sz w:val="24"/>
        </w:rPr>
        <w:t xml:space="preserve">Zarządzanie produktowe polega na </w:t>
      </w:r>
      <w:r w:rsidR="007659FE" w:rsidRPr="007659FE">
        <w:rPr>
          <w:rFonts w:ascii="Times New Roman" w:hAnsi="Times New Roman" w:cs="Times New Roman"/>
          <w:sz w:val="24"/>
        </w:rPr>
        <w:t>określ</w:t>
      </w:r>
      <w:r w:rsidR="007659FE">
        <w:rPr>
          <w:rFonts w:ascii="Times New Roman" w:hAnsi="Times New Roman" w:cs="Times New Roman"/>
          <w:sz w:val="24"/>
        </w:rPr>
        <w:t xml:space="preserve">aniu przez firmy inwestycyjne </w:t>
      </w:r>
      <w:r w:rsidR="007659FE" w:rsidRPr="007659FE">
        <w:rPr>
          <w:rFonts w:ascii="Times New Roman" w:hAnsi="Times New Roman" w:cs="Times New Roman"/>
          <w:sz w:val="24"/>
        </w:rPr>
        <w:t>grup</w:t>
      </w:r>
      <w:r w:rsidR="007659FE">
        <w:rPr>
          <w:rFonts w:ascii="Times New Roman" w:hAnsi="Times New Roman" w:cs="Times New Roman"/>
          <w:sz w:val="24"/>
        </w:rPr>
        <w:t xml:space="preserve">y docelowej </w:t>
      </w:r>
      <w:r w:rsidR="007659FE" w:rsidRPr="007659FE">
        <w:rPr>
          <w:rFonts w:ascii="Times New Roman" w:hAnsi="Times New Roman" w:cs="Times New Roman"/>
          <w:sz w:val="24"/>
        </w:rPr>
        <w:t>dla danego instrumentu finansowego</w:t>
      </w:r>
      <w:r w:rsidR="007659FE">
        <w:rPr>
          <w:rFonts w:ascii="Times New Roman" w:hAnsi="Times New Roman" w:cs="Times New Roman"/>
          <w:sz w:val="24"/>
        </w:rPr>
        <w:t xml:space="preserve"> </w:t>
      </w:r>
      <w:r w:rsidR="007659FE" w:rsidRPr="007659FE">
        <w:rPr>
          <w:rFonts w:ascii="Times New Roman" w:hAnsi="Times New Roman" w:cs="Times New Roman"/>
          <w:sz w:val="24"/>
        </w:rPr>
        <w:t>i usługi maklerskiej. W ramach tego procesu firma inwestycyjna określa</w:t>
      </w:r>
      <w:r w:rsidR="007659FE">
        <w:rPr>
          <w:rFonts w:ascii="Times New Roman" w:hAnsi="Times New Roman" w:cs="Times New Roman"/>
          <w:sz w:val="24"/>
        </w:rPr>
        <w:t xml:space="preserve"> również </w:t>
      </w:r>
      <w:r w:rsidR="007659FE" w:rsidRPr="007659FE">
        <w:rPr>
          <w:rFonts w:ascii="Times New Roman" w:hAnsi="Times New Roman" w:cs="Times New Roman"/>
          <w:sz w:val="24"/>
        </w:rPr>
        <w:t>klientów, których potrzebom, cechom i celom instrument finansowy nie odpowiada, ustalając w ten sposób tzw. negatywną grupę docelową</w:t>
      </w:r>
      <w:r w:rsidR="007659FE">
        <w:rPr>
          <w:rFonts w:ascii="Times New Roman" w:hAnsi="Times New Roman" w:cs="Times New Roman"/>
          <w:sz w:val="24"/>
        </w:rPr>
        <w:t xml:space="preserve">. W kolejnym </w:t>
      </w:r>
      <w:r w:rsidR="007659FE" w:rsidRPr="007659FE">
        <w:rPr>
          <w:rFonts w:ascii="Times New Roman" w:hAnsi="Times New Roman" w:cs="Times New Roman"/>
          <w:sz w:val="24"/>
        </w:rPr>
        <w:t xml:space="preserve">kroku </w:t>
      </w:r>
      <w:r w:rsidR="007659FE">
        <w:rPr>
          <w:rFonts w:ascii="Times New Roman" w:hAnsi="Times New Roman" w:cs="Times New Roman"/>
          <w:sz w:val="24"/>
        </w:rPr>
        <w:t>firma inwestycyjna bada</w:t>
      </w:r>
      <w:r w:rsidR="007659FE" w:rsidRPr="007659FE">
        <w:rPr>
          <w:rFonts w:ascii="Times New Roman" w:hAnsi="Times New Roman" w:cs="Times New Roman"/>
          <w:sz w:val="24"/>
        </w:rPr>
        <w:t xml:space="preserve">, do której z </w:t>
      </w:r>
      <w:r w:rsidR="007659FE">
        <w:rPr>
          <w:rFonts w:ascii="Times New Roman" w:hAnsi="Times New Roman" w:cs="Times New Roman"/>
          <w:sz w:val="24"/>
        </w:rPr>
        <w:t xml:space="preserve">grup </w:t>
      </w:r>
      <w:r w:rsidR="007659FE">
        <w:rPr>
          <w:rFonts w:ascii="Times New Roman" w:hAnsi="Times New Roman" w:cs="Times New Roman"/>
          <w:sz w:val="24"/>
        </w:rPr>
        <w:lastRenderedPageBreak/>
        <w:t xml:space="preserve">docelowych </w:t>
      </w:r>
      <w:r w:rsidR="007659FE" w:rsidRPr="007659FE">
        <w:rPr>
          <w:rFonts w:ascii="Times New Roman" w:hAnsi="Times New Roman" w:cs="Times New Roman"/>
          <w:sz w:val="24"/>
        </w:rPr>
        <w:t xml:space="preserve">należy dany klient. </w:t>
      </w:r>
      <w:r w:rsidR="007659FE">
        <w:rPr>
          <w:rFonts w:ascii="Times New Roman" w:hAnsi="Times New Roman" w:cs="Times New Roman"/>
          <w:sz w:val="24"/>
        </w:rPr>
        <w:t>W wyniku tego działania f</w:t>
      </w:r>
      <w:r w:rsidR="007659FE" w:rsidRPr="007659FE">
        <w:rPr>
          <w:rFonts w:ascii="Times New Roman" w:hAnsi="Times New Roman" w:cs="Times New Roman"/>
          <w:sz w:val="24"/>
        </w:rPr>
        <w:t>irma inwestycyjna może rekomendować klientowi tylko te produkty, które zostały „przypisane” do grupy docelowej, do której został zakwalifikowany dany klien</w:t>
      </w:r>
      <w:r w:rsidR="007659FE">
        <w:rPr>
          <w:rFonts w:ascii="Times New Roman" w:hAnsi="Times New Roman" w:cs="Times New Roman"/>
          <w:sz w:val="24"/>
        </w:rPr>
        <w:t>t firmy inwestycyjnej.</w:t>
      </w:r>
    </w:p>
    <w:p w14:paraId="54AF2720" w14:textId="2AD0580B" w:rsidR="00706D6D" w:rsidRDefault="0015057A" w:rsidP="00094A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13C00">
        <w:rPr>
          <w:rFonts w:ascii="Times New Roman" w:hAnsi="Times New Roman" w:cs="Times New Roman"/>
          <w:sz w:val="24"/>
        </w:rPr>
        <w:t xml:space="preserve">Obowiązek określania grup docelowych w procesie oferowania jednostek uczestnictwa został </w:t>
      </w:r>
      <w:r w:rsidR="0045117D">
        <w:rPr>
          <w:rFonts w:ascii="Times New Roman" w:hAnsi="Times New Roman" w:cs="Times New Roman"/>
          <w:sz w:val="24"/>
        </w:rPr>
        <w:t xml:space="preserve">przewidziany także dla </w:t>
      </w:r>
      <w:r w:rsidRPr="00613C00">
        <w:rPr>
          <w:rFonts w:ascii="Times New Roman" w:hAnsi="Times New Roman" w:cs="Times New Roman"/>
          <w:sz w:val="24"/>
        </w:rPr>
        <w:t>towarzystw funduszy inwestycyjnych</w:t>
      </w:r>
      <w:r w:rsidR="00CC599C" w:rsidRPr="00613C00">
        <w:rPr>
          <w:rFonts w:ascii="Times New Roman" w:hAnsi="Times New Roman" w:cs="Times New Roman"/>
          <w:sz w:val="24"/>
        </w:rPr>
        <w:t>, dalej „TFI”</w:t>
      </w:r>
      <w:r w:rsidR="007659FE">
        <w:rPr>
          <w:rFonts w:ascii="Times New Roman" w:hAnsi="Times New Roman" w:cs="Times New Roman"/>
          <w:sz w:val="24"/>
        </w:rPr>
        <w:t>,</w:t>
      </w:r>
      <w:r w:rsidR="0045117D">
        <w:rPr>
          <w:rFonts w:ascii="Times New Roman" w:hAnsi="Times New Roman" w:cs="Times New Roman"/>
          <w:sz w:val="24"/>
        </w:rPr>
        <w:t xml:space="preserve"> </w:t>
      </w:r>
      <w:r w:rsidR="00B44E6A">
        <w:rPr>
          <w:rFonts w:ascii="Times New Roman" w:hAnsi="Times New Roman" w:cs="Times New Roman"/>
          <w:sz w:val="24"/>
        </w:rPr>
        <w:t xml:space="preserve">w </w:t>
      </w:r>
      <w:r w:rsidR="0045117D" w:rsidRPr="0045117D">
        <w:rPr>
          <w:rFonts w:ascii="Times New Roman" w:hAnsi="Times New Roman" w:cs="Times New Roman"/>
          <w:sz w:val="24"/>
        </w:rPr>
        <w:t>§</w:t>
      </w:r>
      <w:r w:rsidR="0045117D">
        <w:rPr>
          <w:rFonts w:ascii="Times New Roman" w:hAnsi="Times New Roman" w:cs="Times New Roman"/>
          <w:sz w:val="24"/>
        </w:rPr>
        <w:t xml:space="preserve"> </w:t>
      </w:r>
      <w:r w:rsidR="0045117D" w:rsidRPr="0045117D">
        <w:rPr>
          <w:rFonts w:ascii="Times New Roman" w:hAnsi="Times New Roman" w:cs="Times New Roman"/>
          <w:sz w:val="24"/>
        </w:rPr>
        <w:t>52</w:t>
      </w:r>
      <w:r w:rsidR="0045117D">
        <w:rPr>
          <w:rFonts w:ascii="Times New Roman" w:hAnsi="Times New Roman" w:cs="Times New Roman"/>
          <w:sz w:val="24"/>
        </w:rPr>
        <w:t xml:space="preserve"> i 53 zmienianego rozporządzenia</w:t>
      </w:r>
      <w:r w:rsidRPr="00613C00">
        <w:rPr>
          <w:rFonts w:ascii="Times New Roman" w:hAnsi="Times New Roman" w:cs="Times New Roman"/>
          <w:sz w:val="24"/>
        </w:rPr>
        <w:t xml:space="preserve">. </w:t>
      </w:r>
      <w:r w:rsidR="0045117D">
        <w:rPr>
          <w:rFonts w:ascii="Times New Roman" w:hAnsi="Times New Roman" w:cs="Times New Roman"/>
          <w:sz w:val="24"/>
        </w:rPr>
        <w:t xml:space="preserve">Obowiązek ten nie </w:t>
      </w:r>
      <w:r w:rsidR="00613C00" w:rsidRPr="00613C00">
        <w:rPr>
          <w:rFonts w:ascii="Times New Roman" w:hAnsi="Times New Roman" w:cs="Times New Roman"/>
          <w:sz w:val="24"/>
        </w:rPr>
        <w:t>uwzględnia</w:t>
      </w:r>
      <w:r w:rsidR="00613C00">
        <w:rPr>
          <w:rFonts w:ascii="Times New Roman" w:hAnsi="Times New Roman" w:cs="Times New Roman"/>
          <w:sz w:val="24"/>
        </w:rPr>
        <w:t xml:space="preserve"> jednak </w:t>
      </w:r>
      <w:r w:rsidR="00613C00" w:rsidRPr="00613C00">
        <w:rPr>
          <w:rFonts w:ascii="Times New Roman" w:hAnsi="Times New Roman" w:cs="Times New Roman"/>
          <w:sz w:val="24"/>
        </w:rPr>
        <w:t>czynników zrównoważonego rozwoju.</w:t>
      </w:r>
      <w:r w:rsidR="00706D6D">
        <w:rPr>
          <w:rFonts w:ascii="Times New Roman" w:hAnsi="Times New Roman" w:cs="Times New Roman"/>
          <w:sz w:val="24"/>
        </w:rPr>
        <w:t xml:space="preserve"> </w:t>
      </w:r>
      <w:r w:rsidR="00290A49" w:rsidRPr="00613C00">
        <w:rPr>
          <w:rFonts w:ascii="Times New Roman" w:hAnsi="Times New Roman" w:cs="Times New Roman"/>
          <w:sz w:val="24"/>
        </w:rPr>
        <w:t>W celu zapewnienia równego poziomu ochrony inwestorów nabywających jednostki uczestnictwa niezależnie od podmiotu, za pośredn</w:t>
      </w:r>
      <w:r w:rsidR="00207DA0" w:rsidRPr="00613C00">
        <w:rPr>
          <w:rFonts w:ascii="Times New Roman" w:hAnsi="Times New Roman" w:cs="Times New Roman"/>
          <w:sz w:val="24"/>
        </w:rPr>
        <w:t xml:space="preserve">ictwem którego są one nabywane, oraz w celu uzupełnienia wdrożenia dyrektywy 2021/1269, </w:t>
      </w:r>
      <w:r w:rsidR="00706D6D">
        <w:rPr>
          <w:rFonts w:ascii="Times New Roman" w:hAnsi="Times New Roman" w:cs="Times New Roman"/>
          <w:sz w:val="24"/>
        </w:rPr>
        <w:t xml:space="preserve">projekt rozporządzenia przewiduje nałożenie na TFI </w:t>
      </w:r>
      <w:r w:rsidR="00207DA0" w:rsidRPr="00613C00">
        <w:rPr>
          <w:rFonts w:ascii="Times New Roman" w:hAnsi="Times New Roman" w:cs="Times New Roman"/>
          <w:sz w:val="24"/>
        </w:rPr>
        <w:t>obowiązk</w:t>
      </w:r>
      <w:r w:rsidR="00706D6D">
        <w:rPr>
          <w:rFonts w:ascii="Times New Roman" w:hAnsi="Times New Roman" w:cs="Times New Roman"/>
          <w:sz w:val="24"/>
        </w:rPr>
        <w:t>u</w:t>
      </w:r>
      <w:r w:rsidR="00207DA0" w:rsidRPr="00613C00">
        <w:rPr>
          <w:rFonts w:ascii="Times New Roman" w:hAnsi="Times New Roman" w:cs="Times New Roman"/>
          <w:sz w:val="24"/>
        </w:rPr>
        <w:t xml:space="preserve"> </w:t>
      </w:r>
      <w:r w:rsidRPr="00613C00">
        <w:rPr>
          <w:rFonts w:ascii="Times New Roman" w:hAnsi="Times New Roman" w:cs="Times New Roman"/>
          <w:sz w:val="24"/>
        </w:rPr>
        <w:t xml:space="preserve">uwzględniania czynników zrównoważonego rozwoju przy określaniu grup docelowych w procesie oferowania </w:t>
      </w:r>
      <w:r w:rsidR="00706D6D" w:rsidRPr="00706D6D">
        <w:rPr>
          <w:rFonts w:ascii="Times New Roman" w:hAnsi="Times New Roman" w:cs="Times New Roman"/>
          <w:sz w:val="24"/>
        </w:rPr>
        <w:t>jednostek uczestnictwa każdego funduszu inwestycyjnego otwartego lub specjalistycznego funduszu inwestycyjnego otwartego zarządzanego przez towarzystwo</w:t>
      </w:r>
      <w:r w:rsidR="00706D6D">
        <w:rPr>
          <w:rFonts w:ascii="Times New Roman" w:hAnsi="Times New Roman" w:cs="Times New Roman"/>
          <w:sz w:val="24"/>
        </w:rPr>
        <w:t>.</w:t>
      </w:r>
    </w:p>
    <w:p w14:paraId="78F3CD42" w14:textId="77777777" w:rsidR="0015057A" w:rsidRDefault="00F0532E" w:rsidP="00094A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§ 52 ust. 2 </w:t>
      </w:r>
      <w:r w:rsidR="00706D6D">
        <w:rPr>
          <w:rFonts w:ascii="Times New Roman" w:hAnsi="Times New Roman" w:cs="Times New Roman"/>
          <w:sz w:val="24"/>
        </w:rPr>
        <w:t xml:space="preserve">zmienianego </w:t>
      </w:r>
      <w:r>
        <w:rPr>
          <w:rFonts w:ascii="Times New Roman" w:hAnsi="Times New Roman" w:cs="Times New Roman"/>
          <w:sz w:val="24"/>
        </w:rPr>
        <w:t xml:space="preserve">rozporządzenia, </w:t>
      </w:r>
      <w:r w:rsidR="00CC599C">
        <w:rPr>
          <w:rFonts w:ascii="Times New Roman" w:hAnsi="Times New Roman" w:cs="Times New Roman"/>
          <w:sz w:val="24"/>
        </w:rPr>
        <w:t xml:space="preserve">TFI </w:t>
      </w:r>
      <w:r>
        <w:rPr>
          <w:rFonts w:ascii="Times New Roman" w:hAnsi="Times New Roman" w:cs="Times New Roman"/>
          <w:sz w:val="24"/>
        </w:rPr>
        <w:t xml:space="preserve">opracowuje, wdraża, stosuje oraz poddaje regularnym przeglądom rozwiązania i procedury zapewniające zgodność jednostek uczestnictwa funduszy inwestycyjnych otwartych lub specjalistycznych funduszy inwestycyjnych otwartych zarządzanych przez towarzystwo z potrzebami, cechami i celami określonej grupy docelowej, a także odpowiedniość zamierzonej strategii dystrybucji dla określonej grupy docelowej. </w:t>
      </w:r>
      <w:r w:rsidR="0015057A">
        <w:rPr>
          <w:rFonts w:ascii="Times New Roman" w:hAnsi="Times New Roman" w:cs="Times New Roman"/>
          <w:sz w:val="24"/>
        </w:rPr>
        <w:t xml:space="preserve">Przepis </w:t>
      </w:r>
      <w:r w:rsidR="0015057A" w:rsidRPr="0015057A">
        <w:rPr>
          <w:rFonts w:ascii="Times New Roman" w:hAnsi="Times New Roman" w:cs="Times New Roman"/>
          <w:b/>
          <w:sz w:val="24"/>
        </w:rPr>
        <w:t>§ 1 pkt 2 projektu</w:t>
      </w:r>
      <w:r w:rsidR="0015057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zapewnia zgodność wyżej wymienionych procedur z celami związanymi ze zrównoważonym rozwojem w przypadkach, </w:t>
      </w:r>
      <w:r w:rsidRPr="00102BB7">
        <w:rPr>
          <w:rFonts w:ascii="Times New Roman" w:hAnsi="Times New Roman" w:cs="Times New Roman"/>
          <w:sz w:val="24"/>
        </w:rPr>
        <w:t xml:space="preserve">gdy jednostki uczestnictwa uwzględniają </w:t>
      </w:r>
      <w:r w:rsidR="00D13190" w:rsidRPr="00102BB7">
        <w:rPr>
          <w:rFonts w:ascii="Times New Roman" w:hAnsi="Times New Roman" w:cs="Times New Roman"/>
          <w:sz w:val="24"/>
        </w:rPr>
        <w:t xml:space="preserve">w nich </w:t>
      </w:r>
      <w:r w:rsidRPr="00102BB7">
        <w:rPr>
          <w:rFonts w:ascii="Times New Roman" w:hAnsi="Times New Roman" w:cs="Times New Roman"/>
          <w:sz w:val="24"/>
        </w:rPr>
        <w:t>czynniki zrównoważonego rozwoju.</w:t>
      </w:r>
    </w:p>
    <w:p w14:paraId="3C16461A" w14:textId="2EC95889" w:rsidR="009A46D1" w:rsidRDefault="00475155" w:rsidP="00094A6E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</w:t>
      </w:r>
      <w:r w:rsidR="00D13190" w:rsidRPr="00D13190">
        <w:rPr>
          <w:rFonts w:ascii="Times New Roman" w:hAnsi="Times New Roman" w:cs="Times New Roman"/>
          <w:b/>
          <w:sz w:val="24"/>
        </w:rPr>
        <w:t xml:space="preserve">§ 1 pkt 3 </w:t>
      </w:r>
      <w:r w:rsidR="009C46BA">
        <w:rPr>
          <w:rFonts w:ascii="Times New Roman" w:hAnsi="Times New Roman" w:cs="Times New Roman"/>
          <w:b/>
          <w:sz w:val="24"/>
        </w:rPr>
        <w:t xml:space="preserve">lit. a </w:t>
      </w:r>
      <w:r w:rsidR="00D13190" w:rsidRPr="00475155">
        <w:rPr>
          <w:rFonts w:ascii="Times New Roman" w:hAnsi="Times New Roman" w:cs="Times New Roman"/>
          <w:b/>
          <w:sz w:val="24"/>
        </w:rPr>
        <w:t>projektu</w:t>
      </w:r>
      <w:r>
        <w:rPr>
          <w:rFonts w:ascii="Times New Roman" w:hAnsi="Times New Roman" w:cs="Times New Roman"/>
          <w:sz w:val="24"/>
        </w:rPr>
        <w:t xml:space="preserve">, </w:t>
      </w:r>
      <w:r w:rsidR="009E76CF">
        <w:rPr>
          <w:rFonts w:ascii="Times New Roman" w:hAnsi="Times New Roman" w:cs="Times New Roman"/>
          <w:sz w:val="24"/>
        </w:rPr>
        <w:t xml:space="preserve">dodającym </w:t>
      </w:r>
      <w:r w:rsidR="00F047FD">
        <w:rPr>
          <w:rFonts w:ascii="Times New Roman" w:hAnsi="Times New Roman" w:cs="Times New Roman"/>
          <w:sz w:val="24"/>
        </w:rPr>
        <w:t xml:space="preserve">m. in. </w:t>
      </w:r>
      <w:r w:rsidR="00BF5413">
        <w:rPr>
          <w:rFonts w:ascii="Times New Roman" w:hAnsi="Times New Roman" w:cs="Times New Roman"/>
          <w:sz w:val="24"/>
        </w:rPr>
        <w:t>ust.</w:t>
      </w:r>
      <w:r w:rsidR="009E76CF">
        <w:rPr>
          <w:rFonts w:ascii="Times New Roman" w:hAnsi="Times New Roman" w:cs="Times New Roman"/>
          <w:sz w:val="24"/>
        </w:rPr>
        <w:t xml:space="preserve"> 3a i 3b w § 53 zmienianego rozporządzenia, </w:t>
      </w:r>
      <w:r w:rsidR="00CC599C">
        <w:rPr>
          <w:rFonts w:ascii="Times New Roman" w:hAnsi="Times New Roman" w:cs="Times New Roman"/>
          <w:sz w:val="24"/>
        </w:rPr>
        <w:t>TFI</w:t>
      </w:r>
      <w:r w:rsidR="00B44E6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identyfikując grupy klientów, z których potrzebami, </w:t>
      </w:r>
      <w:r w:rsidR="003950E9">
        <w:rPr>
          <w:rFonts w:ascii="Times New Roman" w:hAnsi="Times New Roman" w:cs="Times New Roman"/>
          <w:sz w:val="24"/>
        </w:rPr>
        <w:t>cechami i</w:t>
      </w:r>
      <w:r>
        <w:rPr>
          <w:rFonts w:ascii="Times New Roman" w:hAnsi="Times New Roman" w:cs="Times New Roman"/>
          <w:sz w:val="24"/>
        </w:rPr>
        <w:t xml:space="preserve"> celami nie są zgodne jednostki uczestnictwa uwzględniające czynniki zrównoważonego rozwoju (negatywną grupę docelową), nie będą brały pod uwagę kryteriów obejmujących te czynniki.</w:t>
      </w:r>
      <w:r w:rsidR="00706D6D">
        <w:rPr>
          <w:rFonts w:ascii="Times New Roman" w:hAnsi="Times New Roman" w:cs="Times New Roman"/>
          <w:sz w:val="24"/>
        </w:rPr>
        <w:t xml:space="preserve"> </w:t>
      </w:r>
      <w:r w:rsidR="00BB0874">
        <w:rPr>
          <w:rFonts w:ascii="Times New Roman" w:hAnsi="Times New Roman"/>
          <w:sz w:val="24"/>
        </w:rPr>
        <w:t>Zgodnie z </w:t>
      </w:r>
      <w:r>
        <w:rPr>
          <w:rFonts w:ascii="Times New Roman" w:hAnsi="Times New Roman"/>
          <w:sz w:val="24"/>
        </w:rPr>
        <w:t>motywem 7 preambuły do dyrektywy 2021/1269 celem regulacji jest zapewnienie łatwego dostępu do instrumentów finansowych uwzględniających czynniki zrównoważonego rozwoju również klientom, którzy nie mają preferencji w zakresie zrównoważonego rozwoju, aby nie ograniczać dostępu do takich instrumentów wyłącznie ze względu na fakt niewskazania tych czynników w trakcie badania adekwatności przez firmę inwestycyjną</w:t>
      </w:r>
      <w:r w:rsidR="00CC599C">
        <w:rPr>
          <w:rFonts w:ascii="Times New Roman" w:hAnsi="Times New Roman"/>
          <w:sz w:val="24"/>
        </w:rPr>
        <w:t xml:space="preserve">, czy też w tym </w:t>
      </w:r>
      <w:r w:rsidR="00BB0874">
        <w:rPr>
          <w:rFonts w:ascii="Times New Roman" w:hAnsi="Times New Roman"/>
          <w:sz w:val="24"/>
        </w:rPr>
        <w:t>prz</w:t>
      </w:r>
      <w:r w:rsidR="00CC599C">
        <w:rPr>
          <w:rFonts w:ascii="Times New Roman" w:hAnsi="Times New Roman"/>
          <w:sz w:val="24"/>
        </w:rPr>
        <w:t xml:space="preserve">ypadku - </w:t>
      </w:r>
      <w:r w:rsidR="00CC599C">
        <w:rPr>
          <w:rFonts w:ascii="Times New Roman" w:hAnsi="Times New Roman"/>
          <w:sz w:val="24"/>
        </w:rPr>
        <w:lastRenderedPageBreak/>
        <w:t>TFI</w:t>
      </w:r>
      <w:r>
        <w:rPr>
          <w:rFonts w:ascii="Times New Roman" w:hAnsi="Times New Roman"/>
          <w:sz w:val="24"/>
        </w:rPr>
        <w:t xml:space="preserve"> </w:t>
      </w:r>
      <w:r w:rsidR="00102BB7">
        <w:rPr>
          <w:rFonts w:ascii="Times New Roman" w:hAnsi="Times New Roman"/>
          <w:sz w:val="24"/>
        </w:rPr>
        <w:t>(b</w:t>
      </w:r>
      <w:r>
        <w:rPr>
          <w:rFonts w:ascii="Times New Roman" w:hAnsi="Times New Roman"/>
          <w:sz w:val="24"/>
        </w:rPr>
        <w:t>adanie adekwatności produktu polega na analizie potrzeb, wiedzy i doświadczenia, a także innych cech klienta i jego celów, w celu dokonania oceny, jaki p</w:t>
      </w:r>
      <w:r w:rsidR="00102BB7">
        <w:rPr>
          <w:rFonts w:ascii="Times New Roman" w:hAnsi="Times New Roman"/>
          <w:sz w:val="24"/>
        </w:rPr>
        <w:t>rodukt jest dla niego adekwatny</w:t>
      </w:r>
      <w:r>
        <w:rPr>
          <w:rFonts w:ascii="Times New Roman" w:hAnsi="Times New Roman"/>
          <w:sz w:val="24"/>
        </w:rPr>
        <w:t>)</w:t>
      </w:r>
      <w:r w:rsidR="00102BB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Nie wymaga to zwolnienia </w:t>
      </w:r>
      <w:r w:rsidR="00CC599C">
        <w:rPr>
          <w:rFonts w:ascii="Times New Roman" w:hAnsi="Times New Roman"/>
          <w:sz w:val="24"/>
        </w:rPr>
        <w:t xml:space="preserve">TFI </w:t>
      </w:r>
      <w:r>
        <w:rPr>
          <w:rFonts w:ascii="Times New Roman" w:hAnsi="Times New Roman"/>
          <w:sz w:val="24"/>
        </w:rPr>
        <w:t>z obowiązku identyfikowania jakiejkolwiek negatywnej grupy docelowej w odniesieniu do</w:t>
      </w:r>
      <w:r w:rsidR="00706D6D">
        <w:rPr>
          <w:rFonts w:ascii="Times New Roman" w:hAnsi="Times New Roman"/>
          <w:sz w:val="24"/>
        </w:rPr>
        <w:t xml:space="preserve"> jednostek uczestnictwa </w:t>
      </w:r>
      <w:r>
        <w:rPr>
          <w:rFonts w:ascii="Times New Roman" w:hAnsi="Times New Roman"/>
          <w:sz w:val="24"/>
        </w:rPr>
        <w:t xml:space="preserve">uwzględniających czynniki zrównoważonego rozwoju. Wystarczające jest, aby </w:t>
      </w:r>
      <w:r w:rsidR="00CC599C">
        <w:rPr>
          <w:rFonts w:ascii="Times New Roman" w:hAnsi="Times New Roman"/>
          <w:sz w:val="24"/>
        </w:rPr>
        <w:t xml:space="preserve">TFI </w:t>
      </w:r>
      <w:r>
        <w:rPr>
          <w:rFonts w:ascii="Times New Roman" w:hAnsi="Times New Roman"/>
          <w:sz w:val="24"/>
        </w:rPr>
        <w:t xml:space="preserve">nie brały pod uwagę kryteriów obejmujących czynniki zrównoważonego rozwoju w procesie identyfikacji negatywnej grupy docelowej. Ewentualny zakaz identyfikowania jakiejkolwiek negatywnej grupy docelowej dla </w:t>
      </w:r>
      <w:r w:rsidR="00706D6D">
        <w:rPr>
          <w:rFonts w:ascii="Times New Roman" w:hAnsi="Times New Roman"/>
          <w:sz w:val="24"/>
        </w:rPr>
        <w:t xml:space="preserve">jednostek uczestnictwa </w:t>
      </w:r>
      <w:r>
        <w:rPr>
          <w:rFonts w:ascii="Times New Roman" w:hAnsi="Times New Roman"/>
          <w:sz w:val="24"/>
        </w:rPr>
        <w:t xml:space="preserve">obejmujących czynniki zrównoważonego rozwoju generowałby </w:t>
      </w:r>
      <w:r w:rsidR="00BB0874">
        <w:rPr>
          <w:rFonts w:ascii="Times New Roman" w:hAnsi="Times New Roman"/>
          <w:sz w:val="24"/>
        </w:rPr>
        <w:t>ryzyka po stronie inwestorów, w </w:t>
      </w:r>
      <w:r>
        <w:rPr>
          <w:rFonts w:ascii="Times New Roman" w:hAnsi="Times New Roman"/>
          <w:sz w:val="24"/>
        </w:rPr>
        <w:t xml:space="preserve">tym </w:t>
      </w:r>
      <w:r w:rsidR="007F2AD6">
        <w:rPr>
          <w:rFonts w:ascii="Times New Roman" w:hAnsi="Times New Roman"/>
          <w:sz w:val="24"/>
        </w:rPr>
        <w:t xml:space="preserve">inwestorów </w:t>
      </w:r>
      <w:r>
        <w:rPr>
          <w:rFonts w:ascii="Times New Roman" w:hAnsi="Times New Roman"/>
          <w:sz w:val="24"/>
        </w:rPr>
        <w:t>detalicznych. Narażałoby to inwestorów na nadmierne i</w:t>
      </w:r>
      <w:r w:rsidR="00706D6D">
        <w:rPr>
          <w:rFonts w:ascii="Times New Roman" w:hAnsi="Times New Roman"/>
          <w:sz w:val="24"/>
        </w:rPr>
        <w:t xml:space="preserve"> </w:t>
      </w:r>
      <w:r w:rsidR="00BB0874">
        <w:rPr>
          <w:rFonts w:ascii="Times New Roman" w:hAnsi="Times New Roman"/>
          <w:sz w:val="24"/>
        </w:rPr>
        <w:t>niekorespondujące z </w:t>
      </w:r>
      <w:r>
        <w:rPr>
          <w:rFonts w:ascii="Times New Roman" w:hAnsi="Times New Roman"/>
          <w:sz w:val="24"/>
        </w:rPr>
        <w:t xml:space="preserve">ich profilem inwestycyjnym ryzyko kierowania do nich produktów finansowych, które są neutralne środowiskowo, ale charakteryzują się wysokim ryzykiem inwestycyjnym. Stosunek do czynników zrównoważonego rozwoju nie </w:t>
      </w:r>
      <w:r w:rsidR="003950E9">
        <w:rPr>
          <w:rFonts w:ascii="Times New Roman" w:hAnsi="Times New Roman"/>
          <w:sz w:val="24"/>
        </w:rPr>
        <w:t>jest bowiem</w:t>
      </w:r>
      <w:r>
        <w:rPr>
          <w:rFonts w:ascii="Times New Roman" w:hAnsi="Times New Roman"/>
          <w:sz w:val="24"/>
        </w:rPr>
        <w:t xml:space="preserve"> zależny od stosunku do ryzyka inwestycyjnego.</w:t>
      </w:r>
      <w:r w:rsidR="003B7C43">
        <w:rPr>
          <w:rFonts w:ascii="Times New Roman" w:hAnsi="Times New Roman"/>
          <w:sz w:val="24"/>
        </w:rPr>
        <w:t xml:space="preserve"> </w:t>
      </w:r>
    </w:p>
    <w:p w14:paraId="3D8C274A" w14:textId="77777777" w:rsidR="009C46BA" w:rsidRDefault="00CC599C" w:rsidP="00094A6E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Celem</w:t>
      </w:r>
      <w:r w:rsidR="009E76CF">
        <w:rPr>
          <w:rFonts w:ascii="Times New Roman" w:hAnsi="Times New Roman"/>
          <w:sz w:val="24"/>
        </w:rPr>
        <w:t xml:space="preserve"> dodania </w:t>
      </w:r>
      <w:r w:rsidR="00BF5413">
        <w:rPr>
          <w:rFonts w:ascii="Times New Roman" w:hAnsi="Times New Roman"/>
          <w:sz w:val="24"/>
        </w:rPr>
        <w:t>ust.</w:t>
      </w:r>
      <w:r>
        <w:rPr>
          <w:rFonts w:ascii="Times New Roman" w:hAnsi="Times New Roman"/>
          <w:sz w:val="24"/>
        </w:rPr>
        <w:t xml:space="preserve"> </w:t>
      </w:r>
      <w:r w:rsidR="009E76CF">
        <w:rPr>
          <w:rFonts w:ascii="Times New Roman" w:hAnsi="Times New Roman"/>
          <w:sz w:val="24"/>
        </w:rPr>
        <w:t xml:space="preserve">3b </w:t>
      </w:r>
      <w:r w:rsidR="00F047FD">
        <w:rPr>
          <w:rFonts w:ascii="Times New Roman" w:hAnsi="Times New Roman"/>
          <w:sz w:val="24"/>
        </w:rPr>
        <w:t xml:space="preserve">w §53 zmienianego rozporządzenia </w:t>
      </w:r>
      <w:r>
        <w:rPr>
          <w:rFonts w:ascii="Times New Roman" w:hAnsi="Times New Roman"/>
          <w:sz w:val="24"/>
        </w:rPr>
        <w:t xml:space="preserve">jest </w:t>
      </w:r>
      <w:r w:rsidR="00F047FD">
        <w:rPr>
          <w:rFonts w:ascii="Times New Roman" w:hAnsi="Times New Roman"/>
          <w:sz w:val="24"/>
        </w:rPr>
        <w:t xml:space="preserve">natomiast </w:t>
      </w:r>
      <w:r>
        <w:rPr>
          <w:rFonts w:ascii="Times New Roman" w:hAnsi="Times New Roman"/>
          <w:sz w:val="24"/>
        </w:rPr>
        <w:t>zapewnienie, że jednostki uczestnictwa uwzględniające</w:t>
      </w:r>
      <w:r w:rsidRPr="00834D41">
        <w:rPr>
          <w:rFonts w:ascii="Times New Roman" w:hAnsi="Times New Roman"/>
          <w:sz w:val="24"/>
        </w:rPr>
        <w:t xml:space="preserve"> czynniki zrównoważonego rozwoju </w:t>
      </w:r>
      <w:r>
        <w:rPr>
          <w:rFonts w:ascii="Times New Roman" w:hAnsi="Times New Roman"/>
          <w:sz w:val="24"/>
        </w:rPr>
        <w:t>zostaną uznane za odpowiadające</w:t>
      </w:r>
      <w:r w:rsidRPr="00834D41">
        <w:rPr>
          <w:rFonts w:ascii="Times New Roman" w:hAnsi="Times New Roman"/>
          <w:sz w:val="24"/>
        </w:rPr>
        <w:t xml:space="preserve"> celom i potrzebom inwestycyjnym klientów docelowych, których cele i potrzeby inwestycyjne nie </w:t>
      </w:r>
      <w:r>
        <w:rPr>
          <w:rFonts w:ascii="Times New Roman" w:hAnsi="Times New Roman"/>
          <w:sz w:val="24"/>
        </w:rPr>
        <w:t xml:space="preserve">są związane ze </w:t>
      </w:r>
      <w:r w:rsidRPr="00834D41">
        <w:rPr>
          <w:rFonts w:ascii="Times New Roman" w:hAnsi="Times New Roman"/>
          <w:sz w:val="24"/>
        </w:rPr>
        <w:t>zrównoważon</w:t>
      </w:r>
      <w:r>
        <w:rPr>
          <w:rFonts w:ascii="Times New Roman" w:hAnsi="Times New Roman"/>
          <w:sz w:val="24"/>
        </w:rPr>
        <w:t>ym</w:t>
      </w:r>
      <w:r w:rsidRPr="00834D41">
        <w:rPr>
          <w:rFonts w:ascii="Times New Roman" w:hAnsi="Times New Roman"/>
          <w:sz w:val="24"/>
        </w:rPr>
        <w:t xml:space="preserve"> rozwoj</w:t>
      </w:r>
      <w:r>
        <w:rPr>
          <w:rFonts w:ascii="Times New Roman" w:hAnsi="Times New Roman"/>
          <w:sz w:val="24"/>
        </w:rPr>
        <w:t>em</w:t>
      </w:r>
      <w:r w:rsidRPr="00834D41">
        <w:rPr>
          <w:rFonts w:ascii="Times New Roman" w:hAnsi="Times New Roman"/>
          <w:sz w:val="24"/>
        </w:rPr>
        <w:t xml:space="preserve">, pod warunkiem, że ich pozostałe cele i potrzeby </w:t>
      </w:r>
      <w:r>
        <w:rPr>
          <w:rFonts w:ascii="Times New Roman" w:hAnsi="Times New Roman"/>
          <w:sz w:val="24"/>
        </w:rPr>
        <w:t xml:space="preserve">inwestycyjne </w:t>
      </w:r>
      <w:r w:rsidRPr="00834D41">
        <w:rPr>
          <w:rFonts w:ascii="Times New Roman" w:hAnsi="Times New Roman"/>
          <w:sz w:val="24"/>
        </w:rPr>
        <w:t>są spełnione przez ten instrument.</w:t>
      </w:r>
    </w:p>
    <w:p w14:paraId="44CC258A" w14:textId="445B1B42" w:rsidR="00706D6D" w:rsidRPr="00706D6D" w:rsidRDefault="00706D6D" w:rsidP="00094A6E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</w:rPr>
      </w:pPr>
      <w:r w:rsidRPr="00706D6D">
        <w:rPr>
          <w:rFonts w:ascii="Times New Roman" w:hAnsi="Times New Roman"/>
          <w:sz w:val="24"/>
        </w:rPr>
        <w:t xml:space="preserve">W </w:t>
      </w:r>
      <w:r w:rsidRPr="00706D6D">
        <w:rPr>
          <w:rFonts w:ascii="Times New Roman" w:hAnsi="Times New Roman"/>
          <w:b/>
          <w:sz w:val="24"/>
        </w:rPr>
        <w:t>§ 2</w:t>
      </w:r>
      <w:r>
        <w:rPr>
          <w:rFonts w:ascii="Times New Roman" w:hAnsi="Times New Roman"/>
          <w:b/>
          <w:sz w:val="24"/>
        </w:rPr>
        <w:t xml:space="preserve"> </w:t>
      </w:r>
      <w:r w:rsidRPr="00706D6D">
        <w:rPr>
          <w:rFonts w:ascii="Times New Roman" w:hAnsi="Times New Roman"/>
          <w:sz w:val="24"/>
        </w:rPr>
        <w:t xml:space="preserve">projektu </w:t>
      </w:r>
      <w:r w:rsidR="00F11E69">
        <w:rPr>
          <w:rFonts w:ascii="Times New Roman" w:hAnsi="Times New Roman"/>
          <w:sz w:val="24"/>
        </w:rPr>
        <w:t xml:space="preserve">przewidziano, że TFI </w:t>
      </w:r>
      <w:r w:rsidR="00F11E69" w:rsidRPr="00F11E69">
        <w:rPr>
          <w:rFonts w:ascii="Times New Roman" w:hAnsi="Times New Roman"/>
          <w:sz w:val="24"/>
        </w:rPr>
        <w:t xml:space="preserve">prowadzące działalność </w:t>
      </w:r>
      <w:r w:rsidR="00BB0874">
        <w:rPr>
          <w:rFonts w:ascii="Times New Roman" w:hAnsi="Times New Roman"/>
          <w:sz w:val="24"/>
        </w:rPr>
        <w:t>pośrednictwa w zbywaniu i </w:t>
      </w:r>
      <w:r w:rsidR="00F11E69" w:rsidRPr="00F11E69">
        <w:rPr>
          <w:rFonts w:ascii="Times New Roman" w:hAnsi="Times New Roman"/>
          <w:sz w:val="24"/>
        </w:rPr>
        <w:t xml:space="preserve">odkupywaniu jednostek uczestnictwa funduszy inwestycyjnych otwartych lub specjalistycznych funduszy inwestycyjnych otwartych zarządzanych przez towarzystwo w dniu wejścia w życie rozporządzenia </w:t>
      </w:r>
      <w:r w:rsidR="00F11E69">
        <w:rPr>
          <w:rFonts w:ascii="Times New Roman" w:hAnsi="Times New Roman"/>
          <w:sz w:val="24"/>
        </w:rPr>
        <w:t xml:space="preserve">będą </w:t>
      </w:r>
      <w:r w:rsidR="00F11E69" w:rsidRPr="00F11E69">
        <w:rPr>
          <w:rFonts w:ascii="Times New Roman" w:hAnsi="Times New Roman"/>
          <w:sz w:val="24"/>
        </w:rPr>
        <w:t>obowiązane do dostosowania prowadzonej działalności do przepisów niniejszego rozporządzenia w terminie do dnia 31 maja 2023 r.</w:t>
      </w:r>
      <w:r w:rsidR="00F11E69">
        <w:rPr>
          <w:rFonts w:ascii="Times New Roman" w:hAnsi="Times New Roman"/>
          <w:sz w:val="24"/>
        </w:rPr>
        <w:t xml:space="preserve"> Mając na uwadze zakładany termin wejścia w życie projektu rozporządzenia, który będzie przypadał na koniec marca 2023 r., w miarę jednolity profil jednostek uczestnictwa oferowanych przez TFI oraz znajomość profilu inwestycyjnego zarządzany</w:t>
      </w:r>
      <w:r w:rsidR="00094A6E">
        <w:rPr>
          <w:rFonts w:ascii="Times New Roman" w:hAnsi="Times New Roman"/>
          <w:sz w:val="24"/>
        </w:rPr>
        <w:t>ch funduszy inwestycyjnych, dwu</w:t>
      </w:r>
      <w:r w:rsidR="00F11E69">
        <w:rPr>
          <w:rFonts w:ascii="Times New Roman" w:hAnsi="Times New Roman"/>
          <w:sz w:val="24"/>
        </w:rPr>
        <w:t>miesięczny termin na dostosowanie się tych podmiotów do projektowanych przepisów należy uznać za wystarczający.</w:t>
      </w:r>
    </w:p>
    <w:p w14:paraId="66C8E8EF" w14:textId="77777777" w:rsidR="00F11E69" w:rsidRDefault="009C46BA" w:rsidP="00094A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 xml:space="preserve">Zgodnie z </w:t>
      </w:r>
      <w:r w:rsidRPr="009C46BA">
        <w:rPr>
          <w:rFonts w:ascii="Times New Roman" w:hAnsi="Times New Roman" w:cs="Times New Roman"/>
          <w:b/>
          <w:sz w:val="24"/>
        </w:rPr>
        <w:t xml:space="preserve">§ </w:t>
      </w:r>
      <w:r w:rsidR="00F11E69">
        <w:rPr>
          <w:rFonts w:ascii="Times New Roman" w:hAnsi="Times New Roman" w:cs="Times New Roman"/>
          <w:b/>
          <w:sz w:val="24"/>
        </w:rPr>
        <w:t>3</w:t>
      </w:r>
      <w:r w:rsidRPr="009C46BA">
        <w:rPr>
          <w:rFonts w:ascii="Times New Roman" w:hAnsi="Times New Roman" w:cs="Times New Roman"/>
          <w:b/>
          <w:sz w:val="24"/>
        </w:rPr>
        <w:t xml:space="preserve"> projektu</w:t>
      </w:r>
      <w:r>
        <w:rPr>
          <w:rFonts w:ascii="Times New Roman" w:hAnsi="Times New Roman" w:cs="Times New Roman"/>
          <w:sz w:val="24"/>
        </w:rPr>
        <w:t xml:space="preserve"> rozporządzenie wejdzie </w:t>
      </w:r>
      <w:r w:rsidR="00F11E69" w:rsidRPr="00F11E69">
        <w:rPr>
          <w:rFonts w:ascii="Times New Roman" w:hAnsi="Times New Roman" w:cs="Times New Roman"/>
          <w:sz w:val="24"/>
        </w:rPr>
        <w:t>w życie po upływie 14 dni od dnia ogłoszenia</w:t>
      </w:r>
      <w:r w:rsidR="00F11E69">
        <w:rPr>
          <w:rFonts w:ascii="Times New Roman" w:hAnsi="Times New Roman" w:cs="Times New Roman"/>
          <w:sz w:val="24"/>
        </w:rPr>
        <w:t>.</w:t>
      </w:r>
    </w:p>
    <w:p w14:paraId="449D15CE" w14:textId="77777777" w:rsidR="009C46BA" w:rsidRPr="007C6DAF" w:rsidRDefault="009C46BA" w:rsidP="00094A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AF">
        <w:rPr>
          <w:rFonts w:ascii="Times New Roman" w:hAnsi="Times New Roman" w:cs="Times New Roman"/>
          <w:sz w:val="24"/>
          <w:szCs w:val="24"/>
        </w:rPr>
        <w:t>Zawarte w projekcie regulacje nie stanowią przepisów technicznych w rozumieniu rozporzą</w:t>
      </w:r>
      <w:r>
        <w:rPr>
          <w:rFonts w:ascii="Times New Roman" w:hAnsi="Times New Roman" w:cs="Times New Roman"/>
          <w:sz w:val="24"/>
          <w:szCs w:val="24"/>
        </w:rPr>
        <w:t>dzenia Rady Ministrów z dnia 23</w:t>
      </w:r>
      <w:r w:rsidR="00F1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 2002 </w:t>
      </w:r>
      <w:r w:rsidRPr="007C6DAF">
        <w:rPr>
          <w:rFonts w:ascii="Times New Roman" w:hAnsi="Times New Roman" w:cs="Times New Roman"/>
          <w:sz w:val="24"/>
          <w:szCs w:val="24"/>
        </w:rPr>
        <w:t xml:space="preserve">r. w sprawie sposobu funkcjonowania </w:t>
      </w:r>
      <w:r w:rsidRPr="007C6DAF">
        <w:rPr>
          <w:rFonts w:ascii="Times New Roman" w:hAnsi="Times New Roman" w:cs="Times New Roman"/>
          <w:sz w:val="24"/>
          <w:szCs w:val="24"/>
        </w:rPr>
        <w:lastRenderedPageBreak/>
        <w:t>krajowego systemu notyfikacji norm i aktów prawnych (Dz. U. poz. 2039, z późn.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6DAF">
        <w:rPr>
          <w:rFonts w:ascii="Times New Roman" w:hAnsi="Times New Roman" w:cs="Times New Roman"/>
          <w:sz w:val="24"/>
          <w:szCs w:val="24"/>
        </w:rPr>
        <w:t>zm.), dlatego też projekt rozporządzenia nie podlega procedurze notyfikacji.</w:t>
      </w:r>
    </w:p>
    <w:p w14:paraId="595A58C6" w14:textId="77777777" w:rsidR="009C46BA" w:rsidRPr="007C6DAF" w:rsidRDefault="009C46BA" w:rsidP="00094A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AF">
        <w:rPr>
          <w:rFonts w:ascii="Times New Roman" w:hAnsi="Times New Roman" w:cs="Times New Roman"/>
          <w:sz w:val="24"/>
          <w:szCs w:val="24"/>
        </w:rPr>
        <w:t>Projektowane rozporządzenie nie wymaga przedstawiania organom i instytucjom Unii Europejskiej w celu uzyskania opinii, dokonania powiadomienia, konsultacji albo uzgodnienia. Projekt rozporządzenia nie podlega konsultacji z Europejskim Bankiem Centralnym.</w:t>
      </w:r>
    </w:p>
    <w:p w14:paraId="632DD625" w14:textId="77777777" w:rsidR="00BB0874" w:rsidRPr="00B95F06" w:rsidRDefault="00BB0874" w:rsidP="00BB0874">
      <w:pPr>
        <w:spacing w:before="120" w:after="120" w:line="360" w:lineRule="auto"/>
        <w:ind w:firstLine="709"/>
        <w:jc w:val="both"/>
        <w:rPr>
          <w:rFonts w:ascii="Times New Roman" w:hAnsi="Times New Roman"/>
          <w:sz w:val="24"/>
        </w:rPr>
      </w:pPr>
      <w:r w:rsidRPr="00B95F06">
        <w:rPr>
          <w:rFonts w:ascii="Times New Roman" w:hAnsi="Times New Roman"/>
          <w:sz w:val="24"/>
        </w:rPr>
        <w:t>Stosownie do art. 4 ustawy z dnia 7 lipca 2005 r. o działalności lobbingowej w procesie stanowienia prawa (Dz. U. z 2017 r. poz. 248) projekt rozporządzenia został zamieszczony w wykazie prac legislacyjnych Ministra Finansów. Zgodnie z art. 5 tej ustawy oraz § 52 uchwały nr 190 Rady Ministrów z dnia 29 października 2013 r. – Regulamin pracy Rady Ministrów (M.P. z 2022 r. poz. 348) projekt zosta</w:t>
      </w:r>
      <w:r>
        <w:rPr>
          <w:rFonts w:ascii="Times New Roman" w:hAnsi="Times New Roman"/>
          <w:sz w:val="24"/>
        </w:rPr>
        <w:t>ł</w:t>
      </w:r>
      <w:r w:rsidRPr="00B95F06">
        <w:rPr>
          <w:rFonts w:ascii="Times New Roman" w:hAnsi="Times New Roman"/>
          <w:sz w:val="24"/>
        </w:rPr>
        <w:t xml:space="preserve"> udostępniony w Biuletynie Informacji Publicznej na stronie podmiotowej Rządowego Centrum Legislacji.</w:t>
      </w:r>
    </w:p>
    <w:p w14:paraId="4FBFB804" w14:textId="65025811" w:rsidR="009C46BA" w:rsidRPr="007C6DAF" w:rsidRDefault="009C46BA" w:rsidP="00094A6E">
      <w:pPr>
        <w:pStyle w:val="NIEARTTEKSTtekstnieartykuowanynppodstprawnarozplubpreambua"/>
        <w:spacing w:after="120"/>
        <w:ind w:firstLine="709"/>
        <w:rPr>
          <w:rFonts w:ascii="Times New Roman" w:hAnsi="Times New Roman" w:cs="Times New Roman"/>
          <w:szCs w:val="24"/>
        </w:rPr>
      </w:pPr>
      <w:r w:rsidRPr="007C6DAF">
        <w:rPr>
          <w:rFonts w:ascii="Times New Roman" w:hAnsi="Times New Roman" w:cs="Times New Roman"/>
          <w:szCs w:val="24"/>
        </w:rPr>
        <w:t xml:space="preserve">Zawarte w projekcie regulacje nie </w:t>
      </w:r>
      <w:r>
        <w:rPr>
          <w:rFonts w:ascii="Times New Roman" w:hAnsi="Times New Roman" w:cs="Times New Roman"/>
          <w:szCs w:val="24"/>
        </w:rPr>
        <w:t xml:space="preserve">wpłyną </w:t>
      </w:r>
      <w:r w:rsidRPr="007C6DAF">
        <w:rPr>
          <w:rFonts w:ascii="Times New Roman" w:hAnsi="Times New Roman" w:cs="Times New Roman"/>
          <w:szCs w:val="24"/>
        </w:rPr>
        <w:t>na działalność</w:t>
      </w:r>
      <w:r w:rsidR="00BB0874">
        <w:rPr>
          <w:rFonts w:ascii="Times New Roman" w:hAnsi="Times New Roman" w:cs="Times New Roman"/>
          <w:szCs w:val="24"/>
        </w:rPr>
        <w:t xml:space="preserve"> mikroprzedsiębiorców, małych i </w:t>
      </w:r>
      <w:r w:rsidRPr="007C6DAF">
        <w:rPr>
          <w:rFonts w:ascii="Times New Roman" w:hAnsi="Times New Roman" w:cs="Times New Roman"/>
          <w:szCs w:val="24"/>
        </w:rPr>
        <w:t>średnich</w:t>
      </w:r>
      <w:r>
        <w:rPr>
          <w:rFonts w:ascii="Times New Roman" w:hAnsi="Times New Roman" w:cs="Times New Roman"/>
          <w:szCs w:val="24"/>
        </w:rPr>
        <w:t xml:space="preserve"> przedsiębiorców zgodnie z art.</w:t>
      </w:r>
      <w:r w:rsidR="00F11E69">
        <w:rPr>
          <w:rFonts w:ascii="Times New Roman" w:hAnsi="Times New Roman" w:cs="Times New Roman"/>
          <w:szCs w:val="24"/>
        </w:rPr>
        <w:t xml:space="preserve"> </w:t>
      </w:r>
      <w:r w:rsidRPr="007C6DAF">
        <w:rPr>
          <w:rFonts w:ascii="Times New Roman" w:hAnsi="Times New Roman" w:cs="Times New Roman"/>
          <w:szCs w:val="24"/>
        </w:rPr>
        <w:t xml:space="preserve">68 ustawy z dnia </w:t>
      </w:r>
      <w:r>
        <w:rPr>
          <w:rFonts w:ascii="Times New Roman" w:hAnsi="Times New Roman" w:cs="Times New Roman"/>
          <w:szCs w:val="24"/>
        </w:rPr>
        <w:t>6 </w:t>
      </w:r>
      <w:r w:rsidRPr="007C6DAF">
        <w:rPr>
          <w:rFonts w:ascii="Times New Roman" w:hAnsi="Times New Roman" w:cs="Times New Roman"/>
          <w:szCs w:val="24"/>
        </w:rPr>
        <w:t>marca 201</w:t>
      </w:r>
      <w:r>
        <w:rPr>
          <w:rFonts w:ascii="Times New Roman" w:hAnsi="Times New Roman" w:cs="Times New Roman"/>
          <w:szCs w:val="24"/>
        </w:rPr>
        <w:t xml:space="preserve">8 r. – Prawo przedsiębiorców (Dz. </w:t>
      </w:r>
      <w:r w:rsidRPr="007C6DAF">
        <w:rPr>
          <w:rFonts w:ascii="Times New Roman" w:hAnsi="Times New Roman" w:cs="Times New Roman"/>
          <w:szCs w:val="24"/>
        </w:rPr>
        <w:t xml:space="preserve">U. z </w:t>
      </w:r>
      <w:r>
        <w:rPr>
          <w:rFonts w:ascii="Times New Roman" w:hAnsi="Times New Roman" w:cs="Times New Roman"/>
          <w:szCs w:val="24"/>
        </w:rPr>
        <w:t>2021 r. poz. 162, z późn. zm.</w:t>
      </w:r>
      <w:r w:rsidRPr="007C6DAF">
        <w:rPr>
          <w:rFonts w:ascii="Times New Roman" w:hAnsi="Times New Roman" w:cs="Times New Roman"/>
          <w:szCs w:val="24"/>
        </w:rPr>
        <w:t>).</w:t>
      </w:r>
    </w:p>
    <w:p w14:paraId="090361A0" w14:textId="77777777" w:rsidR="00207DA0" w:rsidRPr="009C46BA" w:rsidRDefault="009C46BA" w:rsidP="00094A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AF">
        <w:rPr>
          <w:rFonts w:ascii="Times New Roman" w:hAnsi="Times New Roman" w:cs="Times New Roman"/>
          <w:sz w:val="24"/>
          <w:szCs w:val="24"/>
        </w:rPr>
        <w:t xml:space="preserve">Projekt rozporządzenia jest zgodny z prawem Unii </w:t>
      </w:r>
      <w:r>
        <w:rPr>
          <w:rFonts w:ascii="Times New Roman" w:hAnsi="Times New Roman" w:cs="Times New Roman"/>
          <w:sz w:val="24"/>
          <w:szCs w:val="24"/>
        </w:rPr>
        <w:t>Europejskiej.</w:t>
      </w:r>
    </w:p>
    <w:sectPr w:rsidR="00207DA0" w:rsidRPr="009C46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2D76" w14:textId="77777777" w:rsidR="0045467E" w:rsidRDefault="0045467E" w:rsidP="007460A3">
      <w:pPr>
        <w:spacing w:after="0" w:line="240" w:lineRule="auto"/>
      </w:pPr>
      <w:r>
        <w:separator/>
      </w:r>
    </w:p>
  </w:endnote>
  <w:endnote w:type="continuationSeparator" w:id="0">
    <w:p w14:paraId="0346CE8F" w14:textId="77777777" w:rsidR="0045467E" w:rsidRDefault="0045467E" w:rsidP="0074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945BD" w14:textId="77777777" w:rsidR="0045467E" w:rsidRDefault="0045467E" w:rsidP="007460A3">
      <w:pPr>
        <w:spacing w:after="0" w:line="240" w:lineRule="auto"/>
      </w:pPr>
      <w:r>
        <w:separator/>
      </w:r>
    </w:p>
  </w:footnote>
  <w:footnote w:type="continuationSeparator" w:id="0">
    <w:p w14:paraId="6C926628" w14:textId="77777777" w:rsidR="0045467E" w:rsidRDefault="0045467E" w:rsidP="0074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49"/>
    <w:rsid w:val="00044470"/>
    <w:rsid w:val="00094A6E"/>
    <w:rsid w:val="000F70A3"/>
    <w:rsid w:val="00102BB7"/>
    <w:rsid w:val="00135BDF"/>
    <w:rsid w:val="0015057A"/>
    <w:rsid w:val="001A7F0D"/>
    <w:rsid w:val="001F3E3C"/>
    <w:rsid w:val="00207DA0"/>
    <w:rsid w:val="0022400E"/>
    <w:rsid w:val="00225EDE"/>
    <w:rsid w:val="002653DF"/>
    <w:rsid w:val="00290A49"/>
    <w:rsid w:val="002F0AF7"/>
    <w:rsid w:val="003001E0"/>
    <w:rsid w:val="00307016"/>
    <w:rsid w:val="00337E01"/>
    <w:rsid w:val="00346459"/>
    <w:rsid w:val="003761DB"/>
    <w:rsid w:val="003950E9"/>
    <w:rsid w:val="003B7C43"/>
    <w:rsid w:val="00404B70"/>
    <w:rsid w:val="0045117D"/>
    <w:rsid w:val="0045467E"/>
    <w:rsid w:val="00475155"/>
    <w:rsid w:val="004B2E08"/>
    <w:rsid w:val="00580E27"/>
    <w:rsid w:val="0061006D"/>
    <w:rsid w:val="00613C00"/>
    <w:rsid w:val="00625573"/>
    <w:rsid w:val="006612D1"/>
    <w:rsid w:val="00664477"/>
    <w:rsid w:val="00677068"/>
    <w:rsid w:val="006A6EEF"/>
    <w:rsid w:val="00706D6D"/>
    <w:rsid w:val="00717370"/>
    <w:rsid w:val="007460A3"/>
    <w:rsid w:val="007659FE"/>
    <w:rsid w:val="007C49B1"/>
    <w:rsid w:val="007D1FA8"/>
    <w:rsid w:val="007F2AD6"/>
    <w:rsid w:val="00802F08"/>
    <w:rsid w:val="009A46D1"/>
    <w:rsid w:val="009C46BA"/>
    <w:rsid w:val="009E76CF"/>
    <w:rsid w:val="009F5874"/>
    <w:rsid w:val="00AB77B5"/>
    <w:rsid w:val="00B44E6A"/>
    <w:rsid w:val="00B91F5F"/>
    <w:rsid w:val="00BB0874"/>
    <w:rsid w:val="00BF5413"/>
    <w:rsid w:val="00CC599C"/>
    <w:rsid w:val="00D13190"/>
    <w:rsid w:val="00D604DE"/>
    <w:rsid w:val="00D824EF"/>
    <w:rsid w:val="00D97D67"/>
    <w:rsid w:val="00EB066E"/>
    <w:rsid w:val="00F047FD"/>
    <w:rsid w:val="00F0532E"/>
    <w:rsid w:val="00F11E69"/>
    <w:rsid w:val="00F16C0F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5B98"/>
  <w15:chartTrackingRefBased/>
  <w15:docId w15:val="{F7509221-5D82-44F2-83C5-FAF2339C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C46B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E6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E6A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6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Tomczak Karol</dc:creator>
  <cp:keywords/>
  <dc:description/>
  <cp:lastModifiedBy>KGHM</cp:lastModifiedBy>
  <cp:revision>2</cp:revision>
  <dcterms:created xsi:type="dcterms:W3CDTF">2023-02-07T14:12:00Z</dcterms:created>
  <dcterms:modified xsi:type="dcterms:W3CDTF">2023-02-07T14:12:00Z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MF\HXIU;Tomczak Karol</vt:lpwstr>
  </property>
  <property fmtid="{D5CDD505-2E9C-101B-9397-08002B2CF9AE}" pid="4" name="MFClassificationDate">
    <vt:lpwstr>2022-11-03T13:41:39.6793568+01:00</vt:lpwstr>
  </property>
  <property fmtid="{D5CDD505-2E9C-101B-9397-08002B2CF9AE}" pid="5" name="MFClassifiedBySID">
    <vt:lpwstr>MF\S-1-5-21-1525952054-1005573771-2909822258-515116</vt:lpwstr>
  </property>
  <property fmtid="{D5CDD505-2E9C-101B-9397-08002B2CF9AE}" pid="6" name="MFGRNItemId">
    <vt:lpwstr>GRN-f605a0c6-cd9b-4284-8d4f-96b397cf6207</vt:lpwstr>
  </property>
  <property fmtid="{D5CDD505-2E9C-101B-9397-08002B2CF9AE}" pid="7" name="MFHash">
    <vt:lpwstr>9sztH9ny8aFJwvtiou3qTqGawO9JvhiUfV51P26XbMM=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