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C770" w14:textId="2BF1631A" w:rsidR="0087423A" w:rsidRPr="009313FD" w:rsidRDefault="00DE7B13" w:rsidP="000E3AEB">
      <w:pPr>
        <w:pStyle w:val="OZNRODZAKTUtznustawalubrozporzdzenieiorganwydajcy"/>
        <w:spacing w:after="0" w:line="240" w:lineRule="auto"/>
        <w:jc w:val="right"/>
        <w:rPr>
          <w:rFonts w:ascii="Times New Roman" w:hAnsi="Times New Roman"/>
          <w:b w:val="0"/>
          <w:bCs w:val="0"/>
          <w:spacing w:val="0"/>
          <w:u w:val="single"/>
        </w:rPr>
      </w:pPr>
      <w:r>
        <w:rPr>
          <w:rFonts w:ascii="Times New Roman" w:hAnsi="Times New Roman"/>
          <w:b w:val="0"/>
          <w:bCs w:val="0"/>
          <w:caps w:val="0"/>
          <w:spacing w:val="0"/>
          <w:u w:val="single"/>
        </w:rPr>
        <w:t>P</w:t>
      </w:r>
      <w:r w:rsidR="0087423A" w:rsidRPr="000E3AEB">
        <w:rPr>
          <w:rFonts w:ascii="Times New Roman" w:hAnsi="Times New Roman"/>
          <w:b w:val="0"/>
          <w:bCs w:val="0"/>
          <w:caps w:val="0"/>
          <w:spacing w:val="0"/>
          <w:u w:val="single"/>
        </w:rPr>
        <w:t xml:space="preserve">rojekt z dnia </w:t>
      </w:r>
      <w:r w:rsidR="001434A9">
        <w:rPr>
          <w:rFonts w:ascii="Times New Roman" w:hAnsi="Times New Roman"/>
          <w:b w:val="0"/>
          <w:bCs w:val="0"/>
          <w:caps w:val="0"/>
          <w:spacing w:val="0"/>
          <w:u w:val="single"/>
        </w:rPr>
        <w:t>17</w:t>
      </w:r>
      <w:r w:rsidR="00E67B4D" w:rsidRPr="00410659">
        <w:rPr>
          <w:rFonts w:ascii="Times New Roman" w:hAnsi="Times New Roman"/>
          <w:b w:val="0"/>
          <w:bCs w:val="0"/>
          <w:caps w:val="0"/>
          <w:spacing w:val="0"/>
          <w:u w:val="single"/>
        </w:rPr>
        <w:t>.0</w:t>
      </w:r>
      <w:r w:rsidR="00C367F9">
        <w:rPr>
          <w:rFonts w:ascii="Times New Roman" w:hAnsi="Times New Roman"/>
          <w:b w:val="0"/>
          <w:bCs w:val="0"/>
          <w:caps w:val="0"/>
          <w:spacing w:val="0"/>
          <w:u w:val="single"/>
        </w:rPr>
        <w:t>2</w:t>
      </w:r>
      <w:r w:rsidR="00E67B4D" w:rsidRPr="00410659">
        <w:rPr>
          <w:rFonts w:ascii="Times New Roman" w:hAnsi="Times New Roman"/>
          <w:b w:val="0"/>
          <w:bCs w:val="0"/>
          <w:caps w:val="0"/>
          <w:spacing w:val="0"/>
          <w:u w:val="single"/>
        </w:rPr>
        <w:t>.2023</w:t>
      </w:r>
      <w:r w:rsidR="0087423A" w:rsidRPr="00410659">
        <w:rPr>
          <w:rFonts w:ascii="Times New Roman" w:hAnsi="Times New Roman"/>
          <w:b w:val="0"/>
          <w:bCs w:val="0"/>
          <w:spacing w:val="0"/>
          <w:u w:val="single"/>
        </w:rPr>
        <w:t xml:space="preserve"> </w:t>
      </w:r>
      <w:r w:rsidR="0087423A" w:rsidRPr="009313FD">
        <w:rPr>
          <w:rFonts w:ascii="Times New Roman" w:hAnsi="Times New Roman"/>
          <w:b w:val="0"/>
          <w:bCs w:val="0"/>
          <w:caps w:val="0"/>
          <w:spacing w:val="0"/>
          <w:u w:val="single"/>
        </w:rPr>
        <w:t>r.</w:t>
      </w:r>
    </w:p>
    <w:p w14:paraId="2C1D8E42" w14:textId="77777777" w:rsidR="0087423A" w:rsidRPr="009511C6" w:rsidRDefault="0087423A" w:rsidP="009511C6">
      <w:pPr>
        <w:pStyle w:val="OZNRODZAKTUtznustawalubrozporzdzenieiorganwydajcy"/>
        <w:spacing w:line="240" w:lineRule="auto"/>
        <w:rPr>
          <w:rFonts w:ascii="Times New Roman" w:hAnsi="Times New Roman"/>
        </w:rPr>
      </w:pPr>
    </w:p>
    <w:p w14:paraId="4954E2D1" w14:textId="1210DDE6" w:rsidR="00D63953" w:rsidRPr="009511C6" w:rsidRDefault="00D63953" w:rsidP="009511C6">
      <w:pPr>
        <w:pStyle w:val="OZNRODZAKTUtznustawalubrozporzdzenieiorganwydajcy"/>
        <w:spacing w:line="240" w:lineRule="auto"/>
        <w:rPr>
          <w:rFonts w:ascii="Times New Roman" w:hAnsi="Times New Roman"/>
        </w:rPr>
      </w:pPr>
      <w:r w:rsidRPr="009511C6">
        <w:rPr>
          <w:rFonts w:ascii="Times New Roman" w:hAnsi="Times New Roman"/>
        </w:rPr>
        <w:t>UZASADNIENIE</w:t>
      </w:r>
    </w:p>
    <w:p w14:paraId="18ACFEF5" w14:textId="2FCB041A" w:rsidR="000E3AEB" w:rsidRDefault="0031754A" w:rsidP="0056063D">
      <w:pPr>
        <w:pStyle w:val="ARTartustawynprozporzdzenia"/>
        <w:spacing w:line="240" w:lineRule="auto"/>
        <w:rPr>
          <w:rFonts w:ascii="Times New Roman" w:hAnsi="Times New Roman" w:cs="Times New Roman"/>
          <w:color w:val="000000"/>
          <w:spacing w:val="-2"/>
          <w:szCs w:val="24"/>
        </w:rPr>
      </w:pPr>
      <w:r w:rsidRPr="0056063D">
        <w:rPr>
          <w:rFonts w:ascii="Times New Roman" w:hAnsi="Times New Roman" w:cs="Times New Roman"/>
          <w:szCs w:val="24"/>
        </w:rPr>
        <w:t>Podstaw</w:t>
      </w:r>
      <w:r w:rsidR="000E3AEB" w:rsidRPr="0056063D">
        <w:rPr>
          <w:rFonts w:ascii="Times New Roman" w:hAnsi="Times New Roman" w:cs="Times New Roman"/>
          <w:szCs w:val="24"/>
        </w:rPr>
        <w:t xml:space="preserve">ę </w:t>
      </w:r>
      <w:r w:rsidRPr="0056063D">
        <w:rPr>
          <w:rFonts w:ascii="Times New Roman" w:hAnsi="Times New Roman" w:cs="Times New Roman"/>
          <w:szCs w:val="24"/>
        </w:rPr>
        <w:t xml:space="preserve">do wydania </w:t>
      </w:r>
      <w:r w:rsidR="000E3AEB">
        <w:rPr>
          <w:rFonts w:ascii="Times New Roman" w:hAnsi="Times New Roman" w:cs="Times New Roman"/>
          <w:szCs w:val="24"/>
        </w:rPr>
        <w:t xml:space="preserve">projektowanego </w:t>
      </w:r>
      <w:r w:rsidRPr="0056063D">
        <w:rPr>
          <w:rFonts w:ascii="Times New Roman" w:hAnsi="Times New Roman" w:cs="Times New Roman"/>
          <w:szCs w:val="24"/>
        </w:rPr>
        <w:t>rozporządzenia</w:t>
      </w:r>
      <w:r w:rsidR="000E3AEB" w:rsidRPr="0056063D">
        <w:rPr>
          <w:rFonts w:ascii="Times New Roman" w:hAnsi="Times New Roman" w:cs="Times New Roman"/>
          <w:szCs w:val="24"/>
        </w:rPr>
        <w:t xml:space="preserve"> Ministra Klimatu i Środowiska w</w:t>
      </w:r>
      <w:r w:rsidR="000E3AEB">
        <w:rPr>
          <w:rFonts w:ascii="Times New Roman" w:hAnsi="Times New Roman" w:cs="Times New Roman"/>
          <w:szCs w:val="24"/>
        </w:rPr>
        <w:t> </w:t>
      </w:r>
      <w:r w:rsidR="000E3AEB" w:rsidRPr="0056063D">
        <w:rPr>
          <w:rFonts w:ascii="Times New Roman" w:hAnsi="Times New Roman" w:cs="Times New Roman"/>
          <w:szCs w:val="24"/>
        </w:rPr>
        <w:t xml:space="preserve">sprawie udzielania pomocy publicznej na rozwój technologii wodorowych oraz infrastruktury współtowarzyszącej w ramach Krajowego Planu Odbudowy i Zwiększania Odporności stanowi </w:t>
      </w:r>
      <w:r w:rsidRPr="0056063D">
        <w:rPr>
          <w:rFonts w:ascii="Times New Roman" w:hAnsi="Times New Roman" w:cs="Times New Roman"/>
          <w:szCs w:val="24"/>
        </w:rPr>
        <w:t>art.</w:t>
      </w:r>
      <w:r w:rsidR="00FA07F9" w:rsidRPr="0056063D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Pr="00410659">
        <w:rPr>
          <w:rFonts w:ascii="Times New Roman" w:hAnsi="Times New Roman" w:cs="Times New Roman"/>
          <w:szCs w:val="24"/>
        </w:rPr>
        <w:t xml:space="preserve">14lc ust. 4 </w:t>
      </w:r>
      <w:r w:rsidRPr="0056063D">
        <w:rPr>
          <w:rFonts w:cs="Times New Roman"/>
          <w:szCs w:val="24"/>
        </w:rPr>
        <w:t xml:space="preserve">ustawy </w:t>
      </w:r>
      <w:r w:rsidR="00F16BA5" w:rsidRPr="0056063D">
        <w:rPr>
          <w:rFonts w:cs="Times New Roman"/>
          <w:szCs w:val="24"/>
        </w:rPr>
        <w:t>z dnia 6 grudnia 2006 r. o zasadach prowadzenia polityki rozwoju</w:t>
      </w:r>
      <w:r w:rsidR="00F16BA5" w:rsidRPr="00410659">
        <w:rPr>
          <w:rFonts w:ascii="Times New Roman" w:hAnsi="Times New Roman" w:cs="Times New Roman"/>
          <w:i/>
          <w:szCs w:val="24"/>
        </w:rPr>
        <w:t xml:space="preserve"> </w:t>
      </w:r>
      <w:r w:rsidR="00F16BA5" w:rsidRPr="00410659">
        <w:rPr>
          <w:rFonts w:ascii="Times New Roman" w:hAnsi="Times New Roman" w:cs="Times New Roman"/>
          <w:szCs w:val="24"/>
        </w:rPr>
        <w:t>(Dz.</w:t>
      </w:r>
      <w:r w:rsidR="000E3AEB" w:rsidRPr="009313FD">
        <w:rPr>
          <w:rFonts w:ascii="Times New Roman" w:hAnsi="Times New Roman" w:cs="Times New Roman"/>
          <w:szCs w:val="24"/>
        </w:rPr>
        <w:t xml:space="preserve"> </w:t>
      </w:r>
      <w:r w:rsidR="00F16BA5" w:rsidRPr="009313FD">
        <w:rPr>
          <w:rFonts w:ascii="Times New Roman" w:hAnsi="Times New Roman" w:cs="Times New Roman"/>
          <w:szCs w:val="24"/>
        </w:rPr>
        <w:t xml:space="preserve">U. z </w:t>
      </w:r>
      <w:r w:rsidR="006A51C4" w:rsidRPr="009313FD">
        <w:rPr>
          <w:rFonts w:ascii="Times New Roman" w:hAnsi="Times New Roman" w:cs="Times New Roman"/>
          <w:szCs w:val="24"/>
        </w:rPr>
        <w:t>202</w:t>
      </w:r>
      <w:r w:rsidR="00291C01">
        <w:rPr>
          <w:rFonts w:ascii="Times New Roman" w:hAnsi="Times New Roman" w:cs="Times New Roman"/>
          <w:szCs w:val="24"/>
        </w:rPr>
        <w:t xml:space="preserve">3 </w:t>
      </w:r>
      <w:r w:rsidR="006A51C4" w:rsidRPr="00D86543">
        <w:rPr>
          <w:rFonts w:ascii="Times New Roman" w:hAnsi="Times New Roman" w:cs="Times New Roman"/>
          <w:szCs w:val="24"/>
        </w:rPr>
        <w:t xml:space="preserve">r. poz. </w:t>
      </w:r>
      <w:r w:rsidR="00291C01">
        <w:rPr>
          <w:rFonts w:ascii="Times New Roman" w:hAnsi="Times New Roman" w:cs="Times New Roman"/>
          <w:szCs w:val="24"/>
        </w:rPr>
        <w:t>225</w:t>
      </w:r>
      <w:r w:rsidR="00F16BA5" w:rsidRPr="00410659">
        <w:rPr>
          <w:rFonts w:ascii="Times New Roman" w:hAnsi="Times New Roman" w:cs="Times New Roman"/>
          <w:szCs w:val="24"/>
        </w:rPr>
        <w:t>)</w:t>
      </w:r>
      <w:r w:rsidRPr="00410659">
        <w:rPr>
          <w:rFonts w:ascii="Times New Roman" w:hAnsi="Times New Roman" w:cs="Times New Roman"/>
          <w:szCs w:val="24"/>
        </w:rPr>
        <w:t>,</w:t>
      </w:r>
      <w:r w:rsidRPr="0056063D">
        <w:rPr>
          <w:rStyle w:val="Odwoanieprzypisudolnego"/>
          <w:rFonts w:ascii="Times New Roman" w:hAnsi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>zwanej dalej „ustawą</w:t>
      </w:r>
      <w:r w:rsidR="00AB19D0" w:rsidRPr="0056063D">
        <w:rPr>
          <w:rFonts w:ascii="Times New Roman" w:hAnsi="Times New Roman" w:cs="Times New Roman"/>
          <w:szCs w:val="24"/>
        </w:rPr>
        <w:t xml:space="preserve"> ZPR</w:t>
      </w:r>
      <w:r w:rsidRPr="0056063D">
        <w:rPr>
          <w:rFonts w:ascii="Times New Roman" w:hAnsi="Times New Roman" w:cs="Times New Roman"/>
          <w:szCs w:val="24"/>
        </w:rPr>
        <w:t>”.</w:t>
      </w:r>
      <w:r w:rsidR="000E3AEB">
        <w:rPr>
          <w:rFonts w:ascii="Times New Roman" w:hAnsi="Times New Roman" w:cs="Times New Roman"/>
          <w:color w:val="000000"/>
          <w:spacing w:val="-2"/>
          <w:szCs w:val="24"/>
        </w:rPr>
        <w:t xml:space="preserve"> Projekt </w:t>
      </w:r>
      <w:r w:rsidR="00344399" w:rsidRPr="009313FD">
        <w:rPr>
          <w:rFonts w:ascii="Times New Roman" w:hAnsi="Times New Roman" w:cs="Times New Roman"/>
          <w:color w:val="000000"/>
          <w:spacing w:val="-2"/>
          <w:szCs w:val="24"/>
        </w:rPr>
        <w:t>określa warunki, których spełnienie uprości procedurę</w:t>
      </w:r>
      <w:r w:rsidR="00646034" w:rsidRPr="009313FD">
        <w:rPr>
          <w:rFonts w:ascii="Times New Roman" w:hAnsi="Times New Roman" w:cs="Times New Roman"/>
          <w:color w:val="000000"/>
          <w:spacing w:val="-2"/>
          <w:szCs w:val="24"/>
        </w:rPr>
        <w:t xml:space="preserve"> udzielania pomocy publicznej na inwestycje w technologie wodorowe, wytwarzanie, magazynowanie i transport wodoru, budowę stacji tankowania wodoru, </w:t>
      </w:r>
      <w:r w:rsidR="00646034" w:rsidRPr="00D86543">
        <w:rPr>
          <w:rFonts w:ascii="Times New Roman" w:hAnsi="Times New Roman" w:cs="Times New Roman"/>
          <w:color w:val="000000"/>
          <w:spacing w:val="-2"/>
          <w:szCs w:val="24"/>
        </w:rPr>
        <w:t xml:space="preserve">rozwój, budowę, wdrożenie oraz komercjalizację innowacyjnych jednostek transportowych napędzanych wodorem. </w:t>
      </w:r>
    </w:p>
    <w:p w14:paraId="08462C3F" w14:textId="6A18C997" w:rsidR="0008462A" w:rsidRPr="0056063D" w:rsidRDefault="0080664E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Celem </w:t>
      </w:r>
      <w:r w:rsidR="00646034" w:rsidRPr="0056063D">
        <w:rPr>
          <w:rFonts w:ascii="Times New Roman" w:hAnsi="Times New Roman" w:cs="Times New Roman"/>
          <w:szCs w:val="24"/>
        </w:rPr>
        <w:t>projekt</w:t>
      </w:r>
      <w:r w:rsidR="000E3AEB">
        <w:rPr>
          <w:rFonts w:ascii="Times New Roman" w:hAnsi="Times New Roman" w:cs="Times New Roman"/>
          <w:szCs w:val="24"/>
        </w:rPr>
        <w:t>owanego rozporządzenia jest s</w:t>
      </w:r>
      <w:r w:rsidRPr="0056063D">
        <w:rPr>
          <w:rFonts w:ascii="Times New Roman" w:hAnsi="Times New Roman" w:cs="Times New Roman"/>
          <w:szCs w:val="24"/>
        </w:rPr>
        <w:t xml:space="preserve">tworzenie warunków </w:t>
      </w:r>
      <w:r w:rsidR="00646034" w:rsidRPr="0056063D">
        <w:rPr>
          <w:rFonts w:ascii="Times New Roman" w:hAnsi="Times New Roman" w:cs="Times New Roman"/>
          <w:szCs w:val="24"/>
        </w:rPr>
        <w:t xml:space="preserve">do </w:t>
      </w:r>
      <w:r w:rsidRPr="0056063D">
        <w:rPr>
          <w:rFonts w:ascii="Times New Roman" w:hAnsi="Times New Roman" w:cs="Times New Roman"/>
          <w:szCs w:val="24"/>
        </w:rPr>
        <w:t xml:space="preserve">wspierania rozwoju </w:t>
      </w:r>
      <w:r w:rsidR="00FF4502" w:rsidRPr="0056063D">
        <w:rPr>
          <w:rFonts w:ascii="Times New Roman" w:hAnsi="Times New Roman" w:cs="Times New Roman"/>
          <w:szCs w:val="24"/>
        </w:rPr>
        <w:t>technologii wodorowych</w:t>
      </w:r>
      <w:r w:rsidR="00B34872" w:rsidRPr="0056063D">
        <w:rPr>
          <w:rFonts w:ascii="Times New Roman" w:hAnsi="Times New Roman" w:cs="Times New Roman"/>
          <w:szCs w:val="24"/>
        </w:rPr>
        <w:t>,</w:t>
      </w:r>
      <w:r w:rsidR="00646034" w:rsidRPr="0056063D">
        <w:rPr>
          <w:rFonts w:ascii="Times New Roman" w:hAnsi="Times New Roman" w:cs="Times New Roman"/>
          <w:szCs w:val="24"/>
        </w:rPr>
        <w:t xml:space="preserve"> </w:t>
      </w:r>
      <w:r w:rsidR="00FF4502" w:rsidRPr="0056063D">
        <w:rPr>
          <w:rFonts w:ascii="Times New Roman" w:hAnsi="Times New Roman" w:cs="Times New Roman"/>
          <w:szCs w:val="24"/>
        </w:rPr>
        <w:t>wykorzystani</w:t>
      </w:r>
      <w:r w:rsidR="000E3AEB">
        <w:rPr>
          <w:rFonts w:ascii="Times New Roman" w:hAnsi="Times New Roman" w:cs="Times New Roman"/>
          <w:szCs w:val="24"/>
        </w:rPr>
        <w:t>e</w:t>
      </w:r>
      <w:r w:rsidR="00FF4502" w:rsidRPr="0056063D">
        <w:rPr>
          <w:rFonts w:ascii="Times New Roman" w:hAnsi="Times New Roman" w:cs="Times New Roman"/>
          <w:szCs w:val="24"/>
        </w:rPr>
        <w:t xml:space="preserve"> wodoru</w:t>
      </w:r>
      <w:r w:rsidR="009E74FC" w:rsidRPr="0056063D">
        <w:rPr>
          <w:rFonts w:ascii="Times New Roman" w:hAnsi="Times New Roman" w:cs="Times New Roman"/>
          <w:szCs w:val="24"/>
        </w:rPr>
        <w:t>, w tym</w:t>
      </w:r>
      <w:r w:rsidR="00FF4502" w:rsidRPr="0056063D">
        <w:rPr>
          <w:rFonts w:ascii="Times New Roman" w:hAnsi="Times New Roman" w:cs="Times New Roman"/>
          <w:szCs w:val="24"/>
        </w:rPr>
        <w:t xml:space="preserve"> jako paliwa alternatywnego</w:t>
      </w:r>
      <w:r w:rsidR="009E74FC" w:rsidRPr="0056063D">
        <w:rPr>
          <w:rFonts w:ascii="Times New Roman" w:hAnsi="Times New Roman" w:cs="Times New Roman"/>
          <w:szCs w:val="24"/>
        </w:rPr>
        <w:t>,</w:t>
      </w:r>
      <w:r w:rsidR="00B34872" w:rsidRPr="0056063D">
        <w:rPr>
          <w:rFonts w:ascii="Times New Roman" w:hAnsi="Times New Roman" w:cs="Times New Roman"/>
          <w:szCs w:val="24"/>
        </w:rPr>
        <w:t xml:space="preserve"> oraz budow</w:t>
      </w:r>
      <w:r w:rsidR="000E3AEB">
        <w:rPr>
          <w:rFonts w:ascii="Times New Roman" w:hAnsi="Times New Roman" w:cs="Times New Roman"/>
          <w:szCs w:val="24"/>
        </w:rPr>
        <w:t xml:space="preserve">a </w:t>
      </w:r>
      <w:r w:rsidR="00B34872" w:rsidRPr="0056063D">
        <w:rPr>
          <w:rFonts w:ascii="Times New Roman" w:hAnsi="Times New Roman" w:cs="Times New Roman"/>
          <w:szCs w:val="24"/>
        </w:rPr>
        <w:t>i wdrożeni</w:t>
      </w:r>
      <w:r w:rsidR="000E3AEB">
        <w:rPr>
          <w:rFonts w:ascii="Times New Roman" w:hAnsi="Times New Roman" w:cs="Times New Roman"/>
          <w:szCs w:val="24"/>
        </w:rPr>
        <w:t xml:space="preserve">e </w:t>
      </w:r>
      <w:r w:rsidR="00B34872" w:rsidRPr="0056063D">
        <w:rPr>
          <w:rFonts w:ascii="Times New Roman" w:hAnsi="Times New Roman" w:cs="Times New Roman"/>
          <w:szCs w:val="24"/>
        </w:rPr>
        <w:t xml:space="preserve">nowoczesnych pojazdów </w:t>
      </w:r>
      <w:r w:rsidR="00E54314" w:rsidRPr="0056063D">
        <w:rPr>
          <w:rFonts w:ascii="Times New Roman" w:hAnsi="Times New Roman" w:cs="Times New Roman"/>
          <w:szCs w:val="24"/>
        </w:rPr>
        <w:t xml:space="preserve">i statków </w:t>
      </w:r>
      <w:r w:rsidR="00B34872" w:rsidRPr="0056063D">
        <w:rPr>
          <w:rFonts w:ascii="Times New Roman" w:hAnsi="Times New Roman" w:cs="Times New Roman"/>
          <w:szCs w:val="24"/>
        </w:rPr>
        <w:t>napędzanych wodorem</w:t>
      </w:r>
      <w:r w:rsidRPr="0056063D">
        <w:rPr>
          <w:rFonts w:ascii="Times New Roman" w:hAnsi="Times New Roman" w:cs="Times New Roman"/>
          <w:szCs w:val="24"/>
        </w:rPr>
        <w:t xml:space="preserve"> </w:t>
      </w:r>
      <w:r w:rsidR="005446DC" w:rsidRPr="0056063D">
        <w:rPr>
          <w:rFonts w:ascii="Times New Roman" w:hAnsi="Times New Roman" w:cs="Times New Roman"/>
          <w:szCs w:val="24"/>
        </w:rPr>
        <w:t>w ramach Krajowego Plan</w:t>
      </w:r>
      <w:r w:rsidR="00813756" w:rsidRPr="0056063D">
        <w:rPr>
          <w:rFonts w:ascii="Times New Roman" w:hAnsi="Times New Roman" w:cs="Times New Roman"/>
          <w:szCs w:val="24"/>
        </w:rPr>
        <w:t>u</w:t>
      </w:r>
      <w:r w:rsidR="005446DC" w:rsidRPr="0056063D">
        <w:rPr>
          <w:rFonts w:ascii="Times New Roman" w:hAnsi="Times New Roman" w:cs="Times New Roman"/>
          <w:szCs w:val="24"/>
        </w:rPr>
        <w:t xml:space="preserve"> Odbudowy i Zwiększania Odporności</w:t>
      </w:r>
      <w:r w:rsidR="000B654D">
        <w:rPr>
          <w:rFonts w:ascii="Times New Roman" w:hAnsi="Times New Roman" w:cs="Times New Roman"/>
          <w:szCs w:val="24"/>
        </w:rPr>
        <w:t>, zwan</w:t>
      </w:r>
      <w:r w:rsidR="000247A2">
        <w:rPr>
          <w:rFonts w:ascii="Times New Roman" w:hAnsi="Times New Roman" w:cs="Times New Roman"/>
          <w:szCs w:val="24"/>
        </w:rPr>
        <w:t xml:space="preserve">ego </w:t>
      </w:r>
      <w:r w:rsidR="000B654D">
        <w:rPr>
          <w:rFonts w:ascii="Times New Roman" w:hAnsi="Times New Roman" w:cs="Times New Roman"/>
          <w:szCs w:val="24"/>
        </w:rPr>
        <w:t>dalej „KPO”</w:t>
      </w:r>
      <w:r w:rsidR="00B34872" w:rsidRPr="0056063D">
        <w:rPr>
          <w:rFonts w:ascii="Times New Roman" w:hAnsi="Times New Roman" w:cs="Times New Roman"/>
          <w:szCs w:val="24"/>
        </w:rPr>
        <w:t>,</w:t>
      </w:r>
      <w:r w:rsidR="005446DC" w:rsidRPr="0056063D">
        <w:rPr>
          <w:rFonts w:ascii="Times New Roman" w:hAnsi="Times New Roman" w:cs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 xml:space="preserve">poprzez </w:t>
      </w:r>
      <w:r w:rsidR="00530CCB" w:rsidRPr="0056063D">
        <w:rPr>
          <w:rFonts w:ascii="Times New Roman" w:hAnsi="Times New Roman" w:cs="Times New Roman"/>
          <w:szCs w:val="24"/>
        </w:rPr>
        <w:t xml:space="preserve">określenie warunków, </w:t>
      </w:r>
      <w:r w:rsidR="00537003" w:rsidRPr="0056063D">
        <w:rPr>
          <w:rFonts w:ascii="Times New Roman" w:hAnsi="Times New Roman" w:cs="Times New Roman"/>
          <w:szCs w:val="24"/>
        </w:rPr>
        <w:t>upraszczających</w:t>
      </w:r>
      <w:r w:rsidR="00530CCB" w:rsidRPr="0056063D">
        <w:rPr>
          <w:rFonts w:ascii="Times New Roman" w:hAnsi="Times New Roman" w:cs="Times New Roman"/>
          <w:szCs w:val="24"/>
        </w:rPr>
        <w:t xml:space="preserve"> </w:t>
      </w:r>
      <w:r w:rsidR="00537003" w:rsidRPr="0056063D">
        <w:rPr>
          <w:rFonts w:ascii="Times New Roman" w:hAnsi="Times New Roman" w:cs="Times New Roman"/>
          <w:szCs w:val="24"/>
        </w:rPr>
        <w:t xml:space="preserve">udzielanie </w:t>
      </w:r>
      <w:r w:rsidRPr="0056063D">
        <w:rPr>
          <w:rFonts w:ascii="Times New Roman" w:hAnsi="Times New Roman" w:cs="Times New Roman"/>
          <w:szCs w:val="24"/>
        </w:rPr>
        <w:t xml:space="preserve">pomocy publicznej. </w:t>
      </w:r>
      <w:r w:rsidR="00C74BF8" w:rsidRPr="0056063D">
        <w:rPr>
          <w:rFonts w:ascii="Times New Roman" w:hAnsi="Times New Roman" w:cs="Times New Roman"/>
          <w:szCs w:val="24"/>
        </w:rPr>
        <w:t>K</w:t>
      </w:r>
      <w:r w:rsidR="000B654D">
        <w:rPr>
          <w:rFonts w:ascii="Times New Roman" w:hAnsi="Times New Roman" w:cs="Times New Roman"/>
          <w:szCs w:val="24"/>
        </w:rPr>
        <w:t xml:space="preserve">PO </w:t>
      </w:r>
      <w:r w:rsidRPr="0056063D">
        <w:rPr>
          <w:rFonts w:ascii="Times New Roman" w:hAnsi="Times New Roman" w:cs="Times New Roman"/>
          <w:szCs w:val="24"/>
        </w:rPr>
        <w:t>zakłada</w:t>
      </w:r>
      <w:r w:rsidR="006B7949" w:rsidRPr="0056063D">
        <w:rPr>
          <w:rFonts w:ascii="Times New Roman" w:hAnsi="Times New Roman" w:cs="Times New Roman"/>
          <w:szCs w:val="24"/>
        </w:rPr>
        <w:t xml:space="preserve"> w ramach </w:t>
      </w:r>
      <w:r w:rsidR="00D4194C" w:rsidRPr="0056063D">
        <w:rPr>
          <w:rFonts w:ascii="Times New Roman" w:hAnsi="Times New Roman" w:cs="Times New Roman"/>
          <w:szCs w:val="24"/>
        </w:rPr>
        <w:t xml:space="preserve">wiązki </w:t>
      </w:r>
      <w:r w:rsidR="006B7949" w:rsidRPr="0056063D">
        <w:rPr>
          <w:rFonts w:ascii="Times New Roman" w:hAnsi="Times New Roman" w:cs="Times New Roman"/>
          <w:szCs w:val="24"/>
        </w:rPr>
        <w:t xml:space="preserve">inwestycji </w:t>
      </w:r>
      <w:r w:rsidR="006B7949" w:rsidRPr="0056063D">
        <w:rPr>
          <w:rFonts w:ascii="Times New Roman" w:hAnsi="Times New Roman" w:cs="Times New Roman"/>
          <w:iCs/>
          <w:szCs w:val="24"/>
        </w:rPr>
        <w:t>pn.</w:t>
      </w:r>
      <w:r w:rsidR="006B7949" w:rsidRPr="0056063D">
        <w:rPr>
          <w:rFonts w:ascii="Times New Roman" w:hAnsi="Times New Roman" w:cs="Times New Roman"/>
          <w:i/>
          <w:iCs/>
          <w:szCs w:val="24"/>
        </w:rPr>
        <w:t xml:space="preserve"> </w:t>
      </w:r>
      <w:r w:rsidR="006B7949" w:rsidRPr="0056063D">
        <w:rPr>
          <w:rFonts w:ascii="Times New Roman" w:hAnsi="Times New Roman" w:cs="Times New Roman"/>
          <w:szCs w:val="24"/>
        </w:rPr>
        <w:t>B2.</w:t>
      </w:r>
      <w:r w:rsidR="00FF4502" w:rsidRPr="0056063D">
        <w:rPr>
          <w:rFonts w:ascii="Times New Roman" w:hAnsi="Times New Roman" w:cs="Times New Roman"/>
          <w:szCs w:val="24"/>
        </w:rPr>
        <w:t>1</w:t>
      </w:r>
      <w:r w:rsidR="00F16BA5" w:rsidRPr="0056063D">
        <w:rPr>
          <w:rFonts w:ascii="Times New Roman" w:hAnsi="Times New Roman" w:cs="Times New Roman"/>
          <w:szCs w:val="24"/>
        </w:rPr>
        <w:t>.</w:t>
      </w:r>
      <w:r w:rsidR="00FF4502" w:rsidRPr="0056063D">
        <w:rPr>
          <w:rFonts w:ascii="Times New Roman" w:hAnsi="Times New Roman" w:cs="Times New Roman"/>
          <w:szCs w:val="24"/>
        </w:rPr>
        <w:t>1</w:t>
      </w:r>
      <w:r w:rsidR="00514016">
        <w:rPr>
          <w:rFonts w:ascii="Times New Roman" w:hAnsi="Times New Roman" w:cs="Times New Roman"/>
          <w:szCs w:val="24"/>
        </w:rPr>
        <w:t>.</w:t>
      </w:r>
      <w:r w:rsidR="006B7949" w:rsidRPr="0056063D">
        <w:rPr>
          <w:rFonts w:ascii="Times New Roman" w:hAnsi="Times New Roman" w:cs="Times New Roman"/>
          <w:szCs w:val="24"/>
        </w:rPr>
        <w:t xml:space="preserve"> </w:t>
      </w:r>
      <w:r w:rsidR="00FF4502" w:rsidRPr="0056063D">
        <w:rPr>
          <w:rFonts w:ascii="Times New Roman" w:hAnsi="Times New Roman" w:cs="Times New Roman"/>
          <w:szCs w:val="24"/>
        </w:rPr>
        <w:t xml:space="preserve">Inwestycje w technologie wodorowe, wytwarzanie, magazynowanie i transport wodoru </w:t>
      </w:r>
      <w:r w:rsidRPr="0056063D">
        <w:rPr>
          <w:rFonts w:ascii="Times New Roman" w:hAnsi="Times New Roman" w:cs="Times New Roman"/>
          <w:szCs w:val="24"/>
        </w:rPr>
        <w:t xml:space="preserve">wydatkowanie środków na wsparcie </w:t>
      </w:r>
      <w:r w:rsidR="00C60267" w:rsidRPr="0056063D">
        <w:rPr>
          <w:rFonts w:ascii="Times New Roman" w:hAnsi="Times New Roman" w:cs="Times New Roman"/>
          <w:szCs w:val="24"/>
        </w:rPr>
        <w:t xml:space="preserve">budowy </w:t>
      </w:r>
      <w:r w:rsidR="000B654D" w:rsidRPr="0056063D">
        <w:rPr>
          <w:rFonts w:ascii="Times New Roman" w:hAnsi="Times New Roman" w:cs="Times New Roman"/>
          <w:szCs w:val="24"/>
        </w:rPr>
        <w:t>i</w:t>
      </w:r>
      <w:r w:rsidR="000B654D">
        <w:rPr>
          <w:rFonts w:ascii="Times New Roman" w:hAnsi="Times New Roman" w:cs="Times New Roman"/>
          <w:szCs w:val="24"/>
        </w:rPr>
        <w:t> </w:t>
      </w:r>
      <w:r w:rsidR="00C60267" w:rsidRPr="0056063D">
        <w:rPr>
          <w:rFonts w:ascii="Times New Roman" w:hAnsi="Times New Roman" w:cs="Times New Roman"/>
          <w:szCs w:val="24"/>
        </w:rPr>
        <w:t xml:space="preserve">uruchomienia stacji tankowania wodoru oraz na uzyskanie zdolności produkcyjnej wodoru odnawialnego, w tym </w:t>
      </w:r>
      <w:r w:rsidR="00537003" w:rsidRPr="0056063D">
        <w:rPr>
          <w:rFonts w:ascii="Times New Roman" w:hAnsi="Times New Roman" w:cs="Times New Roman"/>
          <w:szCs w:val="24"/>
        </w:rPr>
        <w:t xml:space="preserve">budowy </w:t>
      </w:r>
      <w:r w:rsidR="00C60267" w:rsidRPr="0056063D">
        <w:rPr>
          <w:rFonts w:ascii="Times New Roman" w:hAnsi="Times New Roman" w:cs="Times New Roman"/>
          <w:szCs w:val="24"/>
        </w:rPr>
        <w:t>elektrolizerów wraz z infrastrukturą towarzyszącą na poziomie 320 MW</w:t>
      </w:r>
      <w:r w:rsidR="00B34872" w:rsidRPr="0056063D">
        <w:rPr>
          <w:rFonts w:ascii="Times New Roman" w:hAnsi="Times New Roman" w:cs="Times New Roman"/>
          <w:szCs w:val="24"/>
        </w:rPr>
        <w:t xml:space="preserve">, a także </w:t>
      </w:r>
      <w:r w:rsidR="00537003" w:rsidRPr="0056063D">
        <w:rPr>
          <w:rFonts w:ascii="Times New Roman" w:hAnsi="Times New Roman" w:cs="Times New Roman"/>
          <w:szCs w:val="24"/>
        </w:rPr>
        <w:t>budow</w:t>
      </w:r>
      <w:r w:rsidR="000B654D">
        <w:rPr>
          <w:rFonts w:ascii="Times New Roman" w:hAnsi="Times New Roman" w:cs="Times New Roman"/>
          <w:szCs w:val="24"/>
        </w:rPr>
        <w:t xml:space="preserve">ę </w:t>
      </w:r>
      <w:r w:rsidR="00B34872" w:rsidRPr="0056063D">
        <w:rPr>
          <w:rFonts w:ascii="Times New Roman" w:hAnsi="Times New Roman" w:cs="Times New Roman"/>
          <w:szCs w:val="24"/>
        </w:rPr>
        <w:t xml:space="preserve">lub </w:t>
      </w:r>
      <w:r w:rsidR="00537003" w:rsidRPr="0056063D">
        <w:rPr>
          <w:rFonts w:ascii="Times New Roman" w:hAnsi="Times New Roman" w:cs="Times New Roman"/>
          <w:szCs w:val="24"/>
        </w:rPr>
        <w:t>wdrożeni</w:t>
      </w:r>
      <w:r w:rsidR="000B654D">
        <w:rPr>
          <w:rFonts w:ascii="Times New Roman" w:hAnsi="Times New Roman" w:cs="Times New Roman"/>
          <w:szCs w:val="24"/>
        </w:rPr>
        <w:t xml:space="preserve">e </w:t>
      </w:r>
      <w:r w:rsidR="00B34872" w:rsidRPr="0056063D">
        <w:rPr>
          <w:rFonts w:ascii="Times New Roman" w:hAnsi="Times New Roman" w:cs="Times New Roman"/>
          <w:szCs w:val="24"/>
        </w:rPr>
        <w:t>3</w:t>
      </w:r>
      <w:r w:rsidR="007C4702" w:rsidRPr="0056063D">
        <w:rPr>
          <w:rFonts w:ascii="Times New Roman" w:hAnsi="Times New Roman" w:cs="Times New Roman"/>
          <w:szCs w:val="24"/>
        </w:rPr>
        <w:t xml:space="preserve"> </w:t>
      </w:r>
      <w:r w:rsidR="00B10BE6" w:rsidRPr="0056063D">
        <w:rPr>
          <w:rFonts w:ascii="Times New Roman" w:hAnsi="Times New Roman" w:cs="Times New Roman"/>
          <w:szCs w:val="24"/>
        </w:rPr>
        <w:t xml:space="preserve">różnych </w:t>
      </w:r>
      <w:r w:rsidR="00B34872" w:rsidRPr="0056063D">
        <w:rPr>
          <w:rFonts w:ascii="Times New Roman" w:hAnsi="Times New Roman" w:cs="Times New Roman"/>
          <w:szCs w:val="24"/>
        </w:rPr>
        <w:t>innowacyjnych jednostek transportowych napędzanych wodorem</w:t>
      </w:r>
      <w:r w:rsidR="00C60267" w:rsidRPr="0056063D">
        <w:rPr>
          <w:rFonts w:ascii="Times New Roman" w:hAnsi="Times New Roman" w:cs="Times New Roman"/>
          <w:szCs w:val="24"/>
        </w:rPr>
        <w:t xml:space="preserve">. </w:t>
      </w:r>
      <w:r w:rsidR="007C4702" w:rsidRPr="0056063D">
        <w:rPr>
          <w:rFonts w:ascii="Times New Roman" w:hAnsi="Times New Roman" w:cs="Times New Roman"/>
          <w:szCs w:val="24"/>
        </w:rPr>
        <w:t>Inwestycje w o</w:t>
      </w:r>
      <w:r w:rsidR="004553EE" w:rsidRPr="0056063D">
        <w:rPr>
          <w:rFonts w:ascii="Times New Roman" w:hAnsi="Times New Roman" w:cs="Times New Roman"/>
          <w:szCs w:val="24"/>
        </w:rPr>
        <w:t>gólnodostępn</w:t>
      </w:r>
      <w:r w:rsidR="007C4702" w:rsidRPr="0056063D">
        <w:rPr>
          <w:rFonts w:ascii="Times New Roman" w:hAnsi="Times New Roman" w:cs="Times New Roman"/>
          <w:szCs w:val="24"/>
        </w:rPr>
        <w:t>e</w:t>
      </w:r>
      <w:r w:rsidR="004553EE" w:rsidRPr="0056063D">
        <w:rPr>
          <w:rFonts w:ascii="Times New Roman" w:hAnsi="Times New Roman" w:cs="Times New Roman"/>
          <w:szCs w:val="24"/>
        </w:rPr>
        <w:t xml:space="preserve"> stacj</w:t>
      </w:r>
      <w:r w:rsidR="007C4702" w:rsidRPr="0056063D">
        <w:rPr>
          <w:rFonts w:ascii="Times New Roman" w:hAnsi="Times New Roman" w:cs="Times New Roman"/>
          <w:szCs w:val="24"/>
        </w:rPr>
        <w:t>e</w:t>
      </w:r>
      <w:r w:rsidR="004553EE" w:rsidRPr="0056063D">
        <w:rPr>
          <w:rFonts w:ascii="Times New Roman" w:hAnsi="Times New Roman" w:cs="Times New Roman"/>
          <w:szCs w:val="24"/>
        </w:rPr>
        <w:t xml:space="preserve"> tankowania wodoru, w tym bunkrowania wodoru,</w:t>
      </w:r>
      <w:r w:rsidR="007C4702" w:rsidRPr="0056063D">
        <w:rPr>
          <w:rFonts w:ascii="Times New Roman" w:hAnsi="Times New Roman" w:cs="Times New Roman"/>
          <w:szCs w:val="24"/>
        </w:rPr>
        <w:t xml:space="preserve"> będą realizowane </w:t>
      </w:r>
      <w:r w:rsidR="004553EE" w:rsidRPr="0056063D">
        <w:rPr>
          <w:rFonts w:ascii="Times New Roman" w:hAnsi="Times New Roman" w:cs="Times New Roman"/>
          <w:szCs w:val="24"/>
        </w:rPr>
        <w:t>zgodnie z zasadą „nie czyń poważnej szkody”</w:t>
      </w:r>
      <w:r w:rsidR="004553EE" w:rsidRPr="0056063D">
        <w:rPr>
          <w:rStyle w:val="Odwoanieprzypisudolnego"/>
          <w:rFonts w:ascii="Times New Roman" w:hAnsi="Times New Roman"/>
          <w:szCs w:val="24"/>
        </w:rPr>
        <w:footnoteReference w:id="2"/>
      </w:r>
      <w:r w:rsidR="007C4702" w:rsidRPr="0056063D">
        <w:rPr>
          <w:rFonts w:ascii="Times New Roman" w:hAnsi="Times New Roman" w:cs="Times New Roman"/>
          <w:szCs w:val="24"/>
        </w:rPr>
        <w:t>.</w:t>
      </w:r>
      <w:r w:rsidR="004553EE" w:rsidRPr="0056063D">
        <w:rPr>
          <w:rFonts w:ascii="Times New Roman" w:hAnsi="Times New Roman" w:cs="Times New Roman"/>
          <w:szCs w:val="24"/>
        </w:rPr>
        <w:t xml:space="preserve"> </w:t>
      </w:r>
      <w:r w:rsidR="00E67B4D" w:rsidRPr="0056063D">
        <w:rPr>
          <w:rFonts w:ascii="Times New Roman" w:hAnsi="Times New Roman" w:cs="Times New Roman"/>
          <w:szCs w:val="24"/>
        </w:rPr>
        <w:t xml:space="preserve">Stacje tankowania </w:t>
      </w:r>
      <w:r w:rsidR="000B654D">
        <w:rPr>
          <w:rFonts w:ascii="Times New Roman" w:hAnsi="Times New Roman" w:cs="Times New Roman"/>
          <w:szCs w:val="24"/>
        </w:rPr>
        <w:t xml:space="preserve">wodoru </w:t>
      </w:r>
      <w:r w:rsidR="000848FB" w:rsidRPr="0056063D">
        <w:rPr>
          <w:rFonts w:ascii="Times New Roman" w:hAnsi="Times New Roman" w:cs="Times New Roman"/>
          <w:szCs w:val="24"/>
        </w:rPr>
        <w:t>wspierane</w:t>
      </w:r>
      <w:r w:rsidR="00E67B4D" w:rsidRPr="0056063D">
        <w:rPr>
          <w:rFonts w:ascii="Times New Roman" w:hAnsi="Times New Roman" w:cs="Times New Roman"/>
          <w:szCs w:val="24"/>
        </w:rPr>
        <w:t xml:space="preserve"> w ramach projektowanego rozporządzenia będą musiały zapewnić </w:t>
      </w:r>
      <w:r w:rsidR="000848FB" w:rsidRPr="0056063D">
        <w:rPr>
          <w:rFonts w:ascii="Times New Roman" w:hAnsi="Times New Roman" w:cs="Times New Roman"/>
          <w:szCs w:val="24"/>
        </w:rPr>
        <w:t xml:space="preserve">dostarczanie wodoru odnawialnego dla pojazdów w całym cyklu </w:t>
      </w:r>
      <w:r w:rsidR="00C20442">
        <w:rPr>
          <w:rFonts w:ascii="Times New Roman" w:hAnsi="Times New Roman" w:cs="Times New Roman"/>
          <w:szCs w:val="24"/>
        </w:rPr>
        <w:t xml:space="preserve">ich </w:t>
      </w:r>
      <w:r w:rsidR="000848FB" w:rsidRPr="0056063D">
        <w:rPr>
          <w:rFonts w:ascii="Times New Roman" w:hAnsi="Times New Roman" w:cs="Times New Roman"/>
          <w:szCs w:val="24"/>
        </w:rPr>
        <w:t>życia</w:t>
      </w:r>
      <w:r w:rsidR="00E67B4D" w:rsidRPr="0056063D">
        <w:rPr>
          <w:rFonts w:ascii="Times New Roman" w:hAnsi="Times New Roman" w:cs="Times New Roman"/>
          <w:szCs w:val="24"/>
        </w:rPr>
        <w:t>.</w:t>
      </w:r>
    </w:p>
    <w:p w14:paraId="6772E6B7" w14:textId="666AADF7" w:rsidR="00597F7A" w:rsidRPr="0056063D" w:rsidRDefault="00123B51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Mając na uwadze dotychczasowy brak regulacji w tym zakresie d</w:t>
      </w:r>
      <w:r w:rsidR="00E54314" w:rsidRPr="0056063D">
        <w:rPr>
          <w:rFonts w:ascii="Times New Roman" w:hAnsi="Times New Roman" w:cs="Times New Roman"/>
          <w:szCs w:val="24"/>
        </w:rPr>
        <w:t xml:space="preserve">la realizacji powyższych celów niezbędne </w:t>
      </w:r>
      <w:r w:rsidR="0080664E" w:rsidRPr="0056063D">
        <w:rPr>
          <w:rFonts w:ascii="Times New Roman" w:hAnsi="Times New Roman" w:cs="Times New Roman"/>
          <w:szCs w:val="24"/>
        </w:rPr>
        <w:t xml:space="preserve">jest </w:t>
      </w:r>
      <w:r w:rsidR="00344399" w:rsidRPr="0056063D">
        <w:rPr>
          <w:rFonts w:ascii="Times New Roman" w:hAnsi="Times New Roman" w:cs="Times New Roman"/>
          <w:szCs w:val="24"/>
        </w:rPr>
        <w:t xml:space="preserve">określenie warunków, których spełnienie uprości procedurę dla udzielania </w:t>
      </w:r>
      <w:r w:rsidR="0080664E" w:rsidRPr="0056063D">
        <w:rPr>
          <w:rFonts w:ascii="Times New Roman" w:hAnsi="Times New Roman" w:cs="Times New Roman"/>
          <w:szCs w:val="24"/>
        </w:rPr>
        <w:t>pomocy publicznej na inwestycje</w:t>
      </w:r>
      <w:r w:rsidR="00E54314" w:rsidRPr="0056063D">
        <w:rPr>
          <w:rFonts w:ascii="Times New Roman" w:hAnsi="Times New Roman" w:cs="Times New Roman"/>
          <w:szCs w:val="24"/>
        </w:rPr>
        <w:t xml:space="preserve"> wodorowe</w:t>
      </w:r>
      <w:r w:rsidR="00597F7A" w:rsidRPr="0056063D">
        <w:rPr>
          <w:rFonts w:ascii="Times New Roman" w:hAnsi="Times New Roman" w:cs="Times New Roman"/>
          <w:szCs w:val="24"/>
        </w:rPr>
        <w:t>.</w:t>
      </w:r>
    </w:p>
    <w:p w14:paraId="3E09E4CE" w14:textId="65A7554B" w:rsidR="00DB76AA" w:rsidRPr="0056063D" w:rsidRDefault="00597F7A" w:rsidP="0056063D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Projektowane rozporządzenie </w:t>
      </w:r>
      <w:r w:rsidR="00C57DF7">
        <w:rPr>
          <w:rFonts w:ascii="Times New Roman" w:hAnsi="Times New Roman" w:cs="Times New Roman"/>
          <w:szCs w:val="24"/>
        </w:rPr>
        <w:t>opracowano m.in. na podstawie</w:t>
      </w:r>
      <w:r w:rsidR="00DB76AA" w:rsidRPr="0056063D">
        <w:rPr>
          <w:rFonts w:ascii="Times New Roman" w:hAnsi="Times New Roman" w:cs="Times New Roman"/>
          <w:szCs w:val="24"/>
        </w:rPr>
        <w:t>:</w:t>
      </w:r>
    </w:p>
    <w:p w14:paraId="1C9B8303" w14:textId="16676073" w:rsidR="00597F7A" w:rsidRPr="00410659" w:rsidRDefault="00597F7A" w:rsidP="005606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659">
        <w:rPr>
          <w:rFonts w:ascii="Times New Roman" w:hAnsi="Times New Roman" w:cs="Times New Roman"/>
          <w:sz w:val="24"/>
          <w:szCs w:val="24"/>
        </w:rPr>
        <w:t>rozporządzeni</w:t>
      </w:r>
      <w:r w:rsidR="00C57DF7">
        <w:rPr>
          <w:rFonts w:ascii="Times New Roman" w:hAnsi="Times New Roman" w:cs="Times New Roman"/>
          <w:sz w:val="24"/>
          <w:szCs w:val="24"/>
        </w:rPr>
        <w:t>a</w:t>
      </w:r>
      <w:r w:rsidRPr="00410659">
        <w:rPr>
          <w:rFonts w:ascii="Times New Roman" w:hAnsi="Times New Roman" w:cs="Times New Roman"/>
          <w:sz w:val="24"/>
          <w:szCs w:val="24"/>
        </w:rPr>
        <w:t xml:space="preserve"> Komisji (UE) nr 651/2014 z dnia 17 czerwca 2014 r. uznające</w:t>
      </w:r>
      <w:r w:rsidR="00C57DF7">
        <w:rPr>
          <w:rFonts w:ascii="Times New Roman" w:hAnsi="Times New Roman" w:cs="Times New Roman"/>
          <w:sz w:val="24"/>
          <w:szCs w:val="24"/>
        </w:rPr>
        <w:t>go</w:t>
      </w:r>
      <w:r w:rsidRPr="00410659">
        <w:rPr>
          <w:rFonts w:ascii="Times New Roman" w:hAnsi="Times New Roman" w:cs="Times New Roman"/>
          <w:sz w:val="24"/>
          <w:szCs w:val="24"/>
        </w:rPr>
        <w:t xml:space="preserve"> niektóre rodzaje pomocy za zgodne z rynkiem wewnętrznym w zastosowaniu art. 107 i 108 Traktatu</w:t>
      </w:r>
      <w:r w:rsidR="0055263B" w:rsidRPr="0056063D">
        <w:rPr>
          <w:rFonts w:ascii="Times New Roman" w:hAnsi="Times New Roman" w:cs="Times New Roman"/>
          <w:sz w:val="24"/>
          <w:szCs w:val="24"/>
        </w:rPr>
        <w:t xml:space="preserve"> (</w:t>
      </w:r>
      <w:r w:rsidR="0055263B" w:rsidRPr="00410659">
        <w:rPr>
          <w:rFonts w:ascii="Times New Roman" w:hAnsi="Times New Roman" w:cs="Times New Roman"/>
          <w:sz w:val="24"/>
          <w:szCs w:val="24"/>
        </w:rPr>
        <w:t>Dz. Urz. UE L 187 z 2</w:t>
      </w:r>
      <w:r w:rsidR="001434A9">
        <w:rPr>
          <w:rFonts w:ascii="Times New Roman" w:hAnsi="Times New Roman" w:cs="Times New Roman"/>
          <w:sz w:val="24"/>
          <w:szCs w:val="24"/>
        </w:rPr>
        <w:t>6.06.2014, str. 1, z późn. zm.)</w:t>
      </w:r>
      <w:r w:rsidRPr="00410659">
        <w:rPr>
          <w:rFonts w:ascii="Times New Roman" w:hAnsi="Times New Roman" w:cs="Times New Roman"/>
          <w:sz w:val="24"/>
          <w:szCs w:val="24"/>
        </w:rPr>
        <w:t>, zwane</w:t>
      </w:r>
      <w:r w:rsidR="00C57DF7">
        <w:rPr>
          <w:rFonts w:ascii="Times New Roman" w:hAnsi="Times New Roman" w:cs="Times New Roman"/>
          <w:sz w:val="24"/>
          <w:szCs w:val="24"/>
        </w:rPr>
        <w:t>go</w:t>
      </w:r>
      <w:r w:rsidRPr="00410659">
        <w:rPr>
          <w:rFonts w:ascii="Times New Roman" w:hAnsi="Times New Roman" w:cs="Times New Roman"/>
          <w:sz w:val="24"/>
          <w:szCs w:val="24"/>
        </w:rPr>
        <w:t xml:space="preserve"> dalej „rozporządzeniem nr 651/2014”, które w przedmiotowym zakresie określa kategorie pomocy oraz warunki, na jakich przyznawana pomoc</w:t>
      </w:r>
      <w:r w:rsidR="00BF5B1E" w:rsidRPr="00410659">
        <w:rPr>
          <w:rFonts w:ascii="Times New Roman" w:hAnsi="Times New Roman" w:cs="Times New Roman"/>
          <w:sz w:val="24"/>
          <w:szCs w:val="24"/>
        </w:rPr>
        <w:t xml:space="preserve"> publiczna</w:t>
      </w:r>
      <w:r w:rsidRPr="009313FD">
        <w:rPr>
          <w:rFonts w:ascii="Times New Roman" w:hAnsi="Times New Roman" w:cs="Times New Roman"/>
          <w:sz w:val="24"/>
          <w:szCs w:val="24"/>
        </w:rPr>
        <w:t xml:space="preserve"> może być uznana za zgodną ze wspólnym rynkiem w rozumieniu art. 107 ust. 3 Traktatu </w:t>
      </w:r>
      <w:r w:rsidR="00C57DF7" w:rsidRPr="009313FD">
        <w:rPr>
          <w:rFonts w:ascii="Times New Roman" w:hAnsi="Times New Roman" w:cs="Times New Roman"/>
          <w:sz w:val="24"/>
          <w:szCs w:val="24"/>
        </w:rPr>
        <w:t>o</w:t>
      </w:r>
      <w:r w:rsidR="00C57DF7">
        <w:rPr>
          <w:rFonts w:ascii="Times New Roman" w:hAnsi="Times New Roman" w:cs="Times New Roman"/>
          <w:sz w:val="24"/>
          <w:szCs w:val="24"/>
        </w:rPr>
        <w:t xml:space="preserve"> </w:t>
      </w:r>
      <w:r w:rsidRPr="00410659">
        <w:rPr>
          <w:rFonts w:ascii="Times New Roman" w:hAnsi="Times New Roman" w:cs="Times New Roman"/>
          <w:sz w:val="24"/>
          <w:szCs w:val="24"/>
        </w:rPr>
        <w:t>funkcjonowaniu Unii Europejskiej</w:t>
      </w:r>
      <w:r w:rsidR="00C57DF7">
        <w:rPr>
          <w:rFonts w:ascii="Times New Roman" w:hAnsi="Times New Roman" w:cs="Times New Roman"/>
          <w:sz w:val="24"/>
          <w:szCs w:val="24"/>
        </w:rPr>
        <w:t xml:space="preserve"> (Dz. Urz. UE C 326 z 26.10.2012, str. 47)</w:t>
      </w:r>
      <w:r w:rsidRPr="00410659">
        <w:rPr>
          <w:rFonts w:ascii="Times New Roman" w:hAnsi="Times New Roman" w:cs="Times New Roman"/>
          <w:sz w:val="24"/>
          <w:szCs w:val="24"/>
        </w:rPr>
        <w:t>, zwanego dalej „TFUE”, oraz wyłączona z wymogu zgłoszenia, o któ</w:t>
      </w:r>
      <w:r w:rsidR="00DB76AA" w:rsidRPr="00410659">
        <w:rPr>
          <w:rFonts w:ascii="Times New Roman" w:hAnsi="Times New Roman" w:cs="Times New Roman"/>
          <w:sz w:val="24"/>
          <w:szCs w:val="24"/>
        </w:rPr>
        <w:t xml:space="preserve">rym mowa </w:t>
      </w:r>
      <w:r w:rsidR="00C57DF7" w:rsidRPr="009313FD">
        <w:rPr>
          <w:rFonts w:ascii="Times New Roman" w:hAnsi="Times New Roman" w:cs="Times New Roman"/>
          <w:sz w:val="24"/>
          <w:szCs w:val="24"/>
        </w:rPr>
        <w:t>w</w:t>
      </w:r>
      <w:r w:rsidR="00C57DF7">
        <w:rPr>
          <w:rFonts w:ascii="Times New Roman" w:hAnsi="Times New Roman" w:cs="Times New Roman"/>
          <w:sz w:val="24"/>
          <w:szCs w:val="24"/>
        </w:rPr>
        <w:t> </w:t>
      </w:r>
      <w:r w:rsidR="00DB76AA" w:rsidRPr="00410659">
        <w:rPr>
          <w:rFonts w:ascii="Times New Roman" w:hAnsi="Times New Roman" w:cs="Times New Roman"/>
          <w:sz w:val="24"/>
          <w:szCs w:val="24"/>
        </w:rPr>
        <w:t>art. 108 ust. 3 TFUE;</w:t>
      </w:r>
    </w:p>
    <w:p w14:paraId="1AAD41E6" w14:textId="46C51E45" w:rsidR="007A28F9" w:rsidRPr="00D86543" w:rsidRDefault="00A64B34" w:rsidP="005606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komunikatu Komisji - W</w:t>
      </w:r>
      <w:r w:rsidR="007A28F9" w:rsidRPr="00410659">
        <w:rPr>
          <w:rFonts w:ascii="Times New Roman" w:hAnsi="Times New Roman" w:cs="Times New Roman"/>
          <w:iCs/>
          <w:sz w:val="24"/>
          <w:szCs w:val="24"/>
        </w:rPr>
        <w:t>ytyczn</w:t>
      </w:r>
      <w:r w:rsidR="00C57DF7">
        <w:rPr>
          <w:rFonts w:ascii="Times New Roman" w:hAnsi="Times New Roman" w:cs="Times New Roman"/>
          <w:iCs/>
          <w:sz w:val="24"/>
          <w:szCs w:val="24"/>
        </w:rPr>
        <w:t xml:space="preserve">ych </w:t>
      </w:r>
      <w:r w:rsidR="007A28F9" w:rsidRPr="009313FD">
        <w:rPr>
          <w:rFonts w:ascii="Times New Roman" w:hAnsi="Times New Roman" w:cs="Times New Roman"/>
          <w:iCs/>
          <w:sz w:val="24"/>
          <w:szCs w:val="24"/>
        </w:rPr>
        <w:t>w sprawie regionalnej pomocy państwa (Dz. Urz. UE C 153 z 29.04.2021, str. 1)</w:t>
      </w:r>
      <w:r w:rsidR="007A28F9" w:rsidRPr="009313FD">
        <w:rPr>
          <w:rFonts w:ascii="Times New Roman" w:hAnsi="Times New Roman" w:cs="Times New Roman"/>
          <w:sz w:val="24"/>
          <w:szCs w:val="24"/>
        </w:rPr>
        <w:t>;</w:t>
      </w:r>
    </w:p>
    <w:p w14:paraId="5040B8D2" w14:textId="30D713C0" w:rsidR="00597F7A" w:rsidRPr="00D86543" w:rsidRDefault="002D2798" w:rsidP="005606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543">
        <w:rPr>
          <w:rFonts w:ascii="Times New Roman" w:hAnsi="Times New Roman" w:cs="Times New Roman"/>
          <w:iCs/>
          <w:sz w:val="24"/>
          <w:szCs w:val="24"/>
        </w:rPr>
        <w:t>rozporządzeni</w:t>
      </w:r>
      <w:r w:rsidR="00C57DF7">
        <w:rPr>
          <w:rFonts w:ascii="Times New Roman" w:hAnsi="Times New Roman" w:cs="Times New Roman"/>
          <w:iCs/>
          <w:sz w:val="24"/>
          <w:szCs w:val="24"/>
        </w:rPr>
        <w:t>a</w:t>
      </w:r>
      <w:r w:rsidRPr="00410659">
        <w:rPr>
          <w:rFonts w:ascii="Times New Roman" w:hAnsi="Times New Roman" w:cs="Times New Roman"/>
          <w:iCs/>
          <w:sz w:val="24"/>
          <w:szCs w:val="24"/>
        </w:rPr>
        <w:t xml:space="preserve"> Rady Ministrów z dnia 14 grudnia 2021 r. w sprawie ustalenia mapy pomocy regionalnej na lata 2022</w:t>
      </w:r>
      <w:r w:rsidR="00F77AE2" w:rsidRPr="009313FD">
        <w:rPr>
          <w:rFonts w:ascii="Times New Roman" w:hAnsi="Times New Roman" w:cs="Times New Roman"/>
          <w:iCs/>
          <w:sz w:val="24"/>
          <w:szCs w:val="24"/>
        </w:rPr>
        <w:t>–</w:t>
      </w:r>
      <w:r w:rsidRPr="009313FD">
        <w:rPr>
          <w:rFonts w:ascii="Times New Roman" w:hAnsi="Times New Roman" w:cs="Times New Roman"/>
          <w:iCs/>
          <w:sz w:val="24"/>
          <w:szCs w:val="24"/>
        </w:rPr>
        <w:t>2027 (Dz.</w:t>
      </w:r>
      <w:r w:rsidR="000C4411" w:rsidRPr="009313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13FD">
        <w:rPr>
          <w:rFonts w:ascii="Times New Roman" w:hAnsi="Times New Roman" w:cs="Times New Roman"/>
          <w:iCs/>
          <w:sz w:val="24"/>
          <w:szCs w:val="24"/>
        </w:rPr>
        <w:t>U. poz. 2422).</w:t>
      </w:r>
    </w:p>
    <w:p w14:paraId="0F3098DA" w14:textId="65E45959" w:rsidR="0098066B" w:rsidRPr="0056063D" w:rsidRDefault="00987AC7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lastRenderedPageBreak/>
        <w:tab/>
      </w:r>
      <w:r w:rsidR="0098066B" w:rsidRPr="0056063D">
        <w:rPr>
          <w:rFonts w:ascii="Times New Roman" w:hAnsi="Times New Roman" w:cs="Times New Roman"/>
          <w:szCs w:val="24"/>
        </w:rPr>
        <w:t xml:space="preserve">Przepisy projektu rozporządzenia zostały podzielone na </w:t>
      </w:r>
      <w:r w:rsidR="00537003" w:rsidRPr="0056063D">
        <w:rPr>
          <w:rFonts w:ascii="Times New Roman" w:hAnsi="Times New Roman" w:cs="Times New Roman"/>
          <w:szCs w:val="24"/>
        </w:rPr>
        <w:t>siedem</w:t>
      </w:r>
      <w:r w:rsidR="0098066B" w:rsidRPr="0056063D">
        <w:rPr>
          <w:rFonts w:ascii="Times New Roman" w:hAnsi="Times New Roman" w:cs="Times New Roman"/>
          <w:szCs w:val="24"/>
        </w:rPr>
        <w:t xml:space="preserve"> rozdziałów, w których zawarto </w:t>
      </w:r>
      <w:r w:rsidR="00514016">
        <w:rPr>
          <w:rFonts w:ascii="Times New Roman" w:hAnsi="Times New Roman" w:cs="Times New Roman"/>
          <w:szCs w:val="24"/>
        </w:rPr>
        <w:t xml:space="preserve">m.in. </w:t>
      </w:r>
      <w:r w:rsidR="0098066B" w:rsidRPr="0056063D">
        <w:rPr>
          <w:rFonts w:ascii="Times New Roman" w:hAnsi="Times New Roman" w:cs="Times New Roman"/>
          <w:szCs w:val="24"/>
        </w:rPr>
        <w:t xml:space="preserve">przepisy ogólne oraz </w:t>
      </w:r>
      <w:r w:rsidR="00514016">
        <w:rPr>
          <w:rFonts w:ascii="Times New Roman" w:hAnsi="Times New Roman" w:cs="Times New Roman"/>
          <w:szCs w:val="24"/>
        </w:rPr>
        <w:t xml:space="preserve">przepisy </w:t>
      </w:r>
      <w:r w:rsidR="0098066B" w:rsidRPr="0056063D">
        <w:rPr>
          <w:rFonts w:ascii="Times New Roman" w:hAnsi="Times New Roman" w:cs="Times New Roman"/>
          <w:szCs w:val="24"/>
        </w:rPr>
        <w:t>szczegółowe dotyczące danej kategorii pomocy</w:t>
      </w:r>
      <w:r w:rsidR="00514016">
        <w:rPr>
          <w:rFonts w:ascii="Times New Roman" w:hAnsi="Times New Roman" w:cs="Times New Roman"/>
          <w:szCs w:val="24"/>
        </w:rPr>
        <w:t>,</w:t>
      </w:r>
      <w:r w:rsidR="007A28F9" w:rsidRPr="0056063D">
        <w:rPr>
          <w:rFonts w:ascii="Times New Roman" w:hAnsi="Times New Roman" w:cs="Times New Roman"/>
          <w:szCs w:val="24"/>
        </w:rPr>
        <w:t xml:space="preserve"> zgodnie z kategoriami </w:t>
      </w:r>
      <w:r w:rsidR="00514016">
        <w:rPr>
          <w:rFonts w:ascii="Times New Roman" w:hAnsi="Times New Roman" w:cs="Times New Roman"/>
          <w:szCs w:val="24"/>
        </w:rPr>
        <w:t xml:space="preserve">pomocy </w:t>
      </w:r>
      <w:r w:rsidR="007A28F9" w:rsidRPr="0056063D">
        <w:rPr>
          <w:rFonts w:ascii="Times New Roman" w:hAnsi="Times New Roman" w:cs="Times New Roman"/>
          <w:szCs w:val="24"/>
        </w:rPr>
        <w:t xml:space="preserve">określonymi w art. 1 ust. 1 rozporządzenia nr </w:t>
      </w:r>
      <w:r w:rsidR="000A3131" w:rsidRPr="0056063D">
        <w:rPr>
          <w:rFonts w:ascii="Times New Roman" w:hAnsi="Times New Roman" w:cs="Times New Roman"/>
          <w:szCs w:val="24"/>
        </w:rPr>
        <w:t>651/2014</w:t>
      </w:r>
      <w:r w:rsidR="0098066B" w:rsidRPr="0056063D">
        <w:rPr>
          <w:rFonts w:ascii="Times New Roman" w:hAnsi="Times New Roman" w:cs="Times New Roman"/>
          <w:szCs w:val="24"/>
        </w:rPr>
        <w:t xml:space="preserve">: </w:t>
      </w:r>
    </w:p>
    <w:p w14:paraId="6E65D2B7" w14:textId="68E530B6" w:rsidR="0098066B" w:rsidRPr="0056063D" w:rsidRDefault="0098066B" w:rsidP="0056063D">
      <w:pPr>
        <w:pStyle w:val="ARTartustawynprozporzdzenia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Cs w:val="24"/>
        </w:rPr>
      </w:pPr>
      <w:r w:rsidRPr="0056063D">
        <w:rPr>
          <w:rFonts w:ascii="Times New Roman" w:hAnsi="Times New Roman" w:cs="Times New Roman"/>
          <w:b/>
          <w:bCs/>
          <w:szCs w:val="24"/>
        </w:rPr>
        <w:t>W rozdziale 1 umieszczono przepisy ogólne.</w:t>
      </w:r>
    </w:p>
    <w:p w14:paraId="5DFF3C56" w14:textId="6488D3AB" w:rsidR="006A51C4" w:rsidRPr="0056063D" w:rsidRDefault="006F2E41" w:rsidP="0056063D">
      <w:pPr>
        <w:pStyle w:val="CZWSPPKTczwsplnapunktw"/>
        <w:spacing w:before="120" w:line="240" w:lineRule="auto"/>
        <w:ind w:firstLine="510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1 projektu został </w:t>
      </w:r>
      <w:r w:rsidR="00886354" w:rsidRPr="0056063D">
        <w:rPr>
          <w:rFonts w:ascii="Times New Roman" w:hAnsi="Times New Roman" w:cs="Times New Roman"/>
          <w:szCs w:val="24"/>
        </w:rPr>
        <w:t xml:space="preserve">określony </w:t>
      </w:r>
      <w:r w:rsidRPr="0056063D">
        <w:rPr>
          <w:rFonts w:ascii="Times New Roman" w:hAnsi="Times New Roman" w:cs="Times New Roman"/>
          <w:szCs w:val="24"/>
        </w:rPr>
        <w:t xml:space="preserve">zakres </w:t>
      </w:r>
      <w:r w:rsidR="008E6562" w:rsidRPr="0056063D">
        <w:rPr>
          <w:rFonts w:ascii="Times New Roman" w:hAnsi="Times New Roman" w:cs="Times New Roman"/>
          <w:szCs w:val="24"/>
        </w:rPr>
        <w:t xml:space="preserve">przedmiotowy </w:t>
      </w:r>
      <w:r w:rsidRPr="0056063D">
        <w:rPr>
          <w:rFonts w:ascii="Times New Roman" w:hAnsi="Times New Roman" w:cs="Times New Roman"/>
          <w:szCs w:val="24"/>
        </w:rPr>
        <w:t xml:space="preserve">projektowanej regulacji </w:t>
      </w:r>
      <w:r w:rsidR="00FC66AD" w:rsidRPr="0056063D">
        <w:rPr>
          <w:rFonts w:ascii="Times New Roman" w:hAnsi="Times New Roman" w:cs="Times New Roman"/>
          <w:szCs w:val="24"/>
        </w:rPr>
        <w:t xml:space="preserve">w ramach inwestycji B2.1.1. Inwestycje w technologie wodorowe, wytwarzanie, magazynowanie </w:t>
      </w:r>
      <w:r w:rsidR="00514016" w:rsidRPr="0056063D">
        <w:rPr>
          <w:rFonts w:ascii="Times New Roman" w:hAnsi="Times New Roman" w:cs="Times New Roman"/>
          <w:szCs w:val="24"/>
        </w:rPr>
        <w:t>i</w:t>
      </w:r>
      <w:r w:rsidR="00514016">
        <w:rPr>
          <w:rFonts w:ascii="Times New Roman" w:hAnsi="Times New Roman" w:cs="Times New Roman"/>
          <w:szCs w:val="24"/>
        </w:rPr>
        <w:t> </w:t>
      </w:r>
      <w:r w:rsidR="00FC66AD" w:rsidRPr="0056063D">
        <w:rPr>
          <w:rFonts w:ascii="Times New Roman" w:hAnsi="Times New Roman" w:cs="Times New Roman"/>
          <w:szCs w:val="24"/>
        </w:rPr>
        <w:t>transport</w:t>
      </w:r>
      <w:r w:rsidR="007C4702" w:rsidRPr="0056063D">
        <w:rPr>
          <w:rFonts w:ascii="Times New Roman" w:hAnsi="Times New Roman" w:cs="Times New Roman"/>
          <w:szCs w:val="24"/>
        </w:rPr>
        <w:t xml:space="preserve"> wodoru</w:t>
      </w:r>
      <w:r w:rsidR="00514016">
        <w:rPr>
          <w:rFonts w:ascii="Times New Roman" w:hAnsi="Times New Roman" w:cs="Times New Roman"/>
          <w:szCs w:val="24"/>
        </w:rPr>
        <w:t xml:space="preserve"> w ramach </w:t>
      </w:r>
      <w:r w:rsidR="005411EC" w:rsidRPr="0056063D">
        <w:rPr>
          <w:rFonts w:ascii="Times New Roman" w:hAnsi="Times New Roman" w:cs="Times New Roman"/>
          <w:szCs w:val="24"/>
        </w:rPr>
        <w:t>KPO</w:t>
      </w:r>
      <w:r w:rsidR="00886354" w:rsidRPr="0056063D">
        <w:rPr>
          <w:rFonts w:ascii="Times New Roman" w:hAnsi="Times New Roman" w:cs="Times New Roman"/>
          <w:szCs w:val="24"/>
        </w:rPr>
        <w:t>, oraz wskazano ob</w:t>
      </w:r>
      <w:r w:rsidR="00E54314" w:rsidRPr="0056063D">
        <w:rPr>
          <w:rFonts w:ascii="Times New Roman" w:hAnsi="Times New Roman" w:cs="Times New Roman"/>
          <w:szCs w:val="24"/>
        </w:rPr>
        <w:t>s</w:t>
      </w:r>
      <w:r w:rsidR="00886354" w:rsidRPr="0056063D">
        <w:rPr>
          <w:rFonts w:ascii="Times New Roman" w:hAnsi="Times New Roman" w:cs="Times New Roman"/>
          <w:szCs w:val="24"/>
        </w:rPr>
        <w:t xml:space="preserve">zary przeznaczone do wsparcia </w:t>
      </w:r>
      <w:r w:rsidR="00514016" w:rsidRPr="0056063D">
        <w:rPr>
          <w:rFonts w:ascii="Times New Roman" w:hAnsi="Times New Roman" w:cs="Times New Roman"/>
          <w:szCs w:val="24"/>
        </w:rPr>
        <w:t>w</w:t>
      </w:r>
      <w:r w:rsidR="00514016">
        <w:rPr>
          <w:rFonts w:ascii="Times New Roman" w:hAnsi="Times New Roman" w:cs="Times New Roman"/>
          <w:szCs w:val="24"/>
        </w:rPr>
        <w:t> </w:t>
      </w:r>
      <w:r w:rsidR="00886354" w:rsidRPr="0056063D">
        <w:rPr>
          <w:rFonts w:ascii="Times New Roman" w:hAnsi="Times New Roman" w:cs="Times New Roman"/>
          <w:szCs w:val="24"/>
        </w:rPr>
        <w:t>ramach pomocy publicznej.</w:t>
      </w:r>
    </w:p>
    <w:p w14:paraId="2CF32A1C" w14:textId="4C65D68D" w:rsidR="002314B5" w:rsidRPr="0056063D" w:rsidRDefault="002314B5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2 </w:t>
      </w:r>
      <w:r w:rsidR="00514016">
        <w:rPr>
          <w:rFonts w:ascii="Times New Roman" w:hAnsi="Times New Roman" w:cs="Times New Roman"/>
          <w:szCs w:val="24"/>
        </w:rPr>
        <w:t xml:space="preserve">projektu </w:t>
      </w:r>
      <w:r w:rsidRPr="0056063D">
        <w:rPr>
          <w:rFonts w:ascii="Times New Roman" w:hAnsi="Times New Roman" w:cs="Times New Roman"/>
          <w:szCs w:val="24"/>
        </w:rPr>
        <w:t xml:space="preserve">wskazano wyłączenia stosowania rozporządzenia wynikające </w:t>
      </w:r>
      <w:r w:rsidR="00514016" w:rsidRPr="0056063D">
        <w:rPr>
          <w:rFonts w:ascii="Times New Roman" w:hAnsi="Times New Roman" w:cs="Times New Roman"/>
          <w:szCs w:val="24"/>
        </w:rPr>
        <w:t>z</w:t>
      </w:r>
      <w:r w:rsidR="00514016">
        <w:rPr>
          <w:rFonts w:ascii="Times New Roman" w:hAnsi="Times New Roman" w:cs="Times New Roman"/>
          <w:szCs w:val="24"/>
        </w:rPr>
        <w:t> </w:t>
      </w:r>
      <w:r w:rsidRPr="00410659">
        <w:rPr>
          <w:rFonts w:ascii="Times New Roman" w:hAnsi="Times New Roman" w:cs="Times New Roman"/>
          <w:szCs w:val="24"/>
        </w:rPr>
        <w:t>rozporządzenia</w:t>
      </w:r>
      <w:r w:rsidRPr="009313FD">
        <w:rPr>
          <w:rFonts w:ascii="Times New Roman" w:hAnsi="Times New Roman" w:cs="Times New Roman"/>
          <w:szCs w:val="24"/>
        </w:rPr>
        <w:t xml:space="preserve"> nr 651/2014</w:t>
      </w:r>
      <w:r w:rsidR="00514016">
        <w:rPr>
          <w:rFonts w:ascii="Times New Roman" w:hAnsi="Times New Roman" w:cs="Times New Roman"/>
          <w:szCs w:val="24"/>
        </w:rPr>
        <w:t xml:space="preserve">. W </w:t>
      </w:r>
      <w:r w:rsidRPr="00410659">
        <w:rPr>
          <w:rFonts w:ascii="Times New Roman" w:hAnsi="Times New Roman" w:cs="Times New Roman"/>
          <w:szCs w:val="24"/>
        </w:rPr>
        <w:t xml:space="preserve">§ </w:t>
      </w:r>
      <w:r w:rsidR="0098066B" w:rsidRPr="009313FD">
        <w:rPr>
          <w:rFonts w:ascii="Times New Roman" w:hAnsi="Times New Roman" w:cs="Times New Roman"/>
          <w:szCs w:val="24"/>
        </w:rPr>
        <w:t>3</w:t>
      </w:r>
      <w:r w:rsidRPr="009313FD">
        <w:rPr>
          <w:rFonts w:ascii="Times New Roman" w:hAnsi="Times New Roman" w:cs="Times New Roman"/>
          <w:szCs w:val="24"/>
        </w:rPr>
        <w:t xml:space="preserve"> </w:t>
      </w:r>
      <w:r w:rsidR="00514016">
        <w:rPr>
          <w:rFonts w:ascii="Times New Roman" w:hAnsi="Times New Roman" w:cs="Times New Roman"/>
          <w:szCs w:val="24"/>
        </w:rPr>
        <w:t xml:space="preserve">projektu </w:t>
      </w:r>
      <w:r w:rsidRPr="00410659">
        <w:rPr>
          <w:rFonts w:ascii="Times New Roman" w:hAnsi="Times New Roman" w:cs="Times New Roman"/>
          <w:szCs w:val="24"/>
        </w:rPr>
        <w:t>umieszczono słowniczek.</w:t>
      </w:r>
    </w:p>
    <w:p w14:paraId="536C57AD" w14:textId="73655183" w:rsidR="00977D39" w:rsidRPr="0056063D" w:rsidRDefault="002563B4" w:rsidP="0056063D">
      <w:pPr>
        <w:pStyle w:val="ARTartustawynprozporzdzenia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Cs w:val="24"/>
        </w:rPr>
      </w:pPr>
      <w:r w:rsidRPr="0056063D">
        <w:rPr>
          <w:rFonts w:ascii="Times New Roman" w:hAnsi="Times New Roman" w:cs="Times New Roman"/>
          <w:b/>
          <w:bCs/>
          <w:szCs w:val="24"/>
        </w:rPr>
        <w:t xml:space="preserve">W rozdziale </w:t>
      </w:r>
      <w:r w:rsidR="00B73FB2" w:rsidRPr="0056063D">
        <w:rPr>
          <w:rFonts w:ascii="Times New Roman" w:hAnsi="Times New Roman" w:cs="Times New Roman"/>
          <w:b/>
          <w:bCs/>
          <w:szCs w:val="24"/>
        </w:rPr>
        <w:t>2</w:t>
      </w:r>
      <w:r w:rsidRPr="0056063D">
        <w:rPr>
          <w:rFonts w:ascii="Times New Roman" w:hAnsi="Times New Roman" w:cs="Times New Roman"/>
          <w:b/>
          <w:bCs/>
          <w:szCs w:val="24"/>
        </w:rPr>
        <w:t xml:space="preserve"> umieszczono przepisy </w:t>
      </w:r>
      <w:r w:rsidR="00B73FB2" w:rsidRPr="0056063D">
        <w:rPr>
          <w:rFonts w:ascii="Times New Roman" w:hAnsi="Times New Roman" w:cs="Times New Roman"/>
          <w:b/>
          <w:bCs/>
          <w:szCs w:val="24"/>
        </w:rPr>
        <w:t xml:space="preserve">dotyczące pomocy </w:t>
      </w:r>
      <w:r w:rsidR="00DD6687" w:rsidRPr="0056063D">
        <w:rPr>
          <w:rFonts w:ascii="Times New Roman" w:hAnsi="Times New Roman" w:cs="Times New Roman"/>
          <w:b/>
          <w:bCs/>
          <w:szCs w:val="24"/>
        </w:rPr>
        <w:t>publicznej</w:t>
      </w:r>
      <w:r w:rsidR="005542B8" w:rsidRPr="0056063D">
        <w:rPr>
          <w:rFonts w:ascii="Times New Roman" w:hAnsi="Times New Roman" w:cs="Times New Roman"/>
          <w:b/>
          <w:bCs/>
          <w:szCs w:val="24"/>
        </w:rPr>
        <w:t>.</w:t>
      </w:r>
    </w:p>
    <w:p w14:paraId="5FD32E8C" w14:textId="33D47BBE" w:rsidR="002563B4" w:rsidRPr="0056063D" w:rsidRDefault="002563B4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DD6687" w:rsidRPr="0056063D">
        <w:rPr>
          <w:rFonts w:ascii="Times New Roman" w:hAnsi="Times New Roman" w:cs="Times New Roman"/>
          <w:szCs w:val="24"/>
        </w:rPr>
        <w:t>4</w:t>
      </w:r>
      <w:r w:rsidR="002314B5" w:rsidRPr="0056063D">
        <w:rPr>
          <w:rFonts w:ascii="Times New Roman" w:hAnsi="Times New Roman" w:cs="Times New Roman"/>
          <w:szCs w:val="24"/>
        </w:rPr>
        <w:t xml:space="preserve"> </w:t>
      </w:r>
      <w:r w:rsidR="00514016">
        <w:rPr>
          <w:rFonts w:ascii="Times New Roman" w:hAnsi="Times New Roman" w:cs="Times New Roman"/>
          <w:szCs w:val="24"/>
        </w:rPr>
        <w:t xml:space="preserve">projektu </w:t>
      </w:r>
      <w:r w:rsidRPr="0056063D">
        <w:rPr>
          <w:rFonts w:ascii="Times New Roman" w:hAnsi="Times New Roman" w:cs="Times New Roman"/>
          <w:szCs w:val="24"/>
        </w:rPr>
        <w:t xml:space="preserve">określono </w:t>
      </w:r>
      <w:r w:rsidR="002314B5" w:rsidRPr="0056063D">
        <w:rPr>
          <w:rFonts w:ascii="Times New Roman" w:hAnsi="Times New Roman" w:cs="Times New Roman"/>
          <w:szCs w:val="24"/>
        </w:rPr>
        <w:t xml:space="preserve">ogólne zasady udzielania pomocy na podstawie projektowanego rozporządzenia jako zgodne z rozporządzeniem </w:t>
      </w:r>
      <w:r w:rsidRPr="0056063D">
        <w:rPr>
          <w:rFonts w:ascii="Times New Roman" w:hAnsi="Times New Roman" w:cs="Times New Roman"/>
          <w:szCs w:val="24"/>
        </w:rPr>
        <w:t>nr 651/2014</w:t>
      </w:r>
      <w:r w:rsidR="00514016">
        <w:rPr>
          <w:rFonts w:ascii="Times New Roman" w:hAnsi="Times New Roman" w:cs="Times New Roman"/>
          <w:szCs w:val="24"/>
        </w:rPr>
        <w:t>,</w:t>
      </w:r>
      <w:r w:rsidRPr="0056063D">
        <w:rPr>
          <w:rFonts w:ascii="Times New Roman" w:hAnsi="Times New Roman" w:cs="Times New Roman"/>
          <w:szCs w:val="24"/>
        </w:rPr>
        <w:t xml:space="preserve"> uznającym niektóre rodzaje pomocy za zgodne z rynkiem wewnętrznym</w:t>
      </w:r>
      <w:r w:rsidR="00FA2B40" w:rsidRPr="0056063D">
        <w:rPr>
          <w:rFonts w:ascii="Times New Roman" w:hAnsi="Times New Roman" w:cs="Times New Roman"/>
          <w:szCs w:val="24"/>
        </w:rPr>
        <w:t xml:space="preserve">. Przyjęto, </w:t>
      </w:r>
      <w:r w:rsidR="003C67F8" w:rsidRPr="0056063D">
        <w:rPr>
          <w:rFonts w:ascii="Times New Roman" w:hAnsi="Times New Roman" w:cs="Times New Roman"/>
          <w:szCs w:val="24"/>
        </w:rPr>
        <w:t>ż</w:t>
      </w:r>
      <w:r w:rsidR="00FA2B40" w:rsidRPr="0056063D">
        <w:rPr>
          <w:rFonts w:ascii="Times New Roman" w:hAnsi="Times New Roman" w:cs="Times New Roman"/>
          <w:szCs w:val="24"/>
        </w:rPr>
        <w:t>e pomoc będzie udzielana</w:t>
      </w:r>
      <w:r w:rsidR="00827AAC" w:rsidRPr="0056063D">
        <w:rPr>
          <w:rFonts w:ascii="Times New Roman" w:hAnsi="Times New Roman" w:cs="Times New Roman"/>
          <w:szCs w:val="24"/>
        </w:rPr>
        <w:t xml:space="preserve"> </w:t>
      </w:r>
      <w:r w:rsidR="00514016" w:rsidRPr="0056063D">
        <w:rPr>
          <w:rFonts w:ascii="Times New Roman" w:hAnsi="Times New Roman" w:cs="Times New Roman"/>
          <w:szCs w:val="24"/>
        </w:rPr>
        <w:t>w</w:t>
      </w:r>
      <w:r w:rsidR="00514016">
        <w:rPr>
          <w:rFonts w:ascii="Times New Roman" w:hAnsi="Times New Roman" w:cs="Times New Roman"/>
          <w:szCs w:val="24"/>
        </w:rPr>
        <w:t> </w:t>
      </w:r>
      <w:r w:rsidR="00827AAC" w:rsidRPr="0056063D">
        <w:rPr>
          <w:rFonts w:ascii="Times New Roman" w:hAnsi="Times New Roman" w:cs="Times New Roman"/>
          <w:szCs w:val="24"/>
        </w:rPr>
        <w:t>kategoriach:</w:t>
      </w:r>
      <w:r w:rsidR="00FA2B40" w:rsidRPr="0056063D">
        <w:rPr>
          <w:rFonts w:ascii="Times New Roman" w:hAnsi="Times New Roman" w:cs="Times New Roman"/>
          <w:szCs w:val="24"/>
        </w:rPr>
        <w:t xml:space="preserve"> pomoc na badania, rozwój oraz innowacje, pomoc na </w:t>
      </w:r>
      <w:r w:rsidR="00965D8E" w:rsidRPr="0056063D">
        <w:rPr>
          <w:rFonts w:ascii="Times New Roman" w:hAnsi="Times New Roman" w:cs="Times New Roman"/>
          <w:szCs w:val="24"/>
        </w:rPr>
        <w:t>ochronę</w:t>
      </w:r>
      <w:r w:rsidR="00FA2B40" w:rsidRPr="0056063D">
        <w:rPr>
          <w:rFonts w:ascii="Times New Roman" w:hAnsi="Times New Roman" w:cs="Times New Roman"/>
          <w:szCs w:val="24"/>
        </w:rPr>
        <w:t xml:space="preserve"> środowiska</w:t>
      </w:r>
      <w:r w:rsidR="00AE0E5C" w:rsidRPr="0056063D">
        <w:rPr>
          <w:rFonts w:ascii="Times New Roman" w:hAnsi="Times New Roman" w:cs="Times New Roman"/>
          <w:szCs w:val="24"/>
        </w:rPr>
        <w:t xml:space="preserve"> </w:t>
      </w:r>
      <w:r w:rsidR="00827AAC" w:rsidRPr="0056063D">
        <w:rPr>
          <w:rFonts w:ascii="Times New Roman" w:hAnsi="Times New Roman" w:cs="Times New Roman"/>
          <w:szCs w:val="24"/>
        </w:rPr>
        <w:t>naturalnego</w:t>
      </w:r>
      <w:r w:rsidR="00FA2B40" w:rsidRPr="0056063D">
        <w:rPr>
          <w:rFonts w:ascii="Times New Roman" w:hAnsi="Times New Roman" w:cs="Times New Roman"/>
          <w:szCs w:val="24"/>
        </w:rPr>
        <w:t>,</w:t>
      </w:r>
      <w:r w:rsidR="00965D8E" w:rsidRPr="0056063D">
        <w:rPr>
          <w:rFonts w:ascii="Times New Roman" w:hAnsi="Times New Roman" w:cs="Times New Roman"/>
          <w:szCs w:val="24"/>
        </w:rPr>
        <w:t xml:space="preserve"> pomoc na rzecz portów</w:t>
      </w:r>
      <w:r w:rsidR="00827AAC" w:rsidRPr="0056063D">
        <w:rPr>
          <w:rFonts w:ascii="Times New Roman" w:hAnsi="Times New Roman" w:cs="Times New Roman"/>
          <w:szCs w:val="24"/>
        </w:rPr>
        <w:t xml:space="preserve"> oraz pomoc regionalna</w:t>
      </w:r>
      <w:r w:rsidR="00965D8E" w:rsidRPr="0056063D">
        <w:rPr>
          <w:rFonts w:ascii="Times New Roman" w:hAnsi="Times New Roman" w:cs="Times New Roman"/>
          <w:szCs w:val="24"/>
        </w:rPr>
        <w:t>.</w:t>
      </w:r>
    </w:p>
    <w:p w14:paraId="7B7B951B" w14:textId="76F4E4E4" w:rsidR="00291C01" w:rsidRDefault="00965D8E" w:rsidP="007E0846">
      <w:pPr>
        <w:pStyle w:val="ARTartustawynprozporzdzenia"/>
        <w:spacing w:line="240" w:lineRule="auto"/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5F0EA1" w:rsidRPr="0056063D">
        <w:rPr>
          <w:rFonts w:ascii="Times New Roman" w:hAnsi="Times New Roman" w:cs="Times New Roman"/>
          <w:szCs w:val="24"/>
        </w:rPr>
        <w:t>5</w:t>
      </w:r>
      <w:r w:rsidR="002314B5" w:rsidRPr="0056063D">
        <w:rPr>
          <w:rFonts w:ascii="Times New Roman" w:hAnsi="Times New Roman" w:cs="Times New Roman"/>
          <w:szCs w:val="24"/>
        </w:rPr>
        <w:t xml:space="preserve"> </w:t>
      </w:r>
      <w:r w:rsidR="00514016">
        <w:rPr>
          <w:rFonts w:ascii="Times New Roman" w:hAnsi="Times New Roman" w:cs="Times New Roman"/>
          <w:szCs w:val="24"/>
        </w:rPr>
        <w:t xml:space="preserve">projektu </w:t>
      </w:r>
      <w:r w:rsidRPr="0056063D">
        <w:rPr>
          <w:rFonts w:ascii="Times New Roman" w:hAnsi="Times New Roman" w:cs="Times New Roman"/>
          <w:szCs w:val="24"/>
        </w:rPr>
        <w:t xml:space="preserve">ustalono, </w:t>
      </w:r>
      <w:r w:rsidR="00514016">
        <w:rPr>
          <w:rFonts w:ascii="Times New Roman" w:hAnsi="Times New Roman" w:cs="Times New Roman"/>
          <w:szCs w:val="24"/>
        </w:rPr>
        <w:t>ż</w:t>
      </w:r>
      <w:r w:rsidRPr="0056063D">
        <w:rPr>
          <w:rFonts w:ascii="Times New Roman" w:hAnsi="Times New Roman" w:cs="Times New Roman"/>
          <w:szCs w:val="24"/>
        </w:rPr>
        <w:t>e pomoc będzie udzielana w formie dotacji</w:t>
      </w:r>
      <w:r w:rsidR="00291C01">
        <w:rPr>
          <w:rFonts w:ascii="Times New Roman" w:hAnsi="Times New Roman" w:cs="Times New Roman"/>
          <w:szCs w:val="24"/>
        </w:rPr>
        <w:t>,</w:t>
      </w:r>
      <w:r w:rsidR="00291C01" w:rsidRPr="00291C01">
        <w:t xml:space="preserve"> </w:t>
      </w:r>
      <w:r w:rsidR="00291C01">
        <w:t xml:space="preserve">o </w:t>
      </w:r>
      <w:r w:rsidR="00291C01" w:rsidRPr="002C51CC">
        <w:t>których mowa w</w:t>
      </w:r>
      <w:r w:rsidR="007E0846">
        <w:t> </w:t>
      </w:r>
      <w:r w:rsidR="00291C01" w:rsidRPr="002C51CC">
        <w:t>art. 5 ust. 2 lit. a rozporządzenia nr 651/2014</w:t>
      </w:r>
      <w:r w:rsidR="003C67F8" w:rsidRPr="0056063D">
        <w:rPr>
          <w:rFonts w:ascii="Times New Roman" w:hAnsi="Times New Roman" w:cs="Times New Roman"/>
          <w:szCs w:val="24"/>
        </w:rPr>
        <w:t>.</w:t>
      </w:r>
      <w:r w:rsidR="00B717E3" w:rsidRPr="0056063D">
        <w:rPr>
          <w:rFonts w:ascii="Times New Roman" w:hAnsi="Times New Roman" w:cs="Times New Roman"/>
          <w:szCs w:val="24"/>
        </w:rPr>
        <w:t xml:space="preserve"> </w:t>
      </w:r>
    </w:p>
    <w:p w14:paraId="1AB65D35" w14:textId="16B366CD" w:rsidR="005F0EA1" w:rsidRPr="00291C01" w:rsidRDefault="00374FD0" w:rsidP="00291C01">
      <w:pPr>
        <w:pStyle w:val="ARTartustawynprozporzdzenia"/>
        <w:spacing w:line="240" w:lineRule="auto"/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5F0EA1" w:rsidRPr="0056063D">
        <w:rPr>
          <w:rFonts w:ascii="Times New Roman" w:hAnsi="Times New Roman" w:cs="Times New Roman"/>
          <w:szCs w:val="24"/>
        </w:rPr>
        <w:t>6</w:t>
      </w:r>
      <w:r w:rsidRPr="0056063D">
        <w:rPr>
          <w:rFonts w:ascii="Times New Roman" w:hAnsi="Times New Roman" w:cs="Times New Roman"/>
          <w:szCs w:val="24"/>
        </w:rPr>
        <w:t xml:space="preserve"> </w:t>
      </w:r>
      <w:r w:rsidR="00514016">
        <w:rPr>
          <w:rFonts w:ascii="Times New Roman" w:hAnsi="Times New Roman" w:cs="Times New Roman"/>
          <w:szCs w:val="24"/>
        </w:rPr>
        <w:t xml:space="preserve">projektu </w:t>
      </w:r>
      <w:r w:rsidR="00EA0457" w:rsidRPr="0056063D">
        <w:rPr>
          <w:rFonts w:ascii="Times New Roman" w:hAnsi="Times New Roman" w:cs="Times New Roman"/>
          <w:szCs w:val="24"/>
        </w:rPr>
        <w:t>wskazano</w:t>
      </w:r>
      <w:r w:rsidRPr="0056063D">
        <w:rPr>
          <w:rFonts w:ascii="Times New Roman" w:hAnsi="Times New Roman" w:cs="Times New Roman"/>
          <w:szCs w:val="24"/>
        </w:rPr>
        <w:t xml:space="preserve"> limit</w:t>
      </w:r>
      <w:r w:rsidR="00CE1C84" w:rsidRPr="0056063D">
        <w:rPr>
          <w:rFonts w:ascii="Times New Roman" w:hAnsi="Times New Roman" w:cs="Times New Roman"/>
          <w:szCs w:val="24"/>
        </w:rPr>
        <w:t>y</w:t>
      </w:r>
      <w:r w:rsidRPr="0056063D">
        <w:rPr>
          <w:rFonts w:ascii="Times New Roman" w:hAnsi="Times New Roman" w:cs="Times New Roman"/>
          <w:szCs w:val="24"/>
        </w:rPr>
        <w:t xml:space="preserve"> wysokości pomocy publicznej udzielanej </w:t>
      </w:r>
      <w:r w:rsidR="00CE1C84" w:rsidRPr="0056063D">
        <w:rPr>
          <w:rFonts w:ascii="Times New Roman" w:hAnsi="Times New Roman" w:cs="Times New Roman"/>
          <w:szCs w:val="24"/>
        </w:rPr>
        <w:t xml:space="preserve">dla pomocy </w:t>
      </w:r>
      <w:r w:rsidR="00AE0E5C" w:rsidRPr="0056063D">
        <w:rPr>
          <w:rFonts w:ascii="Times New Roman" w:hAnsi="Times New Roman" w:cs="Times New Roman"/>
          <w:szCs w:val="24"/>
        </w:rPr>
        <w:t xml:space="preserve">dla kategorii pomoc na badania, rozwój oraz innowacje, pomoc na ochronę środowiska naturalnego </w:t>
      </w:r>
      <w:r w:rsidR="00B7154B" w:rsidRPr="0056063D">
        <w:rPr>
          <w:rFonts w:ascii="Times New Roman" w:hAnsi="Times New Roman" w:cs="Times New Roman"/>
          <w:szCs w:val="24"/>
        </w:rPr>
        <w:t xml:space="preserve">i </w:t>
      </w:r>
      <w:r w:rsidR="00AE0E5C" w:rsidRPr="0056063D">
        <w:rPr>
          <w:rFonts w:ascii="Times New Roman" w:hAnsi="Times New Roman" w:cs="Times New Roman"/>
          <w:szCs w:val="24"/>
        </w:rPr>
        <w:t>pomoc regionaln</w:t>
      </w:r>
      <w:r w:rsidR="009E74FC" w:rsidRPr="0056063D">
        <w:rPr>
          <w:rFonts w:ascii="Times New Roman" w:hAnsi="Times New Roman" w:cs="Times New Roman"/>
          <w:szCs w:val="24"/>
        </w:rPr>
        <w:t>ą.</w:t>
      </w:r>
    </w:p>
    <w:p w14:paraId="1A86F277" w14:textId="30832E7F" w:rsidR="00965D8E" w:rsidRPr="0056063D" w:rsidRDefault="005F0EA1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>W § 7</w:t>
      </w:r>
      <w:r w:rsidR="00CE1C84" w:rsidRPr="0056063D">
        <w:rPr>
          <w:rFonts w:ascii="Times New Roman" w:hAnsi="Times New Roman" w:cs="Times New Roman"/>
          <w:szCs w:val="24"/>
        </w:rPr>
        <w:t xml:space="preserve"> </w:t>
      </w:r>
      <w:r w:rsidR="00514016">
        <w:rPr>
          <w:rFonts w:ascii="Times New Roman" w:hAnsi="Times New Roman" w:cs="Times New Roman"/>
          <w:szCs w:val="24"/>
        </w:rPr>
        <w:t xml:space="preserve">projektu </w:t>
      </w:r>
      <w:r w:rsidR="00EA0457" w:rsidRPr="0056063D">
        <w:rPr>
          <w:rFonts w:ascii="Times New Roman" w:hAnsi="Times New Roman" w:cs="Times New Roman"/>
          <w:szCs w:val="24"/>
        </w:rPr>
        <w:t>wskazano natomiast</w:t>
      </w:r>
      <w:r w:rsidR="00CE1C84" w:rsidRPr="0056063D">
        <w:rPr>
          <w:rFonts w:ascii="Times New Roman" w:hAnsi="Times New Roman" w:cs="Times New Roman"/>
          <w:szCs w:val="24"/>
        </w:rPr>
        <w:t xml:space="preserve"> limity wysokości kosztów kwalifikowalnych dla pomocy publicznej udzielanej na rzecz portów.</w:t>
      </w:r>
    </w:p>
    <w:p w14:paraId="55A6A572" w14:textId="1B2AB51B" w:rsidR="00465629" w:rsidRPr="0056063D" w:rsidRDefault="003C67F8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8 </w:t>
      </w:r>
      <w:r w:rsidR="00614938" w:rsidRPr="0056063D">
        <w:rPr>
          <w:rFonts w:ascii="Times New Roman" w:hAnsi="Times New Roman" w:cs="Times New Roman"/>
          <w:szCs w:val="24"/>
        </w:rPr>
        <w:t xml:space="preserve">ust. 1 </w:t>
      </w:r>
      <w:r w:rsidR="00514016">
        <w:rPr>
          <w:rFonts w:ascii="Times New Roman" w:hAnsi="Times New Roman" w:cs="Times New Roman"/>
          <w:szCs w:val="24"/>
        </w:rPr>
        <w:t xml:space="preserve">projektu </w:t>
      </w:r>
      <w:r w:rsidR="00EA0457" w:rsidRPr="0056063D">
        <w:rPr>
          <w:rFonts w:ascii="Times New Roman" w:hAnsi="Times New Roman" w:cs="Times New Roman"/>
          <w:szCs w:val="24"/>
        </w:rPr>
        <w:t>ustalono</w:t>
      </w:r>
      <w:r w:rsidRPr="0056063D">
        <w:rPr>
          <w:rFonts w:ascii="Times New Roman" w:hAnsi="Times New Roman" w:cs="Times New Roman"/>
          <w:szCs w:val="24"/>
        </w:rPr>
        <w:t xml:space="preserve">, że w przypadku, gdy pomoc publiczna przekroczy kwoty określone w rozporządzeniu </w:t>
      </w:r>
      <w:r w:rsidRPr="00410659">
        <w:rPr>
          <w:rFonts w:ascii="Times New Roman" w:hAnsi="Times New Roman" w:cs="Times New Roman"/>
          <w:szCs w:val="24"/>
        </w:rPr>
        <w:t>nr 651/2014, pomoc ta</w:t>
      </w:r>
      <w:r w:rsidR="00EA0457" w:rsidRPr="009313FD">
        <w:rPr>
          <w:rFonts w:ascii="Times New Roman" w:hAnsi="Times New Roman" w:cs="Times New Roman"/>
          <w:szCs w:val="24"/>
        </w:rPr>
        <w:t>ka</w:t>
      </w:r>
      <w:r w:rsidRPr="009313FD">
        <w:rPr>
          <w:rFonts w:ascii="Times New Roman" w:hAnsi="Times New Roman" w:cs="Times New Roman"/>
          <w:szCs w:val="24"/>
        </w:rPr>
        <w:t xml:space="preserve"> będzie stanowić pomoc indywidualną podlegającą notyfikacji Komisji Europejskiej</w:t>
      </w:r>
      <w:r w:rsidR="00EA0457" w:rsidRPr="009313FD">
        <w:rPr>
          <w:rFonts w:ascii="Times New Roman" w:hAnsi="Times New Roman" w:cs="Times New Roman"/>
          <w:szCs w:val="24"/>
        </w:rPr>
        <w:t>. Pomoc indywidualna będzie mogła być udzielona</w:t>
      </w:r>
      <w:r w:rsidRPr="009313FD">
        <w:rPr>
          <w:rFonts w:ascii="Times New Roman" w:hAnsi="Times New Roman" w:cs="Times New Roman"/>
          <w:szCs w:val="24"/>
        </w:rPr>
        <w:t xml:space="preserve"> po jej zatwierdzeniu pr</w:t>
      </w:r>
      <w:r w:rsidRPr="00D86543">
        <w:rPr>
          <w:rFonts w:ascii="Times New Roman" w:hAnsi="Times New Roman" w:cs="Times New Roman"/>
          <w:szCs w:val="24"/>
        </w:rPr>
        <w:t>zez Komisję Europejską.</w:t>
      </w:r>
      <w:r w:rsidR="00614938" w:rsidRPr="00D86543">
        <w:rPr>
          <w:rFonts w:ascii="Times New Roman" w:hAnsi="Times New Roman" w:cs="Times New Roman"/>
          <w:szCs w:val="24"/>
        </w:rPr>
        <w:t xml:space="preserve"> W </w:t>
      </w:r>
      <w:r w:rsidR="00295EC5">
        <w:rPr>
          <w:rFonts w:ascii="Times New Roman" w:hAnsi="Times New Roman" w:cs="Times New Roman"/>
          <w:szCs w:val="24"/>
        </w:rPr>
        <w:t xml:space="preserve">§ 8 </w:t>
      </w:r>
      <w:r w:rsidR="00614938" w:rsidRPr="00410659">
        <w:rPr>
          <w:rFonts w:ascii="Times New Roman" w:hAnsi="Times New Roman" w:cs="Times New Roman"/>
          <w:szCs w:val="24"/>
        </w:rPr>
        <w:t xml:space="preserve">ust. 2 </w:t>
      </w:r>
      <w:r w:rsidR="00295EC5">
        <w:rPr>
          <w:rFonts w:ascii="Times New Roman" w:hAnsi="Times New Roman" w:cs="Times New Roman"/>
          <w:szCs w:val="24"/>
        </w:rPr>
        <w:t xml:space="preserve">projektu </w:t>
      </w:r>
      <w:r w:rsidR="00614938" w:rsidRPr="00410659">
        <w:rPr>
          <w:rFonts w:ascii="Times New Roman" w:hAnsi="Times New Roman" w:cs="Times New Roman"/>
          <w:szCs w:val="24"/>
        </w:rPr>
        <w:t xml:space="preserve">wskazano, że </w:t>
      </w:r>
      <w:r w:rsidR="00614938" w:rsidRPr="0056063D">
        <w:rPr>
          <w:rFonts w:ascii="Times New Roman" w:hAnsi="Times New Roman" w:cs="Times New Roman"/>
          <w:szCs w:val="24"/>
        </w:rPr>
        <w:t xml:space="preserve">kwoty, wskazane w </w:t>
      </w:r>
      <w:r w:rsidR="00AB253B">
        <w:rPr>
          <w:rFonts w:ascii="Times New Roman" w:hAnsi="Times New Roman" w:cs="Times New Roman"/>
          <w:szCs w:val="24"/>
        </w:rPr>
        <w:t>§ 6</w:t>
      </w:r>
      <w:r w:rsidR="00614938" w:rsidRPr="0056063D">
        <w:rPr>
          <w:rFonts w:ascii="Times New Roman" w:hAnsi="Times New Roman" w:cs="Times New Roman"/>
          <w:szCs w:val="24"/>
        </w:rPr>
        <w:t>, dotyczą łącznej pomocy publicznej, która może zostać udzielona na jeden projekt inwestycyjny, w tym pomoc udzielan</w:t>
      </w:r>
      <w:r w:rsidR="00295EC5">
        <w:rPr>
          <w:rFonts w:ascii="Times New Roman" w:hAnsi="Times New Roman" w:cs="Times New Roman"/>
          <w:szCs w:val="24"/>
        </w:rPr>
        <w:t xml:space="preserve">ą </w:t>
      </w:r>
      <w:r w:rsidR="00614938" w:rsidRPr="0056063D">
        <w:rPr>
          <w:rFonts w:ascii="Times New Roman" w:hAnsi="Times New Roman" w:cs="Times New Roman"/>
          <w:szCs w:val="24"/>
        </w:rPr>
        <w:t xml:space="preserve">poza </w:t>
      </w:r>
      <w:r w:rsidR="00295EC5">
        <w:rPr>
          <w:rFonts w:ascii="Times New Roman" w:hAnsi="Times New Roman" w:cs="Times New Roman"/>
          <w:szCs w:val="24"/>
        </w:rPr>
        <w:t xml:space="preserve">zakresem </w:t>
      </w:r>
      <w:r w:rsidR="00614938" w:rsidRPr="0056063D">
        <w:rPr>
          <w:rFonts w:ascii="Times New Roman" w:hAnsi="Times New Roman" w:cs="Times New Roman"/>
          <w:szCs w:val="24"/>
        </w:rPr>
        <w:t>niniejszego rozporządzenia.</w:t>
      </w:r>
    </w:p>
    <w:p w14:paraId="1CE9BE00" w14:textId="0B85AE97" w:rsidR="00E277BA" w:rsidRPr="0056063D" w:rsidRDefault="00465629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E277BA" w:rsidRPr="0056063D">
        <w:rPr>
          <w:rFonts w:ascii="Times New Roman" w:hAnsi="Times New Roman" w:cs="Times New Roman"/>
          <w:szCs w:val="24"/>
        </w:rPr>
        <w:t xml:space="preserve">9 </w:t>
      </w:r>
      <w:r w:rsidR="00295EC5">
        <w:rPr>
          <w:rFonts w:ascii="Times New Roman" w:hAnsi="Times New Roman" w:cs="Times New Roman"/>
          <w:szCs w:val="24"/>
        </w:rPr>
        <w:t xml:space="preserve">ust. 1 projektu </w:t>
      </w:r>
      <w:r w:rsidR="00E277BA" w:rsidRPr="0056063D">
        <w:rPr>
          <w:rFonts w:ascii="Times New Roman" w:hAnsi="Times New Roman" w:cs="Times New Roman"/>
          <w:szCs w:val="24"/>
        </w:rPr>
        <w:t xml:space="preserve">wskazano, że pomoc może </w:t>
      </w:r>
      <w:r w:rsidR="00291C01">
        <w:rPr>
          <w:rFonts w:ascii="Times New Roman" w:hAnsi="Times New Roman" w:cs="Times New Roman"/>
          <w:szCs w:val="24"/>
        </w:rPr>
        <w:t>zostać</w:t>
      </w:r>
      <w:r w:rsidR="00295EC5" w:rsidRPr="0056063D">
        <w:rPr>
          <w:rFonts w:ascii="Times New Roman" w:hAnsi="Times New Roman" w:cs="Times New Roman"/>
          <w:szCs w:val="24"/>
        </w:rPr>
        <w:t xml:space="preserve"> </w:t>
      </w:r>
      <w:r w:rsidR="00E277BA" w:rsidRPr="0056063D">
        <w:rPr>
          <w:rFonts w:ascii="Times New Roman" w:hAnsi="Times New Roman" w:cs="Times New Roman"/>
          <w:szCs w:val="24"/>
        </w:rPr>
        <w:t>przeznaczona na pokrycie</w:t>
      </w:r>
      <w:r w:rsidR="003C67F8" w:rsidRPr="0056063D">
        <w:rPr>
          <w:rFonts w:ascii="Times New Roman" w:hAnsi="Times New Roman" w:cs="Times New Roman"/>
          <w:szCs w:val="24"/>
        </w:rPr>
        <w:t xml:space="preserve"> całości lub części</w:t>
      </w:r>
      <w:r w:rsidR="00E277BA" w:rsidRPr="0056063D">
        <w:rPr>
          <w:rFonts w:ascii="Times New Roman" w:hAnsi="Times New Roman" w:cs="Times New Roman"/>
          <w:szCs w:val="24"/>
        </w:rPr>
        <w:t xml:space="preserve"> kosztów kwalifikowa</w:t>
      </w:r>
      <w:r w:rsidR="00614938" w:rsidRPr="0056063D">
        <w:rPr>
          <w:rFonts w:ascii="Times New Roman" w:hAnsi="Times New Roman" w:cs="Times New Roman"/>
          <w:szCs w:val="24"/>
        </w:rPr>
        <w:t>l</w:t>
      </w:r>
      <w:r w:rsidR="00E277BA" w:rsidRPr="0056063D">
        <w:rPr>
          <w:rFonts w:ascii="Times New Roman" w:hAnsi="Times New Roman" w:cs="Times New Roman"/>
          <w:szCs w:val="24"/>
        </w:rPr>
        <w:t>nych</w:t>
      </w:r>
      <w:r w:rsidR="0025319D" w:rsidRPr="0056063D">
        <w:rPr>
          <w:rFonts w:ascii="Times New Roman" w:hAnsi="Times New Roman" w:cs="Times New Roman"/>
          <w:szCs w:val="24"/>
        </w:rPr>
        <w:t>.</w:t>
      </w:r>
      <w:r w:rsidR="003C67F8" w:rsidRPr="0056063D">
        <w:rPr>
          <w:rFonts w:ascii="Times New Roman" w:hAnsi="Times New Roman" w:cs="Times New Roman"/>
          <w:szCs w:val="24"/>
        </w:rPr>
        <w:t xml:space="preserve"> </w:t>
      </w:r>
      <w:r w:rsidR="00295EC5" w:rsidRPr="00304BF7">
        <w:rPr>
          <w:rFonts w:ascii="Times New Roman" w:hAnsi="Times New Roman" w:cs="Times New Roman"/>
          <w:szCs w:val="24"/>
        </w:rPr>
        <w:t xml:space="preserve">W § 9 </w:t>
      </w:r>
      <w:r w:rsidR="00295EC5">
        <w:rPr>
          <w:rFonts w:ascii="Times New Roman" w:hAnsi="Times New Roman" w:cs="Times New Roman"/>
          <w:szCs w:val="24"/>
        </w:rPr>
        <w:t>ust. 2 o</w:t>
      </w:r>
      <w:r w:rsidR="005411EC" w:rsidRPr="0056063D">
        <w:rPr>
          <w:rFonts w:ascii="Times New Roman" w:hAnsi="Times New Roman" w:cs="Times New Roman"/>
          <w:szCs w:val="24"/>
        </w:rPr>
        <w:t>kreślono także okres kwalifikowalności kosztów, jako zgodny z KPO.</w:t>
      </w:r>
    </w:p>
    <w:p w14:paraId="70B19741" w14:textId="0A6ADA47" w:rsidR="008A6582" w:rsidRPr="00410659" w:rsidRDefault="008A6582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7F7490" w:rsidRPr="0056063D">
        <w:rPr>
          <w:rFonts w:ascii="Times New Roman" w:hAnsi="Times New Roman" w:cs="Times New Roman"/>
          <w:szCs w:val="24"/>
        </w:rPr>
        <w:t xml:space="preserve">10 </w:t>
      </w:r>
      <w:r w:rsidR="00295EC5">
        <w:rPr>
          <w:rFonts w:ascii="Times New Roman" w:hAnsi="Times New Roman" w:cs="Times New Roman"/>
          <w:szCs w:val="24"/>
        </w:rPr>
        <w:t xml:space="preserve">projektu </w:t>
      </w:r>
      <w:r w:rsidR="00B7094D" w:rsidRPr="0056063D">
        <w:rPr>
          <w:rFonts w:ascii="Times New Roman" w:hAnsi="Times New Roman" w:cs="Times New Roman"/>
          <w:szCs w:val="24"/>
        </w:rPr>
        <w:t xml:space="preserve">wskazano zasady kumulacji pomocy jakie będę miały zastosowanie </w:t>
      </w:r>
      <w:r w:rsidR="00D23E2C" w:rsidRPr="0056063D">
        <w:rPr>
          <w:rFonts w:ascii="Times New Roman" w:hAnsi="Times New Roman" w:cs="Times New Roman"/>
          <w:szCs w:val="24"/>
        </w:rPr>
        <w:t xml:space="preserve">zgodnie z rozporządzeniem nr 651/2014. </w:t>
      </w:r>
    </w:p>
    <w:p w14:paraId="7A0323C1" w14:textId="6FE89BB1" w:rsidR="00465629" w:rsidRPr="0056063D" w:rsidRDefault="006E1B7C" w:rsidP="0065592A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0324B2">
        <w:rPr>
          <w:rFonts w:ascii="Times New Roman" w:hAnsi="Times New Roman" w:cs="Times New Roman"/>
          <w:szCs w:val="24"/>
        </w:rPr>
        <w:t>W § 1</w:t>
      </w:r>
      <w:r w:rsidR="007F7490" w:rsidRPr="000324B2">
        <w:rPr>
          <w:rFonts w:ascii="Times New Roman" w:hAnsi="Times New Roman" w:cs="Times New Roman"/>
          <w:szCs w:val="24"/>
        </w:rPr>
        <w:t>1</w:t>
      </w:r>
      <w:r w:rsidRPr="000324B2">
        <w:rPr>
          <w:rFonts w:ascii="Times New Roman" w:hAnsi="Times New Roman" w:cs="Times New Roman"/>
          <w:szCs w:val="24"/>
        </w:rPr>
        <w:t xml:space="preserve"> </w:t>
      </w:r>
      <w:r w:rsidR="00295EC5" w:rsidRPr="000324B2">
        <w:rPr>
          <w:rFonts w:ascii="Times New Roman" w:hAnsi="Times New Roman" w:cs="Times New Roman"/>
          <w:szCs w:val="24"/>
        </w:rPr>
        <w:t xml:space="preserve">projektu </w:t>
      </w:r>
      <w:r w:rsidRPr="000324B2">
        <w:rPr>
          <w:rFonts w:ascii="Times New Roman" w:hAnsi="Times New Roman" w:cs="Times New Roman"/>
          <w:szCs w:val="24"/>
        </w:rPr>
        <w:t xml:space="preserve">określono, że </w:t>
      </w:r>
      <w:r w:rsidR="0065592A" w:rsidRPr="000324B2">
        <w:rPr>
          <w:rFonts w:ascii="Times New Roman" w:hAnsi="Times New Roman" w:cs="Times New Roman"/>
          <w:szCs w:val="24"/>
        </w:rPr>
        <w:t>p</w:t>
      </w:r>
      <w:r w:rsidR="00AB19D0" w:rsidRPr="000324B2">
        <w:rPr>
          <w:rFonts w:ascii="Times New Roman" w:hAnsi="Times New Roman" w:cs="Times New Roman"/>
          <w:szCs w:val="24"/>
        </w:rPr>
        <w:t>odmiotami udzielającymi pomocy, zgodnie z art. 14lc ust. 2 ustawy ZPR są instytucj</w:t>
      </w:r>
      <w:r w:rsidR="00291C01" w:rsidRPr="000324B2">
        <w:rPr>
          <w:rFonts w:ascii="Times New Roman" w:hAnsi="Times New Roman" w:cs="Times New Roman"/>
          <w:szCs w:val="24"/>
        </w:rPr>
        <w:t xml:space="preserve">a </w:t>
      </w:r>
      <w:r w:rsidR="00AB19D0" w:rsidRPr="000324B2">
        <w:rPr>
          <w:rFonts w:ascii="Times New Roman" w:hAnsi="Times New Roman" w:cs="Times New Roman"/>
          <w:szCs w:val="24"/>
        </w:rPr>
        <w:t>odpowiedzialn</w:t>
      </w:r>
      <w:r w:rsidR="00291C01" w:rsidRPr="000324B2">
        <w:rPr>
          <w:rFonts w:ascii="Times New Roman" w:hAnsi="Times New Roman" w:cs="Times New Roman"/>
          <w:szCs w:val="24"/>
        </w:rPr>
        <w:t xml:space="preserve">a </w:t>
      </w:r>
      <w:r w:rsidR="00AB19D0" w:rsidRPr="000324B2">
        <w:rPr>
          <w:rFonts w:ascii="Times New Roman" w:hAnsi="Times New Roman" w:cs="Times New Roman"/>
          <w:szCs w:val="24"/>
        </w:rPr>
        <w:t xml:space="preserve">za realizację inwestycji </w:t>
      </w:r>
      <w:r w:rsidR="00291C01" w:rsidRPr="000324B2">
        <w:t>w rozumieniu art. 14la pkt 1 ustawy</w:t>
      </w:r>
      <w:r w:rsidR="00291C01" w:rsidRPr="000324B2">
        <w:rPr>
          <w:rFonts w:ascii="Times New Roman" w:hAnsi="Times New Roman" w:cs="Times New Roman"/>
          <w:szCs w:val="24"/>
        </w:rPr>
        <w:t xml:space="preserve"> </w:t>
      </w:r>
      <w:r w:rsidR="007E0846" w:rsidRPr="000324B2">
        <w:rPr>
          <w:rFonts w:ascii="Times New Roman" w:hAnsi="Times New Roman" w:cs="Times New Roman"/>
          <w:szCs w:val="24"/>
        </w:rPr>
        <w:t xml:space="preserve">(w tym przypadku minister kierujący działem </w:t>
      </w:r>
      <w:r w:rsidR="000324B2">
        <w:rPr>
          <w:rFonts w:ascii="Times New Roman" w:hAnsi="Times New Roman" w:cs="Times New Roman"/>
          <w:szCs w:val="24"/>
        </w:rPr>
        <w:t xml:space="preserve">administracji rządowej </w:t>
      </w:r>
      <w:r w:rsidR="007E0846" w:rsidRPr="000324B2">
        <w:rPr>
          <w:rFonts w:ascii="Times New Roman" w:hAnsi="Times New Roman" w:cs="Times New Roman"/>
          <w:szCs w:val="24"/>
        </w:rPr>
        <w:t xml:space="preserve">klimat) </w:t>
      </w:r>
      <w:r w:rsidR="00291C01" w:rsidRPr="000324B2">
        <w:rPr>
          <w:rFonts w:ascii="Times New Roman" w:hAnsi="Times New Roman" w:cs="Times New Roman"/>
          <w:szCs w:val="24"/>
        </w:rPr>
        <w:t xml:space="preserve">albo </w:t>
      </w:r>
      <w:r w:rsidR="00AB19D0" w:rsidRPr="000324B2">
        <w:rPr>
          <w:rFonts w:ascii="Times New Roman" w:hAnsi="Times New Roman" w:cs="Times New Roman"/>
          <w:szCs w:val="24"/>
        </w:rPr>
        <w:t>jednostk</w:t>
      </w:r>
      <w:r w:rsidR="00291C01" w:rsidRPr="000324B2">
        <w:rPr>
          <w:rFonts w:ascii="Times New Roman" w:hAnsi="Times New Roman" w:cs="Times New Roman"/>
          <w:szCs w:val="24"/>
        </w:rPr>
        <w:t xml:space="preserve">a </w:t>
      </w:r>
      <w:r w:rsidR="00AB19D0" w:rsidRPr="000324B2">
        <w:rPr>
          <w:rFonts w:ascii="Times New Roman" w:hAnsi="Times New Roman" w:cs="Times New Roman"/>
          <w:szCs w:val="24"/>
        </w:rPr>
        <w:t>wspierając</w:t>
      </w:r>
      <w:r w:rsidR="00291C01" w:rsidRPr="000324B2">
        <w:rPr>
          <w:rFonts w:ascii="Times New Roman" w:hAnsi="Times New Roman" w:cs="Times New Roman"/>
          <w:szCs w:val="24"/>
        </w:rPr>
        <w:t xml:space="preserve">a </w:t>
      </w:r>
      <w:r w:rsidR="00AB19D0" w:rsidRPr="000324B2">
        <w:rPr>
          <w:rFonts w:ascii="Times New Roman" w:hAnsi="Times New Roman" w:cs="Times New Roman"/>
          <w:szCs w:val="24"/>
        </w:rPr>
        <w:t>plan rozwojowy</w:t>
      </w:r>
      <w:r w:rsidR="00291C01" w:rsidRPr="000324B2">
        <w:rPr>
          <w:rFonts w:ascii="Times New Roman" w:hAnsi="Times New Roman" w:cs="Times New Roman"/>
          <w:szCs w:val="24"/>
        </w:rPr>
        <w:t xml:space="preserve"> </w:t>
      </w:r>
      <w:r w:rsidR="00291C01" w:rsidRPr="000324B2">
        <w:t>w rozumieniu art. 14la pkt 4 ustawy</w:t>
      </w:r>
      <w:r w:rsidR="00AB19D0" w:rsidRPr="000324B2">
        <w:rPr>
          <w:rFonts w:ascii="Times New Roman" w:hAnsi="Times New Roman" w:cs="Times New Roman"/>
          <w:szCs w:val="24"/>
        </w:rPr>
        <w:t xml:space="preserve">. </w:t>
      </w:r>
      <w:r w:rsidR="000324B2" w:rsidRPr="000324B2">
        <w:rPr>
          <w:rFonts w:ascii="Times New Roman" w:hAnsi="Times New Roman" w:cs="Times New Roman"/>
          <w:szCs w:val="24"/>
        </w:rPr>
        <w:t>Należy zauważyć, że p</w:t>
      </w:r>
      <w:r w:rsidR="00B046A7" w:rsidRPr="000324B2">
        <w:rPr>
          <w:rFonts w:ascii="Times New Roman" w:hAnsi="Times New Roman" w:cs="Times New Roman"/>
          <w:szCs w:val="24"/>
        </w:rPr>
        <w:t xml:space="preserve">odmiotem udzielającym pomocy może </w:t>
      </w:r>
      <w:r w:rsidR="00AB19D0" w:rsidRPr="000324B2">
        <w:rPr>
          <w:rFonts w:ascii="Times New Roman" w:hAnsi="Times New Roman" w:cs="Times New Roman"/>
          <w:szCs w:val="24"/>
        </w:rPr>
        <w:t>także</w:t>
      </w:r>
      <w:r w:rsidR="00B046A7" w:rsidRPr="000324B2">
        <w:rPr>
          <w:rFonts w:ascii="Times New Roman" w:hAnsi="Times New Roman" w:cs="Times New Roman"/>
          <w:szCs w:val="24"/>
        </w:rPr>
        <w:t xml:space="preserve"> Narodowy Fundusz Ochrony Środowiska i</w:t>
      </w:r>
      <w:r w:rsidR="000324B2">
        <w:rPr>
          <w:rFonts w:ascii="Times New Roman" w:hAnsi="Times New Roman" w:cs="Times New Roman"/>
          <w:szCs w:val="24"/>
        </w:rPr>
        <w:t> </w:t>
      </w:r>
      <w:r w:rsidR="00B046A7" w:rsidRPr="000324B2">
        <w:rPr>
          <w:rFonts w:ascii="Times New Roman" w:hAnsi="Times New Roman" w:cs="Times New Roman"/>
          <w:szCs w:val="24"/>
        </w:rPr>
        <w:t>Gospodarki Wodnej</w:t>
      </w:r>
      <w:r w:rsidR="007E0846" w:rsidRPr="000324B2">
        <w:rPr>
          <w:rFonts w:ascii="Times New Roman" w:hAnsi="Times New Roman" w:cs="Times New Roman"/>
          <w:szCs w:val="24"/>
        </w:rPr>
        <w:t xml:space="preserve"> (NFOŚiGW),</w:t>
      </w:r>
      <w:r w:rsidR="00B046A7" w:rsidRPr="000324B2">
        <w:rPr>
          <w:rFonts w:ascii="Times New Roman" w:hAnsi="Times New Roman" w:cs="Times New Roman"/>
          <w:szCs w:val="24"/>
        </w:rPr>
        <w:t xml:space="preserve"> </w:t>
      </w:r>
      <w:r w:rsidR="000324B2">
        <w:rPr>
          <w:rFonts w:ascii="Times New Roman" w:hAnsi="Times New Roman" w:cs="Times New Roman"/>
          <w:szCs w:val="24"/>
        </w:rPr>
        <w:t xml:space="preserve">zgodnie z </w:t>
      </w:r>
      <w:r w:rsidR="00AB19D0" w:rsidRPr="000324B2">
        <w:rPr>
          <w:rFonts w:ascii="Times New Roman" w:hAnsi="Times New Roman" w:cs="Times New Roman"/>
          <w:szCs w:val="24"/>
        </w:rPr>
        <w:t>art. 2 pkt 12 ustawy z dnia 30 kwietnia 2004 r. o postępowaniu w sprawach dotyczących pomocy publicznej</w:t>
      </w:r>
      <w:r w:rsidR="0033641F" w:rsidRPr="000324B2">
        <w:rPr>
          <w:rFonts w:ascii="Times New Roman" w:hAnsi="Times New Roman" w:cs="Times New Roman"/>
          <w:szCs w:val="24"/>
        </w:rPr>
        <w:t xml:space="preserve"> (Dz. U. z 2021 r. poz. 743, późn. zm.).</w:t>
      </w:r>
      <w:r w:rsidR="008A6582" w:rsidRPr="000324B2">
        <w:rPr>
          <w:rFonts w:ascii="Times New Roman" w:hAnsi="Times New Roman" w:cs="Times New Roman"/>
          <w:szCs w:val="24"/>
        </w:rPr>
        <w:t xml:space="preserve"> </w:t>
      </w:r>
      <w:r w:rsidR="000324B2">
        <w:rPr>
          <w:rFonts w:ascii="Times New Roman" w:hAnsi="Times New Roman" w:cs="Times New Roman"/>
          <w:szCs w:val="24"/>
        </w:rPr>
        <w:t xml:space="preserve">Mając na uwadze, że </w:t>
      </w:r>
      <w:r w:rsidR="008A6582" w:rsidRPr="000324B2">
        <w:rPr>
          <w:rFonts w:ascii="Times New Roman" w:hAnsi="Times New Roman" w:cs="Times New Roman"/>
          <w:szCs w:val="24"/>
        </w:rPr>
        <w:t xml:space="preserve">podmiotem udzielającym pomocy publicznej może być także, </w:t>
      </w:r>
      <w:r w:rsidR="008A6582" w:rsidRPr="000324B2">
        <w:rPr>
          <w:rFonts w:ascii="Times New Roman" w:hAnsi="Times New Roman" w:cs="Times New Roman"/>
          <w:szCs w:val="24"/>
        </w:rPr>
        <w:lastRenderedPageBreak/>
        <w:t>zgodnie z art. 14lc ust. 3 ustawy ZP</w:t>
      </w:r>
      <w:r w:rsidR="007E0846" w:rsidRPr="000324B2">
        <w:rPr>
          <w:rFonts w:ascii="Times New Roman" w:hAnsi="Times New Roman" w:cs="Times New Roman"/>
          <w:szCs w:val="24"/>
        </w:rPr>
        <w:t>R</w:t>
      </w:r>
      <w:r w:rsidR="008A6582" w:rsidRPr="000324B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0846" w:rsidRPr="000324B2">
        <w:rPr>
          <w:rFonts w:ascii="Times New Roman" w:hAnsi="Times New Roman" w:cs="Times New Roman"/>
          <w:szCs w:val="24"/>
        </w:rPr>
        <w:t>NFOŚiG</w:t>
      </w:r>
      <w:proofErr w:type="spellEnd"/>
      <w:r w:rsidR="007E0846" w:rsidRPr="000324B2">
        <w:rPr>
          <w:rFonts w:ascii="Times New Roman" w:hAnsi="Times New Roman" w:cs="Times New Roman"/>
          <w:szCs w:val="24"/>
        </w:rPr>
        <w:t xml:space="preserve"> będzie on</w:t>
      </w:r>
      <w:r w:rsidR="000324B2" w:rsidRPr="000324B2">
        <w:rPr>
          <w:rFonts w:ascii="Times New Roman" w:hAnsi="Times New Roman" w:cs="Times New Roman"/>
          <w:szCs w:val="24"/>
        </w:rPr>
        <w:t xml:space="preserve"> </w:t>
      </w:r>
      <w:r w:rsidR="0065592A" w:rsidRPr="000324B2">
        <w:rPr>
          <w:rFonts w:ascii="Times New Roman" w:hAnsi="Times New Roman" w:cs="Times New Roman"/>
          <w:szCs w:val="24"/>
        </w:rPr>
        <w:t>jednostk</w:t>
      </w:r>
      <w:r w:rsidR="000324B2" w:rsidRPr="000324B2">
        <w:rPr>
          <w:rFonts w:ascii="Times New Roman" w:hAnsi="Times New Roman" w:cs="Times New Roman"/>
          <w:szCs w:val="24"/>
        </w:rPr>
        <w:t xml:space="preserve">ą </w:t>
      </w:r>
      <w:r w:rsidR="0065592A" w:rsidRPr="000324B2">
        <w:rPr>
          <w:rFonts w:ascii="Times New Roman" w:hAnsi="Times New Roman" w:cs="Times New Roman"/>
          <w:szCs w:val="24"/>
        </w:rPr>
        <w:t>wspierającą plan rozwojowy</w:t>
      </w:r>
      <w:r w:rsidR="00BF0415">
        <w:rPr>
          <w:rFonts w:ascii="Times New Roman" w:hAnsi="Times New Roman" w:cs="Times New Roman"/>
          <w:szCs w:val="24"/>
        </w:rPr>
        <w:t>,</w:t>
      </w:r>
      <w:r w:rsidR="0065592A" w:rsidRPr="000324B2">
        <w:rPr>
          <w:rFonts w:ascii="Times New Roman" w:hAnsi="Times New Roman" w:cs="Times New Roman"/>
          <w:szCs w:val="24"/>
        </w:rPr>
        <w:t xml:space="preserve"> </w:t>
      </w:r>
      <w:r w:rsidR="000324B2" w:rsidRPr="000324B2">
        <w:rPr>
          <w:rFonts w:ascii="Times New Roman" w:hAnsi="Times New Roman" w:cs="Times New Roman"/>
          <w:szCs w:val="24"/>
        </w:rPr>
        <w:t xml:space="preserve">o której mowa w </w:t>
      </w:r>
      <w:r w:rsidR="008A6582" w:rsidRPr="000324B2">
        <w:rPr>
          <w:rFonts w:ascii="Times New Roman" w:hAnsi="Times New Roman" w:cs="Times New Roman"/>
          <w:szCs w:val="24"/>
        </w:rPr>
        <w:t>§ 1</w:t>
      </w:r>
      <w:r w:rsidR="000247A2" w:rsidRPr="000324B2">
        <w:rPr>
          <w:rFonts w:ascii="Times New Roman" w:hAnsi="Times New Roman" w:cs="Times New Roman"/>
          <w:szCs w:val="24"/>
        </w:rPr>
        <w:t>1</w:t>
      </w:r>
      <w:r w:rsidR="000324B2" w:rsidRPr="000324B2">
        <w:rPr>
          <w:rFonts w:ascii="Times New Roman" w:hAnsi="Times New Roman" w:cs="Times New Roman"/>
          <w:szCs w:val="24"/>
        </w:rPr>
        <w:t xml:space="preserve"> projektu.</w:t>
      </w:r>
    </w:p>
    <w:p w14:paraId="46B81C15" w14:textId="5D8CD40B" w:rsidR="008A6582" w:rsidRPr="0056063D" w:rsidRDefault="0033641F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7F7490" w:rsidRPr="0056063D">
        <w:rPr>
          <w:rFonts w:ascii="Times New Roman" w:hAnsi="Times New Roman" w:cs="Times New Roman"/>
          <w:szCs w:val="24"/>
        </w:rPr>
        <w:t xml:space="preserve">12 </w:t>
      </w:r>
      <w:r w:rsidR="00295EC5">
        <w:rPr>
          <w:rFonts w:ascii="Times New Roman" w:hAnsi="Times New Roman" w:cs="Times New Roman"/>
          <w:szCs w:val="24"/>
        </w:rPr>
        <w:t>projektu</w:t>
      </w:r>
      <w:r w:rsidR="00295EC5" w:rsidRPr="00410659">
        <w:rPr>
          <w:rFonts w:ascii="Times New Roman" w:hAnsi="Times New Roman" w:cs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>określono beneficjentów pomocy publicznej</w:t>
      </w:r>
      <w:r w:rsidR="00B837E3" w:rsidRPr="0056063D">
        <w:rPr>
          <w:rFonts w:ascii="Times New Roman" w:hAnsi="Times New Roman" w:cs="Times New Roman"/>
          <w:szCs w:val="24"/>
        </w:rPr>
        <w:t>, jako przedsiębiorców</w:t>
      </w:r>
      <w:r w:rsidR="00F46B80">
        <w:rPr>
          <w:rFonts w:ascii="Times New Roman" w:hAnsi="Times New Roman" w:cs="Times New Roman"/>
          <w:szCs w:val="24"/>
        </w:rPr>
        <w:t xml:space="preserve">, </w:t>
      </w:r>
      <w:r w:rsidR="008A6582" w:rsidRPr="0056063D">
        <w:rPr>
          <w:rFonts w:ascii="Times New Roman" w:hAnsi="Times New Roman" w:cs="Times New Roman"/>
          <w:szCs w:val="24"/>
        </w:rPr>
        <w:t>oraz w przypadku projektów z zakresu badań, rozwój oraz innowacji</w:t>
      </w:r>
      <w:r w:rsidR="00F46B80">
        <w:rPr>
          <w:rFonts w:ascii="Times New Roman" w:hAnsi="Times New Roman" w:cs="Times New Roman"/>
          <w:szCs w:val="24"/>
        </w:rPr>
        <w:t xml:space="preserve"> także</w:t>
      </w:r>
      <w:r w:rsidR="008A6582" w:rsidRPr="0056063D">
        <w:rPr>
          <w:rFonts w:ascii="Times New Roman" w:hAnsi="Times New Roman" w:cs="Times New Roman"/>
          <w:szCs w:val="24"/>
        </w:rPr>
        <w:t xml:space="preserve"> </w:t>
      </w:r>
      <w:r w:rsidR="00D23E2C" w:rsidRPr="0056063D">
        <w:rPr>
          <w:rFonts w:ascii="Times New Roman" w:hAnsi="Times New Roman" w:cs="Times New Roman"/>
          <w:szCs w:val="24"/>
        </w:rPr>
        <w:t>jednostki naukowe</w:t>
      </w:r>
      <w:r w:rsidR="00F46B80">
        <w:rPr>
          <w:rFonts w:ascii="Times New Roman" w:hAnsi="Times New Roman" w:cs="Times New Roman"/>
          <w:szCs w:val="24"/>
        </w:rPr>
        <w:t>.</w:t>
      </w:r>
    </w:p>
    <w:p w14:paraId="5C269D00" w14:textId="585BEB93" w:rsidR="008A6582" w:rsidRPr="0056063D" w:rsidRDefault="008A6582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45671E" w:rsidRPr="0056063D">
        <w:rPr>
          <w:rFonts w:ascii="Times New Roman" w:hAnsi="Times New Roman" w:cs="Times New Roman"/>
          <w:szCs w:val="24"/>
        </w:rPr>
        <w:t xml:space="preserve">13 </w:t>
      </w:r>
      <w:r w:rsidR="00AA7648">
        <w:rPr>
          <w:rFonts w:ascii="Times New Roman" w:hAnsi="Times New Roman" w:cs="Times New Roman"/>
          <w:szCs w:val="24"/>
        </w:rPr>
        <w:t>projektu</w:t>
      </w:r>
      <w:r w:rsidR="00AA7648" w:rsidRPr="00304BF7">
        <w:rPr>
          <w:rFonts w:ascii="Times New Roman" w:hAnsi="Times New Roman" w:cs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 xml:space="preserve">ustalono, że wybór projektów inwestycyjnych </w:t>
      </w:r>
      <w:r w:rsidR="00AA7648">
        <w:rPr>
          <w:rFonts w:ascii="Times New Roman" w:hAnsi="Times New Roman" w:cs="Times New Roman"/>
          <w:szCs w:val="24"/>
        </w:rPr>
        <w:t xml:space="preserve">objętych </w:t>
      </w:r>
      <w:r w:rsidRPr="0056063D">
        <w:rPr>
          <w:rFonts w:ascii="Times New Roman" w:hAnsi="Times New Roman" w:cs="Times New Roman"/>
          <w:szCs w:val="24"/>
        </w:rPr>
        <w:t xml:space="preserve">pomocą publiczną będzie dokonywany zgodnie z art. 14lz </w:t>
      </w:r>
      <w:bookmarkStart w:id="0" w:name="_Hlk114140243"/>
      <w:r w:rsidR="007848D5" w:rsidRPr="0056063D">
        <w:rPr>
          <w:rFonts w:ascii="Times New Roman" w:hAnsi="Times New Roman" w:cs="Times New Roman"/>
          <w:szCs w:val="24"/>
        </w:rPr>
        <w:t xml:space="preserve">ustawy </w:t>
      </w:r>
      <w:r w:rsidR="0045671E" w:rsidRPr="0056063D">
        <w:rPr>
          <w:rFonts w:ascii="Times New Roman" w:hAnsi="Times New Roman" w:cs="Times New Roman"/>
          <w:szCs w:val="24"/>
        </w:rPr>
        <w:t>ZPR</w:t>
      </w:r>
      <w:r w:rsidRPr="0056063D">
        <w:rPr>
          <w:rFonts w:ascii="Times New Roman" w:hAnsi="Times New Roman" w:cs="Times New Roman"/>
          <w:szCs w:val="24"/>
        </w:rPr>
        <w:t>.</w:t>
      </w:r>
      <w:bookmarkEnd w:id="0"/>
    </w:p>
    <w:p w14:paraId="58AF89A5" w14:textId="4E77A407" w:rsidR="00FA7AE6" w:rsidRPr="0056063D" w:rsidRDefault="008A6582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5127C5" w:rsidRPr="0056063D">
        <w:rPr>
          <w:rFonts w:ascii="Times New Roman" w:hAnsi="Times New Roman" w:cs="Times New Roman"/>
          <w:szCs w:val="24"/>
        </w:rPr>
        <w:t xml:space="preserve">14 </w:t>
      </w:r>
      <w:r w:rsidR="00FA7AE6" w:rsidRPr="0056063D">
        <w:rPr>
          <w:rFonts w:ascii="Times New Roman" w:hAnsi="Times New Roman" w:cs="Times New Roman"/>
          <w:szCs w:val="24"/>
        </w:rPr>
        <w:t xml:space="preserve">ust. </w:t>
      </w:r>
      <w:r w:rsidR="005127C5" w:rsidRPr="0056063D">
        <w:rPr>
          <w:rFonts w:ascii="Times New Roman" w:hAnsi="Times New Roman" w:cs="Times New Roman"/>
          <w:szCs w:val="24"/>
        </w:rPr>
        <w:t xml:space="preserve">1 </w:t>
      </w:r>
      <w:r w:rsidR="00AA7648">
        <w:rPr>
          <w:rFonts w:ascii="Times New Roman" w:hAnsi="Times New Roman" w:cs="Times New Roman"/>
          <w:szCs w:val="24"/>
        </w:rPr>
        <w:t>projektu</w:t>
      </w:r>
      <w:r w:rsidR="00AA7648" w:rsidRPr="00304BF7">
        <w:rPr>
          <w:rFonts w:ascii="Times New Roman" w:hAnsi="Times New Roman" w:cs="Times New Roman"/>
          <w:szCs w:val="24"/>
        </w:rPr>
        <w:t xml:space="preserve"> </w:t>
      </w:r>
      <w:r w:rsidR="00FA7AE6" w:rsidRPr="0056063D">
        <w:rPr>
          <w:rFonts w:ascii="Times New Roman" w:hAnsi="Times New Roman" w:cs="Times New Roman"/>
          <w:szCs w:val="24"/>
        </w:rPr>
        <w:t xml:space="preserve">wskazano, że w celu spełnienia efektu zachęty, o którym mowa </w:t>
      </w:r>
      <w:r w:rsidR="00AA7648" w:rsidRPr="0056063D">
        <w:rPr>
          <w:rFonts w:ascii="Times New Roman" w:hAnsi="Times New Roman" w:cs="Times New Roman"/>
          <w:szCs w:val="24"/>
        </w:rPr>
        <w:t>w</w:t>
      </w:r>
      <w:r w:rsidR="00AA7648">
        <w:rPr>
          <w:rFonts w:ascii="Times New Roman" w:hAnsi="Times New Roman" w:cs="Times New Roman"/>
          <w:szCs w:val="24"/>
        </w:rPr>
        <w:t> </w:t>
      </w:r>
      <w:r w:rsidR="00FA7AE6" w:rsidRPr="0056063D">
        <w:rPr>
          <w:rFonts w:ascii="Times New Roman" w:hAnsi="Times New Roman" w:cs="Times New Roman"/>
          <w:szCs w:val="24"/>
        </w:rPr>
        <w:t>art. 6 rozporządzenia nr 651/2014, wniosek należy złożyć przed rozpoczęciem projektu inwestycyjnego</w:t>
      </w:r>
      <w:r w:rsidR="00AA7648">
        <w:rPr>
          <w:rFonts w:ascii="Times New Roman" w:hAnsi="Times New Roman" w:cs="Times New Roman"/>
          <w:szCs w:val="24"/>
        </w:rPr>
        <w:t xml:space="preserve">. </w:t>
      </w:r>
      <w:r w:rsidR="00FA7AE6" w:rsidRPr="0056063D">
        <w:rPr>
          <w:rFonts w:ascii="Times New Roman" w:hAnsi="Times New Roman" w:cs="Times New Roman"/>
          <w:szCs w:val="24"/>
        </w:rPr>
        <w:t xml:space="preserve">W </w:t>
      </w:r>
      <w:r w:rsidR="00AA7648" w:rsidRPr="00304BF7">
        <w:rPr>
          <w:rFonts w:ascii="Times New Roman" w:hAnsi="Times New Roman" w:cs="Times New Roman"/>
          <w:szCs w:val="24"/>
        </w:rPr>
        <w:t xml:space="preserve">§ 14 </w:t>
      </w:r>
      <w:r w:rsidR="00FA7AE6" w:rsidRPr="0056063D">
        <w:rPr>
          <w:rFonts w:ascii="Times New Roman" w:hAnsi="Times New Roman" w:cs="Times New Roman"/>
          <w:szCs w:val="24"/>
        </w:rPr>
        <w:t xml:space="preserve">ust. 2 </w:t>
      </w:r>
      <w:r w:rsidR="00AA7648">
        <w:rPr>
          <w:rFonts w:ascii="Times New Roman" w:hAnsi="Times New Roman" w:cs="Times New Roman"/>
          <w:szCs w:val="24"/>
        </w:rPr>
        <w:t>projektu</w:t>
      </w:r>
      <w:r w:rsidR="00AA7648" w:rsidRPr="00304BF7">
        <w:rPr>
          <w:rFonts w:ascii="Times New Roman" w:hAnsi="Times New Roman" w:cs="Times New Roman"/>
          <w:szCs w:val="24"/>
        </w:rPr>
        <w:t xml:space="preserve"> </w:t>
      </w:r>
      <w:r w:rsidR="00FA7AE6" w:rsidRPr="0056063D">
        <w:rPr>
          <w:rFonts w:ascii="Times New Roman" w:hAnsi="Times New Roman" w:cs="Times New Roman"/>
          <w:szCs w:val="24"/>
        </w:rPr>
        <w:t xml:space="preserve">określono, </w:t>
      </w:r>
      <w:r w:rsidR="00021217">
        <w:rPr>
          <w:rFonts w:ascii="Times New Roman" w:hAnsi="Times New Roman" w:cs="Times New Roman"/>
          <w:szCs w:val="24"/>
        </w:rPr>
        <w:t xml:space="preserve">co należy rozumieć przez rozpoczęcie projektu inwestycyjnego. Natomiast w </w:t>
      </w:r>
      <w:r w:rsidR="00021217" w:rsidRPr="00304BF7">
        <w:rPr>
          <w:rFonts w:ascii="Times New Roman" w:hAnsi="Times New Roman" w:cs="Times New Roman"/>
          <w:szCs w:val="24"/>
        </w:rPr>
        <w:t xml:space="preserve">§ 14 </w:t>
      </w:r>
      <w:r w:rsidR="00FA7AE6" w:rsidRPr="0056063D">
        <w:rPr>
          <w:rFonts w:ascii="Times New Roman" w:hAnsi="Times New Roman" w:cs="Times New Roman"/>
          <w:szCs w:val="24"/>
        </w:rPr>
        <w:t xml:space="preserve">ust. 3 </w:t>
      </w:r>
      <w:r w:rsidR="00021217">
        <w:rPr>
          <w:rFonts w:ascii="Times New Roman" w:hAnsi="Times New Roman" w:cs="Times New Roman"/>
          <w:szCs w:val="24"/>
        </w:rPr>
        <w:t>projektu</w:t>
      </w:r>
      <w:r w:rsidR="00021217" w:rsidRPr="00304BF7">
        <w:rPr>
          <w:rFonts w:ascii="Times New Roman" w:hAnsi="Times New Roman" w:cs="Times New Roman"/>
          <w:szCs w:val="24"/>
        </w:rPr>
        <w:t xml:space="preserve"> </w:t>
      </w:r>
      <w:r w:rsidR="00FA7AE6" w:rsidRPr="0056063D">
        <w:rPr>
          <w:rFonts w:ascii="Times New Roman" w:hAnsi="Times New Roman" w:cs="Times New Roman"/>
          <w:szCs w:val="24"/>
        </w:rPr>
        <w:t xml:space="preserve">określono, </w:t>
      </w:r>
      <w:r w:rsidR="00021217">
        <w:rPr>
          <w:rFonts w:ascii="Times New Roman" w:hAnsi="Times New Roman" w:cs="Times New Roman"/>
          <w:szCs w:val="24"/>
        </w:rPr>
        <w:t xml:space="preserve">co należy rozumieć przez </w:t>
      </w:r>
      <w:r w:rsidR="00FA7AE6" w:rsidRPr="0056063D">
        <w:rPr>
          <w:rFonts w:ascii="Times New Roman" w:hAnsi="Times New Roman" w:cs="Times New Roman"/>
          <w:szCs w:val="24"/>
        </w:rPr>
        <w:t>podjęcie robót budowlanych.</w:t>
      </w:r>
    </w:p>
    <w:p w14:paraId="6462F783" w14:textId="4C46349B" w:rsidR="00465629" w:rsidRPr="0056063D" w:rsidRDefault="009203ED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>W</w:t>
      </w:r>
      <w:r w:rsidR="0033641F" w:rsidRPr="0056063D">
        <w:rPr>
          <w:rFonts w:ascii="Times New Roman" w:hAnsi="Times New Roman" w:cs="Times New Roman"/>
          <w:szCs w:val="24"/>
        </w:rPr>
        <w:t xml:space="preserve"> § </w:t>
      </w:r>
      <w:r w:rsidR="005127C5" w:rsidRPr="0056063D">
        <w:rPr>
          <w:rFonts w:ascii="Times New Roman" w:hAnsi="Times New Roman" w:cs="Times New Roman"/>
          <w:szCs w:val="24"/>
        </w:rPr>
        <w:t xml:space="preserve">15 </w:t>
      </w:r>
      <w:r w:rsidR="00021217">
        <w:rPr>
          <w:rFonts w:ascii="Times New Roman" w:hAnsi="Times New Roman" w:cs="Times New Roman"/>
          <w:szCs w:val="24"/>
        </w:rPr>
        <w:t>projektu</w:t>
      </w:r>
      <w:r w:rsidR="00021217" w:rsidRPr="00304BF7">
        <w:rPr>
          <w:rFonts w:ascii="Times New Roman" w:hAnsi="Times New Roman" w:cs="Times New Roman"/>
          <w:szCs w:val="24"/>
        </w:rPr>
        <w:t xml:space="preserve"> </w:t>
      </w:r>
      <w:r w:rsidR="00B837E3" w:rsidRPr="0056063D">
        <w:rPr>
          <w:rFonts w:ascii="Times New Roman" w:hAnsi="Times New Roman" w:cs="Times New Roman"/>
          <w:szCs w:val="24"/>
        </w:rPr>
        <w:t xml:space="preserve">wskazano kategorie beneficjentów wyłączonych z możliwości uzyskania pomocy publicznej, tj. przedsiębiorców </w:t>
      </w:r>
      <w:r w:rsidRPr="0056063D">
        <w:rPr>
          <w:rFonts w:ascii="Times New Roman" w:hAnsi="Times New Roman" w:cs="Times New Roman"/>
          <w:szCs w:val="24"/>
        </w:rPr>
        <w:t xml:space="preserve">i jednostki naukowe </w:t>
      </w:r>
      <w:r w:rsidR="003C67F8" w:rsidRPr="0056063D">
        <w:rPr>
          <w:rFonts w:ascii="Times New Roman" w:hAnsi="Times New Roman" w:cs="Times New Roman"/>
          <w:szCs w:val="24"/>
        </w:rPr>
        <w:t>z</w:t>
      </w:r>
      <w:r w:rsidR="00B837E3" w:rsidRPr="0056063D">
        <w:rPr>
          <w:rFonts w:ascii="Times New Roman" w:hAnsi="Times New Roman" w:cs="Times New Roman"/>
          <w:szCs w:val="24"/>
        </w:rPr>
        <w:t>obowiązanych do zwrotu</w:t>
      </w:r>
      <w:r w:rsidR="003C67F8" w:rsidRPr="0056063D">
        <w:rPr>
          <w:rFonts w:ascii="Times New Roman" w:hAnsi="Times New Roman" w:cs="Times New Roman"/>
          <w:szCs w:val="24"/>
        </w:rPr>
        <w:t xml:space="preserve"> przyznanej</w:t>
      </w:r>
      <w:r w:rsidR="00B837E3" w:rsidRPr="0056063D">
        <w:rPr>
          <w:rFonts w:ascii="Times New Roman" w:hAnsi="Times New Roman" w:cs="Times New Roman"/>
          <w:szCs w:val="24"/>
        </w:rPr>
        <w:t xml:space="preserve"> pomocy publicznej</w:t>
      </w:r>
      <w:r w:rsidR="003C67F8" w:rsidRPr="0056063D">
        <w:rPr>
          <w:rFonts w:ascii="Times New Roman" w:hAnsi="Times New Roman" w:cs="Times New Roman"/>
          <w:szCs w:val="24"/>
        </w:rPr>
        <w:t>.</w:t>
      </w:r>
    </w:p>
    <w:p w14:paraId="11FC67AD" w14:textId="7446246D" w:rsidR="00A36686" w:rsidRDefault="00A36686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5127C5" w:rsidRPr="0056063D">
        <w:rPr>
          <w:rFonts w:ascii="Times New Roman" w:hAnsi="Times New Roman" w:cs="Times New Roman"/>
          <w:szCs w:val="24"/>
        </w:rPr>
        <w:t xml:space="preserve">16 </w:t>
      </w:r>
      <w:r w:rsidR="00021217">
        <w:rPr>
          <w:rFonts w:ascii="Times New Roman" w:hAnsi="Times New Roman" w:cs="Times New Roman"/>
          <w:szCs w:val="24"/>
        </w:rPr>
        <w:t>projektu</w:t>
      </w:r>
      <w:r w:rsidR="00021217" w:rsidRPr="00304BF7">
        <w:rPr>
          <w:rFonts w:ascii="Times New Roman" w:hAnsi="Times New Roman" w:cs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 xml:space="preserve">ustalono </w:t>
      </w:r>
      <w:r w:rsidR="00021217" w:rsidRPr="00E979DA">
        <w:rPr>
          <w:rFonts w:ascii="Times New Roman" w:hAnsi="Times New Roman" w:cs="Times New Roman"/>
          <w:szCs w:val="24"/>
        </w:rPr>
        <w:t>złot</w:t>
      </w:r>
      <w:r w:rsidR="00021217">
        <w:rPr>
          <w:rFonts w:ascii="Times New Roman" w:hAnsi="Times New Roman" w:cs="Times New Roman"/>
          <w:szCs w:val="24"/>
        </w:rPr>
        <w:t>y</w:t>
      </w:r>
      <w:r w:rsidR="00021217" w:rsidRPr="00E979DA">
        <w:rPr>
          <w:rFonts w:ascii="Times New Roman" w:hAnsi="Times New Roman" w:cs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>jako walutę udziel</w:t>
      </w:r>
      <w:r w:rsidR="000C76CB">
        <w:rPr>
          <w:rFonts w:ascii="Times New Roman" w:hAnsi="Times New Roman" w:cs="Times New Roman"/>
          <w:szCs w:val="24"/>
        </w:rPr>
        <w:t>anej p</w:t>
      </w:r>
      <w:r w:rsidRPr="0056063D">
        <w:rPr>
          <w:rFonts w:ascii="Times New Roman" w:hAnsi="Times New Roman" w:cs="Times New Roman"/>
          <w:szCs w:val="24"/>
        </w:rPr>
        <w:t>omocy publicznej oraz wskazano sposób przeliczania kwoty wyrażonej w euro na złote.</w:t>
      </w:r>
    </w:p>
    <w:p w14:paraId="41F07231" w14:textId="1A941E5B" w:rsidR="0065592A" w:rsidRPr="0056063D" w:rsidRDefault="0065592A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§ 17 określono zasady </w:t>
      </w:r>
      <w:r w:rsidRPr="0065592A">
        <w:rPr>
          <w:rFonts w:ascii="Times New Roman" w:hAnsi="Times New Roman" w:cs="Times New Roman"/>
          <w:szCs w:val="24"/>
        </w:rPr>
        <w:t>intensywności pomocy oraz wartości pomocy i kosztów kwalifikowalnych</w:t>
      </w:r>
      <w:r>
        <w:rPr>
          <w:rFonts w:ascii="Times New Roman" w:hAnsi="Times New Roman" w:cs="Times New Roman"/>
          <w:szCs w:val="24"/>
        </w:rPr>
        <w:t>, poprzez odesłanie do odpowiednich przepisów rozporządzenia nr 651/2014.</w:t>
      </w:r>
    </w:p>
    <w:p w14:paraId="6B1813A2" w14:textId="6C46F572" w:rsidR="002C3481" w:rsidRPr="0056063D" w:rsidRDefault="002C3481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5127C5" w:rsidRPr="0056063D">
        <w:rPr>
          <w:rFonts w:ascii="Times New Roman" w:hAnsi="Times New Roman" w:cs="Times New Roman"/>
          <w:szCs w:val="24"/>
        </w:rPr>
        <w:t>1</w:t>
      </w:r>
      <w:r w:rsidR="0065592A">
        <w:rPr>
          <w:rFonts w:ascii="Times New Roman" w:hAnsi="Times New Roman" w:cs="Times New Roman"/>
          <w:szCs w:val="24"/>
        </w:rPr>
        <w:t>8</w:t>
      </w:r>
      <w:r w:rsidR="005127C5" w:rsidRPr="0056063D">
        <w:rPr>
          <w:rFonts w:ascii="Times New Roman" w:hAnsi="Times New Roman" w:cs="Times New Roman"/>
          <w:szCs w:val="24"/>
        </w:rPr>
        <w:t xml:space="preserve"> </w:t>
      </w:r>
      <w:r w:rsidR="00021217">
        <w:rPr>
          <w:rFonts w:ascii="Times New Roman" w:hAnsi="Times New Roman" w:cs="Times New Roman"/>
          <w:szCs w:val="24"/>
        </w:rPr>
        <w:t>projektu</w:t>
      </w:r>
      <w:r w:rsidR="00021217" w:rsidRPr="00304BF7">
        <w:rPr>
          <w:rFonts w:ascii="Times New Roman" w:hAnsi="Times New Roman" w:cs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 xml:space="preserve">wskazano, że pomoc publiczna może </w:t>
      </w:r>
      <w:r w:rsidR="00021217">
        <w:rPr>
          <w:rFonts w:ascii="Times New Roman" w:hAnsi="Times New Roman" w:cs="Times New Roman"/>
          <w:szCs w:val="24"/>
        </w:rPr>
        <w:t xml:space="preserve">zostać </w:t>
      </w:r>
      <w:r w:rsidRPr="0056063D">
        <w:rPr>
          <w:rFonts w:ascii="Times New Roman" w:hAnsi="Times New Roman" w:cs="Times New Roman"/>
          <w:szCs w:val="24"/>
        </w:rPr>
        <w:t xml:space="preserve">udzielona tylko na wniosek przedsiębiorcy lub jednostki naukowej składany do NFOŚiGW </w:t>
      </w:r>
      <w:r w:rsidR="004858C5" w:rsidRPr="0056063D">
        <w:rPr>
          <w:rFonts w:ascii="Times New Roman" w:hAnsi="Times New Roman" w:cs="Times New Roman"/>
          <w:szCs w:val="24"/>
        </w:rPr>
        <w:t xml:space="preserve">oraz </w:t>
      </w:r>
      <w:r w:rsidRPr="0056063D">
        <w:rPr>
          <w:rFonts w:ascii="Times New Roman" w:hAnsi="Times New Roman" w:cs="Times New Roman"/>
          <w:szCs w:val="24"/>
        </w:rPr>
        <w:t xml:space="preserve">określono wymagane załączniki do wniosku </w:t>
      </w:r>
      <w:r w:rsidR="004858C5" w:rsidRPr="0056063D">
        <w:rPr>
          <w:rFonts w:ascii="Times New Roman" w:hAnsi="Times New Roman" w:cs="Times New Roman"/>
          <w:szCs w:val="24"/>
        </w:rPr>
        <w:t>i</w:t>
      </w:r>
      <w:r w:rsidRPr="0056063D">
        <w:rPr>
          <w:rFonts w:ascii="Times New Roman" w:hAnsi="Times New Roman" w:cs="Times New Roman"/>
          <w:szCs w:val="24"/>
        </w:rPr>
        <w:t xml:space="preserve"> sposób przygotowania załączników.</w:t>
      </w:r>
    </w:p>
    <w:p w14:paraId="1773EDC6" w14:textId="71BEE92D" w:rsidR="00E82571" w:rsidRPr="0056063D" w:rsidRDefault="00C43562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>W §</w:t>
      </w:r>
      <w:r w:rsidR="00482B9D" w:rsidRPr="0056063D">
        <w:rPr>
          <w:rFonts w:ascii="Times New Roman" w:hAnsi="Times New Roman" w:cs="Times New Roman"/>
          <w:szCs w:val="24"/>
        </w:rPr>
        <w:t xml:space="preserve"> </w:t>
      </w:r>
      <w:r w:rsidR="00C21D95" w:rsidRPr="0056063D">
        <w:rPr>
          <w:rFonts w:ascii="Times New Roman" w:hAnsi="Times New Roman" w:cs="Times New Roman"/>
          <w:szCs w:val="24"/>
        </w:rPr>
        <w:t>1</w:t>
      </w:r>
      <w:r w:rsidR="0065592A">
        <w:rPr>
          <w:rFonts w:ascii="Times New Roman" w:hAnsi="Times New Roman" w:cs="Times New Roman"/>
          <w:szCs w:val="24"/>
        </w:rPr>
        <w:t>9</w:t>
      </w:r>
      <w:r w:rsidR="00C21D95" w:rsidRPr="0056063D">
        <w:rPr>
          <w:rFonts w:ascii="Times New Roman" w:hAnsi="Times New Roman" w:cs="Times New Roman"/>
          <w:szCs w:val="24"/>
        </w:rPr>
        <w:t xml:space="preserve"> </w:t>
      </w:r>
      <w:r w:rsidR="004D1F66">
        <w:rPr>
          <w:rFonts w:ascii="Times New Roman" w:hAnsi="Times New Roman" w:cs="Times New Roman"/>
          <w:szCs w:val="24"/>
        </w:rPr>
        <w:t>projektu</w:t>
      </w:r>
      <w:r w:rsidR="004D1F66" w:rsidRPr="00304BF7">
        <w:rPr>
          <w:rFonts w:ascii="Times New Roman" w:hAnsi="Times New Roman" w:cs="Times New Roman"/>
          <w:szCs w:val="24"/>
        </w:rPr>
        <w:t xml:space="preserve"> </w:t>
      </w:r>
      <w:r w:rsidR="00866178" w:rsidRPr="0056063D">
        <w:rPr>
          <w:rFonts w:ascii="Times New Roman" w:hAnsi="Times New Roman" w:cs="Times New Roman"/>
          <w:szCs w:val="24"/>
        </w:rPr>
        <w:t xml:space="preserve">określono </w:t>
      </w:r>
      <w:r w:rsidR="00AF096B" w:rsidRPr="0056063D">
        <w:rPr>
          <w:rFonts w:ascii="Times New Roman" w:hAnsi="Times New Roman" w:cs="Times New Roman"/>
          <w:szCs w:val="24"/>
        </w:rPr>
        <w:t>zakres oceny wniosku</w:t>
      </w:r>
      <w:r w:rsidR="00EE2DEC" w:rsidRPr="0056063D">
        <w:rPr>
          <w:rFonts w:ascii="Times New Roman" w:hAnsi="Times New Roman" w:cs="Times New Roman"/>
          <w:szCs w:val="24"/>
        </w:rPr>
        <w:t xml:space="preserve"> jako katalog otwarty, wskazując podstawowe elementy oceny wniosku</w:t>
      </w:r>
      <w:r w:rsidR="00AF096B" w:rsidRPr="0056063D">
        <w:rPr>
          <w:rFonts w:ascii="Times New Roman" w:hAnsi="Times New Roman" w:cs="Times New Roman"/>
          <w:szCs w:val="24"/>
        </w:rPr>
        <w:t xml:space="preserve"> oraz</w:t>
      </w:r>
      <w:r w:rsidR="00EE2DEC" w:rsidRPr="0056063D">
        <w:rPr>
          <w:rFonts w:ascii="Times New Roman" w:hAnsi="Times New Roman" w:cs="Times New Roman"/>
          <w:szCs w:val="24"/>
        </w:rPr>
        <w:t xml:space="preserve"> określono</w:t>
      </w:r>
      <w:r w:rsidR="00AF096B" w:rsidRPr="0056063D">
        <w:rPr>
          <w:rFonts w:ascii="Times New Roman" w:hAnsi="Times New Roman" w:cs="Times New Roman"/>
          <w:szCs w:val="24"/>
        </w:rPr>
        <w:t xml:space="preserve"> </w:t>
      </w:r>
      <w:r w:rsidR="00866178" w:rsidRPr="0056063D">
        <w:rPr>
          <w:rFonts w:ascii="Times New Roman" w:hAnsi="Times New Roman" w:cs="Times New Roman"/>
          <w:szCs w:val="24"/>
        </w:rPr>
        <w:t>formę udzielenia pomocy (umowa</w:t>
      </w:r>
      <w:r w:rsidR="00427052" w:rsidRPr="0056063D">
        <w:rPr>
          <w:rFonts w:ascii="Times New Roman" w:hAnsi="Times New Roman" w:cs="Times New Roman"/>
          <w:szCs w:val="24"/>
        </w:rPr>
        <w:t xml:space="preserve"> </w:t>
      </w:r>
      <w:r w:rsidR="004B69C0" w:rsidRPr="0056063D">
        <w:rPr>
          <w:rFonts w:ascii="Times New Roman" w:hAnsi="Times New Roman" w:cs="Times New Roman"/>
          <w:szCs w:val="24"/>
        </w:rPr>
        <w:t>o</w:t>
      </w:r>
      <w:r w:rsidR="004B69C0">
        <w:rPr>
          <w:rFonts w:ascii="Times New Roman" w:hAnsi="Times New Roman" w:cs="Times New Roman"/>
          <w:szCs w:val="24"/>
        </w:rPr>
        <w:t> </w:t>
      </w:r>
      <w:r w:rsidR="00427052" w:rsidRPr="0056063D">
        <w:rPr>
          <w:rFonts w:ascii="Times New Roman" w:hAnsi="Times New Roman" w:cs="Times New Roman"/>
          <w:szCs w:val="24"/>
        </w:rPr>
        <w:t>objęcie przedsięwzięcia wsparciem z planu rozw</w:t>
      </w:r>
      <w:r w:rsidR="00B446A6" w:rsidRPr="0056063D">
        <w:rPr>
          <w:rFonts w:ascii="Times New Roman" w:hAnsi="Times New Roman" w:cs="Times New Roman"/>
          <w:szCs w:val="24"/>
        </w:rPr>
        <w:t>o</w:t>
      </w:r>
      <w:r w:rsidR="00427052" w:rsidRPr="0056063D">
        <w:rPr>
          <w:rFonts w:ascii="Times New Roman" w:hAnsi="Times New Roman" w:cs="Times New Roman"/>
          <w:szCs w:val="24"/>
        </w:rPr>
        <w:t>jowego</w:t>
      </w:r>
      <w:r w:rsidR="00866178" w:rsidRPr="0056063D">
        <w:rPr>
          <w:rFonts w:ascii="Times New Roman" w:hAnsi="Times New Roman" w:cs="Times New Roman"/>
          <w:szCs w:val="24"/>
        </w:rPr>
        <w:t>)</w:t>
      </w:r>
      <w:r w:rsidR="00427052" w:rsidRPr="0056063D">
        <w:rPr>
          <w:rFonts w:ascii="Times New Roman" w:hAnsi="Times New Roman" w:cs="Times New Roman"/>
          <w:szCs w:val="24"/>
        </w:rPr>
        <w:t>.</w:t>
      </w:r>
    </w:p>
    <w:p w14:paraId="7489ED8E" w14:textId="02950975" w:rsidR="00152524" w:rsidRPr="0056063D" w:rsidRDefault="00F61896" w:rsidP="0056063D">
      <w:pPr>
        <w:pStyle w:val="ARTartustawynprozporzdzenia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Cs w:val="24"/>
        </w:rPr>
      </w:pPr>
      <w:r w:rsidRPr="0056063D">
        <w:rPr>
          <w:rFonts w:ascii="Times New Roman" w:hAnsi="Times New Roman" w:cs="Times New Roman"/>
          <w:b/>
          <w:bCs/>
          <w:szCs w:val="24"/>
        </w:rPr>
        <w:t xml:space="preserve">W rozdziale </w:t>
      </w:r>
      <w:r w:rsidR="00B21E05" w:rsidRPr="0056063D">
        <w:rPr>
          <w:rFonts w:ascii="Times New Roman" w:hAnsi="Times New Roman" w:cs="Times New Roman"/>
          <w:b/>
          <w:bCs/>
          <w:szCs w:val="24"/>
        </w:rPr>
        <w:t>3</w:t>
      </w:r>
      <w:r w:rsidR="00D267A7" w:rsidRPr="0056063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6063D">
        <w:rPr>
          <w:rFonts w:ascii="Times New Roman" w:hAnsi="Times New Roman" w:cs="Times New Roman"/>
          <w:b/>
          <w:bCs/>
          <w:szCs w:val="24"/>
        </w:rPr>
        <w:t xml:space="preserve">umieszczono </w:t>
      </w:r>
      <w:r w:rsidR="00866178" w:rsidRPr="0056063D">
        <w:rPr>
          <w:rFonts w:ascii="Times New Roman" w:hAnsi="Times New Roman" w:cs="Times New Roman"/>
          <w:b/>
          <w:bCs/>
          <w:szCs w:val="24"/>
        </w:rPr>
        <w:t xml:space="preserve">szczegółowe </w:t>
      </w:r>
      <w:r w:rsidRPr="0056063D">
        <w:rPr>
          <w:rFonts w:ascii="Times New Roman" w:hAnsi="Times New Roman" w:cs="Times New Roman"/>
          <w:b/>
          <w:bCs/>
          <w:szCs w:val="24"/>
        </w:rPr>
        <w:t xml:space="preserve">przepisy dotyczące pomocy na badania, rozwój </w:t>
      </w:r>
      <w:r w:rsidR="004B69C0">
        <w:rPr>
          <w:rFonts w:ascii="Times New Roman" w:hAnsi="Times New Roman" w:cs="Times New Roman"/>
          <w:b/>
          <w:bCs/>
          <w:szCs w:val="24"/>
        </w:rPr>
        <w:t>oraz</w:t>
      </w:r>
      <w:r w:rsidRPr="0056063D">
        <w:rPr>
          <w:rFonts w:ascii="Times New Roman" w:hAnsi="Times New Roman" w:cs="Times New Roman"/>
          <w:b/>
          <w:bCs/>
          <w:szCs w:val="24"/>
        </w:rPr>
        <w:t xml:space="preserve"> innowacje.</w:t>
      </w:r>
    </w:p>
    <w:p w14:paraId="7A5E7F19" w14:textId="08D9FC86" w:rsidR="00836E4B" w:rsidRPr="0056063D" w:rsidRDefault="00427DC6" w:rsidP="0056063D">
      <w:pPr>
        <w:pStyle w:val="ARTartustawynprozporzdzenia"/>
        <w:spacing w:line="240" w:lineRule="auto"/>
        <w:ind w:left="66" w:firstLine="501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 xml:space="preserve">W § </w:t>
      </w:r>
      <w:r w:rsidR="0065592A">
        <w:rPr>
          <w:rFonts w:ascii="Times New Roman" w:hAnsi="Times New Roman" w:cs="Times New Roman"/>
          <w:szCs w:val="24"/>
        </w:rPr>
        <w:t>20</w:t>
      </w:r>
      <w:r w:rsidRPr="0056063D">
        <w:rPr>
          <w:rFonts w:ascii="Times New Roman" w:hAnsi="Times New Roman" w:cs="Times New Roman"/>
          <w:szCs w:val="24"/>
        </w:rPr>
        <w:t xml:space="preserve"> </w:t>
      </w:r>
      <w:r w:rsidR="004B69C0">
        <w:rPr>
          <w:rFonts w:ascii="Times New Roman" w:hAnsi="Times New Roman" w:cs="Times New Roman"/>
          <w:szCs w:val="24"/>
        </w:rPr>
        <w:t>projektu</w:t>
      </w:r>
      <w:r w:rsidR="004B69C0" w:rsidRPr="00304BF7">
        <w:rPr>
          <w:rFonts w:ascii="Times New Roman" w:hAnsi="Times New Roman" w:cs="Times New Roman"/>
          <w:szCs w:val="24"/>
        </w:rPr>
        <w:t xml:space="preserve"> </w:t>
      </w:r>
      <w:r w:rsidRPr="0056063D">
        <w:rPr>
          <w:rFonts w:ascii="Times New Roman" w:hAnsi="Times New Roman" w:cs="Times New Roman"/>
          <w:szCs w:val="24"/>
        </w:rPr>
        <w:t>w</w:t>
      </w:r>
      <w:r w:rsidR="00F61896" w:rsidRPr="0056063D">
        <w:rPr>
          <w:rFonts w:ascii="Times New Roman" w:hAnsi="Times New Roman" w:cs="Times New Roman"/>
          <w:szCs w:val="24"/>
        </w:rPr>
        <w:t xml:space="preserve">skazano, że pomoc w kategorii badania, rozwój </w:t>
      </w:r>
      <w:r w:rsidR="004B69C0">
        <w:rPr>
          <w:rFonts w:ascii="Times New Roman" w:hAnsi="Times New Roman" w:cs="Times New Roman"/>
          <w:szCs w:val="24"/>
        </w:rPr>
        <w:t>oraz</w:t>
      </w:r>
      <w:r w:rsidR="00F61896" w:rsidRPr="0056063D">
        <w:rPr>
          <w:rFonts w:ascii="Times New Roman" w:hAnsi="Times New Roman" w:cs="Times New Roman"/>
          <w:szCs w:val="24"/>
        </w:rPr>
        <w:t xml:space="preserve"> innowacje będzie udzielana na projekty badawczo-rozwojowe </w:t>
      </w:r>
      <w:r w:rsidR="004B69C0">
        <w:rPr>
          <w:rFonts w:ascii="Times New Roman" w:hAnsi="Times New Roman" w:cs="Times New Roman"/>
          <w:szCs w:val="24"/>
        </w:rPr>
        <w:t xml:space="preserve">w zakresie </w:t>
      </w:r>
      <w:r w:rsidR="007239C8" w:rsidRPr="0056063D">
        <w:rPr>
          <w:rFonts w:ascii="Times New Roman" w:hAnsi="Times New Roman" w:cs="Times New Roman"/>
          <w:szCs w:val="24"/>
        </w:rPr>
        <w:t>bada</w:t>
      </w:r>
      <w:r w:rsidR="004B69C0">
        <w:rPr>
          <w:rFonts w:ascii="Times New Roman" w:hAnsi="Times New Roman" w:cs="Times New Roman"/>
          <w:szCs w:val="24"/>
        </w:rPr>
        <w:t xml:space="preserve">ń </w:t>
      </w:r>
      <w:r w:rsidR="007239C8" w:rsidRPr="0056063D">
        <w:rPr>
          <w:rFonts w:ascii="Times New Roman" w:hAnsi="Times New Roman" w:cs="Times New Roman"/>
          <w:szCs w:val="24"/>
        </w:rPr>
        <w:t>przemysłow</w:t>
      </w:r>
      <w:r w:rsidR="004B69C0">
        <w:rPr>
          <w:rFonts w:ascii="Times New Roman" w:hAnsi="Times New Roman" w:cs="Times New Roman"/>
          <w:szCs w:val="24"/>
        </w:rPr>
        <w:t>ych</w:t>
      </w:r>
      <w:r w:rsidR="007239C8" w:rsidRPr="0056063D">
        <w:rPr>
          <w:rFonts w:ascii="Times New Roman" w:hAnsi="Times New Roman" w:cs="Times New Roman"/>
          <w:szCs w:val="24"/>
        </w:rPr>
        <w:t>, eksperymentaln</w:t>
      </w:r>
      <w:r w:rsidR="004B69C0">
        <w:rPr>
          <w:rFonts w:ascii="Times New Roman" w:hAnsi="Times New Roman" w:cs="Times New Roman"/>
          <w:szCs w:val="24"/>
        </w:rPr>
        <w:t xml:space="preserve">ych </w:t>
      </w:r>
      <w:r w:rsidR="007239C8" w:rsidRPr="0056063D">
        <w:rPr>
          <w:rFonts w:ascii="Times New Roman" w:hAnsi="Times New Roman" w:cs="Times New Roman"/>
          <w:szCs w:val="24"/>
        </w:rPr>
        <w:t>prac</w:t>
      </w:r>
      <w:r w:rsidR="004B69C0">
        <w:rPr>
          <w:rFonts w:ascii="Times New Roman" w:hAnsi="Times New Roman" w:cs="Times New Roman"/>
          <w:szCs w:val="24"/>
        </w:rPr>
        <w:t xml:space="preserve"> </w:t>
      </w:r>
      <w:r w:rsidR="007239C8" w:rsidRPr="0056063D">
        <w:rPr>
          <w:rFonts w:ascii="Times New Roman" w:hAnsi="Times New Roman" w:cs="Times New Roman"/>
          <w:szCs w:val="24"/>
        </w:rPr>
        <w:t>rozwojow</w:t>
      </w:r>
      <w:r w:rsidR="004B69C0">
        <w:rPr>
          <w:rFonts w:ascii="Times New Roman" w:hAnsi="Times New Roman" w:cs="Times New Roman"/>
          <w:szCs w:val="24"/>
        </w:rPr>
        <w:t xml:space="preserve">ych </w:t>
      </w:r>
      <w:r w:rsidR="00AD06C6" w:rsidRPr="0056063D">
        <w:rPr>
          <w:rFonts w:ascii="Times New Roman" w:hAnsi="Times New Roman" w:cs="Times New Roman"/>
          <w:szCs w:val="24"/>
        </w:rPr>
        <w:t>lub studi</w:t>
      </w:r>
      <w:r w:rsidR="004B69C0">
        <w:rPr>
          <w:rFonts w:ascii="Times New Roman" w:hAnsi="Times New Roman" w:cs="Times New Roman"/>
          <w:szCs w:val="24"/>
        </w:rPr>
        <w:t xml:space="preserve">ów </w:t>
      </w:r>
      <w:r w:rsidR="00AD06C6" w:rsidRPr="0056063D">
        <w:rPr>
          <w:rFonts w:ascii="Times New Roman" w:hAnsi="Times New Roman" w:cs="Times New Roman"/>
          <w:szCs w:val="24"/>
        </w:rPr>
        <w:t>wykonalności</w:t>
      </w:r>
      <w:r w:rsidR="00735D3F" w:rsidRPr="0056063D">
        <w:rPr>
          <w:rFonts w:ascii="Times New Roman" w:hAnsi="Times New Roman" w:cs="Times New Roman"/>
          <w:szCs w:val="24"/>
        </w:rPr>
        <w:t>.</w:t>
      </w:r>
    </w:p>
    <w:p w14:paraId="2515310C" w14:textId="19015DB6" w:rsidR="00CD4BC9" w:rsidRPr="0056063D" w:rsidRDefault="00427DC6" w:rsidP="0056063D">
      <w:pPr>
        <w:pStyle w:val="ARTartustawynprozporzdzenia"/>
        <w:spacing w:line="240" w:lineRule="auto"/>
      </w:pPr>
      <w:r w:rsidRPr="0056063D">
        <w:rPr>
          <w:rFonts w:ascii="Times New Roman" w:hAnsi="Times New Roman" w:cs="Times New Roman"/>
          <w:szCs w:val="24"/>
        </w:rPr>
        <w:t xml:space="preserve">W </w:t>
      </w:r>
      <w:r w:rsidR="00CD4BC9" w:rsidRPr="0056063D">
        <w:rPr>
          <w:rFonts w:ascii="Times New Roman" w:hAnsi="Times New Roman" w:cs="Times New Roman"/>
          <w:szCs w:val="24"/>
        </w:rPr>
        <w:t xml:space="preserve">§ </w:t>
      </w:r>
      <w:r w:rsidR="00EF3567" w:rsidRPr="0056063D">
        <w:rPr>
          <w:rFonts w:ascii="Times New Roman" w:hAnsi="Times New Roman" w:cs="Times New Roman"/>
          <w:szCs w:val="24"/>
        </w:rPr>
        <w:t>2</w:t>
      </w:r>
      <w:r w:rsidR="0065592A">
        <w:rPr>
          <w:rFonts w:ascii="Times New Roman" w:hAnsi="Times New Roman" w:cs="Times New Roman"/>
          <w:szCs w:val="24"/>
        </w:rPr>
        <w:t>1</w:t>
      </w:r>
      <w:r w:rsidR="00EF3567" w:rsidRPr="0056063D">
        <w:rPr>
          <w:rFonts w:ascii="Times New Roman" w:hAnsi="Times New Roman" w:cs="Times New Roman"/>
          <w:szCs w:val="24"/>
        </w:rPr>
        <w:t xml:space="preserve"> </w:t>
      </w:r>
      <w:r w:rsidR="004B69C0">
        <w:rPr>
          <w:rFonts w:ascii="Times New Roman" w:hAnsi="Times New Roman" w:cs="Times New Roman"/>
          <w:szCs w:val="24"/>
        </w:rPr>
        <w:t>projektu</w:t>
      </w:r>
      <w:r w:rsidR="004B69C0" w:rsidRPr="00304BF7">
        <w:rPr>
          <w:rFonts w:ascii="Times New Roman" w:hAnsi="Times New Roman" w:cs="Times New Roman"/>
          <w:szCs w:val="24"/>
        </w:rPr>
        <w:t xml:space="preserve"> </w:t>
      </w:r>
      <w:r w:rsidR="00EF3567" w:rsidRPr="0056063D">
        <w:rPr>
          <w:rFonts w:ascii="Times New Roman" w:hAnsi="Times New Roman" w:cs="Times New Roman"/>
          <w:szCs w:val="24"/>
        </w:rPr>
        <w:t>określono szczegółowe przeznaczenie</w:t>
      </w:r>
      <w:r w:rsidR="00CD4BC9" w:rsidRPr="0056063D">
        <w:rPr>
          <w:rFonts w:ascii="Times New Roman" w:hAnsi="Times New Roman" w:cs="Times New Roman"/>
          <w:szCs w:val="24"/>
        </w:rPr>
        <w:t xml:space="preserve"> pomoc</w:t>
      </w:r>
      <w:r w:rsidR="00EF3567" w:rsidRPr="0056063D">
        <w:rPr>
          <w:rFonts w:ascii="Times New Roman" w:hAnsi="Times New Roman" w:cs="Times New Roman"/>
          <w:szCs w:val="24"/>
        </w:rPr>
        <w:t>y</w:t>
      </w:r>
      <w:r w:rsidR="00CD4BC9" w:rsidRPr="0056063D">
        <w:rPr>
          <w:rFonts w:ascii="Times New Roman" w:hAnsi="Times New Roman" w:cs="Times New Roman"/>
          <w:szCs w:val="24"/>
        </w:rPr>
        <w:t xml:space="preserve"> na projekty badawczo-rozwojowe</w:t>
      </w:r>
      <w:r w:rsidR="0079578F">
        <w:rPr>
          <w:rFonts w:ascii="Times New Roman" w:hAnsi="Times New Roman" w:cs="Times New Roman"/>
          <w:szCs w:val="24"/>
        </w:rPr>
        <w:t xml:space="preserve"> na przedsięwzięcia w zakresie</w:t>
      </w:r>
      <w:r w:rsidR="00CD4BC9" w:rsidRPr="0056063D">
        <w:t>:</w:t>
      </w:r>
    </w:p>
    <w:p w14:paraId="3907656A" w14:textId="46A6FF8A" w:rsidR="00CD4BC9" w:rsidRPr="0056063D" w:rsidRDefault="00EF3567" w:rsidP="000C76CB">
      <w:pPr>
        <w:pStyle w:val="LITlitera"/>
        <w:numPr>
          <w:ilvl w:val="0"/>
          <w:numId w:val="19"/>
        </w:numPr>
        <w:spacing w:line="240" w:lineRule="auto"/>
        <w:ind w:left="567"/>
        <w:rPr>
          <w:rFonts w:ascii="Times New Roman" w:hAnsi="Times New Roman" w:cs="Times New Roman"/>
          <w:szCs w:val="24"/>
        </w:rPr>
      </w:pPr>
      <w:r w:rsidRPr="0056063D">
        <w:t>budow</w:t>
      </w:r>
      <w:r w:rsidR="0079578F">
        <w:rPr>
          <w:rFonts w:ascii="Times New Roman" w:hAnsi="Times New Roman" w:cs="Times New Roman"/>
          <w:szCs w:val="24"/>
        </w:rPr>
        <w:t>y</w:t>
      </w:r>
      <w:r w:rsidRPr="0056063D">
        <w:rPr>
          <w:rFonts w:ascii="Times New Roman" w:hAnsi="Times New Roman" w:cs="Times New Roman"/>
          <w:szCs w:val="24"/>
        </w:rPr>
        <w:t xml:space="preserve"> </w:t>
      </w:r>
      <w:r w:rsidR="00CD4BC9" w:rsidRPr="0056063D">
        <w:rPr>
          <w:rFonts w:ascii="Times New Roman" w:hAnsi="Times New Roman" w:cs="Times New Roman"/>
          <w:szCs w:val="24"/>
        </w:rPr>
        <w:t>nowych innowacyjnych jednostek transportowych wykorzystujących wodorowe ogniwa paliwowe lub inne rozwiązania techniczne pozwalające na stosowanie wodoru jako paliwa</w:t>
      </w:r>
      <w:r w:rsidR="0079578F">
        <w:rPr>
          <w:rFonts w:ascii="Times New Roman" w:hAnsi="Times New Roman" w:cs="Times New Roman"/>
          <w:szCs w:val="24"/>
        </w:rPr>
        <w:t>;</w:t>
      </w:r>
    </w:p>
    <w:p w14:paraId="6BCA54FE" w14:textId="65272D56" w:rsidR="00CD4BC9" w:rsidRPr="0056063D" w:rsidRDefault="00EF3567" w:rsidP="000C76CB">
      <w:pPr>
        <w:pStyle w:val="LITlitera"/>
        <w:numPr>
          <w:ilvl w:val="0"/>
          <w:numId w:val="19"/>
        </w:numPr>
        <w:spacing w:line="240" w:lineRule="auto"/>
        <w:ind w:left="567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>modernizacj</w:t>
      </w:r>
      <w:r w:rsidR="0079578F">
        <w:rPr>
          <w:rFonts w:ascii="Times New Roman" w:hAnsi="Times New Roman" w:cs="Times New Roman"/>
          <w:szCs w:val="24"/>
        </w:rPr>
        <w:t xml:space="preserve">i </w:t>
      </w:r>
      <w:r w:rsidR="00CD4BC9" w:rsidRPr="0056063D">
        <w:rPr>
          <w:rFonts w:ascii="Times New Roman" w:hAnsi="Times New Roman" w:cs="Times New Roman"/>
          <w:szCs w:val="24"/>
        </w:rPr>
        <w:t>istniejących jednostek transportowych wykorzystujących wodorowe ogniwa paliwowe lub inne rozwiązania techniczne pozwalające na stosowanie wodoru jako paliwa</w:t>
      </w:r>
      <w:r w:rsidR="0079578F">
        <w:rPr>
          <w:rFonts w:ascii="Times New Roman" w:hAnsi="Times New Roman" w:cs="Times New Roman"/>
          <w:szCs w:val="24"/>
        </w:rPr>
        <w:t>;</w:t>
      </w:r>
    </w:p>
    <w:p w14:paraId="4C2B8B09" w14:textId="569CBC74" w:rsidR="00CD4BC9" w:rsidRPr="0056063D" w:rsidRDefault="00CD4BC9" w:rsidP="000C76CB">
      <w:pPr>
        <w:pStyle w:val="LITlitera"/>
        <w:numPr>
          <w:ilvl w:val="0"/>
          <w:numId w:val="19"/>
        </w:numPr>
        <w:spacing w:line="240" w:lineRule="auto"/>
        <w:ind w:left="567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>zwiększeni</w:t>
      </w:r>
      <w:r w:rsidR="0079578F">
        <w:rPr>
          <w:rFonts w:ascii="Times New Roman" w:hAnsi="Times New Roman" w:cs="Times New Roman"/>
          <w:szCs w:val="24"/>
        </w:rPr>
        <w:t>a</w:t>
      </w:r>
      <w:r w:rsidRPr="0056063D">
        <w:rPr>
          <w:rFonts w:ascii="Times New Roman" w:hAnsi="Times New Roman" w:cs="Times New Roman"/>
          <w:szCs w:val="24"/>
        </w:rPr>
        <w:t xml:space="preserve"> skali produkcji jednostek transportowych wykorzystujących wodorowe ogniwa paliwowe lub inne rozwiązania techniczne pozwalające na stosowanie wodoru jako paliwa.</w:t>
      </w:r>
    </w:p>
    <w:p w14:paraId="696A5F0C" w14:textId="66CDB40B" w:rsidR="00CD4BC9" w:rsidRPr="002E74BF" w:rsidRDefault="00EF3567" w:rsidP="0056063D">
      <w:pPr>
        <w:pStyle w:val="ARTartustawynprozporzdzenia"/>
        <w:spacing w:line="240" w:lineRule="auto"/>
        <w:ind w:left="66" w:firstLine="501"/>
        <w:rPr>
          <w:rFonts w:ascii="Times New Roman" w:hAnsi="Times New Roman" w:cs="Times New Roman"/>
          <w:szCs w:val="24"/>
        </w:rPr>
      </w:pPr>
      <w:r w:rsidRPr="0056063D">
        <w:rPr>
          <w:rFonts w:ascii="Times New Roman" w:hAnsi="Times New Roman" w:cs="Times New Roman"/>
          <w:szCs w:val="24"/>
        </w:rPr>
        <w:t>W § 2</w:t>
      </w:r>
      <w:r w:rsidR="0065592A">
        <w:rPr>
          <w:rFonts w:ascii="Times New Roman" w:hAnsi="Times New Roman" w:cs="Times New Roman"/>
          <w:szCs w:val="24"/>
        </w:rPr>
        <w:t>2</w:t>
      </w:r>
      <w:r w:rsidRPr="0056063D">
        <w:rPr>
          <w:rFonts w:ascii="Times New Roman" w:hAnsi="Times New Roman" w:cs="Times New Roman"/>
          <w:szCs w:val="24"/>
        </w:rPr>
        <w:t xml:space="preserve"> </w:t>
      </w:r>
      <w:r w:rsidR="0079578F">
        <w:rPr>
          <w:rFonts w:ascii="Times New Roman" w:hAnsi="Times New Roman" w:cs="Times New Roman"/>
          <w:szCs w:val="24"/>
        </w:rPr>
        <w:t>projektu</w:t>
      </w:r>
      <w:r w:rsidR="0079578F" w:rsidRPr="00304BF7">
        <w:rPr>
          <w:rFonts w:ascii="Times New Roman" w:hAnsi="Times New Roman" w:cs="Times New Roman"/>
          <w:szCs w:val="24"/>
        </w:rPr>
        <w:t xml:space="preserve"> </w:t>
      </w:r>
      <w:r w:rsidRPr="002E74BF">
        <w:rPr>
          <w:rFonts w:ascii="Times New Roman" w:hAnsi="Times New Roman" w:cs="Times New Roman"/>
          <w:szCs w:val="24"/>
        </w:rPr>
        <w:t xml:space="preserve">ustalono, że pomocą objęte zostaną badania przemysłowe, eksperymentalne prace rozwojowe i studium wykonalności. Nie objęto </w:t>
      </w:r>
      <w:r w:rsidR="0079578F">
        <w:rPr>
          <w:rFonts w:ascii="Times New Roman" w:hAnsi="Times New Roman" w:cs="Times New Roman"/>
          <w:szCs w:val="24"/>
        </w:rPr>
        <w:t xml:space="preserve">natomiast </w:t>
      </w:r>
      <w:r w:rsidRPr="002E74BF">
        <w:rPr>
          <w:rFonts w:ascii="Times New Roman" w:hAnsi="Times New Roman" w:cs="Times New Roman"/>
          <w:szCs w:val="24"/>
        </w:rPr>
        <w:t xml:space="preserve">wsparciem badań podstawowych z uwagi na inny ich cel i zakres niż planowane </w:t>
      </w:r>
      <w:r w:rsidR="007848D5" w:rsidRPr="002E74BF">
        <w:rPr>
          <w:rFonts w:ascii="Times New Roman" w:hAnsi="Times New Roman" w:cs="Times New Roman"/>
          <w:szCs w:val="24"/>
        </w:rPr>
        <w:t xml:space="preserve">w ramach KPO wsparcie </w:t>
      </w:r>
      <w:r w:rsidR="007848D5" w:rsidRPr="002E74BF">
        <w:rPr>
          <w:rFonts w:ascii="Times New Roman" w:hAnsi="Times New Roman" w:cs="Times New Roman"/>
          <w:szCs w:val="24"/>
        </w:rPr>
        <w:lastRenderedPageBreak/>
        <w:t>rozwoju gospodarki wodorowej</w:t>
      </w:r>
      <w:r w:rsidRPr="002E74BF">
        <w:rPr>
          <w:rFonts w:ascii="Times New Roman" w:hAnsi="Times New Roman" w:cs="Times New Roman"/>
          <w:szCs w:val="24"/>
        </w:rPr>
        <w:t xml:space="preserve">. W kolejnych jednostkach </w:t>
      </w:r>
      <w:r w:rsidR="00CD4BC9" w:rsidRPr="002E74BF">
        <w:rPr>
          <w:rFonts w:ascii="Times New Roman" w:hAnsi="Times New Roman" w:cs="Times New Roman"/>
          <w:szCs w:val="24"/>
        </w:rPr>
        <w:t xml:space="preserve">rozdziału 2 </w:t>
      </w:r>
      <w:r w:rsidR="007848D5" w:rsidRPr="002E74BF">
        <w:rPr>
          <w:rFonts w:ascii="Times New Roman" w:hAnsi="Times New Roman" w:cs="Times New Roman"/>
          <w:szCs w:val="24"/>
        </w:rPr>
        <w:t>określono</w:t>
      </w:r>
      <w:r w:rsidRPr="002E74BF">
        <w:rPr>
          <w:rFonts w:ascii="Times New Roman" w:hAnsi="Times New Roman" w:cs="Times New Roman"/>
          <w:szCs w:val="24"/>
        </w:rPr>
        <w:t xml:space="preserve"> intensywność pomocy udzielanej w tej kategorii</w:t>
      </w:r>
      <w:r w:rsidR="007848D5" w:rsidRPr="002E74BF">
        <w:rPr>
          <w:rFonts w:ascii="Times New Roman" w:hAnsi="Times New Roman" w:cs="Times New Roman"/>
          <w:szCs w:val="24"/>
        </w:rPr>
        <w:t>,</w:t>
      </w:r>
      <w:r w:rsidRPr="002E74BF">
        <w:rPr>
          <w:rFonts w:ascii="Times New Roman" w:hAnsi="Times New Roman" w:cs="Times New Roman"/>
          <w:szCs w:val="24"/>
        </w:rPr>
        <w:t xml:space="preserve"> w zależności od jej przeznaczenia. </w:t>
      </w:r>
    </w:p>
    <w:p w14:paraId="33D083CC" w14:textId="0C0DBB56" w:rsidR="00F61896" w:rsidRPr="002E74BF" w:rsidRDefault="00F61896" w:rsidP="0056063D">
      <w:pPr>
        <w:pStyle w:val="ARTartustawynprozporzdzenia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Cs w:val="24"/>
        </w:rPr>
      </w:pPr>
      <w:r w:rsidRPr="002E74BF">
        <w:rPr>
          <w:rFonts w:ascii="Times New Roman" w:hAnsi="Times New Roman" w:cs="Times New Roman"/>
          <w:b/>
          <w:bCs/>
          <w:szCs w:val="24"/>
        </w:rPr>
        <w:t xml:space="preserve">W rozdziale </w:t>
      </w:r>
      <w:r w:rsidR="00427DC6" w:rsidRPr="002E74BF">
        <w:rPr>
          <w:rFonts w:ascii="Times New Roman" w:hAnsi="Times New Roman" w:cs="Times New Roman"/>
          <w:b/>
          <w:bCs/>
          <w:szCs w:val="24"/>
        </w:rPr>
        <w:t>4</w:t>
      </w:r>
      <w:r w:rsidR="00D267A7" w:rsidRPr="002E74B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2E74BF">
        <w:rPr>
          <w:rFonts w:ascii="Times New Roman" w:hAnsi="Times New Roman" w:cs="Times New Roman"/>
          <w:b/>
          <w:bCs/>
          <w:szCs w:val="24"/>
        </w:rPr>
        <w:t>umieszczono przepisy dotyczące pomocy na ochronę środowiska naturalnego.</w:t>
      </w:r>
    </w:p>
    <w:p w14:paraId="1AFC575D" w14:textId="5DAA6DB3" w:rsidR="00CD4BC9" w:rsidRPr="002E74BF" w:rsidRDefault="008E297F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2E74BF">
        <w:rPr>
          <w:rFonts w:ascii="Times New Roman" w:hAnsi="Times New Roman" w:cs="Times New Roman"/>
          <w:szCs w:val="24"/>
        </w:rPr>
        <w:t>W §</w:t>
      </w:r>
      <w:r w:rsidR="00CD4BC9" w:rsidRPr="002E74BF">
        <w:rPr>
          <w:rFonts w:ascii="Times New Roman" w:hAnsi="Times New Roman" w:cs="Times New Roman"/>
          <w:szCs w:val="24"/>
        </w:rPr>
        <w:t xml:space="preserve"> </w:t>
      </w:r>
      <w:r w:rsidR="00EF3567" w:rsidRPr="002E74BF">
        <w:rPr>
          <w:rFonts w:ascii="Times New Roman" w:hAnsi="Times New Roman" w:cs="Times New Roman"/>
          <w:szCs w:val="24"/>
        </w:rPr>
        <w:t>2</w:t>
      </w:r>
      <w:r w:rsidR="0065592A">
        <w:rPr>
          <w:rFonts w:ascii="Times New Roman" w:hAnsi="Times New Roman" w:cs="Times New Roman"/>
          <w:szCs w:val="24"/>
        </w:rPr>
        <w:t>5</w:t>
      </w:r>
      <w:r w:rsidR="00EF3567" w:rsidRPr="002E74BF">
        <w:rPr>
          <w:rFonts w:ascii="Times New Roman" w:hAnsi="Times New Roman" w:cs="Times New Roman"/>
          <w:szCs w:val="24"/>
        </w:rPr>
        <w:t xml:space="preserve"> </w:t>
      </w:r>
      <w:r w:rsidR="007D2BE5">
        <w:rPr>
          <w:rFonts w:ascii="Times New Roman" w:hAnsi="Times New Roman" w:cs="Times New Roman"/>
          <w:szCs w:val="24"/>
        </w:rPr>
        <w:t>projektu</w:t>
      </w:r>
      <w:r w:rsidR="007D2BE5" w:rsidRPr="00304BF7">
        <w:rPr>
          <w:rFonts w:ascii="Times New Roman" w:hAnsi="Times New Roman" w:cs="Times New Roman"/>
          <w:szCs w:val="24"/>
        </w:rPr>
        <w:t xml:space="preserve"> </w:t>
      </w:r>
      <w:r w:rsidR="00CD4BC9" w:rsidRPr="002E74BF">
        <w:rPr>
          <w:rFonts w:ascii="Times New Roman" w:hAnsi="Times New Roman" w:cs="Times New Roman"/>
          <w:szCs w:val="24"/>
        </w:rPr>
        <w:t>wskazano, że pomoc jest udzielana jako</w:t>
      </w:r>
      <w:r w:rsidR="00037E5D" w:rsidRPr="002E74BF">
        <w:rPr>
          <w:rFonts w:ascii="Times New Roman" w:hAnsi="Times New Roman" w:cs="Times New Roman"/>
          <w:szCs w:val="24"/>
        </w:rPr>
        <w:t xml:space="preserve"> pomoc inwestycyjn</w:t>
      </w:r>
      <w:r w:rsidR="00CD4BC9" w:rsidRPr="002E74BF">
        <w:rPr>
          <w:rFonts w:ascii="Times New Roman" w:hAnsi="Times New Roman" w:cs="Times New Roman"/>
          <w:szCs w:val="24"/>
        </w:rPr>
        <w:t>a</w:t>
      </w:r>
      <w:r w:rsidR="00037E5D" w:rsidRPr="002E74BF">
        <w:rPr>
          <w:rFonts w:ascii="Times New Roman" w:hAnsi="Times New Roman" w:cs="Times New Roman"/>
          <w:szCs w:val="24"/>
        </w:rPr>
        <w:t xml:space="preserve"> </w:t>
      </w:r>
      <w:r w:rsidR="00CD4BC9" w:rsidRPr="002E74BF">
        <w:rPr>
          <w:rFonts w:ascii="Times New Roman" w:hAnsi="Times New Roman" w:cs="Times New Roman"/>
          <w:szCs w:val="24"/>
        </w:rPr>
        <w:t>na</w:t>
      </w:r>
      <w:r w:rsidR="00037E5D" w:rsidRPr="002E74BF">
        <w:rPr>
          <w:rFonts w:ascii="Times New Roman" w:hAnsi="Times New Roman" w:cs="Times New Roman"/>
          <w:szCs w:val="24"/>
        </w:rPr>
        <w:t xml:space="preserve"> publicznie dostępną infrastrukturę tankowania wodoru </w:t>
      </w:r>
      <w:r w:rsidR="007D2BE5">
        <w:rPr>
          <w:rFonts w:ascii="Times New Roman" w:hAnsi="Times New Roman" w:cs="Times New Roman"/>
          <w:szCs w:val="24"/>
        </w:rPr>
        <w:t xml:space="preserve">odnawialnego </w:t>
      </w:r>
      <w:r w:rsidR="00037E5D" w:rsidRPr="002E74BF">
        <w:rPr>
          <w:rFonts w:ascii="Times New Roman" w:hAnsi="Times New Roman" w:cs="Times New Roman"/>
          <w:szCs w:val="24"/>
        </w:rPr>
        <w:t>dla pojazdów</w:t>
      </w:r>
      <w:r w:rsidR="00CD4BC9" w:rsidRPr="002E74BF">
        <w:rPr>
          <w:rFonts w:ascii="Times New Roman" w:hAnsi="Times New Roman" w:cs="Times New Roman"/>
          <w:szCs w:val="24"/>
        </w:rPr>
        <w:t xml:space="preserve"> bezemisyjnych lub niskoemisyjnych, jako pomoc </w:t>
      </w:r>
      <w:r w:rsidR="007D2BE5" w:rsidRPr="00304BF7">
        <w:rPr>
          <w:rFonts w:ascii="Times New Roman" w:hAnsi="Times New Roman" w:cs="Times New Roman"/>
          <w:szCs w:val="24"/>
        </w:rPr>
        <w:t xml:space="preserve">inwestycyjna </w:t>
      </w:r>
      <w:r w:rsidR="00CD4BC9" w:rsidRPr="002E74BF">
        <w:rPr>
          <w:rFonts w:ascii="Times New Roman" w:hAnsi="Times New Roman" w:cs="Times New Roman"/>
          <w:szCs w:val="24"/>
        </w:rPr>
        <w:t xml:space="preserve">na projekty w zakresie produkcji wodoru odnawialnego oraz jako pomoc </w:t>
      </w:r>
      <w:r w:rsidR="006C1444" w:rsidRPr="00304BF7">
        <w:rPr>
          <w:rFonts w:ascii="Times New Roman" w:hAnsi="Times New Roman" w:cs="Times New Roman"/>
          <w:szCs w:val="24"/>
        </w:rPr>
        <w:t xml:space="preserve">inwestycyjna </w:t>
      </w:r>
      <w:r w:rsidR="00CD4BC9" w:rsidRPr="002E74BF">
        <w:rPr>
          <w:rFonts w:ascii="Times New Roman" w:hAnsi="Times New Roman" w:cs="Times New Roman"/>
          <w:szCs w:val="24"/>
        </w:rPr>
        <w:t>na infrastrukturę energetyczną</w:t>
      </w:r>
      <w:r w:rsidR="006C1444">
        <w:rPr>
          <w:rFonts w:ascii="Times New Roman" w:hAnsi="Times New Roman" w:cs="Times New Roman"/>
          <w:szCs w:val="24"/>
        </w:rPr>
        <w:t xml:space="preserve"> dla wodoru odnawialnego</w:t>
      </w:r>
      <w:r w:rsidR="00CD4BC9" w:rsidRPr="002E74BF">
        <w:rPr>
          <w:rFonts w:ascii="Times New Roman" w:hAnsi="Times New Roman" w:cs="Times New Roman"/>
          <w:szCs w:val="24"/>
        </w:rPr>
        <w:t xml:space="preserve">. </w:t>
      </w:r>
      <w:r w:rsidR="00EF3567" w:rsidRPr="002E74BF">
        <w:rPr>
          <w:rFonts w:ascii="Times New Roman" w:hAnsi="Times New Roman" w:cs="Times New Roman"/>
          <w:szCs w:val="24"/>
        </w:rPr>
        <w:t xml:space="preserve">Szczegółowe przeznaczenie </w:t>
      </w:r>
      <w:r w:rsidR="00CD4BC9" w:rsidRPr="002E74BF">
        <w:rPr>
          <w:rFonts w:ascii="Times New Roman" w:hAnsi="Times New Roman" w:cs="Times New Roman"/>
          <w:szCs w:val="24"/>
        </w:rPr>
        <w:t xml:space="preserve">pomocy </w:t>
      </w:r>
      <w:r w:rsidR="00EF3567" w:rsidRPr="002E74BF">
        <w:rPr>
          <w:rFonts w:ascii="Times New Roman" w:hAnsi="Times New Roman" w:cs="Times New Roman"/>
          <w:szCs w:val="24"/>
        </w:rPr>
        <w:t>zostało okreś</w:t>
      </w:r>
      <w:r w:rsidR="001A6011" w:rsidRPr="002E74BF">
        <w:rPr>
          <w:rFonts w:ascii="Times New Roman" w:hAnsi="Times New Roman" w:cs="Times New Roman"/>
          <w:szCs w:val="24"/>
        </w:rPr>
        <w:t>l</w:t>
      </w:r>
      <w:r w:rsidR="00EF3567" w:rsidRPr="002E74BF">
        <w:rPr>
          <w:rFonts w:ascii="Times New Roman" w:hAnsi="Times New Roman" w:cs="Times New Roman"/>
          <w:szCs w:val="24"/>
        </w:rPr>
        <w:t xml:space="preserve">one </w:t>
      </w:r>
      <w:r w:rsidR="00C31D02" w:rsidRPr="002E74BF">
        <w:rPr>
          <w:rFonts w:ascii="Times New Roman" w:hAnsi="Times New Roman" w:cs="Times New Roman"/>
          <w:szCs w:val="24"/>
        </w:rPr>
        <w:t xml:space="preserve">w § </w:t>
      </w:r>
      <w:r w:rsidR="00EF3567" w:rsidRPr="002E74BF">
        <w:rPr>
          <w:rFonts w:ascii="Times New Roman" w:hAnsi="Times New Roman" w:cs="Times New Roman"/>
          <w:szCs w:val="24"/>
        </w:rPr>
        <w:t>2</w:t>
      </w:r>
      <w:r w:rsidR="0065592A">
        <w:rPr>
          <w:rFonts w:ascii="Times New Roman" w:hAnsi="Times New Roman" w:cs="Times New Roman"/>
          <w:szCs w:val="24"/>
        </w:rPr>
        <w:t>6</w:t>
      </w:r>
      <w:r w:rsidR="006C1444">
        <w:rPr>
          <w:rFonts w:ascii="Times New Roman" w:hAnsi="Times New Roman" w:cs="Times New Roman"/>
          <w:szCs w:val="24"/>
        </w:rPr>
        <w:t xml:space="preserve"> projektu.</w:t>
      </w:r>
    </w:p>
    <w:p w14:paraId="6B154C0B" w14:textId="5124836B" w:rsidR="00C31D02" w:rsidRPr="009511C6" w:rsidRDefault="006C1444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Przepisy </w:t>
      </w:r>
      <w:r w:rsidR="00C31D02" w:rsidRPr="002E74BF">
        <w:rPr>
          <w:rFonts w:ascii="Times New Roman" w:hAnsi="Times New Roman" w:cs="Times New Roman"/>
          <w:szCs w:val="24"/>
        </w:rPr>
        <w:t>§</w:t>
      </w:r>
      <w:r w:rsidR="007848D5" w:rsidRPr="002E74BF">
        <w:rPr>
          <w:rFonts w:ascii="Times New Roman" w:hAnsi="Times New Roman" w:cs="Times New Roman"/>
          <w:szCs w:val="24"/>
        </w:rPr>
        <w:t xml:space="preserve"> </w:t>
      </w:r>
      <w:r w:rsidR="00EF3567" w:rsidRPr="002E74BF">
        <w:rPr>
          <w:rFonts w:ascii="Times New Roman" w:hAnsi="Times New Roman" w:cs="Times New Roman"/>
          <w:szCs w:val="24"/>
        </w:rPr>
        <w:t>2</w:t>
      </w:r>
      <w:r w:rsidR="0065592A">
        <w:rPr>
          <w:rFonts w:ascii="Times New Roman" w:hAnsi="Times New Roman" w:cs="Times New Roman"/>
          <w:szCs w:val="24"/>
        </w:rPr>
        <w:t>7</w:t>
      </w:r>
      <w:r w:rsidR="00C31D02" w:rsidRPr="002E74BF">
        <w:rPr>
          <w:rFonts w:ascii="Times New Roman" w:hAnsi="Times New Roman" w:cs="Times New Roman"/>
          <w:szCs w:val="24"/>
        </w:rPr>
        <w:t>-</w:t>
      </w:r>
      <w:r w:rsidR="00517AEB" w:rsidRPr="002E74BF">
        <w:rPr>
          <w:rFonts w:ascii="Times New Roman" w:hAnsi="Times New Roman" w:cs="Times New Roman"/>
          <w:szCs w:val="24"/>
        </w:rPr>
        <w:t>2</w:t>
      </w:r>
      <w:r w:rsidR="0065592A">
        <w:rPr>
          <w:rFonts w:ascii="Times New Roman" w:hAnsi="Times New Roman" w:cs="Times New Roman"/>
          <w:szCs w:val="24"/>
        </w:rPr>
        <w:t>9</w:t>
      </w:r>
      <w:r w:rsidR="00EF3567" w:rsidRPr="002E74BF">
        <w:rPr>
          <w:rFonts w:ascii="Times New Roman" w:hAnsi="Times New Roman" w:cs="Times New Roman"/>
          <w:szCs w:val="24"/>
        </w:rPr>
        <w:t xml:space="preserve"> </w:t>
      </w:r>
      <w:r w:rsidR="00C31D02" w:rsidRPr="002E74BF">
        <w:rPr>
          <w:rFonts w:ascii="Times New Roman" w:hAnsi="Times New Roman" w:cs="Times New Roman"/>
          <w:szCs w:val="24"/>
        </w:rPr>
        <w:t xml:space="preserve">projektu odsyłają do określonych przepisów rozporządzenia nr 651/2014 </w:t>
      </w:r>
      <w:r>
        <w:rPr>
          <w:rFonts w:ascii="Times New Roman" w:hAnsi="Times New Roman" w:cs="Times New Roman"/>
          <w:szCs w:val="24"/>
        </w:rPr>
        <w:t>Ww. przepisy regulują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C31D02" w:rsidRPr="009511C6">
        <w:rPr>
          <w:rFonts w:ascii="Times New Roman" w:hAnsi="Times New Roman" w:cs="Times New Roman"/>
          <w:szCs w:val="24"/>
        </w:rPr>
        <w:t>warunk</w:t>
      </w:r>
      <w:r>
        <w:rPr>
          <w:rFonts w:ascii="Times New Roman" w:hAnsi="Times New Roman" w:cs="Times New Roman"/>
          <w:szCs w:val="24"/>
        </w:rPr>
        <w:t>i</w:t>
      </w:r>
      <w:r w:rsidR="00C31D02" w:rsidRPr="009511C6">
        <w:rPr>
          <w:rFonts w:ascii="Times New Roman" w:hAnsi="Times New Roman" w:cs="Times New Roman"/>
          <w:szCs w:val="24"/>
        </w:rPr>
        <w:t xml:space="preserve"> udzielenia poszczególnych </w:t>
      </w:r>
      <w:r w:rsidR="00517AEB" w:rsidRPr="009511C6">
        <w:rPr>
          <w:rFonts w:ascii="Times New Roman" w:hAnsi="Times New Roman" w:cs="Times New Roman"/>
          <w:szCs w:val="24"/>
        </w:rPr>
        <w:t xml:space="preserve">rodzajów pomocy, </w:t>
      </w:r>
      <w:r w:rsidR="00C31D02" w:rsidRPr="009511C6">
        <w:rPr>
          <w:rFonts w:ascii="Times New Roman" w:hAnsi="Times New Roman" w:cs="Times New Roman"/>
          <w:szCs w:val="24"/>
        </w:rPr>
        <w:t xml:space="preserve">określonych w § </w:t>
      </w:r>
      <w:r w:rsidR="00517AEB" w:rsidRPr="009511C6">
        <w:rPr>
          <w:rFonts w:ascii="Times New Roman" w:hAnsi="Times New Roman" w:cs="Times New Roman"/>
          <w:szCs w:val="24"/>
        </w:rPr>
        <w:t>2</w:t>
      </w:r>
      <w:r w:rsidR="0065592A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projektu</w:t>
      </w:r>
      <w:r w:rsidR="0015072F" w:rsidRPr="009511C6">
        <w:rPr>
          <w:rFonts w:ascii="Times New Roman" w:hAnsi="Times New Roman" w:cs="Times New Roman"/>
          <w:szCs w:val="24"/>
        </w:rPr>
        <w:t>, przy czym w § 2</w:t>
      </w:r>
      <w:r w:rsidR="0065592A">
        <w:rPr>
          <w:rFonts w:ascii="Times New Roman" w:hAnsi="Times New Roman" w:cs="Times New Roman"/>
          <w:szCs w:val="24"/>
        </w:rPr>
        <w:t>7</w:t>
      </w:r>
      <w:r w:rsidR="0015072F" w:rsidRPr="009511C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projektu </w:t>
      </w:r>
      <w:r w:rsidR="0015072F" w:rsidRPr="009511C6">
        <w:rPr>
          <w:rFonts w:ascii="Times New Roman" w:hAnsi="Times New Roman" w:cs="Times New Roman"/>
          <w:szCs w:val="24"/>
        </w:rPr>
        <w:t>wskazano ministra właściwego ds. klimatu</w:t>
      </w:r>
      <w:r w:rsidR="00427052" w:rsidRPr="009511C6">
        <w:rPr>
          <w:rFonts w:ascii="Times New Roman" w:hAnsi="Times New Roman" w:cs="Times New Roman"/>
          <w:szCs w:val="24"/>
        </w:rPr>
        <w:t>,</w:t>
      </w:r>
      <w:r w:rsidR="0015072F" w:rsidRPr="009511C6">
        <w:rPr>
          <w:rFonts w:ascii="Times New Roman" w:hAnsi="Times New Roman" w:cs="Times New Roman"/>
          <w:szCs w:val="24"/>
        </w:rPr>
        <w:t xml:space="preserve"> jako podmiot weryfikujący spełnienie warunku udziału pojazdów wodorowych zarejestrowanych </w:t>
      </w:r>
      <w:r w:rsidRPr="009511C6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 </w:t>
      </w:r>
      <w:r w:rsidRPr="009C3E72">
        <w:t>Rzeczpospolitej Polskiej</w:t>
      </w:r>
      <w:r w:rsidRPr="00410659" w:rsidDel="006C1444">
        <w:rPr>
          <w:rFonts w:ascii="Times New Roman" w:hAnsi="Times New Roman" w:cs="Times New Roman"/>
          <w:szCs w:val="24"/>
        </w:rPr>
        <w:t xml:space="preserve"> </w:t>
      </w:r>
      <w:r w:rsidR="0015072F" w:rsidRPr="009511C6">
        <w:rPr>
          <w:rFonts w:ascii="Times New Roman" w:hAnsi="Times New Roman" w:cs="Times New Roman"/>
          <w:szCs w:val="24"/>
        </w:rPr>
        <w:t>oraz, w razie konieczności</w:t>
      </w:r>
      <w:r w:rsidR="00427052" w:rsidRPr="009511C6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jako podmiot weryfikujący konieczność udzielenia pomocy w drodze otwartych </w:t>
      </w:r>
      <w:r w:rsidR="0015072F" w:rsidRPr="009511C6">
        <w:rPr>
          <w:rFonts w:ascii="Times New Roman" w:hAnsi="Times New Roman" w:cs="Times New Roman"/>
          <w:szCs w:val="24"/>
        </w:rPr>
        <w:t>konsultacj</w:t>
      </w:r>
      <w:r>
        <w:rPr>
          <w:rFonts w:ascii="Times New Roman" w:hAnsi="Times New Roman" w:cs="Times New Roman"/>
          <w:szCs w:val="24"/>
        </w:rPr>
        <w:t xml:space="preserve">i </w:t>
      </w:r>
      <w:r w:rsidR="0015072F" w:rsidRPr="009511C6">
        <w:rPr>
          <w:rFonts w:ascii="Times New Roman" w:hAnsi="Times New Roman" w:cs="Times New Roman"/>
          <w:szCs w:val="24"/>
        </w:rPr>
        <w:t>społeczn</w:t>
      </w:r>
      <w:r>
        <w:rPr>
          <w:rFonts w:ascii="Times New Roman" w:hAnsi="Times New Roman" w:cs="Times New Roman"/>
          <w:szCs w:val="24"/>
        </w:rPr>
        <w:t xml:space="preserve">ych </w:t>
      </w:r>
      <w:r w:rsidR="00427052" w:rsidRPr="009511C6">
        <w:rPr>
          <w:rFonts w:ascii="Times New Roman" w:hAnsi="Times New Roman" w:cs="Times New Roman"/>
          <w:szCs w:val="24"/>
        </w:rPr>
        <w:t>lub</w:t>
      </w:r>
      <w:r w:rsidR="0015072F" w:rsidRPr="009511C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niezależnego </w:t>
      </w:r>
      <w:r w:rsidR="0015072F" w:rsidRPr="009511C6">
        <w:rPr>
          <w:rFonts w:ascii="Times New Roman" w:hAnsi="Times New Roman" w:cs="Times New Roman"/>
          <w:szCs w:val="24"/>
        </w:rPr>
        <w:t>badani</w:t>
      </w:r>
      <w:r>
        <w:rPr>
          <w:rFonts w:ascii="Times New Roman" w:hAnsi="Times New Roman" w:cs="Times New Roman"/>
          <w:szCs w:val="24"/>
        </w:rPr>
        <w:t xml:space="preserve">a, o których mowa w </w:t>
      </w:r>
      <w:r w:rsidR="00427052" w:rsidRPr="009511C6">
        <w:rPr>
          <w:rFonts w:ascii="Times New Roman" w:hAnsi="Times New Roman" w:cs="Times New Roman"/>
          <w:szCs w:val="24"/>
        </w:rPr>
        <w:t>ar</w:t>
      </w:r>
      <w:r w:rsidR="0015072F" w:rsidRPr="009511C6">
        <w:rPr>
          <w:rFonts w:ascii="Times New Roman" w:hAnsi="Times New Roman" w:cs="Times New Roman"/>
          <w:szCs w:val="24"/>
        </w:rPr>
        <w:t>t. 36a ust. 8 rozporządzenia nr 651/2014.</w:t>
      </w:r>
    </w:p>
    <w:p w14:paraId="775DD825" w14:textId="75ACF06B" w:rsidR="007848D5" w:rsidRPr="009511C6" w:rsidRDefault="007848D5" w:rsidP="0056063D">
      <w:pPr>
        <w:pStyle w:val="ARTartustawynprozporzdzenia"/>
        <w:spacing w:line="240" w:lineRule="auto"/>
        <w:ind w:left="66" w:firstLine="501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>W kolejnych</w:t>
      </w:r>
      <w:r w:rsidR="00C31D02" w:rsidRPr="009511C6">
        <w:rPr>
          <w:rFonts w:ascii="Times New Roman" w:hAnsi="Times New Roman" w:cs="Times New Roman"/>
          <w:szCs w:val="24"/>
        </w:rPr>
        <w:t xml:space="preserve"> jednostk</w:t>
      </w:r>
      <w:r w:rsidRPr="009511C6">
        <w:rPr>
          <w:rFonts w:ascii="Times New Roman" w:hAnsi="Times New Roman" w:cs="Times New Roman"/>
          <w:szCs w:val="24"/>
        </w:rPr>
        <w:t>ach</w:t>
      </w:r>
      <w:r w:rsidR="00C31D02" w:rsidRPr="009511C6">
        <w:rPr>
          <w:rFonts w:ascii="Times New Roman" w:hAnsi="Times New Roman" w:cs="Times New Roman"/>
          <w:szCs w:val="24"/>
        </w:rPr>
        <w:t xml:space="preserve"> redakcyjn</w:t>
      </w:r>
      <w:r w:rsidRPr="009511C6">
        <w:rPr>
          <w:rFonts w:ascii="Times New Roman" w:hAnsi="Times New Roman" w:cs="Times New Roman"/>
          <w:szCs w:val="24"/>
        </w:rPr>
        <w:t>ych</w:t>
      </w:r>
      <w:r w:rsidR="00C31D02" w:rsidRPr="009511C6">
        <w:rPr>
          <w:rFonts w:ascii="Times New Roman" w:hAnsi="Times New Roman" w:cs="Times New Roman"/>
          <w:szCs w:val="24"/>
        </w:rPr>
        <w:t xml:space="preserve"> rozdziału 3 określ</w:t>
      </w:r>
      <w:r w:rsidRPr="009511C6">
        <w:rPr>
          <w:rFonts w:ascii="Times New Roman" w:hAnsi="Times New Roman" w:cs="Times New Roman"/>
          <w:szCs w:val="24"/>
        </w:rPr>
        <w:t>on</w:t>
      </w:r>
      <w:r w:rsidR="006C1444">
        <w:rPr>
          <w:rFonts w:ascii="Times New Roman" w:hAnsi="Times New Roman" w:cs="Times New Roman"/>
          <w:szCs w:val="24"/>
        </w:rPr>
        <w:t>o</w:t>
      </w:r>
      <w:r w:rsidR="00C31D02" w:rsidRPr="009511C6">
        <w:rPr>
          <w:rFonts w:ascii="Times New Roman" w:hAnsi="Times New Roman" w:cs="Times New Roman"/>
          <w:szCs w:val="24"/>
        </w:rPr>
        <w:t>, co obejmują koszty kwalifikowa</w:t>
      </w:r>
      <w:r w:rsidR="00614938" w:rsidRPr="009511C6">
        <w:rPr>
          <w:rFonts w:ascii="Times New Roman" w:hAnsi="Times New Roman" w:cs="Times New Roman"/>
          <w:szCs w:val="24"/>
        </w:rPr>
        <w:t>l</w:t>
      </w:r>
      <w:r w:rsidR="00C31D02" w:rsidRPr="009511C6">
        <w:rPr>
          <w:rFonts w:ascii="Times New Roman" w:hAnsi="Times New Roman" w:cs="Times New Roman"/>
          <w:szCs w:val="24"/>
        </w:rPr>
        <w:t>ne oraz wskaz</w:t>
      </w:r>
      <w:r w:rsidRPr="009511C6">
        <w:rPr>
          <w:rFonts w:ascii="Times New Roman" w:hAnsi="Times New Roman" w:cs="Times New Roman"/>
          <w:szCs w:val="24"/>
        </w:rPr>
        <w:t>ano</w:t>
      </w:r>
      <w:r w:rsidR="00C31D02" w:rsidRPr="009511C6">
        <w:rPr>
          <w:rFonts w:ascii="Times New Roman" w:hAnsi="Times New Roman" w:cs="Times New Roman"/>
          <w:szCs w:val="24"/>
        </w:rPr>
        <w:t xml:space="preserve"> maksymalną intensywność pomocy</w:t>
      </w:r>
      <w:r w:rsidR="00517AEB" w:rsidRPr="009511C6">
        <w:rPr>
          <w:rFonts w:ascii="Times New Roman" w:hAnsi="Times New Roman" w:cs="Times New Roman"/>
          <w:szCs w:val="24"/>
        </w:rPr>
        <w:t xml:space="preserve">, w tym warunki </w:t>
      </w:r>
      <w:r w:rsidRPr="009511C6">
        <w:rPr>
          <w:rFonts w:ascii="Times New Roman" w:hAnsi="Times New Roman" w:cs="Times New Roman"/>
          <w:szCs w:val="24"/>
        </w:rPr>
        <w:t>umożliwiające</w:t>
      </w:r>
      <w:r w:rsidR="00517AEB" w:rsidRPr="009511C6">
        <w:rPr>
          <w:rFonts w:ascii="Times New Roman" w:hAnsi="Times New Roman" w:cs="Times New Roman"/>
          <w:szCs w:val="24"/>
        </w:rPr>
        <w:t xml:space="preserve"> </w:t>
      </w:r>
      <w:r w:rsidRPr="009511C6">
        <w:rPr>
          <w:rFonts w:ascii="Times New Roman" w:hAnsi="Times New Roman" w:cs="Times New Roman"/>
          <w:szCs w:val="24"/>
        </w:rPr>
        <w:t xml:space="preserve">jej </w:t>
      </w:r>
      <w:r w:rsidR="00517AEB" w:rsidRPr="009511C6">
        <w:rPr>
          <w:rFonts w:ascii="Times New Roman" w:hAnsi="Times New Roman" w:cs="Times New Roman"/>
          <w:szCs w:val="24"/>
        </w:rPr>
        <w:t>zwiększeni</w:t>
      </w:r>
      <w:r w:rsidRPr="009511C6">
        <w:rPr>
          <w:rFonts w:ascii="Times New Roman" w:hAnsi="Times New Roman" w:cs="Times New Roman"/>
          <w:szCs w:val="24"/>
        </w:rPr>
        <w:t>e</w:t>
      </w:r>
      <w:r w:rsidR="00517AEB" w:rsidRPr="009511C6">
        <w:rPr>
          <w:rFonts w:ascii="Times New Roman" w:hAnsi="Times New Roman" w:cs="Times New Roman"/>
          <w:szCs w:val="24"/>
        </w:rPr>
        <w:t>,</w:t>
      </w:r>
      <w:r w:rsidR="00C31D02" w:rsidRPr="009511C6">
        <w:rPr>
          <w:rFonts w:ascii="Times New Roman" w:hAnsi="Times New Roman" w:cs="Times New Roman"/>
          <w:szCs w:val="24"/>
        </w:rPr>
        <w:t xml:space="preserve"> na poszczególne </w:t>
      </w:r>
      <w:r w:rsidR="00517AEB" w:rsidRPr="009511C6">
        <w:rPr>
          <w:rFonts w:ascii="Times New Roman" w:hAnsi="Times New Roman" w:cs="Times New Roman"/>
          <w:szCs w:val="24"/>
        </w:rPr>
        <w:t>rodzaje pomocy udzielanej w ramach tego rozdziału.</w:t>
      </w:r>
    </w:p>
    <w:p w14:paraId="3008E191" w14:textId="4749EE31" w:rsidR="00F61896" w:rsidRPr="009511C6" w:rsidRDefault="00F61896" w:rsidP="000C76CB">
      <w:pPr>
        <w:pStyle w:val="ARTartustawynprozporzdzenia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Cs w:val="24"/>
        </w:rPr>
      </w:pPr>
      <w:r w:rsidRPr="009511C6">
        <w:rPr>
          <w:rFonts w:ascii="Times New Roman" w:hAnsi="Times New Roman" w:cs="Times New Roman"/>
          <w:b/>
          <w:bCs/>
          <w:szCs w:val="24"/>
        </w:rPr>
        <w:t xml:space="preserve">W rozdziale </w:t>
      </w:r>
      <w:r w:rsidR="00427DC6" w:rsidRPr="009511C6">
        <w:rPr>
          <w:rFonts w:ascii="Times New Roman" w:hAnsi="Times New Roman" w:cs="Times New Roman"/>
          <w:b/>
          <w:bCs/>
          <w:szCs w:val="24"/>
        </w:rPr>
        <w:t>5</w:t>
      </w:r>
      <w:r w:rsidR="00D267A7" w:rsidRPr="009511C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9511C6">
        <w:rPr>
          <w:rFonts w:ascii="Times New Roman" w:hAnsi="Times New Roman" w:cs="Times New Roman"/>
          <w:b/>
          <w:bCs/>
          <w:szCs w:val="24"/>
        </w:rPr>
        <w:t>umieszczono przepisy dotyczące pomocy na rzecz portów.</w:t>
      </w:r>
    </w:p>
    <w:p w14:paraId="78CDC6AF" w14:textId="466FA1FD" w:rsidR="00585F1A" w:rsidRPr="009511C6" w:rsidRDefault="00585F1A" w:rsidP="0056063D">
      <w:pPr>
        <w:pStyle w:val="ARTartustawynprozporzdzenia"/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 xml:space="preserve">W § </w:t>
      </w:r>
      <w:r w:rsidR="00517AEB" w:rsidRPr="009511C6">
        <w:rPr>
          <w:rFonts w:ascii="Times New Roman" w:hAnsi="Times New Roman" w:cs="Times New Roman"/>
          <w:szCs w:val="24"/>
        </w:rPr>
        <w:t>3</w:t>
      </w:r>
      <w:r w:rsidR="0065592A">
        <w:rPr>
          <w:rFonts w:ascii="Times New Roman" w:hAnsi="Times New Roman" w:cs="Times New Roman"/>
          <w:szCs w:val="24"/>
        </w:rPr>
        <w:t>6</w:t>
      </w:r>
      <w:r w:rsidR="00517AEB" w:rsidRPr="009511C6">
        <w:rPr>
          <w:rFonts w:ascii="Times New Roman" w:hAnsi="Times New Roman" w:cs="Times New Roman"/>
          <w:szCs w:val="24"/>
        </w:rPr>
        <w:t xml:space="preserve"> </w:t>
      </w:r>
      <w:r w:rsidR="005F0FE1" w:rsidRPr="00304BF7">
        <w:rPr>
          <w:rFonts w:ascii="Times New Roman" w:hAnsi="Times New Roman" w:cs="Times New Roman"/>
          <w:szCs w:val="24"/>
        </w:rPr>
        <w:t xml:space="preserve">projektu </w:t>
      </w:r>
      <w:r w:rsidR="00C31D02" w:rsidRPr="009511C6">
        <w:rPr>
          <w:rFonts w:ascii="Times New Roman" w:hAnsi="Times New Roman" w:cs="Times New Roman"/>
          <w:szCs w:val="24"/>
        </w:rPr>
        <w:t>określono, że pomoc jest udzielana jako pomoc na rzecz portów morskich i portów śródlądowych</w:t>
      </w:r>
      <w:r w:rsidR="00E54457" w:rsidRPr="009511C6">
        <w:rPr>
          <w:rFonts w:ascii="Times New Roman" w:hAnsi="Times New Roman" w:cs="Times New Roman"/>
          <w:szCs w:val="24"/>
        </w:rPr>
        <w:t xml:space="preserve">. </w:t>
      </w:r>
    </w:p>
    <w:p w14:paraId="113AA560" w14:textId="12FCD65D" w:rsidR="00563DA1" w:rsidRPr="009511C6" w:rsidRDefault="00517AEB" w:rsidP="0056063D">
      <w:pPr>
        <w:pStyle w:val="ARTartustawynprozporzdzenia"/>
        <w:spacing w:line="240" w:lineRule="auto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>W § 3</w:t>
      </w:r>
      <w:r w:rsidR="0065592A">
        <w:rPr>
          <w:rFonts w:ascii="Times New Roman" w:hAnsi="Times New Roman" w:cs="Times New Roman"/>
          <w:szCs w:val="24"/>
        </w:rPr>
        <w:t>7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5F0FE1" w:rsidRPr="00304BF7">
        <w:rPr>
          <w:rFonts w:ascii="Times New Roman" w:hAnsi="Times New Roman" w:cs="Times New Roman"/>
          <w:szCs w:val="24"/>
        </w:rPr>
        <w:t xml:space="preserve">projektu </w:t>
      </w:r>
      <w:r w:rsidRPr="009511C6">
        <w:rPr>
          <w:rFonts w:ascii="Times New Roman" w:hAnsi="Times New Roman" w:cs="Times New Roman"/>
          <w:szCs w:val="24"/>
        </w:rPr>
        <w:t>wskazano przeznaczenie pomocy na budowę</w:t>
      </w:r>
      <w:r w:rsidR="00563DA1" w:rsidRPr="009511C6">
        <w:rPr>
          <w:rFonts w:ascii="Times New Roman" w:hAnsi="Times New Roman" w:cs="Times New Roman"/>
          <w:szCs w:val="24"/>
        </w:rPr>
        <w:t xml:space="preserve">, </w:t>
      </w:r>
      <w:r w:rsidRPr="009511C6">
        <w:rPr>
          <w:rFonts w:ascii="Times New Roman" w:hAnsi="Times New Roman" w:cs="Times New Roman"/>
          <w:szCs w:val="24"/>
        </w:rPr>
        <w:t xml:space="preserve">wymianę </w:t>
      </w:r>
      <w:r w:rsidR="00563DA1" w:rsidRPr="009511C6">
        <w:rPr>
          <w:rFonts w:ascii="Times New Roman" w:hAnsi="Times New Roman" w:cs="Times New Roman"/>
          <w:szCs w:val="24"/>
        </w:rPr>
        <w:t xml:space="preserve">lub </w:t>
      </w:r>
      <w:r w:rsidRPr="009511C6">
        <w:rPr>
          <w:rFonts w:ascii="Times New Roman" w:hAnsi="Times New Roman" w:cs="Times New Roman"/>
          <w:szCs w:val="24"/>
        </w:rPr>
        <w:t xml:space="preserve">modernizację </w:t>
      </w:r>
      <w:r w:rsidR="00563DA1" w:rsidRPr="009511C6">
        <w:rPr>
          <w:rFonts w:ascii="Times New Roman" w:hAnsi="Times New Roman" w:cs="Times New Roman"/>
          <w:szCs w:val="24"/>
        </w:rPr>
        <w:t>stacji tankowania lub bunkrowania wodoru w portach</w:t>
      </w:r>
      <w:r w:rsidRPr="009511C6">
        <w:rPr>
          <w:rFonts w:ascii="Times New Roman" w:hAnsi="Times New Roman" w:cs="Times New Roman"/>
          <w:szCs w:val="24"/>
        </w:rPr>
        <w:t>.</w:t>
      </w:r>
    </w:p>
    <w:p w14:paraId="55436159" w14:textId="6A63906C" w:rsidR="00563DA1" w:rsidRPr="009511C6" w:rsidRDefault="007848D5" w:rsidP="0056063D">
      <w:pPr>
        <w:pStyle w:val="ARTartustawynprozporzdzenia"/>
        <w:spacing w:line="240" w:lineRule="auto"/>
        <w:ind w:left="66" w:firstLine="501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>W k</w:t>
      </w:r>
      <w:r w:rsidR="00563DA1" w:rsidRPr="009511C6">
        <w:rPr>
          <w:rFonts w:ascii="Times New Roman" w:hAnsi="Times New Roman" w:cs="Times New Roman"/>
          <w:szCs w:val="24"/>
        </w:rPr>
        <w:t>olejn</w:t>
      </w:r>
      <w:r w:rsidRPr="009511C6">
        <w:rPr>
          <w:rFonts w:ascii="Times New Roman" w:hAnsi="Times New Roman" w:cs="Times New Roman"/>
          <w:szCs w:val="24"/>
        </w:rPr>
        <w:t>ych</w:t>
      </w:r>
      <w:r w:rsidR="00563DA1" w:rsidRPr="009511C6">
        <w:rPr>
          <w:rFonts w:ascii="Times New Roman" w:hAnsi="Times New Roman" w:cs="Times New Roman"/>
          <w:szCs w:val="24"/>
        </w:rPr>
        <w:t xml:space="preserve"> jednostk</w:t>
      </w:r>
      <w:r w:rsidRPr="009511C6">
        <w:rPr>
          <w:rFonts w:ascii="Times New Roman" w:hAnsi="Times New Roman" w:cs="Times New Roman"/>
          <w:szCs w:val="24"/>
        </w:rPr>
        <w:t>ach</w:t>
      </w:r>
      <w:r w:rsidR="00563DA1" w:rsidRPr="009511C6">
        <w:rPr>
          <w:rFonts w:ascii="Times New Roman" w:hAnsi="Times New Roman" w:cs="Times New Roman"/>
          <w:szCs w:val="24"/>
        </w:rPr>
        <w:t xml:space="preserve"> redakcyjn</w:t>
      </w:r>
      <w:r w:rsidRPr="009511C6">
        <w:rPr>
          <w:rFonts w:ascii="Times New Roman" w:hAnsi="Times New Roman" w:cs="Times New Roman"/>
          <w:szCs w:val="24"/>
        </w:rPr>
        <w:t>ych</w:t>
      </w:r>
      <w:r w:rsidR="00563DA1" w:rsidRPr="009511C6">
        <w:rPr>
          <w:rFonts w:ascii="Times New Roman" w:hAnsi="Times New Roman" w:cs="Times New Roman"/>
          <w:szCs w:val="24"/>
        </w:rPr>
        <w:t xml:space="preserve"> rozdziału </w:t>
      </w:r>
      <w:r w:rsidR="005F0FE1">
        <w:rPr>
          <w:rFonts w:ascii="Times New Roman" w:hAnsi="Times New Roman" w:cs="Times New Roman"/>
          <w:szCs w:val="24"/>
        </w:rPr>
        <w:t>5 projektu</w:t>
      </w:r>
      <w:r w:rsidR="00563DA1" w:rsidRPr="009511C6">
        <w:rPr>
          <w:rFonts w:ascii="Times New Roman" w:hAnsi="Times New Roman" w:cs="Times New Roman"/>
          <w:szCs w:val="24"/>
        </w:rPr>
        <w:t xml:space="preserve"> </w:t>
      </w:r>
      <w:r w:rsidR="00517AEB" w:rsidRPr="009511C6">
        <w:rPr>
          <w:rFonts w:ascii="Times New Roman" w:hAnsi="Times New Roman" w:cs="Times New Roman"/>
          <w:szCs w:val="24"/>
        </w:rPr>
        <w:t>określono</w:t>
      </w:r>
      <w:r w:rsidR="00563DA1" w:rsidRPr="009511C6">
        <w:rPr>
          <w:rFonts w:ascii="Times New Roman" w:hAnsi="Times New Roman" w:cs="Times New Roman"/>
          <w:szCs w:val="24"/>
        </w:rPr>
        <w:t>, warunki udziel</w:t>
      </w:r>
      <w:r w:rsidRPr="009511C6">
        <w:rPr>
          <w:rFonts w:ascii="Times New Roman" w:hAnsi="Times New Roman" w:cs="Times New Roman"/>
          <w:szCs w:val="24"/>
        </w:rPr>
        <w:t>ania pomocy</w:t>
      </w:r>
      <w:r w:rsidR="00563DA1" w:rsidRPr="009511C6">
        <w:rPr>
          <w:rFonts w:ascii="Times New Roman" w:hAnsi="Times New Roman" w:cs="Times New Roman"/>
          <w:szCs w:val="24"/>
        </w:rPr>
        <w:t xml:space="preserve"> odpowiednio na rzecz portów morskich i portów śródlądowych (§ </w:t>
      </w:r>
      <w:r w:rsidR="00517AEB" w:rsidRPr="009511C6">
        <w:rPr>
          <w:rFonts w:ascii="Times New Roman" w:hAnsi="Times New Roman" w:cs="Times New Roman"/>
          <w:szCs w:val="24"/>
        </w:rPr>
        <w:t>3</w:t>
      </w:r>
      <w:r w:rsidR="0065592A">
        <w:rPr>
          <w:rFonts w:ascii="Times New Roman" w:hAnsi="Times New Roman" w:cs="Times New Roman"/>
          <w:szCs w:val="24"/>
        </w:rPr>
        <w:t>8</w:t>
      </w:r>
      <w:r w:rsidR="00517AEB" w:rsidRPr="009511C6">
        <w:rPr>
          <w:rFonts w:ascii="Times New Roman" w:hAnsi="Times New Roman" w:cs="Times New Roman"/>
          <w:szCs w:val="24"/>
        </w:rPr>
        <w:t xml:space="preserve"> </w:t>
      </w:r>
      <w:r w:rsidR="00563DA1" w:rsidRPr="009511C6">
        <w:rPr>
          <w:rFonts w:ascii="Times New Roman" w:hAnsi="Times New Roman" w:cs="Times New Roman"/>
          <w:szCs w:val="24"/>
        </w:rPr>
        <w:t>i §</w:t>
      </w:r>
      <w:r w:rsidR="000C76CB">
        <w:rPr>
          <w:rFonts w:ascii="Times New Roman" w:hAnsi="Times New Roman" w:cs="Times New Roman"/>
          <w:szCs w:val="24"/>
        </w:rPr>
        <w:t> </w:t>
      </w:r>
      <w:r w:rsidR="00517AEB" w:rsidRPr="009511C6">
        <w:rPr>
          <w:rFonts w:ascii="Times New Roman" w:hAnsi="Times New Roman" w:cs="Times New Roman"/>
          <w:szCs w:val="24"/>
        </w:rPr>
        <w:t>3</w:t>
      </w:r>
      <w:r w:rsidR="0065592A">
        <w:rPr>
          <w:rFonts w:ascii="Times New Roman" w:hAnsi="Times New Roman" w:cs="Times New Roman"/>
          <w:szCs w:val="24"/>
        </w:rPr>
        <w:t>9</w:t>
      </w:r>
      <w:r w:rsidR="005F0FE1">
        <w:rPr>
          <w:rFonts w:ascii="Times New Roman" w:hAnsi="Times New Roman" w:cs="Times New Roman"/>
          <w:szCs w:val="24"/>
        </w:rPr>
        <w:t xml:space="preserve"> projektu</w:t>
      </w:r>
      <w:r w:rsidR="00563DA1" w:rsidRPr="009511C6">
        <w:rPr>
          <w:rFonts w:ascii="Times New Roman" w:hAnsi="Times New Roman" w:cs="Times New Roman"/>
          <w:szCs w:val="24"/>
        </w:rPr>
        <w:t xml:space="preserve">) </w:t>
      </w:r>
      <w:r w:rsidR="00517AEB" w:rsidRPr="009511C6">
        <w:rPr>
          <w:rFonts w:ascii="Times New Roman" w:hAnsi="Times New Roman" w:cs="Times New Roman"/>
          <w:szCs w:val="24"/>
        </w:rPr>
        <w:t xml:space="preserve">oraz </w:t>
      </w:r>
      <w:r w:rsidR="00563DA1" w:rsidRPr="009511C6">
        <w:rPr>
          <w:rFonts w:ascii="Times New Roman" w:hAnsi="Times New Roman" w:cs="Times New Roman"/>
          <w:szCs w:val="24"/>
        </w:rPr>
        <w:t>wskaz</w:t>
      </w:r>
      <w:r w:rsidRPr="009511C6">
        <w:rPr>
          <w:rFonts w:ascii="Times New Roman" w:hAnsi="Times New Roman" w:cs="Times New Roman"/>
          <w:szCs w:val="24"/>
        </w:rPr>
        <w:t>ano</w:t>
      </w:r>
      <w:r w:rsidR="00563DA1" w:rsidRPr="009511C6">
        <w:rPr>
          <w:rFonts w:ascii="Times New Roman" w:hAnsi="Times New Roman" w:cs="Times New Roman"/>
          <w:szCs w:val="24"/>
        </w:rPr>
        <w:t xml:space="preserve"> co obejmują koszty kwalifikowa</w:t>
      </w:r>
      <w:r w:rsidR="00614938" w:rsidRPr="009511C6">
        <w:rPr>
          <w:rFonts w:ascii="Times New Roman" w:hAnsi="Times New Roman" w:cs="Times New Roman"/>
          <w:szCs w:val="24"/>
        </w:rPr>
        <w:t>l</w:t>
      </w:r>
      <w:r w:rsidR="00563DA1" w:rsidRPr="009511C6">
        <w:rPr>
          <w:rFonts w:ascii="Times New Roman" w:hAnsi="Times New Roman" w:cs="Times New Roman"/>
          <w:szCs w:val="24"/>
        </w:rPr>
        <w:t>ne</w:t>
      </w:r>
      <w:r w:rsidR="00517AEB" w:rsidRPr="009511C6">
        <w:rPr>
          <w:rFonts w:ascii="Times New Roman" w:hAnsi="Times New Roman" w:cs="Times New Roman"/>
          <w:szCs w:val="24"/>
        </w:rPr>
        <w:t>. W § 4</w:t>
      </w:r>
      <w:r w:rsidR="0065592A">
        <w:rPr>
          <w:rFonts w:ascii="Times New Roman" w:hAnsi="Times New Roman" w:cs="Times New Roman"/>
          <w:szCs w:val="24"/>
        </w:rPr>
        <w:t>1</w:t>
      </w:r>
      <w:r w:rsidR="00517AEB" w:rsidRPr="009511C6">
        <w:rPr>
          <w:rFonts w:ascii="Times New Roman" w:hAnsi="Times New Roman" w:cs="Times New Roman"/>
          <w:szCs w:val="24"/>
        </w:rPr>
        <w:t>–4</w:t>
      </w:r>
      <w:r w:rsidR="0065592A">
        <w:rPr>
          <w:rFonts w:ascii="Times New Roman" w:hAnsi="Times New Roman" w:cs="Times New Roman"/>
          <w:szCs w:val="24"/>
        </w:rPr>
        <w:t>4</w:t>
      </w:r>
      <w:r w:rsidR="00517AEB" w:rsidRPr="009511C6">
        <w:rPr>
          <w:rFonts w:ascii="Times New Roman" w:hAnsi="Times New Roman" w:cs="Times New Roman"/>
          <w:szCs w:val="24"/>
        </w:rPr>
        <w:t xml:space="preserve"> </w:t>
      </w:r>
      <w:r w:rsidR="005F0FE1">
        <w:rPr>
          <w:rFonts w:ascii="Times New Roman" w:hAnsi="Times New Roman" w:cs="Times New Roman"/>
          <w:szCs w:val="24"/>
        </w:rPr>
        <w:t>projektu</w:t>
      </w:r>
      <w:r w:rsidR="005F0FE1" w:rsidRPr="00410659">
        <w:rPr>
          <w:rFonts w:ascii="Times New Roman" w:hAnsi="Times New Roman" w:cs="Times New Roman"/>
          <w:szCs w:val="24"/>
        </w:rPr>
        <w:t xml:space="preserve"> </w:t>
      </w:r>
      <w:r w:rsidR="00AB3999" w:rsidRPr="009511C6">
        <w:rPr>
          <w:rFonts w:ascii="Times New Roman" w:hAnsi="Times New Roman" w:cs="Times New Roman"/>
          <w:szCs w:val="24"/>
        </w:rPr>
        <w:t>określono</w:t>
      </w:r>
      <w:r w:rsidR="00517AEB" w:rsidRPr="009511C6">
        <w:rPr>
          <w:rFonts w:ascii="Times New Roman" w:hAnsi="Times New Roman" w:cs="Times New Roman"/>
          <w:szCs w:val="24"/>
        </w:rPr>
        <w:t xml:space="preserve"> maksymalną intensywność dla każdego rodzaju pomocy oraz warunki zwiększenia tej intensywności.</w:t>
      </w:r>
    </w:p>
    <w:p w14:paraId="43B8AADE" w14:textId="72FB0E45" w:rsidR="00AB3999" w:rsidRPr="009511C6" w:rsidRDefault="00AB3999" w:rsidP="000C76CB">
      <w:pPr>
        <w:pStyle w:val="ARTartustawynprozporzdzenia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Cs w:val="24"/>
        </w:rPr>
      </w:pPr>
      <w:r w:rsidRPr="009511C6">
        <w:rPr>
          <w:rFonts w:ascii="Times New Roman" w:hAnsi="Times New Roman" w:cs="Times New Roman"/>
          <w:b/>
          <w:bCs/>
          <w:szCs w:val="24"/>
        </w:rPr>
        <w:t>W rozdziale 6 umieszczono przepisy dotyczące udzielania pomocy regionalnej.</w:t>
      </w:r>
    </w:p>
    <w:p w14:paraId="66C18887" w14:textId="2E986F6E" w:rsidR="00AB3999" w:rsidRPr="009511C6" w:rsidRDefault="00AB3999" w:rsidP="0056063D">
      <w:pPr>
        <w:pStyle w:val="ARTartustawynprozporzdzenia"/>
        <w:spacing w:line="240" w:lineRule="auto"/>
        <w:ind w:left="66" w:firstLine="0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>W § 4</w:t>
      </w:r>
      <w:r w:rsidR="0065592A">
        <w:rPr>
          <w:rFonts w:ascii="Times New Roman" w:hAnsi="Times New Roman" w:cs="Times New Roman"/>
          <w:szCs w:val="24"/>
        </w:rPr>
        <w:t>5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410659" w:rsidRPr="00304BF7">
        <w:rPr>
          <w:rFonts w:ascii="Times New Roman" w:hAnsi="Times New Roman" w:cs="Times New Roman"/>
          <w:szCs w:val="24"/>
        </w:rPr>
        <w:t xml:space="preserve">projektu </w:t>
      </w:r>
      <w:r w:rsidR="007848D5" w:rsidRPr="009511C6">
        <w:rPr>
          <w:rFonts w:ascii="Times New Roman" w:hAnsi="Times New Roman" w:cs="Times New Roman"/>
          <w:szCs w:val="24"/>
        </w:rPr>
        <w:t>przywołano</w:t>
      </w:r>
      <w:r w:rsidRPr="009511C6">
        <w:rPr>
          <w:rFonts w:ascii="Times New Roman" w:hAnsi="Times New Roman" w:cs="Times New Roman"/>
          <w:szCs w:val="24"/>
        </w:rPr>
        <w:t xml:space="preserve"> zasady udzielania pomocy regionalnej zgodnie </w:t>
      </w:r>
      <w:r w:rsidR="00410659" w:rsidRPr="009511C6">
        <w:rPr>
          <w:rFonts w:ascii="Times New Roman" w:hAnsi="Times New Roman" w:cs="Times New Roman"/>
          <w:szCs w:val="24"/>
        </w:rPr>
        <w:t>z</w:t>
      </w:r>
      <w:r w:rsidR="00410659">
        <w:rPr>
          <w:rFonts w:ascii="Times New Roman" w:hAnsi="Times New Roman" w:cs="Times New Roman"/>
          <w:szCs w:val="24"/>
        </w:rPr>
        <w:t> </w:t>
      </w:r>
      <w:r w:rsidRPr="009511C6">
        <w:rPr>
          <w:rFonts w:ascii="Times New Roman" w:hAnsi="Times New Roman" w:cs="Times New Roman"/>
          <w:szCs w:val="24"/>
        </w:rPr>
        <w:t xml:space="preserve">rozporządzeniem nr </w:t>
      </w:r>
      <w:r w:rsidR="000A3131" w:rsidRPr="009511C6">
        <w:rPr>
          <w:rFonts w:ascii="Times New Roman" w:hAnsi="Times New Roman" w:cs="Times New Roman"/>
          <w:szCs w:val="24"/>
        </w:rPr>
        <w:t>651/2014</w:t>
      </w:r>
      <w:r w:rsidRPr="009511C6">
        <w:rPr>
          <w:rFonts w:ascii="Times New Roman" w:hAnsi="Times New Roman" w:cs="Times New Roman"/>
          <w:szCs w:val="24"/>
        </w:rPr>
        <w:t>, zaś w §</w:t>
      </w:r>
      <w:r w:rsidR="007848D5" w:rsidRPr="009511C6">
        <w:rPr>
          <w:rFonts w:ascii="Times New Roman" w:hAnsi="Times New Roman" w:cs="Times New Roman"/>
          <w:szCs w:val="24"/>
        </w:rPr>
        <w:t xml:space="preserve"> </w:t>
      </w:r>
      <w:r w:rsidRPr="009511C6">
        <w:rPr>
          <w:rFonts w:ascii="Times New Roman" w:hAnsi="Times New Roman" w:cs="Times New Roman"/>
          <w:szCs w:val="24"/>
        </w:rPr>
        <w:t>4</w:t>
      </w:r>
      <w:r w:rsidR="0065592A">
        <w:rPr>
          <w:rFonts w:ascii="Times New Roman" w:hAnsi="Times New Roman" w:cs="Times New Roman"/>
          <w:szCs w:val="24"/>
        </w:rPr>
        <w:t>6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410659" w:rsidRPr="00304BF7">
        <w:rPr>
          <w:rFonts w:ascii="Times New Roman" w:hAnsi="Times New Roman" w:cs="Times New Roman"/>
          <w:szCs w:val="24"/>
        </w:rPr>
        <w:t xml:space="preserve">projektu </w:t>
      </w:r>
      <w:r w:rsidRPr="009511C6">
        <w:rPr>
          <w:rFonts w:ascii="Times New Roman" w:hAnsi="Times New Roman" w:cs="Times New Roman"/>
          <w:szCs w:val="24"/>
        </w:rPr>
        <w:t>szczegółowe przeznaczenie</w:t>
      </w:r>
      <w:r w:rsidR="007848D5" w:rsidRPr="009511C6">
        <w:rPr>
          <w:rFonts w:ascii="Times New Roman" w:hAnsi="Times New Roman" w:cs="Times New Roman"/>
          <w:szCs w:val="24"/>
        </w:rPr>
        <w:t xml:space="preserve"> tej kategorii pomocy oraz</w:t>
      </w:r>
      <w:r w:rsidRPr="009511C6">
        <w:rPr>
          <w:rFonts w:ascii="Times New Roman" w:hAnsi="Times New Roman" w:cs="Times New Roman"/>
          <w:szCs w:val="24"/>
        </w:rPr>
        <w:t xml:space="preserve"> określono </w:t>
      </w:r>
      <w:r w:rsidR="007848D5" w:rsidRPr="009511C6">
        <w:rPr>
          <w:rFonts w:ascii="Times New Roman" w:hAnsi="Times New Roman" w:cs="Times New Roman"/>
          <w:szCs w:val="24"/>
        </w:rPr>
        <w:t xml:space="preserve">przedsiębiorców </w:t>
      </w:r>
      <w:r w:rsidRPr="009511C6">
        <w:rPr>
          <w:rFonts w:ascii="Times New Roman" w:hAnsi="Times New Roman" w:cs="Times New Roman"/>
          <w:szCs w:val="24"/>
        </w:rPr>
        <w:t>wyłącz</w:t>
      </w:r>
      <w:r w:rsidR="007848D5" w:rsidRPr="009511C6">
        <w:rPr>
          <w:rFonts w:ascii="Times New Roman" w:hAnsi="Times New Roman" w:cs="Times New Roman"/>
          <w:szCs w:val="24"/>
        </w:rPr>
        <w:t xml:space="preserve">onych </w:t>
      </w:r>
      <w:r w:rsidRPr="009511C6">
        <w:rPr>
          <w:rFonts w:ascii="Times New Roman" w:hAnsi="Times New Roman" w:cs="Times New Roman"/>
          <w:szCs w:val="24"/>
        </w:rPr>
        <w:t xml:space="preserve">z </w:t>
      </w:r>
      <w:r w:rsidR="007848D5" w:rsidRPr="009511C6">
        <w:rPr>
          <w:rFonts w:ascii="Times New Roman" w:hAnsi="Times New Roman" w:cs="Times New Roman"/>
          <w:szCs w:val="24"/>
        </w:rPr>
        <w:t xml:space="preserve">możliwości </w:t>
      </w:r>
      <w:r w:rsidRPr="009511C6">
        <w:rPr>
          <w:rFonts w:ascii="Times New Roman" w:hAnsi="Times New Roman" w:cs="Times New Roman"/>
          <w:szCs w:val="24"/>
        </w:rPr>
        <w:t>objęcia pomocą regionalną.</w:t>
      </w:r>
      <w:r w:rsidR="00410659">
        <w:rPr>
          <w:rFonts w:ascii="Times New Roman" w:hAnsi="Times New Roman" w:cs="Times New Roman"/>
          <w:szCs w:val="24"/>
        </w:rPr>
        <w:t xml:space="preserve"> </w:t>
      </w:r>
      <w:r w:rsidRPr="009511C6">
        <w:rPr>
          <w:rFonts w:ascii="Times New Roman" w:hAnsi="Times New Roman" w:cs="Times New Roman"/>
          <w:szCs w:val="24"/>
        </w:rPr>
        <w:t xml:space="preserve">W kolejnych jednostkach redakcyjnych </w:t>
      </w:r>
      <w:r w:rsidR="00410659" w:rsidRPr="00304BF7">
        <w:rPr>
          <w:rFonts w:ascii="Times New Roman" w:hAnsi="Times New Roman" w:cs="Times New Roman"/>
          <w:szCs w:val="24"/>
        </w:rPr>
        <w:t xml:space="preserve">rozdziału </w:t>
      </w:r>
      <w:r w:rsidR="00410659">
        <w:rPr>
          <w:rFonts w:ascii="Times New Roman" w:hAnsi="Times New Roman" w:cs="Times New Roman"/>
          <w:szCs w:val="24"/>
        </w:rPr>
        <w:t>6 projektu</w:t>
      </w:r>
      <w:r w:rsidR="00410659" w:rsidRPr="00304BF7">
        <w:rPr>
          <w:rFonts w:ascii="Times New Roman" w:hAnsi="Times New Roman" w:cs="Times New Roman"/>
          <w:szCs w:val="24"/>
        </w:rPr>
        <w:t xml:space="preserve"> </w:t>
      </w:r>
      <w:r w:rsidRPr="009511C6">
        <w:rPr>
          <w:rFonts w:ascii="Times New Roman" w:hAnsi="Times New Roman" w:cs="Times New Roman"/>
          <w:szCs w:val="24"/>
        </w:rPr>
        <w:t xml:space="preserve">wskazano obszary objęte pomocą regionalną oraz zasady jej udzielania, a także sposób ustalania kosztów kwalifikowalnych </w:t>
      </w:r>
      <w:r w:rsidR="00F773F3" w:rsidRPr="009511C6">
        <w:rPr>
          <w:rFonts w:ascii="Times New Roman" w:hAnsi="Times New Roman" w:cs="Times New Roman"/>
          <w:szCs w:val="24"/>
        </w:rPr>
        <w:t>i</w:t>
      </w:r>
      <w:r w:rsidR="00BB0595" w:rsidRPr="009511C6">
        <w:rPr>
          <w:rFonts w:ascii="Times New Roman" w:hAnsi="Times New Roman" w:cs="Times New Roman"/>
          <w:szCs w:val="24"/>
        </w:rPr>
        <w:t xml:space="preserve"> maksymalną intensywność pomocy.</w:t>
      </w:r>
      <w:r w:rsidRPr="009511C6">
        <w:rPr>
          <w:rFonts w:ascii="Times New Roman" w:hAnsi="Times New Roman" w:cs="Times New Roman"/>
          <w:szCs w:val="24"/>
        </w:rPr>
        <w:t xml:space="preserve"> </w:t>
      </w:r>
    </w:p>
    <w:p w14:paraId="62200C3F" w14:textId="711DBFD3" w:rsidR="00563DA1" w:rsidRPr="009511C6" w:rsidRDefault="00563DA1" w:rsidP="000C76CB">
      <w:pPr>
        <w:pStyle w:val="ARTartustawynprozporzdzenia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bCs/>
          <w:szCs w:val="24"/>
        </w:rPr>
      </w:pPr>
      <w:r w:rsidRPr="009511C6">
        <w:rPr>
          <w:rFonts w:ascii="Times New Roman" w:hAnsi="Times New Roman" w:cs="Times New Roman"/>
          <w:b/>
          <w:bCs/>
          <w:szCs w:val="24"/>
        </w:rPr>
        <w:t>W rozdziale</w:t>
      </w:r>
      <w:r w:rsidR="00B446A6" w:rsidRPr="009511C6">
        <w:rPr>
          <w:rFonts w:ascii="Times New Roman" w:hAnsi="Times New Roman" w:cs="Times New Roman"/>
          <w:b/>
          <w:bCs/>
          <w:szCs w:val="24"/>
        </w:rPr>
        <w:t xml:space="preserve"> </w:t>
      </w:r>
      <w:r w:rsidR="00410659">
        <w:rPr>
          <w:rFonts w:ascii="Times New Roman" w:hAnsi="Times New Roman" w:cs="Times New Roman"/>
          <w:b/>
          <w:bCs/>
          <w:szCs w:val="24"/>
        </w:rPr>
        <w:t>7</w:t>
      </w:r>
      <w:r w:rsidRPr="009511C6">
        <w:rPr>
          <w:rFonts w:ascii="Times New Roman" w:hAnsi="Times New Roman" w:cs="Times New Roman"/>
          <w:b/>
          <w:bCs/>
          <w:szCs w:val="24"/>
        </w:rPr>
        <w:t xml:space="preserve"> umieszczono przepis </w:t>
      </w:r>
      <w:r w:rsidR="00B7094D" w:rsidRPr="009511C6">
        <w:rPr>
          <w:rFonts w:ascii="Times New Roman" w:hAnsi="Times New Roman" w:cs="Times New Roman"/>
          <w:b/>
          <w:bCs/>
          <w:szCs w:val="24"/>
        </w:rPr>
        <w:t xml:space="preserve">przejściowy i </w:t>
      </w:r>
      <w:r w:rsidR="00410659">
        <w:rPr>
          <w:rFonts w:ascii="Times New Roman" w:hAnsi="Times New Roman" w:cs="Times New Roman"/>
          <w:b/>
          <w:bCs/>
          <w:szCs w:val="24"/>
        </w:rPr>
        <w:t xml:space="preserve">przepis </w:t>
      </w:r>
      <w:r w:rsidRPr="009511C6">
        <w:rPr>
          <w:rFonts w:ascii="Times New Roman" w:hAnsi="Times New Roman" w:cs="Times New Roman"/>
          <w:b/>
          <w:bCs/>
          <w:szCs w:val="24"/>
        </w:rPr>
        <w:t>końcowy.</w:t>
      </w:r>
    </w:p>
    <w:p w14:paraId="02F1E864" w14:textId="13F1C873" w:rsidR="00B7094D" w:rsidRPr="009511C6" w:rsidRDefault="00B7094D" w:rsidP="0056063D">
      <w:pPr>
        <w:pStyle w:val="ARTartustawynprozporzdzenia"/>
        <w:spacing w:line="240" w:lineRule="auto"/>
        <w:ind w:left="66" w:firstLine="360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 xml:space="preserve">W § </w:t>
      </w:r>
      <w:r w:rsidR="0010283A" w:rsidRPr="009511C6">
        <w:rPr>
          <w:rFonts w:ascii="Times New Roman" w:hAnsi="Times New Roman" w:cs="Times New Roman"/>
          <w:szCs w:val="24"/>
        </w:rPr>
        <w:t>5</w:t>
      </w:r>
      <w:r w:rsidR="0065592A">
        <w:rPr>
          <w:rFonts w:ascii="Times New Roman" w:hAnsi="Times New Roman" w:cs="Times New Roman"/>
          <w:szCs w:val="24"/>
        </w:rPr>
        <w:t>3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410659" w:rsidRPr="00304BF7">
        <w:rPr>
          <w:rFonts w:ascii="Times New Roman" w:hAnsi="Times New Roman" w:cs="Times New Roman"/>
          <w:szCs w:val="24"/>
        </w:rPr>
        <w:t xml:space="preserve">projektu </w:t>
      </w:r>
      <w:r w:rsidRPr="009511C6">
        <w:rPr>
          <w:rFonts w:ascii="Times New Roman" w:hAnsi="Times New Roman" w:cs="Times New Roman"/>
          <w:szCs w:val="24"/>
        </w:rPr>
        <w:t xml:space="preserve">uregulowano kwestię </w:t>
      </w:r>
      <w:r w:rsidRPr="00410659">
        <w:rPr>
          <w:rFonts w:ascii="Times New Roman" w:hAnsi="Times New Roman" w:cs="Times New Roman"/>
          <w:szCs w:val="24"/>
        </w:rPr>
        <w:t xml:space="preserve">sytuacji w </w:t>
      </w:r>
      <w:r w:rsidR="0010283A" w:rsidRPr="009313FD">
        <w:rPr>
          <w:rFonts w:ascii="Times New Roman" w:hAnsi="Times New Roman" w:cs="Times New Roman"/>
          <w:szCs w:val="24"/>
        </w:rPr>
        <w:t>której nastąpi planowana nowelizacja</w:t>
      </w:r>
      <w:r w:rsidR="00F46B80">
        <w:rPr>
          <w:rFonts w:ascii="Times New Roman" w:hAnsi="Times New Roman" w:cs="Times New Roman"/>
          <w:szCs w:val="24"/>
        </w:rPr>
        <w:t xml:space="preserve"> </w:t>
      </w:r>
      <w:r w:rsidR="00F46B80" w:rsidRPr="009511C6">
        <w:rPr>
          <w:rFonts w:ascii="Times New Roman" w:hAnsi="Times New Roman" w:cs="Times New Roman"/>
          <w:szCs w:val="24"/>
        </w:rPr>
        <w:t xml:space="preserve">rozporządzenia </w:t>
      </w:r>
      <w:r w:rsidR="00F46B80" w:rsidRPr="00410659">
        <w:rPr>
          <w:rFonts w:ascii="Times New Roman" w:hAnsi="Times New Roman" w:cs="Times New Roman"/>
          <w:szCs w:val="24"/>
        </w:rPr>
        <w:t>nr 651/2014</w:t>
      </w:r>
      <w:r w:rsidR="00F46B80">
        <w:rPr>
          <w:rStyle w:val="Odwoaniedokomentarza"/>
          <w:rFonts w:ascii="Times New Roman" w:hAnsi="Times New Roman"/>
        </w:rPr>
        <w:t xml:space="preserve">, </w:t>
      </w:r>
      <w:r w:rsidRPr="009313FD">
        <w:rPr>
          <w:rFonts w:ascii="Times New Roman" w:hAnsi="Times New Roman" w:cs="Times New Roman"/>
          <w:szCs w:val="24"/>
        </w:rPr>
        <w:t xml:space="preserve"> przez odwołanie się do obowiązywania okresu dostosowawczego.</w:t>
      </w:r>
      <w:r w:rsidR="00410659">
        <w:rPr>
          <w:rFonts w:ascii="Times New Roman" w:hAnsi="Times New Roman" w:cs="Times New Roman"/>
          <w:szCs w:val="24"/>
        </w:rPr>
        <w:t xml:space="preserve"> W § 5</w:t>
      </w:r>
      <w:r w:rsidR="0065592A">
        <w:rPr>
          <w:rFonts w:ascii="Times New Roman" w:hAnsi="Times New Roman" w:cs="Times New Roman"/>
          <w:szCs w:val="24"/>
        </w:rPr>
        <w:t>4</w:t>
      </w:r>
      <w:r w:rsidR="00410659">
        <w:rPr>
          <w:rFonts w:ascii="Times New Roman" w:hAnsi="Times New Roman" w:cs="Times New Roman"/>
          <w:szCs w:val="24"/>
        </w:rPr>
        <w:t xml:space="preserve"> projektu wskazano termin wejścia w życie przepisów.</w:t>
      </w:r>
    </w:p>
    <w:p w14:paraId="7304E39B" w14:textId="7FB00BEB" w:rsidR="00152524" w:rsidRPr="009511C6" w:rsidRDefault="00563DA1" w:rsidP="009511C6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ab/>
      </w:r>
      <w:r w:rsidR="00152524" w:rsidRPr="009511C6">
        <w:rPr>
          <w:rFonts w:ascii="Times New Roman" w:hAnsi="Times New Roman" w:cs="Times New Roman"/>
          <w:szCs w:val="24"/>
        </w:rPr>
        <w:t>Projekt rozporządzenia jest zgodny z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prawem Unii Europejskiej.</w:t>
      </w:r>
    </w:p>
    <w:p w14:paraId="1D9C98F0" w14:textId="5017F243" w:rsidR="00152524" w:rsidRPr="009511C6" w:rsidRDefault="00563DA1" w:rsidP="009511C6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Cs w:val="24"/>
          <w:highlight w:val="yellow"/>
        </w:rPr>
      </w:pPr>
      <w:r w:rsidRPr="009511C6">
        <w:rPr>
          <w:rFonts w:ascii="Times New Roman" w:hAnsi="Times New Roman" w:cs="Times New Roman"/>
          <w:szCs w:val="24"/>
        </w:rPr>
        <w:lastRenderedPageBreak/>
        <w:tab/>
      </w:r>
      <w:r w:rsidR="00410659" w:rsidRPr="00D86543">
        <w:rPr>
          <w:rFonts w:ascii="Times New Roman" w:hAnsi="Times New Roman" w:cs="Times New Roman"/>
          <w:szCs w:val="24"/>
        </w:rPr>
        <w:t xml:space="preserve">Projekt rozporządzenia </w:t>
      </w:r>
      <w:r w:rsidR="00152524" w:rsidRPr="009511C6">
        <w:rPr>
          <w:rFonts w:ascii="Times New Roman" w:hAnsi="Times New Roman" w:cs="Times New Roman"/>
          <w:szCs w:val="24"/>
        </w:rPr>
        <w:t>nie będzie wymagał notyfikacji Komisji Europejskiej w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trybie ustawy z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dnia 30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kwietnia 2004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r. o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postępowaniu w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sprawach dotyczących pomocy publicznej (Dz.</w:t>
      </w:r>
      <w:r w:rsidR="00007B74"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U. z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2021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r. poz.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743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oraz z 2022 r. poz. 807), gdyż stanowi krajowy program pomocowy w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 xml:space="preserve">ramach wyłączeń grupowych </w:t>
      </w:r>
      <w:r w:rsidR="00521BF8" w:rsidRPr="009511C6">
        <w:rPr>
          <w:rFonts w:ascii="Times New Roman" w:hAnsi="Times New Roman" w:cs="Times New Roman"/>
          <w:szCs w:val="24"/>
        </w:rPr>
        <w:t xml:space="preserve">zgodnie z rozporządzeniem nr </w:t>
      </w:r>
      <w:r w:rsidR="000A3131" w:rsidRPr="009511C6">
        <w:rPr>
          <w:rFonts w:ascii="Times New Roman" w:hAnsi="Times New Roman" w:cs="Times New Roman"/>
          <w:szCs w:val="24"/>
        </w:rPr>
        <w:t>651/2014</w:t>
      </w:r>
      <w:r w:rsidR="00521BF8"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i</w:t>
      </w:r>
      <w:r w:rsidRPr="009511C6">
        <w:rPr>
          <w:rFonts w:ascii="Times New Roman" w:hAnsi="Times New Roman" w:cs="Times New Roman"/>
          <w:szCs w:val="24"/>
        </w:rPr>
        <w:t xml:space="preserve"> </w:t>
      </w:r>
      <w:r w:rsidR="00152524" w:rsidRPr="009511C6">
        <w:rPr>
          <w:rFonts w:ascii="Times New Roman" w:hAnsi="Times New Roman" w:cs="Times New Roman"/>
          <w:szCs w:val="24"/>
        </w:rPr>
        <w:t>nie jest przeznaczon</w:t>
      </w:r>
      <w:r w:rsidR="00C20442">
        <w:rPr>
          <w:rFonts w:ascii="Times New Roman" w:hAnsi="Times New Roman" w:cs="Times New Roman"/>
          <w:szCs w:val="24"/>
        </w:rPr>
        <w:t>y</w:t>
      </w:r>
      <w:r w:rsidR="00152524" w:rsidRPr="009511C6">
        <w:rPr>
          <w:rFonts w:ascii="Times New Roman" w:hAnsi="Times New Roman" w:cs="Times New Roman"/>
          <w:szCs w:val="24"/>
        </w:rPr>
        <w:t xml:space="preserve"> dla konkretnego sektora działalności gospodarczej.</w:t>
      </w:r>
    </w:p>
    <w:p w14:paraId="15C78A09" w14:textId="7BAFB03C" w:rsidR="009313FD" w:rsidRDefault="00007B74" w:rsidP="009511C6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ab/>
      </w:r>
      <w:r w:rsidR="00410659" w:rsidRPr="00D86543">
        <w:rPr>
          <w:rFonts w:ascii="Times New Roman" w:hAnsi="Times New Roman" w:cs="Times New Roman"/>
          <w:szCs w:val="24"/>
        </w:rPr>
        <w:t xml:space="preserve">Projekt rozporządzenia </w:t>
      </w:r>
      <w:r w:rsidRPr="009511C6">
        <w:rPr>
          <w:rFonts w:ascii="Times New Roman" w:hAnsi="Times New Roman" w:cs="Times New Roman"/>
          <w:szCs w:val="24"/>
        </w:rPr>
        <w:t xml:space="preserve">nie </w:t>
      </w:r>
      <w:r w:rsidR="00410659" w:rsidRPr="00D86543">
        <w:rPr>
          <w:rFonts w:ascii="Times New Roman" w:hAnsi="Times New Roman" w:cs="Times New Roman"/>
          <w:szCs w:val="24"/>
        </w:rPr>
        <w:t>podlega procedurze notyfikacji</w:t>
      </w:r>
      <w:r w:rsidR="00410659">
        <w:rPr>
          <w:rFonts w:ascii="Times New Roman" w:hAnsi="Times New Roman" w:cs="Times New Roman"/>
          <w:szCs w:val="24"/>
        </w:rPr>
        <w:t xml:space="preserve"> aktów prawnych, określonej w przepisach </w:t>
      </w:r>
      <w:r w:rsidRPr="009511C6">
        <w:rPr>
          <w:rFonts w:ascii="Times New Roman" w:hAnsi="Times New Roman" w:cs="Times New Roman"/>
          <w:szCs w:val="24"/>
        </w:rPr>
        <w:t>rozporządzenia Rady Ministrów z dnia 23 grudnia 2002 r. w sprawie sposobu funkcjonowania krajowego systemu notyfikacji norm i aktów prawnych (Dz. U. poz. 2039 oraz z 2004 r. poz. 597)</w:t>
      </w:r>
      <w:r w:rsidR="009313FD">
        <w:rPr>
          <w:rFonts w:ascii="Times New Roman" w:hAnsi="Times New Roman" w:cs="Times New Roman"/>
          <w:szCs w:val="24"/>
        </w:rPr>
        <w:t>.</w:t>
      </w:r>
      <w:r w:rsidR="009313FD" w:rsidRPr="009313FD">
        <w:rPr>
          <w:rFonts w:ascii="Times New Roman" w:hAnsi="Times New Roman" w:cs="Times New Roman"/>
          <w:szCs w:val="24"/>
        </w:rPr>
        <w:t xml:space="preserve"> </w:t>
      </w:r>
    </w:p>
    <w:p w14:paraId="0ADD151D" w14:textId="41ED188D" w:rsidR="00007B74" w:rsidRPr="009511C6" w:rsidRDefault="009313FD" w:rsidP="009511C6">
      <w:pPr>
        <w:pStyle w:val="ARTartustawynprozporzdzenia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CD2E9E">
        <w:rPr>
          <w:rFonts w:ascii="Times New Roman" w:hAnsi="Times New Roman" w:cs="Times New Roman"/>
          <w:szCs w:val="24"/>
        </w:rPr>
        <w:t xml:space="preserve">Projekt </w:t>
      </w:r>
      <w:r>
        <w:rPr>
          <w:rFonts w:ascii="Times New Roman" w:hAnsi="Times New Roman" w:cs="Times New Roman"/>
          <w:szCs w:val="24"/>
        </w:rPr>
        <w:t xml:space="preserve">rozporządzenia </w:t>
      </w:r>
      <w:r w:rsidRPr="00CD2E9E">
        <w:rPr>
          <w:rFonts w:ascii="Times New Roman" w:hAnsi="Times New Roman" w:cs="Times New Roman"/>
          <w:szCs w:val="24"/>
        </w:rPr>
        <w:t xml:space="preserve">nie wymaga przedstawienia właściwym instytucjom </w:t>
      </w:r>
      <w:r>
        <w:rPr>
          <w:rFonts w:ascii="Times New Roman" w:hAnsi="Times New Roman" w:cs="Times New Roman"/>
          <w:szCs w:val="24"/>
        </w:rPr>
        <w:t xml:space="preserve">i </w:t>
      </w:r>
      <w:r w:rsidRPr="00CD2E9E">
        <w:rPr>
          <w:rFonts w:ascii="Times New Roman" w:hAnsi="Times New Roman" w:cs="Times New Roman"/>
          <w:szCs w:val="24"/>
        </w:rPr>
        <w:t>organom Unii Europejskiej, w tym Europejskiemu Bankowi Centralnemu, w celu uzyskania opinii, dokonania powiadomienia, konsultacji albo uzgodnienia</w:t>
      </w:r>
      <w:r>
        <w:rPr>
          <w:rFonts w:ascii="Times New Roman" w:hAnsi="Times New Roman" w:cs="Times New Roman"/>
          <w:szCs w:val="24"/>
        </w:rPr>
        <w:t xml:space="preserve"> projektu</w:t>
      </w:r>
      <w:r w:rsidRPr="00CD2E9E">
        <w:rPr>
          <w:rFonts w:ascii="Times New Roman" w:hAnsi="Times New Roman" w:cs="Times New Roman"/>
          <w:szCs w:val="24"/>
        </w:rPr>
        <w:t>.</w:t>
      </w:r>
    </w:p>
    <w:p w14:paraId="69B6307A" w14:textId="4FA93494" w:rsidR="009313FD" w:rsidRDefault="00563DA1" w:rsidP="009511C6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9511C6">
        <w:rPr>
          <w:rFonts w:ascii="Times New Roman" w:hAnsi="Times New Roman" w:cs="Times New Roman"/>
          <w:szCs w:val="24"/>
        </w:rPr>
        <w:tab/>
      </w:r>
      <w:r w:rsidR="00152524" w:rsidRPr="009511C6">
        <w:rPr>
          <w:rFonts w:ascii="Times New Roman" w:hAnsi="Times New Roman" w:cs="Times New Roman"/>
          <w:szCs w:val="24"/>
        </w:rPr>
        <w:t>Projekt</w:t>
      </w:r>
      <w:r w:rsidR="009313FD">
        <w:rPr>
          <w:rFonts w:ascii="Times New Roman" w:hAnsi="Times New Roman" w:cs="Times New Roman"/>
          <w:szCs w:val="24"/>
        </w:rPr>
        <w:t xml:space="preserve"> rozporządzenia </w:t>
      </w:r>
      <w:r w:rsidR="009313FD" w:rsidRPr="00D06C79">
        <w:rPr>
          <w:rFonts w:ascii="Times New Roman" w:hAnsi="Times New Roman" w:cs="Times New Roman"/>
          <w:szCs w:val="24"/>
        </w:rPr>
        <w:t>nie dotyczy majątkowych praw i obowiązków przedsiębiorców lub praw i obowiązków przedsiębiorców wobec organów administracji publicznej i nie wpływa na działalność mikro przedsiębiorców oraz małych i średnich przedsiębiorców</w:t>
      </w:r>
      <w:r w:rsidR="009313FD">
        <w:rPr>
          <w:rFonts w:ascii="Times New Roman" w:hAnsi="Times New Roman" w:cs="Times New Roman"/>
          <w:szCs w:val="24"/>
        </w:rPr>
        <w:t xml:space="preserve">. </w:t>
      </w:r>
    </w:p>
    <w:p w14:paraId="58A82499" w14:textId="58E7ED5C" w:rsidR="009313FD" w:rsidRPr="00304BF7" w:rsidRDefault="00D86543" w:rsidP="009511C6">
      <w:pPr>
        <w:suppressAutoHyphens/>
        <w:spacing w:before="60" w:after="6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Projektowane rozporządzenie (z</w:t>
      </w:r>
      <w:r w:rsidR="009313FD" w:rsidRPr="00304BF7">
        <w:rPr>
          <w:rFonts w:cs="Times New Roman"/>
          <w:szCs w:val="24"/>
        </w:rPr>
        <w:t>godnie § 5</w:t>
      </w:r>
      <w:r w:rsidR="0001746E">
        <w:rPr>
          <w:rFonts w:cs="Times New Roman"/>
          <w:szCs w:val="24"/>
        </w:rPr>
        <w:t>4</w:t>
      </w:r>
      <w:r w:rsidR="009313FD" w:rsidRPr="00304BF7">
        <w:rPr>
          <w:rFonts w:cs="Times New Roman"/>
          <w:szCs w:val="24"/>
        </w:rPr>
        <w:t xml:space="preserve"> projektu</w:t>
      </w:r>
      <w:r>
        <w:rPr>
          <w:rFonts w:cs="Times New Roman"/>
          <w:szCs w:val="24"/>
        </w:rPr>
        <w:t xml:space="preserve">) </w:t>
      </w:r>
      <w:r w:rsidR="009313FD" w:rsidRPr="00304BF7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chodzi w życie </w:t>
      </w:r>
      <w:r w:rsidR="009313FD" w:rsidRPr="00304BF7">
        <w:rPr>
          <w:rFonts w:cs="Times New Roman"/>
          <w:szCs w:val="24"/>
        </w:rPr>
        <w:t>z dniem następującym po dniu ogłoszenia.</w:t>
      </w:r>
      <w:r>
        <w:rPr>
          <w:rFonts w:cs="Times New Roman"/>
          <w:szCs w:val="24"/>
        </w:rPr>
        <w:t xml:space="preserve"> </w:t>
      </w:r>
      <w:r w:rsidR="009313FD" w:rsidRPr="00304BF7">
        <w:rPr>
          <w:rFonts w:cs="Times New Roman"/>
          <w:szCs w:val="24"/>
        </w:rPr>
        <w:t xml:space="preserve">Wejście w życie rozporządzenia z krótkim terminem </w:t>
      </w:r>
      <w:r w:rsidR="009313FD" w:rsidRPr="009511C6">
        <w:rPr>
          <w:rFonts w:cs="Times New Roman"/>
          <w:i/>
          <w:szCs w:val="24"/>
        </w:rPr>
        <w:t>vacatio legis</w:t>
      </w:r>
      <w:r w:rsidR="009313FD" w:rsidRPr="00304BF7">
        <w:rPr>
          <w:rFonts w:cs="Times New Roman"/>
          <w:szCs w:val="24"/>
        </w:rPr>
        <w:t xml:space="preserve"> umożliwi przyspieszenie ogłoszenia konkursów na objęcie wsparciem przedsięwzięć, organizowanych na podstawie </w:t>
      </w:r>
      <w:r>
        <w:rPr>
          <w:rFonts w:cs="Times New Roman"/>
          <w:szCs w:val="24"/>
        </w:rPr>
        <w:t xml:space="preserve">projektowanych </w:t>
      </w:r>
      <w:r w:rsidR="009313FD" w:rsidRPr="00304BF7">
        <w:rPr>
          <w:rFonts w:cs="Times New Roman"/>
          <w:szCs w:val="24"/>
        </w:rPr>
        <w:t>przepisów</w:t>
      </w:r>
      <w:r>
        <w:rPr>
          <w:rFonts w:cs="Times New Roman"/>
          <w:szCs w:val="24"/>
        </w:rPr>
        <w:t>.</w:t>
      </w:r>
      <w:r w:rsidR="009313FD" w:rsidRPr="00304BF7">
        <w:rPr>
          <w:rFonts w:cs="Times New Roman"/>
          <w:szCs w:val="24"/>
        </w:rPr>
        <w:t xml:space="preserve"> Jednocześnie projektowane </w:t>
      </w:r>
      <w:r w:rsidR="009313FD" w:rsidRPr="009511C6">
        <w:rPr>
          <w:rFonts w:cs="Times New Roman"/>
          <w:i/>
          <w:szCs w:val="24"/>
        </w:rPr>
        <w:t>vacatio legis</w:t>
      </w:r>
      <w:r w:rsidR="009313FD" w:rsidRPr="00304B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nie wywołuje negatywnych następstw </w:t>
      </w:r>
      <w:r w:rsidR="009313FD" w:rsidRPr="00304BF7">
        <w:rPr>
          <w:rFonts w:cs="Times New Roman"/>
          <w:szCs w:val="24"/>
        </w:rPr>
        <w:t>z punktu widzenia wnioskodawców lub ostatecznych odbiorców wsparcia udzielanego na podstawie niniejszego rozporządzenia</w:t>
      </w:r>
      <w:r>
        <w:rPr>
          <w:rFonts w:cs="Times New Roman"/>
          <w:szCs w:val="24"/>
        </w:rPr>
        <w:t xml:space="preserve">, gdyż </w:t>
      </w:r>
      <w:r w:rsidR="009313FD" w:rsidRPr="00304BF7">
        <w:rPr>
          <w:rFonts w:cs="Times New Roman"/>
          <w:szCs w:val="24"/>
        </w:rPr>
        <w:t xml:space="preserve">rozporządzenie nie nakłada na te podmioty żadnych uprawnień lub obowiązków, których stosowanie zależy dopiero od </w:t>
      </w:r>
      <w:r>
        <w:rPr>
          <w:rFonts w:cs="Times New Roman"/>
          <w:szCs w:val="24"/>
        </w:rPr>
        <w:t xml:space="preserve">przystąpienia do </w:t>
      </w:r>
      <w:r w:rsidR="009313FD" w:rsidRPr="00304BF7">
        <w:rPr>
          <w:rFonts w:cs="Times New Roman"/>
          <w:szCs w:val="24"/>
        </w:rPr>
        <w:t>konkurs</w:t>
      </w:r>
      <w:r>
        <w:rPr>
          <w:rFonts w:cs="Times New Roman"/>
          <w:szCs w:val="24"/>
        </w:rPr>
        <w:t xml:space="preserve">ów </w:t>
      </w:r>
      <w:r w:rsidR="009313FD" w:rsidRPr="00304BF7">
        <w:rPr>
          <w:rFonts w:cs="Times New Roman"/>
          <w:szCs w:val="24"/>
        </w:rPr>
        <w:t>ogłaszanych na podstawie przedmiotowego rozporządzenia.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>Zaproponowany termin wejścia w życie rozporządzenia nie narusza zasad demokratycznego państwa prawnego i nie stoi w sprzeczności z art. 4 ust. 2 ustawy z dnia 20 lipca 2000 r. o ogłaszaniu aktów normatywnych i niektórych innych aktów prawnych (Dz. U. z 2019 r. poz. 1461).</w:t>
      </w:r>
      <w:r w:rsidR="00390155">
        <w:rPr>
          <w:rFonts w:cs="Times New Roman"/>
        </w:rPr>
        <w:t xml:space="preserve"> </w:t>
      </w:r>
    </w:p>
    <w:sectPr w:rsidR="009313FD" w:rsidRPr="00304BF7" w:rsidSect="00D63953">
      <w:headerReference w:type="default" r:id="rId8"/>
      <w:foot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pgNumType w:fmt="numberInDash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5ED1" w14:textId="77777777" w:rsidR="008135F0" w:rsidRDefault="008135F0" w:rsidP="009C3569">
      <w:pPr>
        <w:spacing w:line="240" w:lineRule="auto"/>
      </w:pPr>
      <w:r>
        <w:separator/>
      </w:r>
    </w:p>
  </w:endnote>
  <w:endnote w:type="continuationSeparator" w:id="0">
    <w:p w14:paraId="209B1B59" w14:textId="77777777" w:rsidR="008135F0" w:rsidRDefault="008135F0" w:rsidP="009C3569">
      <w:pPr>
        <w:spacing w:line="240" w:lineRule="auto"/>
      </w:pPr>
      <w:r>
        <w:continuationSeparator/>
      </w:r>
    </w:p>
  </w:endnote>
  <w:endnote w:type="continuationNotice" w:id="1">
    <w:p w14:paraId="14719A92" w14:textId="77777777" w:rsidR="008135F0" w:rsidRDefault="008135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924C" w14:textId="77777777" w:rsidR="00291C01" w:rsidRDefault="0029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340A" w14:textId="77777777" w:rsidR="008135F0" w:rsidRDefault="008135F0" w:rsidP="009C3569">
      <w:pPr>
        <w:spacing w:line="240" w:lineRule="auto"/>
      </w:pPr>
      <w:r>
        <w:separator/>
      </w:r>
    </w:p>
  </w:footnote>
  <w:footnote w:type="continuationSeparator" w:id="0">
    <w:p w14:paraId="54BB816B" w14:textId="77777777" w:rsidR="008135F0" w:rsidRDefault="008135F0" w:rsidP="009C3569">
      <w:pPr>
        <w:spacing w:line="240" w:lineRule="auto"/>
      </w:pPr>
      <w:r>
        <w:continuationSeparator/>
      </w:r>
    </w:p>
  </w:footnote>
  <w:footnote w:type="continuationNotice" w:id="1">
    <w:p w14:paraId="72E997D0" w14:textId="77777777" w:rsidR="008135F0" w:rsidRDefault="008135F0">
      <w:pPr>
        <w:spacing w:line="240" w:lineRule="auto"/>
      </w:pPr>
    </w:p>
  </w:footnote>
  <w:footnote w:id="2">
    <w:p w14:paraId="41B05329" w14:textId="50C21DE7" w:rsidR="00D86543" w:rsidRDefault="00D86543" w:rsidP="00DA64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="001434A9">
        <w:t xml:space="preserve"> rozumieniu Z</w:t>
      </w:r>
      <w:r w:rsidRPr="00DA6447">
        <w:t>awiadomienia Komisji Wytyczne techniczne dotyczące stosowania zasady „nie czyń poważnych szkód” na podstawie rozporządzenia ustanawiającego Instrument na rzecz Odbudowy i Zwiększania Odporności (Dz. Urz. UE C 58 z 18.02.2021, str. 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160F" w14:textId="77777777" w:rsidR="00291C01" w:rsidRDefault="00291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ED"/>
    <w:multiLevelType w:val="hybridMultilevel"/>
    <w:tmpl w:val="9746C2C8"/>
    <w:lvl w:ilvl="0" w:tplc="8CE0EC86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" w15:restartNumberingAfterBreak="0">
    <w:nsid w:val="01F66BE7"/>
    <w:multiLevelType w:val="hybridMultilevel"/>
    <w:tmpl w:val="E402CB10"/>
    <w:lvl w:ilvl="0" w:tplc="7FCA0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C6180"/>
    <w:multiLevelType w:val="hybridMultilevel"/>
    <w:tmpl w:val="137833B6"/>
    <w:lvl w:ilvl="0" w:tplc="491874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5A7F"/>
    <w:multiLevelType w:val="hybridMultilevel"/>
    <w:tmpl w:val="2246641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FFA5FD2"/>
    <w:multiLevelType w:val="hybridMultilevel"/>
    <w:tmpl w:val="663463AE"/>
    <w:lvl w:ilvl="0" w:tplc="AD203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550F"/>
    <w:multiLevelType w:val="hybridMultilevel"/>
    <w:tmpl w:val="046E4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A31"/>
    <w:multiLevelType w:val="hybridMultilevel"/>
    <w:tmpl w:val="BCCC6D1E"/>
    <w:lvl w:ilvl="0" w:tplc="04150017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D084507"/>
    <w:multiLevelType w:val="hybridMultilevel"/>
    <w:tmpl w:val="642E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63B"/>
    <w:multiLevelType w:val="hybridMultilevel"/>
    <w:tmpl w:val="30382678"/>
    <w:lvl w:ilvl="0" w:tplc="469E7B3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5827CF9"/>
    <w:multiLevelType w:val="hybridMultilevel"/>
    <w:tmpl w:val="14D0E152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71D1E45"/>
    <w:multiLevelType w:val="hybridMultilevel"/>
    <w:tmpl w:val="82D22C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F7315"/>
    <w:multiLevelType w:val="hybridMultilevel"/>
    <w:tmpl w:val="59E88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6D2"/>
    <w:multiLevelType w:val="hybridMultilevel"/>
    <w:tmpl w:val="4B44EB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94DD5"/>
    <w:multiLevelType w:val="hybridMultilevel"/>
    <w:tmpl w:val="3A90016A"/>
    <w:lvl w:ilvl="0" w:tplc="E5404A7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11B0"/>
    <w:multiLevelType w:val="hybridMultilevel"/>
    <w:tmpl w:val="3B849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E5CCB"/>
    <w:multiLevelType w:val="hybridMultilevel"/>
    <w:tmpl w:val="75A25090"/>
    <w:lvl w:ilvl="0" w:tplc="7A9665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7B716FA0"/>
    <w:multiLevelType w:val="hybridMultilevel"/>
    <w:tmpl w:val="3454C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15585">
    <w:abstractNumId w:val="7"/>
  </w:num>
  <w:num w:numId="2" w16cid:durableId="1492135319">
    <w:abstractNumId w:val="16"/>
  </w:num>
  <w:num w:numId="3" w16cid:durableId="43649967">
    <w:abstractNumId w:val="15"/>
  </w:num>
  <w:num w:numId="4" w16cid:durableId="1946377205">
    <w:abstractNumId w:val="11"/>
  </w:num>
  <w:num w:numId="5" w16cid:durableId="1569924526">
    <w:abstractNumId w:val="0"/>
  </w:num>
  <w:num w:numId="6" w16cid:durableId="1218783246">
    <w:abstractNumId w:val="8"/>
  </w:num>
  <w:num w:numId="7" w16cid:durableId="209465569">
    <w:abstractNumId w:val="5"/>
  </w:num>
  <w:num w:numId="8" w16cid:durableId="1971813982">
    <w:abstractNumId w:val="1"/>
  </w:num>
  <w:num w:numId="9" w16cid:durableId="1561942501">
    <w:abstractNumId w:val="13"/>
  </w:num>
  <w:num w:numId="10" w16cid:durableId="179856889">
    <w:abstractNumId w:val="2"/>
  </w:num>
  <w:num w:numId="11" w16cid:durableId="2089886088">
    <w:abstractNumId w:val="4"/>
  </w:num>
  <w:num w:numId="12" w16cid:durableId="434903285">
    <w:abstractNumId w:val="12"/>
  </w:num>
  <w:num w:numId="13" w16cid:durableId="1598293891">
    <w:abstractNumId w:val="17"/>
  </w:num>
  <w:num w:numId="14" w16cid:durableId="2117484994">
    <w:abstractNumId w:val="14"/>
  </w:num>
  <w:num w:numId="15" w16cid:durableId="1654870633">
    <w:abstractNumId w:val="9"/>
  </w:num>
  <w:num w:numId="16" w16cid:durableId="2102332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9563699">
    <w:abstractNumId w:val="10"/>
  </w:num>
  <w:num w:numId="18" w16cid:durableId="201484074">
    <w:abstractNumId w:val="6"/>
  </w:num>
  <w:num w:numId="19" w16cid:durableId="827403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69"/>
    <w:rsid w:val="00000101"/>
    <w:rsid w:val="00000433"/>
    <w:rsid w:val="00000AA5"/>
    <w:rsid w:val="00002095"/>
    <w:rsid w:val="00003413"/>
    <w:rsid w:val="00007B74"/>
    <w:rsid w:val="000115F3"/>
    <w:rsid w:val="000133A7"/>
    <w:rsid w:val="000148FF"/>
    <w:rsid w:val="00014A77"/>
    <w:rsid w:val="00017424"/>
    <w:rsid w:val="0001746E"/>
    <w:rsid w:val="00021217"/>
    <w:rsid w:val="0002276C"/>
    <w:rsid w:val="00022A6F"/>
    <w:rsid w:val="000247A2"/>
    <w:rsid w:val="000247BA"/>
    <w:rsid w:val="000324B2"/>
    <w:rsid w:val="00033D66"/>
    <w:rsid w:val="0003459E"/>
    <w:rsid w:val="00037E5D"/>
    <w:rsid w:val="00042170"/>
    <w:rsid w:val="000453DF"/>
    <w:rsid w:val="00080E74"/>
    <w:rsid w:val="00081146"/>
    <w:rsid w:val="0008462A"/>
    <w:rsid w:val="000848FB"/>
    <w:rsid w:val="00084954"/>
    <w:rsid w:val="000936B8"/>
    <w:rsid w:val="000948A1"/>
    <w:rsid w:val="00096897"/>
    <w:rsid w:val="00097211"/>
    <w:rsid w:val="000A0507"/>
    <w:rsid w:val="000A2400"/>
    <w:rsid w:val="000A3131"/>
    <w:rsid w:val="000A54F4"/>
    <w:rsid w:val="000B1731"/>
    <w:rsid w:val="000B4048"/>
    <w:rsid w:val="000B5BB3"/>
    <w:rsid w:val="000B6405"/>
    <w:rsid w:val="000B654D"/>
    <w:rsid w:val="000C0336"/>
    <w:rsid w:val="000C1600"/>
    <w:rsid w:val="000C4411"/>
    <w:rsid w:val="000C63A9"/>
    <w:rsid w:val="000C76CB"/>
    <w:rsid w:val="000D393E"/>
    <w:rsid w:val="000D7D84"/>
    <w:rsid w:val="000E0AFC"/>
    <w:rsid w:val="000E352B"/>
    <w:rsid w:val="000E3AEB"/>
    <w:rsid w:val="000E4911"/>
    <w:rsid w:val="000E581B"/>
    <w:rsid w:val="000F04C3"/>
    <w:rsid w:val="000F1C8F"/>
    <w:rsid w:val="000F24C3"/>
    <w:rsid w:val="000F2A1E"/>
    <w:rsid w:val="000F4AC7"/>
    <w:rsid w:val="000F5440"/>
    <w:rsid w:val="000F61FD"/>
    <w:rsid w:val="000F6954"/>
    <w:rsid w:val="000F6CEF"/>
    <w:rsid w:val="00101551"/>
    <w:rsid w:val="0010283A"/>
    <w:rsid w:val="00104F71"/>
    <w:rsid w:val="0010599B"/>
    <w:rsid w:val="00106B1A"/>
    <w:rsid w:val="00110153"/>
    <w:rsid w:val="001109B9"/>
    <w:rsid w:val="00116558"/>
    <w:rsid w:val="00116E9A"/>
    <w:rsid w:val="00117D55"/>
    <w:rsid w:val="00120B3D"/>
    <w:rsid w:val="00123B1E"/>
    <w:rsid w:val="00123B51"/>
    <w:rsid w:val="001256BA"/>
    <w:rsid w:val="0012664A"/>
    <w:rsid w:val="00126E96"/>
    <w:rsid w:val="00130C38"/>
    <w:rsid w:val="001428F9"/>
    <w:rsid w:val="00142D84"/>
    <w:rsid w:val="001434A9"/>
    <w:rsid w:val="0015072F"/>
    <w:rsid w:val="00152524"/>
    <w:rsid w:val="001573E3"/>
    <w:rsid w:val="00157985"/>
    <w:rsid w:val="001643F3"/>
    <w:rsid w:val="00166A1D"/>
    <w:rsid w:val="00166CFE"/>
    <w:rsid w:val="00170D93"/>
    <w:rsid w:val="00172F27"/>
    <w:rsid w:val="001750C1"/>
    <w:rsid w:val="001A1DAF"/>
    <w:rsid w:val="001A382C"/>
    <w:rsid w:val="001A4AB5"/>
    <w:rsid w:val="001A6011"/>
    <w:rsid w:val="001B7E56"/>
    <w:rsid w:val="001C0540"/>
    <w:rsid w:val="001D6E91"/>
    <w:rsid w:val="001E4C1C"/>
    <w:rsid w:val="001E79D5"/>
    <w:rsid w:val="001E7BF9"/>
    <w:rsid w:val="001F0192"/>
    <w:rsid w:val="001F36C7"/>
    <w:rsid w:val="001F724B"/>
    <w:rsid w:val="00206B8D"/>
    <w:rsid w:val="00214805"/>
    <w:rsid w:val="00216F1D"/>
    <w:rsid w:val="002170B9"/>
    <w:rsid w:val="002314B5"/>
    <w:rsid w:val="002421E3"/>
    <w:rsid w:val="00243044"/>
    <w:rsid w:val="0024388F"/>
    <w:rsid w:val="002512A2"/>
    <w:rsid w:val="0025131B"/>
    <w:rsid w:val="002529D6"/>
    <w:rsid w:val="0025319D"/>
    <w:rsid w:val="002559EE"/>
    <w:rsid w:val="002563B4"/>
    <w:rsid w:val="00257294"/>
    <w:rsid w:val="00257B72"/>
    <w:rsid w:val="00271878"/>
    <w:rsid w:val="00271EB5"/>
    <w:rsid w:val="002814D5"/>
    <w:rsid w:val="00282572"/>
    <w:rsid w:val="00282D2D"/>
    <w:rsid w:val="00282EAC"/>
    <w:rsid w:val="00291C01"/>
    <w:rsid w:val="0029396C"/>
    <w:rsid w:val="00295EC5"/>
    <w:rsid w:val="002A2231"/>
    <w:rsid w:val="002C3481"/>
    <w:rsid w:val="002C6EFE"/>
    <w:rsid w:val="002D0E07"/>
    <w:rsid w:val="002D1108"/>
    <w:rsid w:val="002D2798"/>
    <w:rsid w:val="002D28EC"/>
    <w:rsid w:val="002D2EBD"/>
    <w:rsid w:val="002D66B4"/>
    <w:rsid w:val="002D76B7"/>
    <w:rsid w:val="002E74BF"/>
    <w:rsid w:val="002F170E"/>
    <w:rsid w:val="002F6926"/>
    <w:rsid w:val="003052C0"/>
    <w:rsid w:val="003136B0"/>
    <w:rsid w:val="00315A6E"/>
    <w:rsid w:val="0031754A"/>
    <w:rsid w:val="00327983"/>
    <w:rsid w:val="00331058"/>
    <w:rsid w:val="00331A33"/>
    <w:rsid w:val="0033641F"/>
    <w:rsid w:val="003373AD"/>
    <w:rsid w:val="003400D3"/>
    <w:rsid w:val="00344399"/>
    <w:rsid w:val="00344CFE"/>
    <w:rsid w:val="00347355"/>
    <w:rsid w:val="003477EC"/>
    <w:rsid w:val="003521BB"/>
    <w:rsid w:val="00356050"/>
    <w:rsid w:val="00356694"/>
    <w:rsid w:val="003621A7"/>
    <w:rsid w:val="00370971"/>
    <w:rsid w:val="00370E99"/>
    <w:rsid w:val="00374FD0"/>
    <w:rsid w:val="00377B51"/>
    <w:rsid w:val="003801E4"/>
    <w:rsid w:val="00380253"/>
    <w:rsid w:val="0038382E"/>
    <w:rsid w:val="003840D8"/>
    <w:rsid w:val="00385F03"/>
    <w:rsid w:val="00390155"/>
    <w:rsid w:val="003932DD"/>
    <w:rsid w:val="003A05EE"/>
    <w:rsid w:val="003B1A91"/>
    <w:rsid w:val="003B383A"/>
    <w:rsid w:val="003B3EAA"/>
    <w:rsid w:val="003B5823"/>
    <w:rsid w:val="003C1B70"/>
    <w:rsid w:val="003C67F8"/>
    <w:rsid w:val="003C7073"/>
    <w:rsid w:val="003D2E13"/>
    <w:rsid w:val="003D73B7"/>
    <w:rsid w:val="003D7F98"/>
    <w:rsid w:val="003E4AC9"/>
    <w:rsid w:val="00400899"/>
    <w:rsid w:val="00402BEA"/>
    <w:rsid w:val="00402C84"/>
    <w:rsid w:val="00403215"/>
    <w:rsid w:val="00403A5E"/>
    <w:rsid w:val="00403EBD"/>
    <w:rsid w:val="0040512F"/>
    <w:rsid w:val="00405E87"/>
    <w:rsid w:val="00410659"/>
    <w:rsid w:val="004124BF"/>
    <w:rsid w:val="00414427"/>
    <w:rsid w:val="004214EE"/>
    <w:rsid w:val="0042336A"/>
    <w:rsid w:val="00423BD0"/>
    <w:rsid w:val="004254C0"/>
    <w:rsid w:val="004267AC"/>
    <w:rsid w:val="00426815"/>
    <w:rsid w:val="00427052"/>
    <w:rsid w:val="00427C84"/>
    <w:rsid w:val="00427DC6"/>
    <w:rsid w:val="004358E8"/>
    <w:rsid w:val="00437DC4"/>
    <w:rsid w:val="00441EE1"/>
    <w:rsid w:val="004432F1"/>
    <w:rsid w:val="00445228"/>
    <w:rsid w:val="00445551"/>
    <w:rsid w:val="004466B8"/>
    <w:rsid w:val="00450373"/>
    <w:rsid w:val="00453BF8"/>
    <w:rsid w:val="004553EE"/>
    <w:rsid w:val="0045671E"/>
    <w:rsid w:val="00462BEC"/>
    <w:rsid w:val="00465629"/>
    <w:rsid w:val="004664C8"/>
    <w:rsid w:val="00470041"/>
    <w:rsid w:val="004768AC"/>
    <w:rsid w:val="00476B54"/>
    <w:rsid w:val="00482B9D"/>
    <w:rsid w:val="004845A5"/>
    <w:rsid w:val="004858C5"/>
    <w:rsid w:val="00485AEC"/>
    <w:rsid w:val="004970BD"/>
    <w:rsid w:val="004A0E74"/>
    <w:rsid w:val="004B3B00"/>
    <w:rsid w:val="004B69C0"/>
    <w:rsid w:val="004B7677"/>
    <w:rsid w:val="004C5A31"/>
    <w:rsid w:val="004C7419"/>
    <w:rsid w:val="004C78A3"/>
    <w:rsid w:val="004D1F66"/>
    <w:rsid w:val="004D2AA7"/>
    <w:rsid w:val="004D5113"/>
    <w:rsid w:val="004E0DB0"/>
    <w:rsid w:val="004E17A9"/>
    <w:rsid w:val="004E7E5F"/>
    <w:rsid w:val="004F4F3C"/>
    <w:rsid w:val="004F7706"/>
    <w:rsid w:val="00500409"/>
    <w:rsid w:val="00507D00"/>
    <w:rsid w:val="005127C5"/>
    <w:rsid w:val="00514016"/>
    <w:rsid w:val="00517AEB"/>
    <w:rsid w:val="00517BD0"/>
    <w:rsid w:val="0052033E"/>
    <w:rsid w:val="00521BF8"/>
    <w:rsid w:val="00530C53"/>
    <w:rsid w:val="00530CCB"/>
    <w:rsid w:val="00535283"/>
    <w:rsid w:val="00535782"/>
    <w:rsid w:val="00537003"/>
    <w:rsid w:val="0053766E"/>
    <w:rsid w:val="005411EC"/>
    <w:rsid w:val="00541DB7"/>
    <w:rsid w:val="005429E7"/>
    <w:rsid w:val="00542C18"/>
    <w:rsid w:val="00542EA4"/>
    <w:rsid w:val="00543BEF"/>
    <w:rsid w:val="005446DC"/>
    <w:rsid w:val="0055263B"/>
    <w:rsid w:val="005542B8"/>
    <w:rsid w:val="0056063D"/>
    <w:rsid w:val="0056276D"/>
    <w:rsid w:val="00563DA1"/>
    <w:rsid w:val="00564D45"/>
    <w:rsid w:val="005668E2"/>
    <w:rsid w:val="00571342"/>
    <w:rsid w:val="005714D9"/>
    <w:rsid w:val="00572252"/>
    <w:rsid w:val="0058170A"/>
    <w:rsid w:val="005830AF"/>
    <w:rsid w:val="00585300"/>
    <w:rsid w:val="00585F1A"/>
    <w:rsid w:val="005862AF"/>
    <w:rsid w:val="00587760"/>
    <w:rsid w:val="005915D1"/>
    <w:rsid w:val="005962A0"/>
    <w:rsid w:val="00597BF6"/>
    <w:rsid w:val="00597C47"/>
    <w:rsid w:val="00597F7A"/>
    <w:rsid w:val="005A2CE1"/>
    <w:rsid w:val="005B0A72"/>
    <w:rsid w:val="005D426B"/>
    <w:rsid w:val="005D56C0"/>
    <w:rsid w:val="005D7C4F"/>
    <w:rsid w:val="005E04B9"/>
    <w:rsid w:val="005E31E0"/>
    <w:rsid w:val="005F0EA1"/>
    <w:rsid w:val="005F0FE1"/>
    <w:rsid w:val="006007E8"/>
    <w:rsid w:val="00602419"/>
    <w:rsid w:val="006038ED"/>
    <w:rsid w:val="00614938"/>
    <w:rsid w:val="0061548B"/>
    <w:rsid w:val="00624BB9"/>
    <w:rsid w:val="006276D8"/>
    <w:rsid w:val="006363FB"/>
    <w:rsid w:val="006369BB"/>
    <w:rsid w:val="0064011F"/>
    <w:rsid w:val="00641FEF"/>
    <w:rsid w:val="00646034"/>
    <w:rsid w:val="00652090"/>
    <w:rsid w:val="00652947"/>
    <w:rsid w:val="00652D51"/>
    <w:rsid w:val="006532F1"/>
    <w:rsid w:val="006539B8"/>
    <w:rsid w:val="006539CC"/>
    <w:rsid w:val="006545AF"/>
    <w:rsid w:val="00654BB4"/>
    <w:rsid w:val="0065592A"/>
    <w:rsid w:val="00664A25"/>
    <w:rsid w:val="00665D55"/>
    <w:rsid w:val="00670E8B"/>
    <w:rsid w:val="00681775"/>
    <w:rsid w:val="0068524C"/>
    <w:rsid w:val="00686CB3"/>
    <w:rsid w:val="00686CF3"/>
    <w:rsid w:val="006A51C4"/>
    <w:rsid w:val="006A6B01"/>
    <w:rsid w:val="006B036F"/>
    <w:rsid w:val="006B1302"/>
    <w:rsid w:val="006B41F1"/>
    <w:rsid w:val="006B7949"/>
    <w:rsid w:val="006C1444"/>
    <w:rsid w:val="006C2DCA"/>
    <w:rsid w:val="006C7C79"/>
    <w:rsid w:val="006D155B"/>
    <w:rsid w:val="006D2C1A"/>
    <w:rsid w:val="006E1B7C"/>
    <w:rsid w:val="006E4065"/>
    <w:rsid w:val="006F2E41"/>
    <w:rsid w:val="006F4B46"/>
    <w:rsid w:val="006F5A5A"/>
    <w:rsid w:val="0070186E"/>
    <w:rsid w:val="007052DF"/>
    <w:rsid w:val="00707D16"/>
    <w:rsid w:val="00717128"/>
    <w:rsid w:val="007219FD"/>
    <w:rsid w:val="007239C8"/>
    <w:rsid w:val="00735D3F"/>
    <w:rsid w:val="007361DC"/>
    <w:rsid w:val="00745B38"/>
    <w:rsid w:val="007500AB"/>
    <w:rsid w:val="0075301B"/>
    <w:rsid w:val="00756466"/>
    <w:rsid w:val="0076339E"/>
    <w:rsid w:val="00766525"/>
    <w:rsid w:val="00770425"/>
    <w:rsid w:val="00770575"/>
    <w:rsid w:val="007763B2"/>
    <w:rsid w:val="00781722"/>
    <w:rsid w:val="00782B9F"/>
    <w:rsid w:val="007848D5"/>
    <w:rsid w:val="0079578F"/>
    <w:rsid w:val="007A2546"/>
    <w:rsid w:val="007A28F9"/>
    <w:rsid w:val="007A4946"/>
    <w:rsid w:val="007B3BE0"/>
    <w:rsid w:val="007B5A7E"/>
    <w:rsid w:val="007B7D04"/>
    <w:rsid w:val="007C28A6"/>
    <w:rsid w:val="007C2BD6"/>
    <w:rsid w:val="007C2D68"/>
    <w:rsid w:val="007C3BBC"/>
    <w:rsid w:val="007C4702"/>
    <w:rsid w:val="007D28DE"/>
    <w:rsid w:val="007D2BE5"/>
    <w:rsid w:val="007D6D7D"/>
    <w:rsid w:val="007E0846"/>
    <w:rsid w:val="007E2DB8"/>
    <w:rsid w:val="007F0D07"/>
    <w:rsid w:val="007F29E8"/>
    <w:rsid w:val="007F6E8C"/>
    <w:rsid w:val="007F7336"/>
    <w:rsid w:val="007F7490"/>
    <w:rsid w:val="0080298E"/>
    <w:rsid w:val="008053B3"/>
    <w:rsid w:val="0080664E"/>
    <w:rsid w:val="0080778B"/>
    <w:rsid w:val="008135F0"/>
    <w:rsid w:val="00813756"/>
    <w:rsid w:val="008176F2"/>
    <w:rsid w:val="00825F7B"/>
    <w:rsid w:val="00827AAC"/>
    <w:rsid w:val="00832D02"/>
    <w:rsid w:val="0083320A"/>
    <w:rsid w:val="00836E4B"/>
    <w:rsid w:val="00841F48"/>
    <w:rsid w:val="008440A8"/>
    <w:rsid w:val="00850170"/>
    <w:rsid w:val="008514CE"/>
    <w:rsid w:val="008516F4"/>
    <w:rsid w:val="00852728"/>
    <w:rsid w:val="0085413A"/>
    <w:rsid w:val="0086137A"/>
    <w:rsid w:val="00865643"/>
    <w:rsid w:val="00866178"/>
    <w:rsid w:val="00870387"/>
    <w:rsid w:val="0087347A"/>
    <w:rsid w:val="008739D9"/>
    <w:rsid w:val="0087423A"/>
    <w:rsid w:val="0087625D"/>
    <w:rsid w:val="0088285C"/>
    <w:rsid w:val="00886354"/>
    <w:rsid w:val="008876F7"/>
    <w:rsid w:val="0089087A"/>
    <w:rsid w:val="00896094"/>
    <w:rsid w:val="0089765A"/>
    <w:rsid w:val="00897B3F"/>
    <w:rsid w:val="008A0E17"/>
    <w:rsid w:val="008A2A5D"/>
    <w:rsid w:val="008A44C7"/>
    <w:rsid w:val="008A6582"/>
    <w:rsid w:val="008A6E1E"/>
    <w:rsid w:val="008B200F"/>
    <w:rsid w:val="008C15D1"/>
    <w:rsid w:val="008C4E86"/>
    <w:rsid w:val="008D16DB"/>
    <w:rsid w:val="008D5572"/>
    <w:rsid w:val="008D68E8"/>
    <w:rsid w:val="008E00C4"/>
    <w:rsid w:val="008E0DF3"/>
    <w:rsid w:val="008E297F"/>
    <w:rsid w:val="008E382A"/>
    <w:rsid w:val="008E4B95"/>
    <w:rsid w:val="008E4E7E"/>
    <w:rsid w:val="008E5ABB"/>
    <w:rsid w:val="008E6562"/>
    <w:rsid w:val="008E7B65"/>
    <w:rsid w:val="008F1824"/>
    <w:rsid w:val="008F2890"/>
    <w:rsid w:val="008F7440"/>
    <w:rsid w:val="00901245"/>
    <w:rsid w:val="00904098"/>
    <w:rsid w:val="00907137"/>
    <w:rsid w:val="009072FF"/>
    <w:rsid w:val="009112A6"/>
    <w:rsid w:val="00912380"/>
    <w:rsid w:val="0091300A"/>
    <w:rsid w:val="009136BC"/>
    <w:rsid w:val="00913EC9"/>
    <w:rsid w:val="00915A3C"/>
    <w:rsid w:val="00915E35"/>
    <w:rsid w:val="009203ED"/>
    <w:rsid w:val="009232E2"/>
    <w:rsid w:val="009301D4"/>
    <w:rsid w:val="009313FD"/>
    <w:rsid w:val="009355A6"/>
    <w:rsid w:val="00940C7D"/>
    <w:rsid w:val="009511C6"/>
    <w:rsid w:val="00951918"/>
    <w:rsid w:val="00954BB3"/>
    <w:rsid w:val="0096562C"/>
    <w:rsid w:val="00965D8E"/>
    <w:rsid w:val="00972FCD"/>
    <w:rsid w:val="0097493C"/>
    <w:rsid w:val="00976531"/>
    <w:rsid w:val="00977D39"/>
    <w:rsid w:val="0098066B"/>
    <w:rsid w:val="009808D4"/>
    <w:rsid w:val="00986043"/>
    <w:rsid w:val="00986F69"/>
    <w:rsid w:val="00987AC7"/>
    <w:rsid w:val="00990577"/>
    <w:rsid w:val="00991294"/>
    <w:rsid w:val="00994D7C"/>
    <w:rsid w:val="009A3F4C"/>
    <w:rsid w:val="009A6F33"/>
    <w:rsid w:val="009B0345"/>
    <w:rsid w:val="009B04BC"/>
    <w:rsid w:val="009B2E2C"/>
    <w:rsid w:val="009B39A6"/>
    <w:rsid w:val="009B4592"/>
    <w:rsid w:val="009B572D"/>
    <w:rsid w:val="009C0C27"/>
    <w:rsid w:val="009C0F15"/>
    <w:rsid w:val="009C1522"/>
    <w:rsid w:val="009C1C67"/>
    <w:rsid w:val="009C224F"/>
    <w:rsid w:val="009C29A4"/>
    <w:rsid w:val="009C3569"/>
    <w:rsid w:val="009C71CF"/>
    <w:rsid w:val="009D0C45"/>
    <w:rsid w:val="009D2282"/>
    <w:rsid w:val="009D462D"/>
    <w:rsid w:val="009D7A95"/>
    <w:rsid w:val="009E0F0B"/>
    <w:rsid w:val="009E5183"/>
    <w:rsid w:val="009E74FC"/>
    <w:rsid w:val="009F0640"/>
    <w:rsid w:val="009F65A5"/>
    <w:rsid w:val="009F6AE7"/>
    <w:rsid w:val="00A0175D"/>
    <w:rsid w:val="00A05F4E"/>
    <w:rsid w:val="00A11C33"/>
    <w:rsid w:val="00A1488E"/>
    <w:rsid w:val="00A17622"/>
    <w:rsid w:val="00A210E0"/>
    <w:rsid w:val="00A2615C"/>
    <w:rsid w:val="00A27806"/>
    <w:rsid w:val="00A36436"/>
    <w:rsid w:val="00A36686"/>
    <w:rsid w:val="00A40F1A"/>
    <w:rsid w:val="00A45416"/>
    <w:rsid w:val="00A47029"/>
    <w:rsid w:val="00A50633"/>
    <w:rsid w:val="00A57231"/>
    <w:rsid w:val="00A620D0"/>
    <w:rsid w:val="00A64B34"/>
    <w:rsid w:val="00A70236"/>
    <w:rsid w:val="00A71FEE"/>
    <w:rsid w:val="00A80AAC"/>
    <w:rsid w:val="00A80B1B"/>
    <w:rsid w:val="00A8701C"/>
    <w:rsid w:val="00A87C5D"/>
    <w:rsid w:val="00A91BE6"/>
    <w:rsid w:val="00A91DBF"/>
    <w:rsid w:val="00A92525"/>
    <w:rsid w:val="00A93D47"/>
    <w:rsid w:val="00A952D3"/>
    <w:rsid w:val="00AA03D5"/>
    <w:rsid w:val="00AA30D1"/>
    <w:rsid w:val="00AA4613"/>
    <w:rsid w:val="00AA514F"/>
    <w:rsid w:val="00AA7648"/>
    <w:rsid w:val="00AB0CCE"/>
    <w:rsid w:val="00AB19D0"/>
    <w:rsid w:val="00AB243E"/>
    <w:rsid w:val="00AB253B"/>
    <w:rsid w:val="00AB3999"/>
    <w:rsid w:val="00AB5735"/>
    <w:rsid w:val="00AB68CE"/>
    <w:rsid w:val="00AC07FC"/>
    <w:rsid w:val="00AC106B"/>
    <w:rsid w:val="00AD0329"/>
    <w:rsid w:val="00AD06C6"/>
    <w:rsid w:val="00AD6306"/>
    <w:rsid w:val="00AD6937"/>
    <w:rsid w:val="00AE0E5C"/>
    <w:rsid w:val="00AE110C"/>
    <w:rsid w:val="00AE5EE6"/>
    <w:rsid w:val="00AF096B"/>
    <w:rsid w:val="00AF2820"/>
    <w:rsid w:val="00AF5FD3"/>
    <w:rsid w:val="00B00CE6"/>
    <w:rsid w:val="00B01E45"/>
    <w:rsid w:val="00B03727"/>
    <w:rsid w:val="00B03A11"/>
    <w:rsid w:val="00B046A7"/>
    <w:rsid w:val="00B0536E"/>
    <w:rsid w:val="00B056FD"/>
    <w:rsid w:val="00B070FF"/>
    <w:rsid w:val="00B10BE6"/>
    <w:rsid w:val="00B14E72"/>
    <w:rsid w:val="00B21E05"/>
    <w:rsid w:val="00B22476"/>
    <w:rsid w:val="00B25934"/>
    <w:rsid w:val="00B30EDA"/>
    <w:rsid w:val="00B3405C"/>
    <w:rsid w:val="00B34872"/>
    <w:rsid w:val="00B41322"/>
    <w:rsid w:val="00B43042"/>
    <w:rsid w:val="00B446A6"/>
    <w:rsid w:val="00B46D89"/>
    <w:rsid w:val="00B51072"/>
    <w:rsid w:val="00B525CA"/>
    <w:rsid w:val="00B55B67"/>
    <w:rsid w:val="00B56971"/>
    <w:rsid w:val="00B5766E"/>
    <w:rsid w:val="00B66479"/>
    <w:rsid w:val="00B66873"/>
    <w:rsid w:val="00B7094D"/>
    <w:rsid w:val="00B7154B"/>
    <w:rsid w:val="00B717E3"/>
    <w:rsid w:val="00B71FBD"/>
    <w:rsid w:val="00B73FB2"/>
    <w:rsid w:val="00B74A58"/>
    <w:rsid w:val="00B7676D"/>
    <w:rsid w:val="00B76C31"/>
    <w:rsid w:val="00B809C2"/>
    <w:rsid w:val="00B8357A"/>
    <w:rsid w:val="00B837E3"/>
    <w:rsid w:val="00B8441E"/>
    <w:rsid w:val="00B876E7"/>
    <w:rsid w:val="00B91675"/>
    <w:rsid w:val="00B92132"/>
    <w:rsid w:val="00B96175"/>
    <w:rsid w:val="00B97EB8"/>
    <w:rsid w:val="00BA1B44"/>
    <w:rsid w:val="00BA3DEF"/>
    <w:rsid w:val="00BB0595"/>
    <w:rsid w:val="00BB113D"/>
    <w:rsid w:val="00BB2E39"/>
    <w:rsid w:val="00BC1A47"/>
    <w:rsid w:val="00BC1C65"/>
    <w:rsid w:val="00BC2907"/>
    <w:rsid w:val="00BC29B4"/>
    <w:rsid w:val="00BC4B57"/>
    <w:rsid w:val="00BC5132"/>
    <w:rsid w:val="00BC7A82"/>
    <w:rsid w:val="00BD4398"/>
    <w:rsid w:val="00BE0B0D"/>
    <w:rsid w:val="00BE671F"/>
    <w:rsid w:val="00BE6938"/>
    <w:rsid w:val="00BF0415"/>
    <w:rsid w:val="00BF2257"/>
    <w:rsid w:val="00BF2FAF"/>
    <w:rsid w:val="00BF4239"/>
    <w:rsid w:val="00BF5B1E"/>
    <w:rsid w:val="00BF7FA9"/>
    <w:rsid w:val="00C042C7"/>
    <w:rsid w:val="00C04E43"/>
    <w:rsid w:val="00C05FB2"/>
    <w:rsid w:val="00C06915"/>
    <w:rsid w:val="00C10A90"/>
    <w:rsid w:val="00C12FE6"/>
    <w:rsid w:val="00C15DFF"/>
    <w:rsid w:val="00C1650A"/>
    <w:rsid w:val="00C20442"/>
    <w:rsid w:val="00C21827"/>
    <w:rsid w:val="00C21D95"/>
    <w:rsid w:val="00C26A8B"/>
    <w:rsid w:val="00C31965"/>
    <w:rsid w:val="00C31D02"/>
    <w:rsid w:val="00C31F67"/>
    <w:rsid w:val="00C367F9"/>
    <w:rsid w:val="00C367FB"/>
    <w:rsid w:val="00C4011C"/>
    <w:rsid w:val="00C42427"/>
    <w:rsid w:val="00C43562"/>
    <w:rsid w:val="00C444E7"/>
    <w:rsid w:val="00C57DF7"/>
    <w:rsid w:val="00C60267"/>
    <w:rsid w:val="00C6109F"/>
    <w:rsid w:val="00C612CE"/>
    <w:rsid w:val="00C641C1"/>
    <w:rsid w:val="00C7148B"/>
    <w:rsid w:val="00C73181"/>
    <w:rsid w:val="00C734D5"/>
    <w:rsid w:val="00C74BF8"/>
    <w:rsid w:val="00C76318"/>
    <w:rsid w:val="00C7784A"/>
    <w:rsid w:val="00C8329B"/>
    <w:rsid w:val="00C8795A"/>
    <w:rsid w:val="00C8796F"/>
    <w:rsid w:val="00C91BF2"/>
    <w:rsid w:val="00C9626A"/>
    <w:rsid w:val="00CA0841"/>
    <w:rsid w:val="00CA3BA6"/>
    <w:rsid w:val="00CA6A36"/>
    <w:rsid w:val="00CB2AAB"/>
    <w:rsid w:val="00CD1D87"/>
    <w:rsid w:val="00CD4BC9"/>
    <w:rsid w:val="00CD6AAD"/>
    <w:rsid w:val="00CD71BC"/>
    <w:rsid w:val="00CE0415"/>
    <w:rsid w:val="00CE0A53"/>
    <w:rsid w:val="00CE1C84"/>
    <w:rsid w:val="00CF1541"/>
    <w:rsid w:val="00D03BB6"/>
    <w:rsid w:val="00D140DE"/>
    <w:rsid w:val="00D15507"/>
    <w:rsid w:val="00D16353"/>
    <w:rsid w:val="00D21188"/>
    <w:rsid w:val="00D2220A"/>
    <w:rsid w:val="00D234ED"/>
    <w:rsid w:val="00D23E2C"/>
    <w:rsid w:val="00D242B0"/>
    <w:rsid w:val="00D267A7"/>
    <w:rsid w:val="00D32A7E"/>
    <w:rsid w:val="00D35699"/>
    <w:rsid w:val="00D4194C"/>
    <w:rsid w:val="00D43247"/>
    <w:rsid w:val="00D47051"/>
    <w:rsid w:val="00D47120"/>
    <w:rsid w:val="00D54330"/>
    <w:rsid w:val="00D55105"/>
    <w:rsid w:val="00D6268B"/>
    <w:rsid w:val="00D63953"/>
    <w:rsid w:val="00D63CBB"/>
    <w:rsid w:val="00D66D92"/>
    <w:rsid w:val="00D67B2F"/>
    <w:rsid w:val="00D67B4A"/>
    <w:rsid w:val="00D70200"/>
    <w:rsid w:val="00D70536"/>
    <w:rsid w:val="00D72CC4"/>
    <w:rsid w:val="00D81250"/>
    <w:rsid w:val="00D85495"/>
    <w:rsid w:val="00D86543"/>
    <w:rsid w:val="00D86C0C"/>
    <w:rsid w:val="00D87E31"/>
    <w:rsid w:val="00D96079"/>
    <w:rsid w:val="00DA0AC0"/>
    <w:rsid w:val="00DA4AA4"/>
    <w:rsid w:val="00DA5BC6"/>
    <w:rsid w:val="00DA6447"/>
    <w:rsid w:val="00DB2504"/>
    <w:rsid w:val="00DB49FC"/>
    <w:rsid w:val="00DB76AA"/>
    <w:rsid w:val="00DC3C06"/>
    <w:rsid w:val="00DC5EB1"/>
    <w:rsid w:val="00DD1A78"/>
    <w:rsid w:val="00DD31FD"/>
    <w:rsid w:val="00DD631B"/>
    <w:rsid w:val="00DD6687"/>
    <w:rsid w:val="00DD6A5E"/>
    <w:rsid w:val="00DD6CD4"/>
    <w:rsid w:val="00DE7B13"/>
    <w:rsid w:val="00DF4BBD"/>
    <w:rsid w:val="00DF5B4C"/>
    <w:rsid w:val="00E046E9"/>
    <w:rsid w:val="00E04F58"/>
    <w:rsid w:val="00E10A9C"/>
    <w:rsid w:val="00E13A76"/>
    <w:rsid w:val="00E14117"/>
    <w:rsid w:val="00E14920"/>
    <w:rsid w:val="00E15620"/>
    <w:rsid w:val="00E277BA"/>
    <w:rsid w:val="00E32EFD"/>
    <w:rsid w:val="00E32F57"/>
    <w:rsid w:val="00E41949"/>
    <w:rsid w:val="00E443DB"/>
    <w:rsid w:val="00E46D3C"/>
    <w:rsid w:val="00E47E1F"/>
    <w:rsid w:val="00E53CFB"/>
    <w:rsid w:val="00E53F18"/>
    <w:rsid w:val="00E54314"/>
    <w:rsid w:val="00E54457"/>
    <w:rsid w:val="00E56406"/>
    <w:rsid w:val="00E609AB"/>
    <w:rsid w:val="00E62EEC"/>
    <w:rsid w:val="00E660F1"/>
    <w:rsid w:val="00E66602"/>
    <w:rsid w:val="00E67B4D"/>
    <w:rsid w:val="00E7404E"/>
    <w:rsid w:val="00E81215"/>
    <w:rsid w:val="00E82571"/>
    <w:rsid w:val="00E970F5"/>
    <w:rsid w:val="00EA0457"/>
    <w:rsid w:val="00EA26C6"/>
    <w:rsid w:val="00EA6426"/>
    <w:rsid w:val="00EB539C"/>
    <w:rsid w:val="00EB5E5A"/>
    <w:rsid w:val="00EC2438"/>
    <w:rsid w:val="00ED1041"/>
    <w:rsid w:val="00ED3357"/>
    <w:rsid w:val="00ED60E3"/>
    <w:rsid w:val="00ED7751"/>
    <w:rsid w:val="00EE2DEC"/>
    <w:rsid w:val="00EF1F36"/>
    <w:rsid w:val="00EF3567"/>
    <w:rsid w:val="00EF503D"/>
    <w:rsid w:val="00F02503"/>
    <w:rsid w:val="00F028B8"/>
    <w:rsid w:val="00F14B89"/>
    <w:rsid w:val="00F14EF8"/>
    <w:rsid w:val="00F16BA5"/>
    <w:rsid w:val="00F23130"/>
    <w:rsid w:val="00F30C0D"/>
    <w:rsid w:val="00F33DFE"/>
    <w:rsid w:val="00F34D73"/>
    <w:rsid w:val="00F36F80"/>
    <w:rsid w:val="00F40D24"/>
    <w:rsid w:val="00F428C6"/>
    <w:rsid w:val="00F46131"/>
    <w:rsid w:val="00F462F9"/>
    <w:rsid w:val="00F46B80"/>
    <w:rsid w:val="00F46C1C"/>
    <w:rsid w:val="00F502D1"/>
    <w:rsid w:val="00F50DF8"/>
    <w:rsid w:val="00F56466"/>
    <w:rsid w:val="00F573D7"/>
    <w:rsid w:val="00F574B9"/>
    <w:rsid w:val="00F60334"/>
    <w:rsid w:val="00F610C8"/>
    <w:rsid w:val="00F61896"/>
    <w:rsid w:val="00F636C1"/>
    <w:rsid w:val="00F6396E"/>
    <w:rsid w:val="00F63DAF"/>
    <w:rsid w:val="00F66DF4"/>
    <w:rsid w:val="00F711CB"/>
    <w:rsid w:val="00F718B4"/>
    <w:rsid w:val="00F73DA1"/>
    <w:rsid w:val="00F773F3"/>
    <w:rsid w:val="00F77AE2"/>
    <w:rsid w:val="00F904BA"/>
    <w:rsid w:val="00F90AAD"/>
    <w:rsid w:val="00F90C1C"/>
    <w:rsid w:val="00FA07F9"/>
    <w:rsid w:val="00FA2B40"/>
    <w:rsid w:val="00FA78F2"/>
    <w:rsid w:val="00FA7AE6"/>
    <w:rsid w:val="00FA7DDD"/>
    <w:rsid w:val="00FB06A5"/>
    <w:rsid w:val="00FB10FF"/>
    <w:rsid w:val="00FB2BF2"/>
    <w:rsid w:val="00FB304B"/>
    <w:rsid w:val="00FB71F1"/>
    <w:rsid w:val="00FB723D"/>
    <w:rsid w:val="00FB7A86"/>
    <w:rsid w:val="00FC0D19"/>
    <w:rsid w:val="00FC22DE"/>
    <w:rsid w:val="00FC3D06"/>
    <w:rsid w:val="00FC44C9"/>
    <w:rsid w:val="00FC66AD"/>
    <w:rsid w:val="00FD0334"/>
    <w:rsid w:val="00FD0A84"/>
    <w:rsid w:val="00FD734D"/>
    <w:rsid w:val="00FF421B"/>
    <w:rsid w:val="00FF4502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BD89A"/>
  <w15:docId w15:val="{D73559D8-B49E-4407-8712-04C1C33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6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D5"/>
    <w:pPr>
      <w:keepNext/>
      <w:widowControl/>
      <w:autoSpaceDE/>
      <w:autoSpaceDN/>
      <w:adjustRightInd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0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C356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356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3569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C35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C356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C356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C356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C35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C356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C35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C3569"/>
    <w:pPr>
      <w:ind w:left="0" w:firstLine="0"/>
    </w:pPr>
  </w:style>
  <w:style w:type="character" w:styleId="Odwoaniedokomentarza">
    <w:name w:val="annotation reference"/>
    <w:uiPriority w:val="99"/>
    <w:semiHidden/>
    <w:rsid w:val="009C3569"/>
    <w:rPr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9C356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C3569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C3569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9C3569"/>
    <w:rPr>
      <w:b w:val="0"/>
      <w:i w:val="0"/>
      <w:vanish w:val="0"/>
      <w:spacing w:val="0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5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56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C3569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character" w:customStyle="1" w:styleId="Nagwek1Znak">
    <w:name w:val="Nagłówek 1 Znak"/>
    <w:basedOn w:val="Domylnaczcionkaakapitu"/>
    <w:link w:val="Nagwek1"/>
    <w:rsid w:val="00AA03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352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352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9B"/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31754A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qFormat/>
    <w:rsid w:val="00597F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qFormat/>
    <w:rsid w:val="00597F7A"/>
  </w:style>
  <w:style w:type="paragraph" w:customStyle="1" w:styleId="Default">
    <w:name w:val="Default"/>
    <w:rsid w:val="00597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43247"/>
    <w:rPr>
      <w:color w:val="0000FF"/>
      <w:u w:val="single"/>
    </w:rPr>
  </w:style>
  <w:style w:type="character" w:customStyle="1" w:styleId="italic">
    <w:name w:val="italic"/>
    <w:basedOn w:val="Domylnaczcionkaakapitu"/>
    <w:rsid w:val="00F028B8"/>
  </w:style>
  <w:style w:type="character" w:customStyle="1" w:styleId="text-justify">
    <w:name w:val="text-justify"/>
    <w:basedOn w:val="Domylnaczcionkaakapitu"/>
    <w:rsid w:val="004768AC"/>
  </w:style>
  <w:style w:type="paragraph" w:styleId="Poprawka">
    <w:name w:val="Revision"/>
    <w:hidden/>
    <w:uiPriority w:val="99"/>
    <w:semiHidden/>
    <w:rsid w:val="00B34872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D4BC9"/>
    <w:pPr>
      <w:ind w:left="986" w:hanging="476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9023-B9C7-45E6-9164-FD5A774F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Walicka</dc:creator>
  <cp:lastModifiedBy>MACHAJ Maciej</cp:lastModifiedBy>
  <cp:revision>4</cp:revision>
  <cp:lastPrinted>2022-04-22T09:04:00Z</cp:lastPrinted>
  <dcterms:created xsi:type="dcterms:W3CDTF">2023-02-17T11:41:00Z</dcterms:created>
  <dcterms:modified xsi:type="dcterms:W3CDTF">2023-02-17T13:20:00Z</dcterms:modified>
</cp:coreProperties>
</file>