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336A" w14:textId="0B9DF0DC" w:rsidR="00AF70A7" w:rsidRDefault="00B1563D" w:rsidP="00AF70A7">
      <w:pPr>
        <w:widowControl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6E0">
        <w:rPr>
          <w:rFonts w:ascii="Times New Roman" w:eastAsia="Times New Roman" w:hAnsi="Times New Roman" w:cs="Times New Roman"/>
          <w:caps/>
          <w:color w:val="000000"/>
          <w:spacing w:val="8"/>
          <w:sz w:val="24"/>
          <w:szCs w:val="24"/>
          <w:lang w:eastAsia="pl-PL"/>
        </w:rPr>
        <w:t>Uzasadnieni</w:t>
      </w:r>
      <w:r w:rsidR="00627118">
        <w:rPr>
          <w:rFonts w:ascii="Times New Roman" w:eastAsia="Times New Roman" w:hAnsi="Times New Roman" w:cs="Times New Roman"/>
          <w:caps/>
          <w:color w:val="000000"/>
          <w:spacing w:val="8"/>
          <w:sz w:val="24"/>
          <w:szCs w:val="24"/>
          <w:lang w:eastAsia="pl-PL"/>
        </w:rPr>
        <w:t>E</w:t>
      </w:r>
    </w:p>
    <w:p w14:paraId="74AF540F" w14:textId="2ABB2F44" w:rsidR="00C55F53" w:rsidRDefault="008805B7" w:rsidP="001E2897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 xml:space="preserve">stawy </w:t>
      </w:r>
      <w:r>
        <w:rPr>
          <w:rFonts w:ascii="Times New Roman" w:hAnsi="Times New Roman"/>
          <w:color w:val="000000"/>
          <w:sz w:val="24"/>
          <w:szCs w:val="24"/>
        </w:rPr>
        <w:t xml:space="preserve">z dnia 8 lutego 2023 r. 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>o zmianie ustawy o szczególnych rozwiązaniach w zakresie niektórych źródeł ciepła w związku z sytuacją na rynku paliw</w:t>
      </w:r>
      <w:r w:rsidR="005B3273">
        <w:rPr>
          <w:rFonts w:ascii="Times New Roman" w:hAnsi="Times New Roman"/>
          <w:color w:val="000000"/>
          <w:sz w:val="24"/>
          <w:szCs w:val="24"/>
        </w:rPr>
        <w:t xml:space="preserve"> oraz niektórych innych ustaw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(Dz. U. poz. 295) 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>wprowadz</w:t>
      </w:r>
      <w:r>
        <w:rPr>
          <w:rFonts w:ascii="Times New Roman" w:hAnsi="Times New Roman"/>
          <w:color w:val="000000"/>
          <w:sz w:val="24"/>
          <w:szCs w:val="24"/>
        </w:rPr>
        <w:t>iła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 xml:space="preserve"> nowe narzędzie służące ochronie odbiorców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 xml:space="preserve"> jakimi są gospodarstwa domowe oraz instytucje użyteczności publicznej, do których ciepło jest dostarczane za pośrednictwem sieci ciepłowniczej. Projektowana regulacja przewiduje zastosowanie maksymalnej ceny dostawy ciepła, która znajdzie zastosowanie od dnia 1 </w:t>
      </w:r>
      <w:r w:rsidR="00D466AA">
        <w:rPr>
          <w:rFonts w:ascii="Times New Roman" w:hAnsi="Times New Roman"/>
          <w:color w:val="000000"/>
          <w:sz w:val="24"/>
          <w:szCs w:val="24"/>
        </w:rPr>
        <w:t>marca</w:t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 xml:space="preserve"> 2023 r. do dnia 31 grudnia 2023 r. Pokrycie części należności odbiorców ciepła wobec przedsiębiorstw energetycznych prowadzących działalność niekoncesjonowaną </w:t>
      </w:r>
      <w:r w:rsidR="005B3273">
        <w:rPr>
          <w:rFonts w:ascii="Times New Roman" w:hAnsi="Times New Roman"/>
          <w:color w:val="000000"/>
          <w:sz w:val="24"/>
          <w:szCs w:val="24"/>
        </w:rPr>
        <w:br/>
      </w:r>
      <w:r w:rsidR="009F33ED" w:rsidRPr="009F33ED">
        <w:rPr>
          <w:rFonts w:ascii="Times New Roman" w:hAnsi="Times New Roman"/>
          <w:color w:val="000000"/>
          <w:sz w:val="24"/>
          <w:szCs w:val="24"/>
        </w:rPr>
        <w:t xml:space="preserve">i koncesjonowaną w zakresie sprzedaży ciepła wynikających ze wzrostu kosztów ogrzewania nastąpi przez wypłatę wyrównania.  Dzięki zaprojektowanemu mechanizmowi wsparcia, jeżeli nastąpi wzrost cen dostawy ciepła, obejmujących wszystkie opłaty i stawki nałożone na odbiorcę ciepła, większy niż 40%, w stosunku do cen obowiązujących na dzień 30 września 2022 r., przedsiębiorstwa energetyczne otrzymają wyrównanie, tak aby odbiorcy z katalogu podmiotów uprawnionych nie zostali obciążeni nadmiernym wzrostem kosztów ogrzewania. </w:t>
      </w:r>
      <w:r w:rsidR="005207D6" w:rsidRPr="00F30648">
        <w:rPr>
          <w:rFonts w:ascii="Times New Roman" w:hAnsi="Times New Roman"/>
          <w:color w:val="000000"/>
          <w:sz w:val="24"/>
          <w:szCs w:val="24"/>
        </w:rPr>
        <w:t xml:space="preserve">Skutkiem tego ceny energii cieplnej dla obywateli </w:t>
      </w:r>
      <w:r w:rsidR="00C55F53" w:rsidRPr="00F30648">
        <w:rPr>
          <w:rFonts w:ascii="Times New Roman" w:hAnsi="Times New Roman"/>
          <w:color w:val="000000"/>
          <w:sz w:val="24"/>
          <w:szCs w:val="24"/>
        </w:rPr>
        <w:t xml:space="preserve">korzystających z ciepła systemowego </w:t>
      </w:r>
      <w:r w:rsidR="009F33ED">
        <w:rPr>
          <w:rFonts w:ascii="Times New Roman" w:hAnsi="Times New Roman"/>
          <w:color w:val="000000"/>
          <w:sz w:val="24"/>
          <w:szCs w:val="24"/>
        </w:rPr>
        <w:t xml:space="preserve">nie powinny </w:t>
      </w:r>
      <w:r w:rsidR="009F33ED" w:rsidRPr="00F30648">
        <w:rPr>
          <w:rFonts w:ascii="Times New Roman" w:hAnsi="Times New Roman"/>
          <w:color w:val="000000"/>
          <w:sz w:val="24"/>
          <w:szCs w:val="24"/>
        </w:rPr>
        <w:t>wzros</w:t>
      </w:r>
      <w:r w:rsidR="009F33ED">
        <w:rPr>
          <w:rFonts w:ascii="Times New Roman" w:hAnsi="Times New Roman"/>
          <w:color w:val="000000"/>
          <w:sz w:val="24"/>
          <w:szCs w:val="24"/>
        </w:rPr>
        <w:t>nąć</w:t>
      </w:r>
      <w:r w:rsidR="005207D6" w:rsidRPr="00F30648">
        <w:rPr>
          <w:rFonts w:ascii="Times New Roman" w:hAnsi="Times New Roman"/>
          <w:color w:val="000000"/>
          <w:sz w:val="24"/>
          <w:szCs w:val="24"/>
        </w:rPr>
        <w:t xml:space="preserve"> do poziomów wyższy</w:t>
      </w:r>
      <w:r w:rsidR="00C761BC" w:rsidRPr="00F30648">
        <w:rPr>
          <w:rFonts w:ascii="Times New Roman" w:hAnsi="Times New Roman"/>
          <w:color w:val="000000"/>
          <w:sz w:val="24"/>
          <w:szCs w:val="24"/>
        </w:rPr>
        <w:t>ch</w:t>
      </w:r>
      <w:r w:rsidR="005207D6" w:rsidRPr="00F30648">
        <w:rPr>
          <w:rFonts w:ascii="Times New Roman" w:hAnsi="Times New Roman"/>
          <w:color w:val="000000"/>
          <w:sz w:val="24"/>
          <w:szCs w:val="24"/>
        </w:rPr>
        <w:t xml:space="preserve"> niż zał</w:t>
      </w:r>
      <w:r w:rsidR="00096942" w:rsidRPr="00F30648">
        <w:rPr>
          <w:rFonts w:ascii="Times New Roman" w:hAnsi="Times New Roman"/>
          <w:color w:val="000000"/>
          <w:sz w:val="24"/>
          <w:szCs w:val="24"/>
        </w:rPr>
        <w:t>ożono</w:t>
      </w:r>
      <w:r w:rsidR="005207D6" w:rsidRPr="00F30648">
        <w:rPr>
          <w:rFonts w:ascii="Times New Roman" w:hAnsi="Times New Roman"/>
          <w:color w:val="000000"/>
          <w:sz w:val="24"/>
          <w:szCs w:val="24"/>
        </w:rPr>
        <w:t>.</w:t>
      </w:r>
    </w:p>
    <w:p w14:paraId="4844A5DA" w14:textId="1D671D64" w:rsidR="009F33ED" w:rsidRPr="009F33ED" w:rsidRDefault="009F33ED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 xml:space="preserve">Przygotowanie jednakowego wzoru </w:t>
      </w:r>
      <w:r>
        <w:rPr>
          <w:rFonts w:ascii="Times New Roman" w:hAnsi="Times New Roman"/>
          <w:color w:val="000000"/>
          <w:sz w:val="24"/>
          <w:szCs w:val="24"/>
        </w:rPr>
        <w:t xml:space="preserve">nowych </w:t>
      </w:r>
      <w:r w:rsidRPr="009F33ED">
        <w:rPr>
          <w:rFonts w:ascii="Times New Roman" w:hAnsi="Times New Roman"/>
          <w:color w:val="000000"/>
          <w:sz w:val="24"/>
          <w:szCs w:val="24"/>
        </w:rPr>
        <w:t>wniosk</w:t>
      </w:r>
      <w:r>
        <w:rPr>
          <w:rFonts w:ascii="Times New Roman" w:hAnsi="Times New Roman"/>
          <w:color w:val="000000"/>
          <w:sz w:val="24"/>
          <w:szCs w:val="24"/>
        </w:rPr>
        <w:t>ów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służących wypłacie oraz rozliczeniu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wyrównań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przyczyni się do odciążenia samorządów terytorialnych prowadzących rozliczenia oraz Zarządcy Rozliczeń S.A., z konieczności podejmowania indywidulanych uchwał w tej sprawie. Jednocześnie działanie to przyspieszy proces uruchomienia systemu wypłat i rozliczenia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wyrównań</w:t>
      </w:r>
      <w:proofErr w:type="spellEnd"/>
      <w:r w:rsidRPr="009F33ED">
        <w:rPr>
          <w:rFonts w:ascii="Times New Roman" w:hAnsi="Times New Roman"/>
          <w:color w:val="000000"/>
          <w:sz w:val="24"/>
          <w:szCs w:val="24"/>
        </w:rPr>
        <w:t>.</w:t>
      </w:r>
    </w:p>
    <w:p w14:paraId="0C9B8865" w14:textId="5C5DDDBC" w:rsidR="009F33ED" w:rsidRPr="009F33ED" w:rsidRDefault="009F33ED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>Wz</w:t>
      </w:r>
      <w:r>
        <w:rPr>
          <w:rFonts w:ascii="Times New Roman" w:hAnsi="Times New Roman"/>
          <w:color w:val="000000"/>
          <w:sz w:val="24"/>
          <w:szCs w:val="24"/>
        </w:rPr>
        <w:t>ory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wniosk</w:t>
      </w:r>
      <w:r w:rsidR="008805B7">
        <w:rPr>
          <w:rFonts w:ascii="Times New Roman" w:hAnsi="Times New Roman"/>
          <w:color w:val="000000"/>
          <w:sz w:val="24"/>
          <w:szCs w:val="24"/>
        </w:rPr>
        <w:t>ów,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5B7">
        <w:rPr>
          <w:rFonts w:ascii="Times New Roman" w:hAnsi="Times New Roman"/>
          <w:color w:val="000000"/>
          <w:sz w:val="24"/>
          <w:szCs w:val="24"/>
        </w:rPr>
        <w:t xml:space="preserve">zgodnie z przepisami art. 12a-12c </w:t>
      </w:r>
      <w:r>
        <w:rPr>
          <w:rFonts w:ascii="Times New Roman" w:hAnsi="Times New Roman"/>
          <w:color w:val="000000"/>
          <w:sz w:val="24"/>
          <w:szCs w:val="24"/>
        </w:rPr>
        <w:t>ustawy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5B7">
        <w:rPr>
          <w:rFonts w:ascii="Times New Roman" w:hAnsi="Times New Roman"/>
          <w:color w:val="000000"/>
          <w:sz w:val="24"/>
          <w:szCs w:val="24"/>
        </w:rPr>
        <w:t xml:space="preserve">z dnia 15 września 2022 r. </w:t>
      </w:r>
      <w:r w:rsidR="008805B7">
        <w:rPr>
          <w:rFonts w:ascii="Times New Roman" w:hAnsi="Times New Roman"/>
          <w:color w:val="000000"/>
          <w:sz w:val="24"/>
          <w:szCs w:val="24"/>
        </w:rPr>
        <w:br/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o szczególnych rozwiązaniach w zakresie niektórych źródeł ciepła w związku z sytuacją na rynku paliw </w:t>
      </w:r>
      <w:r w:rsidR="008805B7">
        <w:rPr>
          <w:rFonts w:ascii="Times New Roman" w:hAnsi="Times New Roman"/>
          <w:color w:val="000000"/>
          <w:sz w:val="24"/>
          <w:szCs w:val="24"/>
        </w:rPr>
        <w:t xml:space="preserve">(Dz. U. poz. 1967, z </w:t>
      </w:r>
      <w:proofErr w:type="spellStart"/>
      <w:r w:rsidR="008805B7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8805B7">
        <w:rPr>
          <w:rFonts w:ascii="Times New Roman" w:hAnsi="Times New Roman"/>
          <w:color w:val="000000"/>
          <w:sz w:val="24"/>
          <w:szCs w:val="24"/>
        </w:rPr>
        <w:t>. zm.),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zawiera</w:t>
      </w:r>
      <w:r w:rsidR="008805B7">
        <w:rPr>
          <w:rFonts w:ascii="Times New Roman" w:hAnsi="Times New Roman"/>
          <w:color w:val="000000"/>
          <w:sz w:val="24"/>
          <w:szCs w:val="24"/>
        </w:rPr>
        <w:t>ją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informacje identyfikujące podmiot ubiegający się o wypłatę </w:t>
      </w:r>
      <w:r w:rsidR="00A660F6">
        <w:rPr>
          <w:rFonts w:ascii="Times New Roman" w:hAnsi="Times New Roman"/>
          <w:color w:val="000000"/>
          <w:sz w:val="24"/>
          <w:szCs w:val="24"/>
        </w:rPr>
        <w:t>wyrów</w:t>
      </w:r>
      <w:r w:rsidR="002115BF">
        <w:rPr>
          <w:rFonts w:ascii="Times New Roman" w:hAnsi="Times New Roman"/>
          <w:color w:val="000000"/>
          <w:sz w:val="24"/>
          <w:szCs w:val="24"/>
        </w:rPr>
        <w:t>n</w:t>
      </w:r>
      <w:r w:rsidR="00A660F6">
        <w:rPr>
          <w:rFonts w:ascii="Times New Roman" w:hAnsi="Times New Roman"/>
          <w:color w:val="000000"/>
          <w:sz w:val="24"/>
          <w:szCs w:val="24"/>
        </w:rPr>
        <w:t>ania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(oznaczenie podmiotu i jego siedziby, NIP, adres, nr rachunku bankowego) oraz informacje 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>niezbędne do wykonania obliczenia wyrównania</w:t>
      </w:r>
      <w:r w:rsidR="00A660F6">
        <w:rPr>
          <w:rFonts w:ascii="Times New Roman" w:hAnsi="Times New Roman"/>
          <w:color w:val="000000"/>
          <w:sz w:val="24"/>
          <w:szCs w:val="24"/>
        </w:rPr>
        <w:t xml:space="preserve"> (w tym m. in. 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>ilość sprzedanego ciepła ogółem oraz ilość sprzedanego ciepła dla odbiorców, o których mowa w art. 4 ust. 1, w miesięcznym okresie rozliczeniowym</w:t>
      </w:r>
      <w:r w:rsidR="00A660F6">
        <w:t xml:space="preserve"> oraz 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 xml:space="preserve">ilość sprzedanego ciepła dla </w:t>
      </w:r>
      <w:r w:rsidR="00A660F6">
        <w:rPr>
          <w:rFonts w:ascii="Times New Roman" w:hAnsi="Times New Roman"/>
          <w:color w:val="000000"/>
          <w:sz w:val="24"/>
          <w:szCs w:val="24"/>
        </w:rPr>
        <w:t xml:space="preserve">tych 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>odbiorców,</w:t>
      </w:r>
      <w:r w:rsidR="00A66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 xml:space="preserve">w okresie 1 października 2022 r. do dnia </w:t>
      </w:r>
      <w:r w:rsidR="00D466AA">
        <w:rPr>
          <w:rFonts w:ascii="Times New Roman" w:hAnsi="Times New Roman"/>
          <w:color w:val="000000"/>
          <w:sz w:val="24"/>
          <w:szCs w:val="24"/>
        </w:rPr>
        <w:t>28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6AA">
        <w:rPr>
          <w:rFonts w:ascii="Times New Roman" w:hAnsi="Times New Roman"/>
          <w:color w:val="000000"/>
          <w:sz w:val="24"/>
          <w:szCs w:val="24"/>
        </w:rPr>
        <w:t>lutego</w:t>
      </w:r>
      <w:r w:rsidR="00A660F6" w:rsidRPr="00A660F6">
        <w:rPr>
          <w:rFonts w:ascii="Times New Roman" w:hAnsi="Times New Roman"/>
          <w:color w:val="000000"/>
          <w:sz w:val="24"/>
          <w:szCs w:val="24"/>
        </w:rPr>
        <w:t xml:space="preserve"> 2023 r</w:t>
      </w:r>
      <w:r w:rsidR="00A660F6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9F33ED">
        <w:rPr>
          <w:rFonts w:ascii="Times New Roman" w:hAnsi="Times New Roman"/>
          <w:color w:val="000000"/>
          <w:sz w:val="24"/>
          <w:szCs w:val="24"/>
        </w:rPr>
        <w:t>a także wnioskowaną wysokość łączne</w:t>
      </w:r>
      <w:r w:rsidR="00A660F6">
        <w:rPr>
          <w:rFonts w:ascii="Times New Roman" w:hAnsi="Times New Roman"/>
          <w:color w:val="000000"/>
          <w:sz w:val="24"/>
          <w:szCs w:val="24"/>
        </w:rPr>
        <w:t>j kwoty wyrównania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i inne informacje potrzebne do wyliczenia i wypłaty </w:t>
      </w:r>
      <w:r w:rsidR="00A660F6">
        <w:rPr>
          <w:rFonts w:ascii="Times New Roman" w:hAnsi="Times New Roman"/>
          <w:color w:val="000000"/>
          <w:sz w:val="24"/>
          <w:szCs w:val="24"/>
        </w:rPr>
        <w:t>wyrównania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121159F" w14:textId="77777777" w:rsidR="00A660F6" w:rsidRDefault="00A660F6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CC4942" w14:textId="154CF0BC" w:rsidR="009F33ED" w:rsidRPr="009F33ED" w:rsidRDefault="009F33ED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 xml:space="preserve">Projektowane rozporządzenie wchodzi w życie z dniem następującym po dniu ogłoszenia. Krótkie </w:t>
      </w:r>
      <w:r w:rsidR="00BC3F75" w:rsidRPr="00BC3F75">
        <w:rPr>
          <w:rFonts w:ascii="Times New Roman" w:hAnsi="Times New Roman"/>
          <w:i/>
          <w:iCs/>
          <w:color w:val="000000"/>
          <w:sz w:val="24"/>
          <w:szCs w:val="24"/>
        </w:rPr>
        <w:t>vacatio legis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wynika z konieczności natychmiastowego umożliwienia beneficjentom </w:t>
      </w:r>
      <w:r w:rsidR="00A660F6">
        <w:rPr>
          <w:rFonts w:ascii="Times New Roman" w:hAnsi="Times New Roman"/>
          <w:color w:val="000000"/>
          <w:sz w:val="24"/>
          <w:szCs w:val="24"/>
        </w:rPr>
        <w:t>wyrównania</w:t>
      </w:r>
      <w:r w:rsidRPr="009F33ED">
        <w:rPr>
          <w:rFonts w:ascii="Times New Roman" w:hAnsi="Times New Roman"/>
          <w:color w:val="000000"/>
          <w:sz w:val="24"/>
          <w:szCs w:val="24"/>
        </w:rPr>
        <w:t>, Zarządcy Rozliczeń S.A. oraz gminom korzystania z wzoru wniosku o wypłatę i rozliczenie tych</w:t>
      </w:r>
      <w:r w:rsidR="00A660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660F6">
        <w:rPr>
          <w:rFonts w:ascii="Times New Roman" w:hAnsi="Times New Roman"/>
          <w:color w:val="000000"/>
          <w:sz w:val="24"/>
          <w:szCs w:val="24"/>
        </w:rPr>
        <w:t>wyrównań</w:t>
      </w:r>
      <w:proofErr w:type="spellEnd"/>
      <w:r w:rsidRPr="009F33ED">
        <w:rPr>
          <w:rFonts w:ascii="Times New Roman" w:hAnsi="Times New Roman"/>
          <w:color w:val="000000"/>
          <w:sz w:val="24"/>
          <w:szCs w:val="24"/>
        </w:rPr>
        <w:t xml:space="preserve">. Wzory stanowią załącznik do ww. rozporządzenia. Wobec konieczności łagodzenia skutków trwającego obecnie kryzysu energetycznego i gwałtownego wzrostu cen energii i surowców, ponoszonych przez użytkowników ciepła systemowego i odbiorców w gospodarstwach domowych, opracowana regulacja służy realizacji ważnego interesu państwa. Przedsiębiorstwa energetyczne stanowią bowiem istotną część polskiej gospodarki i zarazem zaspokajają podstawowe potrzeby egzystencjalne ludności. Dlatego też skrócenie </w:t>
      </w:r>
      <w:r w:rsidR="00BC3F75" w:rsidRPr="00BC3F75">
        <w:rPr>
          <w:rFonts w:ascii="Times New Roman" w:hAnsi="Times New Roman"/>
          <w:i/>
          <w:iCs/>
          <w:color w:val="000000"/>
          <w:sz w:val="24"/>
          <w:szCs w:val="24"/>
        </w:rPr>
        <w:t>vacatio legis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nie narusza w tym przypadku zasady demokratycznego państwa prawa, określonej w art. 2 Konstytucji</w:t>
      </w:r>
      <w:r w:rsidR="00BC3F75">
        <w:rPr>
          <w:rFonts w:ascii="Times New Roman" w:hAnsi="Times New Roman"/>
          <w:color w:val="000000"/>
          <w:sz w:val="24"/>
          <w:szCs w:val="24"/>
        </w:rPr>
        <w:t xml:space="preserve"> i wywiedzionej z niej zasady ochrony</w:t>
      </w:r>
      <w:r w:rsidR="00A660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F75">
        <w:rPr>
          <w:rFonts w:ascii="Times New Roman" w:hAnsi="Times New Roman"/>
          <w:color w:val="000000"/>
          <w:sz w:val="24"/>
          <w:szCs w:val="24"/>
        </w:rPr>
        <w:t>z</w:t>
      </w:r>
      <w:r w:rsidRPr="009F33ED">
        <w:rPr>
          <w:rFonts w:ascii="Times New Roman" w:hAnsi="Times New Roman"/>
          <w:color w:val="000000"/>
          <w:sz w:val="24"/>
          <w:szCs w:val="24"/>
        </w:rPr>
        <w:t>aufani</w:t>
      </w:r>
      <w:r w:rsidR="00BC3F75">
        <w:rPr>
          <w:rFonts w:ascii="Times New Roman" w:hAnsi="Times New Roman"/>
          <w:color w:val="000000"/>
          <w:sz w:val="24"/>
          <w:szCs w:val="24"/>
        </w:rPr>
        <w:t>a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obywateli do państwa i stanowionego przez nie prawa</w:t>
      </w:r>
      <w:r w:rsidR="00BC3F75">
        <w:rPr>
          <w:rFonts w:ascii="Times New Roman" w:hAnsi="Times New Roman"/>
          <w:color w:val="000000"/>
          <w:sz w:val="24"/>
          <w:szCs w:val="24"/>
        </w:rPr>
        <w:t>. Ponadto zasady te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mo</w:t>
      </w:r>
      <w:r w:rsidR="00BC3F75">
        <w:rPr>
          <w:rFonts w:ascii="Times New Roman" w:hAnsi="Times New Roman"/>
          <w:color w:val="000000"/>
          <w:sz w:val="24"/>
          <w:szCs w:val="24"/>
        </w:rPr>
        <w:t>gą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 realizowane m. in. przez niezwłoczne wprowadzanie regulacji, które pozwalają na stosowanie działań osłonowych przed rosnącymi cenami ciepła przenoszonymi na opłaty za ciepło i obciążające gospodarstwa domowe i podmioty użyteczności publicznej. W związku z tym, aby w możliwie najkrótszym terminie zapewnić narzędzia do przyznania rekompensaty ustanowionej przez regulację ustawową, jest konieczne skrócenie </w:t>
      </w:r>
      <w:r w:rsidR="00BC3F75" w:rsidRPr="00BC3F75">
        <w:rPr>
          <w:rFonts w:ascii="Times New Roman" w:hAnsi="Times New Roman"/>
          <w:i/>
          <w:iCs/>
          <w:color w:val="000000"/>
          <w:sz w:val="24"/>
          <w:szCs w:val="24"/>
        </w:rPr>
        <w:t>vacatio legis</w:t>
      </w:r>
      <w:r w:rsidRPr="009F33ED">
        <w:rPr>
          <w:rFonts w:ascii="Times New Roman" w:hAnsi="Times New Roman"/>
          <w:color w:val="000000"/>
          <w:sz w:val="24"/>
          <w:szCs w:val="24"/>
        </w:rPr>
        <w:t>. Termin ten jest ponadto zgodny z art. 4 ust. 2 ustawy z dnia 20 lipca 2000 r. o ogłaszaniu aktów normatywnych i niektórych innych aktów prawnych (Dz. U. z 2019 r. poz. 1461).</w:t>
      </w:r>
    </w:p>
    <w:p w14:paraId="49233627" w14:textId="65511546" w:rsidR="009F33ED" w:rsidRPr="009F33ED" w:rsidRDefault="009F33ED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 xml:space="preserve">Projekt rozporządzenia nie jest </w:t>
      </w:r>
      <w:r w:rsidR="00BC3F75">
        <w:rPr>
          <w:rFonts w:ascii="Times New Roman" w:hAnsi="Times New Roman"/>
          <w:color w:val="000000"/>
          <w:sz w:val="24"/>
          <w:szCs w:val="24"/>
        </w:rPr>
        <w:t xml:space="preserve">niezgodny z prawem Unii Europejskiej, ponieważ zawarta w nim regulacja ma </w:t>
      </w:r>
      <w:r w:rsidRPr="009F33ED">
        <w:rPr>
          <w:rFonts w:ascii="Times New Roman" w:hAnsi="Times New Roman"/>
          <w:color w:val="000000"/>
          <w:sz w:val="24"/>
          <w:szCs w:val="24"/>
        </w:rPr>
        <w:t xml:space="preserve">charakter </w:t>
      </w:r>
      <w:r w:rsidR="009C1730">
        <w:rPr>
          <w:rFonts w:ascii="Times New Roman" w:hAnsi="Times New Roman"/>
          <w:color w:val="000000"/>
          <w:sz w:val="24"/>
          <w:szCs w:val="24"/>
        </w:rPr>
        <w:t>krajowy</w:t>
      </w:r>
      <w:r w:rsidRPr="009F33ED">
        <w:rPr>
          <w:rFonts w:ascii="Times New Roman" w:hAnsi="Times New Roman"/>
          <w:color w:val="000000"/>
          <w:sz w:val="24"/>
          <w:szCs w:val="24"/>
        </w:rPr>
        <w:t>.</w:t>
      </w:r>
    </w:p>
    <w:p w14:paraId="66E15374" w14:textId="791F5882" w:rsidR="009F33ED" w:rsidRPr="009F33ED" w:rsidRDefault="009F33ED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 xml:space="preserve">Projekt rozporządzenia nie podlega procedurze notyfikacji aktów prawnych, określonej w przepisach rozporządzenia Rady Ministrów z dnia 23 grudnia 2002 r. w sprawie sposobu funkcjonowania krajowego systemu notyfikacji norm i aktów prawnych (Dz. U. poz. 2039, z </w:t>
      </w:r>
      <w:proofErr w:type="spellStart"/>
      <w:r w:rsidRPr="009F33ED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9F33ED">
        <w:rPr>
          <w:rFonts w:ascii="Times New Roman" w:hAnsi="Times New Roman"/>
          <w:color w:val="000000"/>
          <w:sz w:val="24"/>
          <w:szCs w:val="24"/>
        </w:rPr>
        <w:t>. zm.).</w:t>
      </w:r>
      <w:r w:rsidR="00CC5A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D4B6872" w14:textId="77777777" w:rsidR="009F33ED" w:rsidRPr="009F33ED" w:rsidRDefault="009F33ED" w:rsidP="009F33ED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3CB7B9E1" w14:textId="2EDD616B" w:rsidR="009F33ED" w:rsidRDefault="009F33ED" w:rsidP="00C6487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33ED">
        <w:rPr>
          <w:rFonts w:ascii="Times New Roman" w:hAnsi="Times New Roman"/>
          <w:color w:val="000000"/>
          <w:sz w:val="24"/>
          <w:szCs w:val="24"/>
        </w:rPr>
        <w:t xml:space="preserve">Projekt przedmiotowej regulacji, zgodnie z wymogami określonymi w art. 5 ustawy z dnia 7 lipca 2005 o działalności lobbingowej w procesie stosowania prawa (Dz. U. z 2017 r. poz. 248), został udostępniony w Biuletynie Informacji Publicznej na stronie podmiotowej </w:t>
      </w:r>
      <w:r w:rsidRPr="009F33ED">
        <w:rPr>
          <w:rFonts w:ascii="Times New Roman" w:hAnsi="Times New Roman"/>
          <w:color w:val="000000"/>
          <w:sz w:val="24"/>
          <w:szCs w:val="24"/>
        </w:rPr>
        <w:lastRenderedPageBreak/>
        <w:t>Rządowego Centrum Legislacji, w serwisie Rządowy Proces Legislacyjny.</w:t>
      </w:r>
    </w:p>
    <w:sectPr w:rsidR="009F33ED" w:rsidSect="00C136E0">
      <w:footerReference w:type="default" r:id="rId11"/>
      <w:pgSz w:w="11906" w:h="16838"/>
      <w:pgMar w:top="1417" w:right="1417" w:bottom="1417" w:left="1417" w:header="0" w:footer="25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B8C4" w14:textId="77777777" w:rsidR="0079043C" w:rsidRDefault="0079043C" w:rsidP="00C136E0">
      <w:pPr>
        <w:spacing w:after="0" w:line="240" w:lineRule="auto"/>
      </w:pPr>
      <w:r>
        <w:separator/>
      </w:r>
    </w:p>
  </w:endnote>
  <w:endnote w:type="continuationSeparator" w:id="0">
    <w:p w14:paraId="2F64E5F6" w14:textId="77777777" w:rsidR="0079043C" w:rsidRDefault="0079043C" w:rsidP="00C1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295973192"/>
      <w:docPartObj>
        <w:docPartGallery w:val="Page Numbers (Bottom of Page)"/>
        <w:docPartUnique/>
      </w:docPartObj>
    </w:sdtPr>
    <w:sdtContent>
      <w:p w14:paraId="603B7C2C" w14:textId="3DE5BBAF" w:rsidR="00C136E0" w:rsidRPr="00C136E0" w:rsidRDefault="00C136E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3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36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3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30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13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E5CBAB" w14:textId="77777777" w:rsidR="00C136E0" w:rsidRPr="00C136E0" w:rsidRDefault="00C136E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CED9" w14:textId="77777777" w:rsidR="0079043C" w:rsidRDefault="0079043C" w:rsidP="00C136E0">
      <w:pPr>
        <w:spacing w:after="0" w:line="240" w:lineRule="auto"/>
      </w:pPr>
      <w:r>
        <w:separator/>
      </w:r>
    </w:p>
  </w:footnote>
  <w:footnote w:type="continuationSeparator" w:id="0">
    <w:p w14:paraId="0B5C8147" w14:textId="77777777" w:rsidR="0079043C" w:rsidRDefault="0079043C" w:rsidP="00C1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57"/>
    <w:multiLevelType w:val="multilevel"/>
    <w:tmpl w:val="A05EC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47F6E"/>
    <w:multiLevelType w:val="hybridMultilevel"/>
    <w:tmpl w:val="2938CECE"/>
    <w:lvl w:ilvl="0" w:tplc="7E7E28E4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52014"/>
    <w:multiLevelType w:val="hybridMultilevel"/>
    <w:tmpl w:val="AD46D1B6"/>
    <w:lvl w:ilvl="0" w:tplc="17740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522"/>
    <w:multiLevelType w:val="multilevel"/>
    <w:tmpl w:val="78C0DA2E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4" w15:restartNumberingAfterBreak="0">
    <w:nsid w:val="30700803"/>
    <w:multiLevelType w:val="hybridMultilevel"/>
    <w:tmpl w:val="BE4AC0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E12B68"/>
    <w:multiLevelType w:val="hybridMultilevel"/>
    <w:tmpl w:val="B3204062"/>
    <w:lvl w:ilvl="0" w:tplc="0DCA7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E9530B"/>
    <w:multiLevelType w:val="hybridMultilevel"/>
    <w:tmpl w:val="2884B446"/>
    <w:lvl w:ilvl="0" w:tplc="0D0E2F5C">
      <w:start w:val="1"/>
      <w:numFmt w:val="decimal"/>
      <w:lvlText w:val="%1)"/>
      <w:lvlJc w:val="left"/>
      <w:pPr>
        <w:ind w:left="147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6A30F0C"/>
    <w:multiLevelType w:val="hybridMultilevel"/>
    <w:tmpl w:val="37DC3C46"/>
    <w:lvl w:ilvl="0" w:tplc="08982510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5453A"/>
    <w:multiLevelType w:val="hybridMultilevel"/>
    <w:tmpl w:val="A22E57F4"/>
    <w:lvl w:ilvl="0" w:tplc="584852D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1205"/>
    <w:multiLevelType w:val="hybridMultilevel"/>
    <w:tmpl w:val="0014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4F62"/>
    <w:multiLevelType w:val="multilevel"/>
    <w:tmpl w:val="F226336C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1" w15:restartNumberingAfterBreak="0">
    <w:nsid w:val="59EB63F8"/>
    <w:multiLevelType w:val="hybridMultilevel"/>
    <w:tmpl w:val="FB4C4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64E3"/>
    <w:multiLevelType w:val="hybridMultilevel"/>
    <w:tmpl w:val="64EAE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879CA"/>
    <w:multiLevelType w:val="hybridMultilevel"/>
    <w:tmpl w:val="219A60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311E05"/>
    <w:multiLevelType w:val="hybridMultilevel"/>
    <w:tmpl w:val="AB789D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F391AED"/>
    <w:multiLevelType w:val="hybridMultilevel"/>
    <w:tmpl w:val="385A548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7AC82AAE"/>
    <w:multiLevelType w:val="hybridMultilevel"/>
    <w:tmpl w:val="63B6D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83029693">
    <w:abstractNumId w:val="3"/>
  </w:num>
  <w:num w:numId="2" w16cid:durableId="2101363145">
    <w:abstractNumId w:val="0"/>
  </w:num>
  <w:num w:numId="3" w16cid:durableId="1920629853">
    <w:abstractNumId w:val="10"/>
  </w:num>
  <w:num w:numId="4" w16cid:durableId="1139610937">
    <w:abstractNumId w:val="2"/>
  </w:num>
  <w:num w:numId="5" w16cid:durableId="239490879">
    <w:abstractNumId w:val="13"/>
  </w:num>
  <w:num w:numId="6" w16cid:durableId="1269777419">
    <w:abstractNumId w:val="5"/>
  </w:num>
  <w:num w:numId="7" w16cid:durableId="1910265361">
    <w:abstractNumId w:val="11"/>
  </w:num>
  <w:num w:numId="8" w16cid:durableId="1925332305">
    <w:abstractNumId w:val="9"/>
  </w:num>
  <w:num w:numId="9" w16cid:durableId="329796742">
    <w:abstractNumId w:val="8"/>
  </w:num>
  <w:num w:numId="10" w16cid:durableId="30303644">
    <w:abstractNumId w:val="12"/>
  </w:num>
  <w:num w:numId="11" w16cid:durableId="333801992">
    <w:abstractNumId w:val="7"/>
  </w:num>
  <w:num w:numId="12" w16cid:durableId="2021421067">
    <w:abstractNumId w:val="14"/>
  </w:num>
  <w:num w:numId="13" w16cid:durableId="1817722378">
    <w:abstractNumId w:val="1"/>
  </w:num>
  <w:num w:numId="14" w16cid:durableId="1665235195">
    <w:abstractNumId w:val="15"/>
  </w:num>
  <w:num w:numId="15" w16cid:durableId="1435051074">
    <w:abstractNumId w:val="6"/>
  </w:num>
  <w:num w:numId="16" w16cid:durableId="714886572">
    <w:abstractNumId w:val="16"/>
  </w:num>
  <w:num w:numId="17" w16cid:durableId="214508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34"/>
    <w:rsid w:val="000056C1"/>
    <w:rsid w:val="00013006"/>
    <w:rsid w:val="000134F1"/>
    <w:rsid w:val="00021A33"/>
    <w:rsid w:val="00024632"/>
    <w:rsid w:val="0002470D"/>
    <w:rsid w:val="00027D1B"/>
    <w:rsid w:val="000415B0"/>
    <w:rsid w:val="00063C8C"/>
    <w:rsid w:val="00074646"/>
    <w:rsid w:val="00076526"/>
    <w:rsid w:val="000943F3"/>
    <w:rsid w:val="00096942"/>
    <w:rsid w:val="000A0C05"/>
    <w:rsid w:val="000A7100"/>
    <w:rsid w:val="000B4B22"/>
    <w:rsid w:val="000C739F"/>
    <w:rsid w:val="000D30C8"/>
    <w:rsid w:val="000D5268"/>
    <w:rsid w:val="000D5AEE"/>
    <w:rsid w:val="000E3D44"/>
    <w:rsid w:val="000E4D24"/>
    <w:rsid w:val="000E4FC2"/>
    <w:rsid w:val="000E66B4"/>
    <w:rsid w:val="000E7252"/>
    <w:rsid w:val="000F3977"/>
    <w:rsid w:val="000F403F"/>
    <w:rsid w:val="000F59EE"/>
    <w:rsid w:val="000F6D99"/>
    <w:rsid w:val="00107F81"/>
    <w:rsid w:val="00115C9B"/>
    <w:rsid w:val="00120D07"/>
    <w:rsid w:val="00121065"/>
    <w:rsid w:val="00125609"/>
    <w:rsid w:val="00144D50"/>
    <w:rsid w:val="001450E3"/>
    <w:rsid w:val="00152CD1"/>
    <w:rsid w:val="0015568C"/>
    <w:rsid w:val="0015612D"/>
    <w:rsid w:val="00163488"/>
    <w:rsid w:val="00177435"/>
    <w:rsid w:val="00191FD1"/>
    <w:rsid w:val="00196943"/>
    <w:rsid w:val="00197110"/>
    <w:rsid w:val="001B4CDE"/>
    <w:rsid w:val="001B559C"/>
    <w:rsid w:val="001B5A17"/>
    <w:rsid w:val="001C2015"/>
    <w:rsid w:val="001E2897"/>
    <w:rsid w:val="001E3DD9"/>
    <w:rsid w:val="001F727E"/>
    <w:rsid w:val="002115BF"/>
    <w:rsid w:val="0021577B"/>
    <w:rsid w:val="00230550"/>
    <w:rsid w:val="002318B6"/>
    <w:rsid w:val="0023262C"/>
    <w:rsid w:val="0024216E"/>
    <w:rsid w:val="00255F62"/>
    <w:rsid w:val="00257D74"/>
    <w:rsid w:val="00267E1C"/>
    <w:rsid w:val="00270FC1"/>
    <w:rsid w:val="0029056E"/>
    <w:rsid w:val="0029174F"/>
    <w:rsid w:val="00293DF2"/>
    <w:rsid w:val="002A0D22"/>
    <w:rsid w:val="002A3AD5"/>
    <w:rsid w:val="002A6294"/>
    <w:rsid w:val="002A7BC4"/>
    <w:rsid w:val="002B0160"/>
    <w:rsid w:val="002B0C75"/>
    <w:rsid w:val="002C2D0D"/>
    <w:rsid w:val="002C6D97"/>
    <w:rsid w:val="002D24B8"/>
    <w:rsid w:val="002D403B"/>
    <w:rsid w:val="002D4C15"/>
    <w:rsid w:val="002F3E65"/>
    <w:rsid w:val="00302275"/>
    <w:rsid w:val="0031003D"/>
    <w:rsid w:val="00310255"/>
    <w:rsid w:val="003139F6"/>
    <w:rsid w:val="00315558"/>
    <w:rsid w:val="00320353"/>
    <w:rsid w:val="00323495"/>
    <w:rsid w:val="003251F6"/>
    <w:rsid w:val="003413FA"/>
    <w:rsid w:val="00342249"/>
    <w:rsid w:val="00350FA0"/>
    <w:rsid w:val="00360372"/>
    <w:rsid w:val="003830E8"/>
    <w:rsid w:val="003834EE"/>
    <w:rsid w:val="0038542A"/>
    <w:rsid w:val="00387FD2"/>
    <w:rsid w:val="00390611"/>
    <w:rsid w:val="00391D4D"/>
    <w:rsid w:val="00393B2C"/>
    <w:rsid w:val="003A02F3"/>
    <w:rsid w:val="003B070D"/>
    <w:rsid w:val="003C7D1F"/>
    <w:rsid w:val="003D1895"/>
    <w:rsid w:val="003D4BE4"/>
    <w:rsid w:val="003E4A8C"/>
    <w:rsid w:val="003F0213"/>
    <w:rsid w:val="003F27F9"/>
    <w:rsid w:val="00422ADE"/>
    <w:rsid w:val="004258D9"/>
    <w:rsid w:val="004313E5"/>
    <w:rsid w:val="00432CC5"/>
    <w:rsid w:val="00432E69"/>
    <w:rsid w:val="0043358F"/>
    <w:rsid w:val="0043773C"/>
    <w:rsid w:val="004448E7"/>
    <w:rsid w:val="00451B8E"/>
    <w:rsid w:val="00455856"/>
    <w:rsid w:val="00455946"/>
    <w:rsid w:val="00461AC5"/>
    <w:rsid w:val="004824BA"/>
    <w:rsid w:val="00483A89"/>
    <w:rsid w:val="004846D7"/>
    <w:rsid w:val="004C08FB"/>
    <w:rsid w:val="004D1BF1"/>
    <w:rsid w:val="004D2A5E"/>
    <w:rsid w:val="004D4B97"/>
    <w:rsid w:val="004D5B9B"/>
    <w:rsid w:val="004E35B1"/>
    <w:rsid w:val="004E36FC"/>
    <w:rsid w:val="004E74CC"/>
    <w:rsid w:val="004F7C5D"/>
    <w:rsid w:val="005207D6"/>
    <w:rsid w:val="005309D5"/>
    <w:rsid w:val="00530AA8"/>
    <w:rsid w:val="00540EB0"/>
    <w:rsid w:val="005451DA"/>
    <w:rsid w:val="005545CE"/>
    <w:rsid w:val="00557FE2"/>
    <w:rsid w:val="00565C66"/>
    <w:rsid w:val="00567A9E"/>
    <w:rsid w:val="00577302"/>
    <w:rsid w:val="00590ABB"/>
    <w:rsid w:val="005A4ED5"/>
    <w:rsid w:val="005A581F"/>
    <w:rsid w:val="005B3273"/>
    <w:rsid w:val="005B7381"/>
    <w:rsid w:val="005C2174"/>
    <w:rsid w:val="005C52CE"/>
    <w:rsid w:val="005D2A27"/>
    <w:rsid w:val="005E40E5"/>
    <w:rsid w:val="005E6D34"/>
    <w:rsid w:val="005E759B"/>
    <w:rsid w:val="00606332"/>
    <w:rsid w:val="00616359"/>
    <w:rsid w:val="006231A8"/>
    <w:rsid w:val="006253DA"/>
    <w:rsid w:val="00627118"/>
    <w:rsid w:val="00630DBA"/>
    <w:rsid w:val="00635CFB"/>
    <w:rsid w:val="00641B85"/>
    <w:rsid w:val="00647DDD"/>
    <w:rsid w:val="00650B29"/>
    <w:rsid w:val="00653343"/>
    <w:rsid w:val="00653500"/>
    <w:rsid w:val="00657A41"/>
    <w:rsid w:val="00657E41"/>
    <w:rsid w:val="00660ED4"/>
    <w:rsid w:val="00674AE2"/>
    <w:rsid w:val="0068594D"/>
    <w:rsid w:val="00687E30"/>
    <w:rsid w:val="006A213A"/>
    <w:rsid w:val="006C1DDD"/>
    <w:rsid w:val="006C7BE3"/>
    <w:rsid w:val="006D24E0"/>
    <w:rsid w:val="006F1CFD"/>
    <w:rsid w:val="006F39BD"/>
    <w:rsid w:val="00707136"/>
    <w:rsid w:val="007142D7"/>
    <w:rsid w:val="00724618"/>
    <w:rsid w:val="0074713E"/>
    <w:rsid w:val="00753AC6"/>
    <w:rsid w:val="007725D7"/>
    <w:rsid w:val="00781924"/>
    <w:rsid w:val="007830FB"/>
    <w:rsid w:val="00785220"/>
    <w:rsid w:val="0079043C"/>
    <w:rsid w:val="007C51FA"/>
    <w:rsid w:val="007C618F"/>
    <w:rsid w:val="007D23A6"/>
    <w:rsid w:val="007D2C74"/>
    <w:rsid w:val="007D68D9"/>
    <w:rsid w:val="007E2FCD"/>
    <w:rsid w:val="007F766C"/>
    <w:rsid w:val="0081620A"/>
    <w:rsid w:val="008238F3"/>
    <w:rsid w:val="00832387"/>
    <w:rsid w:val="00832F11"/>
    <w:rsid w:val="008371C8"/>
    <w:rsid w:val="008565FA"/>
    <w:rsid w:val="00861EC5"/>
    <w:rsid w:val="00867FB1"/>
    <w:rsid w:val="00871AF4"/>
    <w:rsid w:val="008805B7"/>
    <w:rsid w:val="008C7700"/>
    <w:rsid w:val="008E0CC3"/>
    <w:rsid w:val="008E40C1"/>
    <w:rsid w:val="008E4B44"/>
    <w:rsid w:val="008F1688"/>
    <w:rsid w:val="0092345B"/>
    <w:rsid w:val="00936B73"/>
    <w:rsid w:val="00942E2F"/>
    <w:rsid w:val="00950E56"/>
    <w:rsid w:val="009603E2"/>
    <w:rsid w:val="00965FEB"/>
    <w:rsid w:val="00967D85"/>
    <w:rsid w:val="00970857"/>
    <w:rsid w:val="00971FF4"/>
    <w:rsid w:val="009777BD"/>
    <w:rsid w:val="00980838"/>
    <w:rsid w:val="00982DAC"/>
    <w:rsid w:val="00985176"/>
    <w:rsid w:val="009876A3"/>
    <w:rsid w:val="0099106F"/>
    <w:rsid w:val="00993AD6"/>
    <w:rsid w:val="0099537E"/>
    <w:rsid w:val="009A0B31"/>
    <w:rsid w:val="009C1730"/>
    <w:rsid w:val="009C20A8"/>
    <w:rsid w:val="009D0E41"/>
    <w:rsid w:val="009E4E0B"/>
    <w:rsid w:val="009E5413"/>
    <w:rsid w:val="009F33ED"/>
    <w:rsid w:val="009F50DA"/>
    <w:rsid w:val="009F6D3C"/>
    <w:rsid w:val="00A0200E"/>
    <w:rsid w:val="00A13820"/>
    <w:rsid w:val="00A3245E"/>
    <w:rsid w:val="00A37605"/>
    <w:rsid w:val="00A43C88"/>
    <w:rsid w:val="00A53712"/>
    <w:rsid w:val="00A643AC"/>
    <w:rsid w:val="00A653AC"/>
    <w:rsid w:val="00A660F6"/>
    <w:rsid w:val="00A70A12"/>
    <w:rsid w:val="00A81A47"/>
    <w:rsid w:val="00A90C78"/>
    <w:rsid w:val="00A95044"/>
    <w:rsid w:val="00A961FA"/>
    <w:rsid w:val="00A9635B"/>
    <w:rsid w:val="00AA1DAF"/>
    <w:rsid w:val="00AA2052"/>
    <w:rsid w:val="00AA47D1"/>
    <w:rsid w:val="00AB19C1"/>
    <w:rsid w:val="00AB668C"/>
    <w:rsid w:val="00AB7E7D"/>
    <w:rsid w:val="00AC3943"/>
    <w:rsid w:val="00AD591D"/>
    <w:rsid w:val="00AE3E28"/>
    <w:rsid w:val="00AF70A7"/>
    <w:rsid w:val="00B02773"/>
    <w:rsid w:val="00B1563D"/>
    <w:rsid w:val="00B16259"/>
    <w:rsid w:val="00B1755E"/>
    <w:rsid w:val="00B34621"/>
    <w:rsid w:val="00B42825"/>
    <w:rsid w:val="00B45842"/>
    <w:rsid w:val="00B50850"/>
    <w:rsid w:val="00B552D7"/>
    <w:rsid w:val="00B67378"/>
    <w:rsid w:val="00B7056A"/>
    <w:rsid w:val="00B7130C"/>
    <w:rsid w:val="00B760CB"/>
    <w:rsid w:val="00B767C0"/>
    <w:rsid w:val="00B90B3F"/>
    <w:rsid w:val="00BA2E99"/>
    <w:rsid w:val="00BA47E2"/>
    <w:rsid w:val="00BA6B6D"/>
    <w:rsid w:val="00BA74E9"/>
    <w:rsid w:val="00BB6F83"/>
    <w:rsid w:val="00BC03D2"/>
    <w:rsid w:val="00BC3F75"/>
    <w:rsid w:val="00BD34F1"/>
    <w:rsid w:val="00BE6413"/>
    <w:rsid w:val="00BF6696"/>
    <w:rsid w:val="00C00496"/>
    <w:rsid w:val="00C01DFD"/>
    <w:rsid w:val="00C07ABB"/>
    <w:rsid w:val="00C136E0"/>
    <w:rsid w:val="00C1760F"/>
    <w:rsid w:val="00C21F70"/>
    <w:rsid w:val="00C26B7F"/>
    <w:rsid w:val="00C35A20"/>
    <w:rsid w:val="00C35E95"/>
    <w:rsid w:val="00C55F53"/>
    <w:rsid w:val="00C57E1C"/>
    <w:rsid w:val="00C64875"/>
    <w:rsid w:val="00C660E8"/>
    <w:rsid w:val="00C71427"/>
    <w:rsid w:val="00C761BC"/>
    <w:rsid w:val="00C96BDD"/>
    <w:rsid w:val="00CA4646"/>
    <w:rsid w:val="00CA72AE"/>
    <w:rsid w:val="00CB7201"/>
    <w:rsid w:val="00CC30A5"/>
    <w:rsid w:val="00CC5AC4"/>
    <w:rsid w:val="00CD1DB9"/>
    <w:rsid w:val="00CD7F81"/>
    <w:rsid w:val="00CE4100"/>
    <w:rsid w:val="00CE4C02"/>
    <w:rsid w:val="00CE55A6"/>
    <w:rsid w:val="00CF4D70"/>
    <w:rsid w:val="00CF6BAC"/>
    <w:rsid w:val="00D104DA"/>
    <w:rsid w:val="00D30FB7"/>
    <w:rsid w:val="00D31C9E"/>
    <w:rsid w:val="00D31D31"/>
    <w:rsid w:val="00D375D7"/>
    <w:rsid w:val="00D43DAF"/>
    <w:rsid w:val="00D466AA"/>
    <w:rsid w:val="00D47FDD"/>
    <w:rsid w:val="00D56F0D"/>
    <w:rsid w:val="00D73C1F"/>
    <w:rsid w:val="00D7563C"/>
    <w:rsid w:val="00D8382D"/>
    <w:rsid w:val="00D87B8C"/>
    <w:rsid w:val="00D92FE2"/>
    <w:rsid w:val="00D975E1"/>
    <w:rsid w:val="00DA7C38"/>
    <w:rsid w:val="00DB2557"/>
    <w:rsid w:val="00DB435D"/>
    <w:rsid w:val="00DB6BC1"/>
    <w:rsid w:val="00DC2BB5"/>
    <w:rsid w:val="00DC57F7"/>
    <w:rsid w:val="00DD36FE"/>
    <w:rsid w:val="00DD5E18"/>
    <w:rsid w:val="00DF5C69"/>
    <w:rsid w:val="00E05EDD"/>
    <w:rsid w:val="00E10BF3"/>
    <w:rsid w:val="00E1241F"/>
    <w:rsid w:val="00E2051D"/>
    <w:rsid w:val="00E23C41"/>
    <w:rsid w:val="00E3103D"/>
    <w:rsid w:val="00E33DE1"/>
    <w:rsid w:val="00E51F3C"/>
    <w:rsid w:val="00E63B34"/>
    <w:rsid w:val="00E80C93"/>
    <w:rsid w:val="00E84387"/>
    <w:rsid w:val="00E9141F"/>
    <w:rsid w:val="00E92578"/>
    <w:rsid w:val="00E93D99"/>
    <w:rsid w:val="00EA2C6E"/>
    <w:rsid w:val="00EA48F7"/>
    <w:rsid w:val="00EB38E7"/>
    <w:rsid w:val="00EB6230"/>
    <w:rsid w:val="00EC0F58"/>
    <w:rsid w:val="00EC76E3"/>
    <w:rsid w:val="00EE2910"/>
    <w:rsid w:val="00EE4291"/>
    <w:rsid w:val="00EF30F8"/>
    <w:rsid w:val="00EF3A7F"/>
    <w:rsid w:val="00EF594E"/>
    <w:rsid w:val="00EF7AD6"/>
    <w:rsid w:val="00F03174"/>
    <w:rsid w:val="00F06E3C"/>
    <w:rsid w:val="00F1437B"/>
    <w:rsid w:val="00F15C51"/>
    <w:rsid w:val="00F30648"/>
    <w:rsid w:val="00F3494B"/>
    <w:rsid w:val="00F36B67"/>
    <w:rsid w:val="00F37377"/>
    <w:rsid w:val="00F50CD3"/>
    <w:rsid w:val="00F626A2"/>
    <w:rsid w:val="00F73730"/>
    <w:rsid w:val="00F75CFD"/>
    <w:rsid w:val="00F94326"/>
    <w:rsid w:val="00F95F2A"/>
    <w:rsid w:val="00FA0F39"/>
    <w:rsid w:val="00FA2E78"/>
    <w:rsid w:val="00FB2DFB"/>
    <w:rsid w:val="00FB5B46"/>
    <w:rsid w:val="00FC071E"/>
    <w:rsid w:val="00FD3449"/>
    <w:rsid w:val="00FD4C11"/>
    <w:rsid w:val="00FE3CAF"/>
    <w:rsid w:val="00FE46D5"/>
    <w:rsid w:val="00FE51C9"/>
    <w:rsid w:val="00FF4F5C"/>
    <w:rsid w:val="00FF78C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1916B"/>
  <w15:docId w15:val="{13B565C2-4097-4F28-91C1-2CADF4B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1FA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BB54F4"/>
  </w:style>
  <w:style w:type="character" w:styleId="Odwoaniedokomentarza">
    <w:name w:val="annotation reference"/>
    <w:basedOn w:val="Domylnaczcionkaakapitu"/>
    <w:unhideWhenUsed/>
    <w:qFormat/>
    <w:rsid w:val="00BB54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B54F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54F4"/>
    <w:rPr>
      <w:b/>
      <w:bCs/>
      <w:sz w:val="20"/>
      <w:szCs w:val="20"/>
    </w:rPr>
  </w:style>
  <w:style w:type="character" w:customStyle="1" w:styleId="Ppogrubienie">
    <w:name w:val="_P_ – pogrubienie"/>
    <w:basedOn w:val="Domylnaczcionkaakapitu"/>
    <w:uiPriority w:val="99"/>
    <w:qFormat/>
    <w:rsid w:val="00877AA9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3113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3113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C50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C50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56ACB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11F11"/>
  </w:style>
  <w:style w:type="character" w:customStyle="1" w:styleId="StopkaZnak">
    <w:name w:val="Stopka Znak"/>
    <w:basedOn w:val="Domylnaczcionkaakapitu"/>
    <w:link w:val="Stopka"/>
    <w:uiPriority w:val="99"/>
    <w:qFormat/>
    <w:rsid w:val="00811F11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811F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1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867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BB54F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54F4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FD49B9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A094D"/>
    <w:pPr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44A49"/>
    <w:pPr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C378B3"/>
    <w:pPr>
      <w:widowControl w:val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C44EF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C44EF"/>
    <w:pPr>
      <w:spacing w:before="0"/>
      <w:ind w:left="510"/>
    </w:pPr>
  </w:style>
  <w:style w:type="paragraph" w:customStyle="1" w:styleId="ZLITUSTzmustliter">
    <w:name w:val="Z_LIT/UST(§) – zm. ust. (§) literą"/>
    <w:basedOn w:val="Normalny"/>
    <w:uiPriority w:val="46"/>
    <w:qFormat/>
    <w:rsid w:val="00877AA9"/>
    <w:pPr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13F"/>
    <w:pPr>
      <w:spacing w:after="0" w:line="240" w:lineRule="auto"/>
    </w:pPr>
    <w:rPr>
      <w:sz w:val="20"/>
      <w:szCs w:val="20"/>
    </w:rPr>
  </w:style>
  <w:style w:type="paragraph" w:customStyle="1" w:styleId="PKTpunkt">
    <w:name w:val="PKT – punkt"/>
    <w:uiPriority w:val="13"/>
    <w:qFormat/>
    <w:rsid w:val="00A524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524F8"/>
    <w:pPr>
      <w:ind w:left="986" w:hanging="476"/>
    </w:pPr>
  </w:style>
  <w:style w:type="paragraph" w:styleId="Poprawka">
    <w:name w:val="Revision"/>
    <w:uiPriority w:val="99"/>
    <w:semiHidden/>
    <w:qFormat/>
    <w:rsid w:val="003C223D"/>
  </w:style>
  <w:style w:type="paragraph" w:styleId="NormalnyWeb">
    <w:name w:val="Normal (Web)"/>
    <w:basedOn w:val="Normalny"/>
    <w:uiPriority w:val="99"/>
    <w:semiHidden/>
    <w:unhideWhenUsed/>
    <w:qFormat/>
    <w:rsid w:val="00944D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52377"/>
    <w:pPr>
      <w:spacing w:before="0"/>
    </w:pPr>
    <w:rPr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950E56"/>
    <w:pPr>
      <w:keepNext/>
      <w:spacing w:before="12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A2073-698F-4A46-9B9B-22258A99D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275AC-10A4-459E-B1F5-579927BE5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FCED4-4AF6-4D31-8E35-B92EC802C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65751-0CDB-4340-A4D6-81F95A6E5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ŁĘSKI Michał</dc:creator>
  <cp:keywords/>
  <dc:description/>
  <cp:lastModifiedBy>Banaszak Wojciech</cp:lastModifiedBy>
  <cp:revision>8</cp:revision>
  <dcterms:created xsi:type="dcterms:W3CDTF">2023-02-15T09:21:00Z</dcterms:created>
  <dcterms:modified xsi:type="dcterms:W3CDTF">2023-02-17T13:51:00Z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