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9B7C" w14:textId="77777777" w:rsidR="00DC35C0" w:rsidRPr="000019BD" w:rsidRDefault="00DC35C0" w:rsidP="000019BD">
      <w:pPr>
        <w:autoSpaceDE w:val="0"/>
        <w:autoSpaceDN w:val="0"/>
        <w:adjustRightInd w:val="0"/>
        <w:spacing w:before="0" w:line="360" w:lineRule="auto"/>
        <w:ind w:left="0" w:firstLine="42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0019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UZASADNIENIE</w:t>
      </w:r>
    </w:p>
    <w:p w14:paraId="32A5D710" w14:textId="77777777" w:rsidR="0049207E" w:rsidRPr="000019BD" w:rsidRDefault="0049207E" w:rsidP="0049207E">
      <w:pPr>
        <w:spacing w:before="0" w:line="360" w:lineRule="auto"/>
        <w:ind w:left="0" w:firstLine="426"/>
        <w:jc w:val="left"/>
        <w:rPr>
          <w:color w:val="000000" w:themeColor="text1"/>
          <w:sz w:val="24"/>
          <w:szCs w:val="24"/>
        </w:rPr>
      </w:pPr>
    </w:p>
    <w:p w14:paraId="1F3853AF" w14:textId="7E2D1829" w:rsidR="00E87641" w:rsidRPr="000019BD" w:rsidRDefault="00E87641" w:rsidP="0025785B">
      <w:pPr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Konieczność wydania rozporządzenia </w:t>
      </w:r>
      <w:r w:rsidR="00E35AC1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związana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z nowelizacją podstawy prawnej jego wydania, to jest art. 34 ust. 9 ustawy z dnia 27 sierpnia 1997 r. o rehabilitacji zawodowej i społecznej oraz zatrudnianiu osób </w:t>
      </w:r>
      <w:r w:rsidR="00D94C08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niepełnosprawnych </w:t>
      </w:r>
      <w:r w:rsidR="00DA26C6" w:rsidRPr="00DA26C6">
        <w:rPr>
          <w:rFonts w:ascii="Times New Roman" w:hAnsi="Times New Roman" w:cs="Times New Roman"/>
          <w:color w:val="000000" w:themeColor="text1"/>
          <w:sz w:val="24"/>
          <w:szCs w:val="24"/>
        </w:rPr>
        <w:t>(Dz. U. z 202</w:t>
      </w:r>
      <w:r w:rsidR="0051149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A26C6" w:rsidRPr="00DA2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</w:t>
      </w:r>
      <w:r w:rsidR="00511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  <w:r w:rsidR="004950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55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F4084E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4084E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DA26C6" w:rsidRPr="00DA26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94C08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, zwanej dalej „ustawą o rehabilitacji”.</w:t>
      </w:r>
    </w:p>
    <w:p w14:paraId="4EEF365E" w14:textId="30CB2E76" w:rsidR="00DD443C" w:rsidRPr="000019BD" w:rsidRDefault="00D94C08" w:rsidP="0025785B">
      <w:pPr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wskazana nowelizacja </w:t>
      </w:r>
      <w:r w:rsidR="00E35AC1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została dokonana ustawą </w:t>
      </w:r>
      <w:r w:rsidR="00DD443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z dnia 24 lutego 2022 r. o zmianie ustawy o podatku dochodowym od osób fizycznych, ustawy o rehabilitacji zawodowej i społecznej oraz zatrudnianiu osób niepełnosprawnych oraz</w:t>
      </w:r>
      <w:r w:rsidR="00B11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43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ustawy o podatku od wydobycia niektórych ko</w:t>
      </w:r>
      <w:r w:rsidR="00E35AC1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palin (Dz. U. poz. 558) </w:t>
      </w:r>
      <w:r w:rsidR="009A259B">
        <w:rPr>
          <w:rFonts w:ascii="Times New Roman" w:hAnsi="Times New Roman" w:cs="Times New Roman"/>
          <w:color w:val="000000" w:themeColor="text1"/>
          <w:sz w:val="24"/>
          <w:szCs w:val="24"/>
        </w:rPr>
        <w:t>(dalej: ustawa zmieniająca)</w:t>
      </w:r>
      <w:r w:rsidR="00DD443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058D2A" w14:textId="7564E199" w:rsidR="00112F07" w:rsidRPr="000019BD" w:rsidRDefault="00DD443C" w:rsidP="0025785B">
      <w:pPr>
        <w:autoSpaceDE w:val="0"/>
        <w:autoSpaceDN w:val="0"/>
        <w:adjustRightInd w:val="0"/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</w:t>
      </w:r>
      <w:r w:rsidR="00FF7742" w:rsidRPr="0000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nowo wprowadzonym ustawą zmieniającą</w:t>
      </w:r>
      <w:r w:rsidR="005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przepisie</w:t>
      </w:r>
      <w:r w:rsidR="00FF7742" w:rsidRPr="0000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33b ust. </w:t>
      </w:r>
      <w:r w:rsidR="00A15E70" w:rsidRPr="0000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ustawy o rehabilitacji określono</w:t>
      </w:r>
      <w:r w:rsidR="00A15E70" w:rsidRPr="0000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że Prezes Zarządu Państwowego Funduszu Rehabilitacji Osób Niepełnosprawnych może przeprowadzać kontrole dysponenta funduszu rehabilitacji lub zakładowego funduszu aktywności, który otrzymał środki</w:t>
      </w:r>
      <w:r w:rsidR="0028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12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tego funduszu z przeznaczeniem na finansowanie rehabilitacji leczniczej, zawodowej i społecznej </w:t>
      </w:r>
      <w:r w:rsidR="00A15E70" w:rsidRPr="0000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zakresie prawidłowości realizacji przepisów</w:t>
      </w:r>
      <w:r w:rsidR="002233DE" w:rsidRPr="0000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ustawy</w:t>
      </w:r>
      <w:r w:rsidR="00A15E70" w:rsidRPr="0000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Powyższa zmiana ma wpływ na przepis upoważniający do wydania</w:t>
      </w:r>
      <w:r w:rsidR="009A2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niniejszego</w:t>
      </w:r>
      <w:r w:rsidR="005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rozporządzenia</w:t>
      </w:r>
      <w:r w:rsidR="009A25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5987D32" w14:textId="3E05FAB9" w:rsidR="009A259B" w:rsidRDefault="00D76389" w:rsidP="00702E07">
      <w:pPr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Wobec powyższego</w:t>
      </w:r>
      <w:r w:rsidR="004C6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mocy ustawy zmieniającej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uzupełnion</w:t>
      </w:r>
      <w:r w:rsidR="00F4084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</w:t>
      </w:r>
      <w:r w:rsidR="00F4084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także </w:t>
      </w:r>
      <w:r w:rsidR="00F4084E">
        <w:rPr>
          <w:rFonts w:ascii="Times New Roman" w:hAnsi="Times New Roman" w:cs="Times New Roman"/>
          <w:color w:val="000000" w:themeColor="text1"/>
          <w:sz w:val="24"/>
          <w:szCs w:val="24"/>
        </w:rPr>
        <w:t>upoważnienie</w:t>
      </w:r>
      <w:r w:rsidR="00F4084E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ustawow</w:t>
      </w:r>
      <w:r w:rsidR="00F4084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="00F4084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inistra właściwego do spraw zabezpieczenia społecznego do ustalenia w drodze rozporządzenia trybu i sposobu przeprowadzania kontroli przez organy upoważnione do kontroli na podstawie przepisów</w:t>
      </w:r>
      <w:r w:rsidR="00551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stawy</w:t>
      </w:r>
      <w:r w:rsidR="00551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rehabilitacji</w:t>
      </w:r>
      <w:r w:rsidR="005513E3">
        <w:rPr>
          <w:rFonts w:ascii="Times New Roman" w:hAnsi="Times New Roman" w:cs="Times New Roman"/>
          <w:color w:val="000000" w:themeColor="text1"/>
          <w:sz w:val="24"/>
          <w:szCs w:val="24"/>
        </w:rPr>
        <w:t>, zamieszczon</w:t>
      </w:r>
      <w:r w:rsidR="00F4084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51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przepisie art. 34 ust. 9</w:t>
      </w:r>
      <w:r w:rsidR="009A259B">
        <w:rPr>
          <w:rFonts w:ascii="Times New Roman" w:hAnsi="Times New Roman" w:cs="Times New Roman"/>
          <w:color w:val="000000" w:themeColor="text1"/>
          <w:sz w:val="24"/>
          <w:szCs w:val="24"/>
        </w:rPr>
        <w:t>, poprzez wskazanie, że m</w:t>
      </w:r>
      <w:r w:rsidR="009A259B" w:rsidRPr="009A259B">
        <w:rPr>
          <w:rFonts w:ascii="Times New Roman" w:hAnsi="Times New Roman" w:cs="Times New Roman"/>
          <w:color w:val="000000" w:themeColor="text1"/>
          <w:sz w:val="24"/>
          <w:szCs w:val="24"/>
        </w:rPr>
        <w:t>inister właściwy do spraw zabezpieczenia społecznego określi, w drodze rozporządzenia, tryb i sposób przeprowadzania kontroli przez organy upoważnione do kontroli na podstawie</w:t>
      </w:r>
      <w:r w:rsidR="009A2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59B" w:rsidRPr="009A259B">
        <w:rPr>
          <w:rFonts w:ascii="Times New Roman" w:hAnsi="Times New Roman" w:cs="Times New Roman"/>
          <w:color w:val="000000" w:themeColor="text1"/>
          <w:sz w:val="24"/>
          <w:szCs w:val="24"/>
        </w:rPr>
        <w:t>art. 33b ust. 7</w:t>
      </w:r>
      <w:r w:rsidR="009A2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o rehabilitacji.</w:t>
      </w:r>
    </w:p>
    <w:p w14:paraId="52055601" w14:textId="5913D288" w:rsidR="00706043" w:rsidRPr="000019BD" w:rsidRDefault="009A259B" w:rsidP="00702E07">
      <w:pPr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r w:rsidR="00706043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§ 32 ust.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załącznika do</w:t>
      </w:r>
      <w:r w:rsidR="00706043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Prezesa Rady Ministrów z dnia 20 czerwca 2002 r. w sprawie zasad techniki prawodawczej (Dz.</w:t>
      </w:r>
      <w:r w:rsidR="00495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043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  <w:r w:rsidR="00082FA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z 2016 r. poz. 283)</w:t>
      </w:r>
      <w:r w:rsidR="004950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2FA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706043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eżeli zmienia się treść przepisu upoważniającego do wydania aktu wykonawczego w ten sposób, że zmienia się </w:t>
      </w:r>
      <w:r w:rsidR="00082FA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m.in. </w:t>
      </w:r>
      <w:r w:rsidR="00706043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zakres spraw przekazanych do uregulowania aktem wykonawczym</w:t>
      </w:r>
      <w:r w:rsidR="00082FA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6043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przyjmuje się, że akt wykonawczy wydany na podstawie tego przepisu upoważniającego traci moc obowiązującą z dniem wejścia w życie przepisu zmieniającego</w:t>
      </w:r>
      <w:r w:rsidR="00082FA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treść przepisu upoważniająceg</w:t>
      </w:r>
      <w:r w:rsidR="00560A55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82FA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5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FA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Na mocy art</w:t>
      </w:r>
      <w:r w:rsidR="00612B18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. 6 ustawy zmieniającej przepisy wykonawcze wydane na podst</w:t>
      </w:r>
      <w:r w:rsidR="006C0757">
        <w:rPr>
          <w:rFonts w:ascii="Times New Roman" w:hAnsi="Times New Roman" w:cs="Times New Roman"/>
          <w:color w:val="000000" w:themeColor="text1"/>
          <w:sz w:val="24"/>
          <w:szCs w:val="24"/>
        </w:rPr>
        <w:t>awie</w:t>
      </w:r>
      <w:r w:rsidR="00612B18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34 ust. 9 </w:t>
      </w:r>
      <w:r w:rsidR="004C6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o rehabilitacji </w:t>
      </w:r>
      <w:r w:rsidR="00612B18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zachowują moc do dnia wejścia w życie nowych przepisów wykonawczych wydanych na podstawie art. 34 ust. 9, jednak nie dłużej niż przez 12 miesięcy od dnia wejścia w życie ustawy zmieniającej, to jest do dnia 1</w:t>
      </w:r>
      <w:r w:rsidR="0049500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12B18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2023 r. </w:t>
      </w:r>
    </w:p>
    <w:p w14:paraId="79A2A84D" w14:textId="49799D6E" w:rsidR="0049500C" w:rsidRDefault="004C66E9" w:rsidP="00702E07">
      <w:pPr>
        <w:autoSpaceDE w:val="0"/>
        <w:autoSpaceDN w:val="0"/>
        <w:adjustRightInd w:val="0"/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Niniejszy projekt r</w:t>
      </w:r>
      <w:r w:rsidR="00D858B7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ozporządzeni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858B7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068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powiela w większości </w:t>
      </w:r>
      <w:r w:rsidR="00F4084E">
        <w:rPr>
          <w:rFonts w:ascii="Times New Roman" w:hAnsi="Times New Roman" w:cs="Times New Roman"/>
          <w:color w:val="000000" w:themeColor="text1"/>
          <w:sz w:val="24"/>
          <w:szCs w:val="24"/>
        </w:rPr>
        <w:t>przepisy</w:t>
      </w:r>
      <w:r w:rsidR="00F4084E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8B7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rozporządzenia</w:t>
      </w:r>
      <w:r w:rsidR="008D0C15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84E">
        <w:rPr>
          <w:rFonts w:ascii="Times New Roman" w:hAnsi="Times New Roman" w:cs="Times New Roman"/>
          <w:color w:val="000000" w:themeColor="text1"/>
          <w:sz w:val="24"/>
          <w:szCs w:val="24"/>
        </w:rPr>
        <w:t>dotychczasowego</w:t>
      </w:r>
      <w:r w:rsidR="00FF7742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. Wprowadzone zostały jednak zmiany wynikające z uwag zgłaszanych przez organy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FF7742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poważnione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742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do kontroli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przestawione poniżej.</w:t>
      </w:r>
    </w:p>
    <w:p w14:paraId="5E76374F" w14:textId="041292BA" w:rsidR="00112F07" w:rsidRPr="000019BD" w:rsidRDefault="00D858B7" w:rsidP="00702E07">
      <w:pPr>
        <w:autoSpaceDE w:val="0"/>
        <w:autoSpaceDN w:val="0"/>
        <w:adjustRightInd w:val="0"/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1 </w:t>
      </w:r>
      <w:r w:rsidR="004C66E9">
        <w:rPr>
          <w:rFonts w:ascii="Times New Roman" w:hAnsi="Times New Roman" w:cs="Times New Roman"/>
          <w:color w:val="000000" w:themeColor="text1"/>
          <w:sz w:val="24"/>
          <w:szCs w:val="24"/>
        </w:rPr>
        <w:t>katalog przepisów upoważniających do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przeprowadzania k</w:t>
      </w:r>
      <w:r w:rsidR="006D25CF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ontroli przez organy uprawnione </w:t>
      </w:r>
      <w:r w:rsidR="004C6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 uzupełniony </w:t>
      </w:r>
      <w:r w:rsidR="006D25CF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o art.</w:t>
      </w:r>
      <w:r w:rsidR="00765B81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33b ust. 7 ustawy o rehabilitacji. </w:t>
      </w:r>
    </w:p>
    <w:p w14:paraId="1B575442" w14:textId="5E9019BA" w:rsidR="00765B81" w:rsidRPr="000019BD" w:rsidRDefault="00533F33" w:rsidP="00702E07">
      <w:pPr>
        <w:pStyle w:val="ARTartustawynprozporzdzenia"/>
        <w:rPr>
          <w:rFonts w:ascii="Times New Roman" w:hAnsi="Times New Roman" w:cs="Times New Roman"/>
          <w:color w:val="000000" w:themeColor="text1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Cs w:val="24"/>
        </w:rPr>
        <w:t>Zmianie uległ § 3, w którym dodano nowy ust. 2</w:t>
      </w:r>
      <w:r w:rsidR="004A5D21">
        <w:rPr>
          <w:rFonts w:ascii="Times New Roman" w:hAnsi="Times New Roman" w:cs="Times New Roman"/>
          <w:color w:val="000000" w:themeColor="text1"/>
          <w:szCs w:val="24"/>
        </w:rPr>
        <w:t>,</w:t>
      </w:r>
      <w:r w:rsidRPr="000019BD">
        <w:rPr>
          <w:rFonts w:ascii="Times New Roman" w:hAnsi="Times New Roman" w:cs="Times New Roman"/>
          <w:color w:val="000000" w:themeColor="text1"/>
          <w:szCs w:val="24"/>
        </w:rPr>
        <w:t xml:space="preserve"> stanowiący, iż upoważnienie do kontroli może być</w:t>
      </w:r>
      <w:r w:rsidR="003D124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80789">
        <w:rPr>
          <w:rFonts w:ascii="Times New Roman" w:hAnsi="Times New Roman" w:cs="Times New Roman"/>
          <w:color w:val="000000" w:themeColor="text1"/>
          <w:szCs w:val="24"/>
        </w:rPr>
        <w:t>wystawione</w:t>
      </w:r>
      <w:r w:rsidRPr="000019BD">
        <w:rPr>
          <w:rFonts w:ascii="Times New Roman" w:hAnsi="Times New Roman" w:cs="Times New Roman"/>
          <w:color w:val="000000" w:themeColor="text1"/>
          <w:szCs w:val="24"/>
        </w:rPr>
        <w:t xml:space="preserve"> osob</w:t>
      </w:r>
      <w:r w:rsidR="00680789">
        <w:rPr>
          <w:rFonts w:ascii="Times New Roman" w:hAnsi="Times New Roman" w:cs="Times New Roman"/>
          <w:color w:val="000000" w:themeColor="text1"/>
          <w:szCs w:val="24"/>
        </w:rPr>
        <w:t>om</w:t>
      </w:r>
      <w:r w:rsidRPr="000019BD">
        <w:rPr>
          <w:rFonts w:ascii="Times New Roman" w:hAnsi="Times New Roman" w:cs="Times New Roman"/>
          <w:color w:val="000000" w:themeColor="text1"/>
          <w:szCs w:val="24"/>
        </w:rPr>
        <w:t>, któr</w:t>
      </w:r>
      <w:r w:rsidR="00680789">
        <w:rPr>
          <w:rFonts w:ascii="Times New Roman" w:hAnsi="Times New Roman" w:cs="Times New Roman"/>
          <w:color w:val="000000" w:themeColor="text1"/>
          <w:szCs w:val="24"/>
        </w:rPr>
        <w:t>e</w:t>
      </w:r>
      <w:r w:rsidRPr="000019BD">
        <w:rPr>
          <w:rFonts w:ascii="Times New Roman" w:hAnsi="Times New Roman" w:cs="Times New Roman"/>
          <w:color w:val="000000" w:themeColor="text1"/>
          <w:szCs w:val="24"/>
        </w:rPr>
        <w:t xml:space="preserve"> posiada</w:t>
      </w:r>
      <w:r w:rsidR="00680789">
        <w:rPr>
          <w:rFonts w:ascii="Times New Roman" w:hAnsi="Times New Roman" w:cs="Times New Roman"/>
          <w:color w:val="000000" w:themeColor="text1"/>
          <w:szCs w:val="24"/>
        </w:rPr>
        <w:t>ją</w:t>
      </w:r>
      <w:r w:rsidRPr="000019BD">
        <w:rPr>
          <w:rFonts w:ascii="Times New Roman" w:hAnsi="Times New Roman" w:cs="Times New Roman"/>
          <w:color w:val="000000" w:themeColor="text1"/>
          <w:szCs w:val="24"/>
        </w:rPr>
        <w:t xml:space="preserve"> wiedzę i doświadczenie zawodowe pozwalające na sprawne przeprowadzenie kontroli w zakresie określonym w upoważnieniu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>.</w:t>
      </w:r>
      <w:r w:rsidRPr="000019BD">
        <w:rPr>
          <w:rFonts w:ascii="Times New Roman" w:hAnsi="Times New Roman" w:cs="Times New Roman"/>
          <w:color w:val="000000" w:themeColor="text1"/>
          <w:szCs w:val="24"/>
        </w:rPr>
        <w:t xml:space="preserve"> Zmiana ta ma na celu zagwarantowanie prawidłowej realizacji kontroli, co ma szczególne znaczenie w przypadku kontroli prowadzonych przez jednego kontrolującego. Dodatkowo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>,</w:t>
      </w:r>
      <w:r w:rsidRPr="000019BD">
        <w:rPr>
          <w:rFonts w:ascii="Times New Roman" w:hAnsi="Times New Roman" w:cs="Times New Roman"/>
          <w:color w:val="000000" w:themeColor="text1"/>
          <w:szCs w:val="24"/>
        </w:rPr>
        <w:t xml:space="preserve"> upoważnienie nie będzie mogło być wydane osobie, która była karana za przestępstwo lub przestępstwo skarbowe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>.</w:t>
      </w:r>
      <w:r w:rsidRPr="000019BD">
        <w:rPr>
          <w:rFonts w:ascii="Times New Roman" w:hAnsi="Times New Roman" w:cs="Times New Roman"/>
          <w:color w:val="000000" w:themeColor="text1"/>
          <w:szCs w:val="24"/>
        </w:rPr>
        <w:t xml:space="preserve"> Przepis ten stanowi uzupełnienie luki prawnej, która wyłączała z prowadzonej kontroli osoby, przeciw któr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>y</w:t>
      </w:r>
      <w:r w:rsidRPr="000019BD">
        <w:rPr>
          <w:rFonts w:ascii="Times New Roman" w:hAnsi="Times New Roman" w:cs="Times New Roman"/>
          <w:color w:val="000000" w:themeColor="text1"/>
          <w:szCs w:val="24"/>
        </w:rPr>
        <w:t>m wszczęto postepowanie karne</w:t>
      </w:r>
      <w:r w:rsidR="00F4084E">
        <w:rPr>
          <w:rFonts w:ascii="Times New Roman" w:hAnsi="Times New Roman" w:cs="Times New Roman"/>
          <w:color w:val="000000" w:themeColor="text1"/>
          <w:szCs w:val="24"/>
        </w:rPr>
        <w:t xml:space="preserve"> lub karnoskarbowe</w:t>
      </w:r>
      <w:r w:rsidRPr="000019BD">
        <w:rPr>
          <w:rFonts w:ascii="Times New Roman" w:hAnsi="Times New Roman" w:cs="Times New Roman"/>
          <w:color w:val="000000" w:themeColor="text1"/>
          <w:szCs w:val="24"/>
        </w:rPr>
        <w:t>, ale nie tworzyła zakazu upoważniania kontrolujących skazanych przed wydaniem upoważnienia.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803BC" w:rsidRPr="000019BD">
        <w:rPr>
          <w:rFonts w:ascii="Times New Roman" w:hAnsi="Times New Roman" w:cs="Times New Roman"/>
          <w:color w:val="000000" w:themeColor="text1"/>
          <w:szCs w:val="24"/>
        </w:rPr>
        <w:t>Zmienion</w:t>
      </w:r>
      <w:r w:rsidR="00F4084E">
        <w:rPr>
          <w:rFonts w:ascii="Times New Roman" w:hAnsi="Times New Roman" w:cs="Times New Roman"/>
          <w:color w:val="000000" w:themeColor="text1"/>
          <w:szCs w:val="24"/>
        </w:rPr>
        <w:t>y</w:t>
      </w:r>
      <w:r w:rsidR="00D803BC" w:rsidRPr="000019BD">
        <w:rPr>
          <w:rFonts w:ascii="Times New Roman" w:hAnsi="Times New Roman" w:cs="Times New Roman"/>
          <w:color w:val="000000" w:themeColor="text1"/>
          <w:szCs w:val="24"/>
        </w:rPr>
        <w:t xml:space="preserve"> został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 xml:space="preserve"> także</w:t>
      </w:r>
      <w:r w:rsidR="00D803BC" w:rsidRPr="000019BD">
        <w:rPr>
          <w:rFonts w:ascii="Times New Roman" w:hAnsi="Times New Roman" w:cs="Times New Roman"/>
          <w:color w:val="000000" w:themeColor="text1"/>
          <w:szCs w:val="24"/>
        </w:rPr>
        <w:t xml:space="preserve"> § 3 w stosunku do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 xml:space="preserve"> brzmienia tego przepisu w</w:t>
      </w:r>
      <w:r w:rsidR="00D803BC" w:rsidRPr="000019BD">
        <w:rPr>
          <w:rFonts w:ascii="Times New Roman" w:hAnsi="Times New Roman" w:cs="Times New Roman"/>
          <w:color w:val="000000" w:themeColor="text1"/>
          <w:szCs w:val="24"/>
        </w:rPr>
        <w:t xml:space="preserve"> rozporządzeni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>u</w:t>
      </w:r>
      <w:r w:rsidR="00D803BC" w:rsidRPr="000019B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D1245">
        <w:rPr>
          <w:rFonts w:ascii="Times New Roman" w:hAnsi="Times New Roman" w:cs="Times New Roman"/>
          <w:color w:val="000000" w:themeColor="text1"/>
          <w:szCs w:val="24"/>
        </w:rPr>
        <w:t>poprzedzajacym</w:t>
      </w:r>
      <w:r w:rsidR="003D1245" w:rsidRPr="000019B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803BC" w:rsidRPr="000019BD">
        <w:rPr>
          <w:rFonts w:ascii="Times New Roman" w:hAnsi="Times New Roman" w:cs="Times New Roman"/>
          <w:color w:val="000000" w:themeColor="text1"/>
          <w:szCs w:val="24"/>
        </w:rPr>
        <w:t xml:space="preserve">w zakresie elementów, jakie powinno zawierać </w:t>
      </w:r>
      <w:r w:rsidR="00E32068" w:rsidRPr="000019BD">
        <w:rPr>
          <w:rFonts w:ascii="Times New Roman" w:hAnsi="Times New Roman" w:cs="Times New Roman"/>
          <w:color w:val="000000" w:themeColor="text1"/>
          <w:szCs w:val="24"/>
        </w:rPr>
        <w:t xml:space="preserve">upoważnienie do przeprowadzenia </w:t>
      </w:r>
      <w:r w:rsidR="00D803BC" w:rsidRPr="000019BD">
        <w:rPr>
          <w:rFonts w:ascii="Times New Roman" w:hAnsi="Times New Roman" w:cs="Times New Roman"/>
          <w:color w:val="000000" w:themeColor="text1"/>
          <w:szCs w:val="24"/>
        </w:rPr>
        <w:t>kontroli.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D084D" w:rsidRPr="000019BD">
        <w:rPr>
          <w:rFonts w:ascii="Times New Roman" w:hAnsi="Times New Roman" w:cs="Times New Roman"/>
          <w:color w:val="000000" w:themeColor="text1"/>
          <w:szCs w:val="24"/>
        </w:rPr>
        <w:t>Zmiany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 xml:space="preserve"> te</w:t>
      </w:r>
      <w:r w:rsidR="008D084D" w:rsidRPr="000019BD">
        <w:rPr>
          <w:rFonts w:ascii="Times New Roman" w:hAnsi="Times New Roman" w:cs="Times New Roman"/>
          <w:color w:val="000000" w:themeColor="text1"/>
          <w:szCs w:val="24"/>
        </w:rPr>
        <w:t xml:space="preserve"> dotyczą uzupełnienia dotychczasowego upoważnienia o nowe elementy: wskazanie przewidywanego terminu zakończenia kontroli ma zapewnić </w:t>
      </w:r>
      <w:r w:rsidR="00D803BC" w:rsidRPr="000019BD">
        <w:rPr>
          <w:rFonts w:ascii="Times New Roman" w:hAnsi="Times New Roman" w:cs="Times New Roman"/>
          <w:color w:val="000000" w:themeColor="text1"/>
          <w:szCs w:val="24"/>
        </w:rPr>
        <w:t xml:space="preserve">podmiotowi kontrolowanemu </w:t>
      </w:r>
      <w:r w:rsidR="00771DD7" w:rsidRPr="000019BD">
        <w:rPr>
          <w:rFonts w:ascii="Times New Roman" w:hAnsi="Times New Roman" w:cs="Times New Roman"/>
          <w:color w:val="000000" w:themeColor="text1"/>
          <w:szCs w:val="24"/>
        </w:rPr>
        <w:t>jasną informację o planowanym okresie kontroli</w:t>
      </w:r>
      <w:r w:rsidR="009B7B55" w:rsidRPr="000019BD">
        <w:rPr>
          <w:rFonts w:ascii="Times New Roman" w:hAnsi="Times New Roman" w:cs="Times New Roman"/>
          <w:color w:val="000000" w:themeColor="text1"/>
          <w:szCs w:val="24"/>
        </w:rPr>
        <w:t xml:space="preserve"> i zabezpieczyć go przed nadmiernie wydłużając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>ą</w:t>
      </w:r>
      <w:r w:rsidR="009B7B55" w:rsidRPr="000019BD">
        <w:rPr>
          <w:rFonts w:ascii="Times New Roman" w:hAnsi="Times New Roman" w:cs="Times New Roman"/>
          <w:color w:val="000000" w:themeColor="text1"/>
          <w:szCs w:val="24"/>
        </w:rPr>
        <w:t xml:space="preserve"> się kontrol</w:t>
      </w:r>
      <w:r w:rsidR="004C66E9">
        <w:rPr>
          <w:rFonts w:ascii="Times New Roman" w:hAnsi="Times New Roman" w:cs="Times New Roman"/>
          <w:color w:val="000000" w:themeColor="text1"/>
          <w:szCs w:val="24"/>
        </w:rPr>
        <w:t>ą</w:t>
      </w:r>
      <w:r w:rsidR="00771DD7" w:rsidRPr="000019BD">
        <w:rPr>
          <w:rFonts w:ascii="Times New Roman" w:hAnsi="Times New Roman" w:cs="Times New Roman"/>
          <w:color w:val="000000" w:themeColor="text1"/>
          <w:szCs w:val="24"/>
        </w:rPr>
        <w:t>. Upoważnienie zostało</w:t>
      </w:r>
      <w:r w:rsidR="00756592">
        <w:rPr>
          <w:rFonts w:ascii="Times New Roman" w:hAnsi="Times New Roman" w:cs="Times New Roman"/>
          <w:color w:val="000000" w:themeColor="text1"/>
          <w:szCs w:val="24"/>
        </w:rPr>
        <w:t xml:space="preserve"> również</w:t>
      </w:r>
      <w:r w:rsidR="00771DD7" w:rsidRPr="000019BD">
        <w:rPr>
          <w:rFonts w:ascii="Times New Roman" w:hAnsi="Times New Roman" w:cs="Times New Roman"/>
          <w:color w:val="000000" w:themeColor="text1"/>
          <w:szCs w:val="24"/>
        </w:rPr>
        <w:t xml:space="preserve"> uzupełnione o informację o imieniu, nazwisku i funkcji o</w:t>
      </w:r>
      <w:r w:rsidR="008D084D" w:rsidRPr="000019BD">
        <w:rPr>
          <w:rFonts w:ascii="Times New Roman" w:hAnsi="Times New Roman" w:cs="Times New Roman"/>
          <w:color w:val="000000" w:themeColor="text1"/>
          <w:szCs w:val="24"/>
        </w:rPr>
        <w:t>soby udzielającej upoważnienia oraz o pouczenie o prawach i obowiązkach kontrolowanego.</w:t>
      </w:r>
      <w:r w:rsidR="001C0594">
        <w:rPr>
          <w:rFonts w:ascii="Times New Roman" w:hAnsi="Times New Roman" w:cs="Times New Roman"/>
          <w:color w:val="000000" w:themeColor="text1"/>
          <w:szCs w:val="24"/>
        </w:rPr>
        <w:t xml:space="preserve"> W </w:t>
      </w:r>
      <w:r w:rsidR="001C0594" w:rsidRPr="001C0594">
        <w:rPr>
          <w:rFonts w:ascii="Times New Roman" w:hAnsi="Times New Roman" w:cs="Times New Roman"/>
          <w:color w:val="000000" w:themeColor="text1"/>
          <w:szCs w:val="24"/>
        </w:rPr>
        <w:t>§ 3</w:t>
      </w:r>
      <w:r w:rsidR="001C0594">
        <w:rPr>
          <w:rFonts w:ascii="Times New Roman" w:hAnsi="Times New Roman" w:cs="Times New Roman"/>
          <w:color w:val="000000" w:themeColor="text1"/>
          <w:szCs w:val="24"/>
        </w:rPr>
        <w:t xml:space="preserve"> ust. 3 dodano możliwość zmiany </w:t>
      </w:r>
      <w:r w:rsidR="001C0594" w:rsidRPr="001C0594">
        <w:rPr>
          <w:rFonts w:ascii="Times New Roman" w:hAnsi="Times New Roman" w:cs="Times New Roman"/>
          <w:color w:val="000000" w:themeColor="text1"/>
          <w:szCs w:val="24"/>
        </w:rPr>
        <w:t>skład</w:t>
      </w:r>
      <w:r w:rsidR="001C0594">
        <w:rPr>
          <w:rFonts w:ascii="Times New Roman" w:hAnsi="Times New Roman" w:cs="Times New Roman"/>
          <w:color w:val="000000" w:themeColor="text1"/>
          <w:szCs w:val="24"/>
        </w:rPr>
        <w:t>u</w:t>
      </w:r>
      <w:r w:rsidR="001C0594" w:rsidRPr="001C0594">
        <w:rPr>
          <w:rFonts w:ascii="Times New Roman" w:hAnsi="Times New Roman" w:cs="Times New Roman"/>
          <w:color w:val="000000" w:themeColor="text1"/>
          <w:szCs w:val="24"/>
        </w:rPr>
        <w:t xml:space="preserve"> zespołu kontrolującego</w:t>
      </w:r>
      <w:r w:rsidR="001C0594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0483455" w14:textId="0410C5A3" w:rsidR="00FF7742" w:rsidRPr="000019BD" w:rsidRDefault="00756592" w:rsidP="00702E07">
      <w:pPr>
        <w:pStyle w:val="ARTartustawynprozporzdzenia"/>
        <w:spacing w:before="0"/>
        <w:ind w:firstLine="426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Modyfikacji w stosunku do </w:t>
      </w:r>
      <w:r w:rsidR="0049500C">
        <w:rPr>
          <w:rFonts w:ascii="Times New Roman" w:hAnsi="Times New Roman" w:cs="Times New Roman"/>
          <w:color w:val="000000" w:themeColor="text1"/>
          <w:szCs w:val="24"/>
        </w:rPr>
        <w:t>rozporządzenia dotychczasowego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uległ również przepis</w:t>
      </w:r>
      <w:r w:rsidRPr="000019B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F7742" w:rsidRPr="000019BD">
        <w:rPr>
          <w:rFonts w:ascii="Times New Roman" w:hAnsi="Times New Roman" w:cs="Times New Roman"/>
          <w:color w:val="000000" w:themeColor="text1"/>
          <w:szCs w:val="24"/>
        </w:rPr>
        <w:t>§ 8 w</w:t>
      </w:r>
      <w:r w:rsidR="0049500C">
        <w:rPr>
          <w:rFonts w:ascii="Times New Roman" w:hAnsi="Times New Roman" w:cs="Times New Roman"/>
          <w:color w:val="000000" w:themeColor="text1"/>
          <w:szCs w:val="24"/>
        </w:rPr>
        <w:t> </w:t>
      </w:r>
      <w:r w:rsidR="00FF7742" w:rsidRPr="000019BD">
        <w:rPr>
          <w:rFonts w:ascii="Times New Roman" w:hAnsi="Times New Roman" w:cs="Times New Roman"/>
          <w:color w:val="000000" w:themeColor="text1"/>
          <w:szCs w:val="24"/>
        </w:rPr>
        <w:t>ten sposób, że dotychczasowa treść tego paragrafu została zawarta w ust. 1. Dodane zostały ustępy 2</w:t>
      </w:r>
      <w:r w:rsidR="00F4084E">
        <w:rPr>
          <w:rFonts w:ascii="Times New Roman" w:hAnsi="Times New Roman" w:cs="Times New Roman"/>
          <w:color w:val="000000" w:themeColor="text1"/>
          <w:szCs w:val="24"/>
        </w:rPr>
        <w:t>–</w:t>
      </w:r>
      <w:r w:rsidR="00FF7742" w:rsidRPr="000019BD">
        <w:rPr>
          <w:rFonts w:ascii="Times New Roman" w:hAnsi="Times New Roman" w:cs="Times New Roman"/>
          <w:color w:val="000000" w:themeColor="text1"/>
          <w:szCs w:val="24"/>
        </w:rPr>
        <w:t>4</w:t>
      </w:r>
      <w:r w:rsidR="0049500C">
        <w:rPr>
          <w:rFonts w:ascii="Times New Roman" w:hAnsi="Times New Roman" w:cs="Times New Roman"/>
          <w:color w:val="000000" w:themeColor="text1"/>
          <w:szCs w:val="24"/>
        </w:rPr>
        <w:t>,</w:t>
      </w:r>
      <w:r w:rsidR="00FF7742" w:rsidRPr="000019BD">
        <w:rPr>
          <w:rFonts w:ascii="Times New Roman" w:hAnsi="Times New Roman" w:cs="Times New Roman"/>
          <w:color w:val="000000" w:themeColor="text1"/>
          <w:szCs w:val="24"/>
        </w:rPr>
        <w:t xml:space="preserve"> dotyczące obowiązku </w:t>
      </w:r>
      <w:r w:rsidR="005D51B8" w:rsidRPr="000019BD">
        <w:rPr>
          <w:rFonts w:ascii="Times New Roman" w:hAnsi="Times New Roman" w:cs="Times New Roman"/>
          <w:color w:val="000000" w:themeColor="text1"/>
          <w:szCs w:val="24"/>
        </w:rPr>
        <w:t xml:space="preserve">przeprowadzenia kontroli w obecności </w:t>
      </w:r>
      <w:r w:rsidR="0049207E" w:rsidRPr="000019BD">
        <w:rPr>
          <w:rFonts w:ascii="Times New Roman" w:hAnsi="Times New Roman" w:cs="Times New Roman"/>
          <w:color w:val="000000" w:themeColor="text1"/>
          <w:szCs w:val="24"/>
        </w:rPr>
        <w:t>kontrolowanego</w:t>
      </w:r>
      <w:r w:rsidR="005D51B8" w:rsidRPr="000019BD">
        <w:rPr>
          <w:rFonts w:ascii="Times New Roman" w:hAnsi="Times New Roman" w:cs="Times New Roman"/>
          <w:color w:val="000000" w:themeColor="text1"/>
          <w:szCs w:val="24"/>
        </w:rPr>
        <w:t xml:space="preserve"> lub osoby przez niego wyznaczonej,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jak również </w:t>
      </w:r>
      <w:r w:rsidR="005D51B8" w:rsidRPr="000019BD">
        <w:rPr>
          <w:rFonts w:ascii="Times New Roman" w:hAnsi="Times New Roman" w:cs="Times New Roman"/>
          <w:color w:val="000000" w:themeColor="text1"/>
          <w:szCs w:val="24"/>
        </w:rPr>
        <w:t>kontrolowany został zobowiązany do wyzna</w:t>
      </w:r>
      <w:r w:rsidR="00343E49" w:rsidRPr="000019BD">
        <w:rPr>
          <w:rFonts w:ascii="Times New Roman" w:hAnsi="Times New Roman" w:cs="Times New Roman"/>
          <w:color w:val="000000" w:themeColor="text1"/>
          <w:szCs w:val="24"/>
        </w:rPr>
        <w:t>c</w:t>
      </w:r>
      <w:r w:rsidR="005D51B8" w:rsidRPr="000019BD">
        <w:rPr>
          <w:rFonts w:ascii="Times New Roman" w:hAnsi="Times New Roman" w:cs="Times New Roman"/>
          <w:color w:val="000000" w:themeColor="text1"/>
          <w:szCs w:val="24"/>
        </w:rPr>
        <w:t xml:space="preserve">zenia </w:t>
      </w:r>
      <w:r w:rsidR="0081790F" w:rsidRPr="000019BD">
        <w:rPr>
          <w:rFonts w:ascii="Times New Roman" w:hAnsi="Times New Roman" w:cs="Times New Roman"/>
          <w:color w:val="000000" w:themeColor="text1"/>
          <w:szCs w:val="24"/>
        </w:rPr>
        <w:t>osoby do reprezentowania go w czasie kontroli. Dodano regulacje stanowiące, że w razie nieobecności kontrolowanego lub osoby przez niego upoważnionej upoważnienie do przeprowadzenia kontroli oraz dokument potwierdzający tożsamość mogą być okazane</w:t>
      </w:r>
      <w:r w:rsidR="0063744B" w:rsidRPr="000019BD">
        <w:rPr>
          <w:rFonts w:ascii="Times New Roman" w:hAnsi="Times New Roman" w:cs="Times New Roman"/>
          <w:color w:val="000000" w:themeColor="text1"/>
          <w:szCs w:val="24"/>
        </w:rPr>
        <w:t xml:space="preserve"> o</w:t>
      </w:r>
      <w:r w:rsidR="0081790F" w:rsidRPr="000019BD">
        <w:rPr>
          <w:rFonts w:ascii="Times New Roman" w:hAnsi="Times New Roman" w:cs="Times New Roman"/>
          <w:color w:val="000000" w:themeColor="text1"/>
          <w:szCs w:val="24"/>
        </w:rPr>
        <w:t>sobie czynnej w lokalu przedsiębiorstwa w rozumieniu art. 97 Kodeks</w:t>
      </w:r>
      <w:r w:rsidR="000B275F" w:rsidRPr="000019BD">
        <w:rPr>
          <w:rFonts w:ascii="Times New Roman" w:hAnsi="Times New Roman" w:cs="Times New Roman"/>
          <w:color w:val="000000" w:themeColor="text1"/>
          <w:szCs w:val="24"/>
        </w:rPr>
        <w:t>u</w:t>
      </w:r>
      <w:r w:rsidR="0081790F" w:rsidRPr="000019BD">
        <w:rPr>
          <w:rFonts w:ascii="Times New Roman" w:hAnsi="Times New Roman" w:cs="Times New Roman"/>
          <w:color w:val="000000" w:themeColor="text1"/>
          <w:szCs w:val="24"/>
        </w:rPr>
        <w:t xml:space="preserve"> cywiln</w:t>
      </w:r>
      <w:r w:rsidR="000B275F" w:rsidRPr="000019BD">
        <w:rPr>
          <w:rFonts w:ascii="Times New Roman" w:hAnsi="Times New Roman" w:cs="Times New Roman"/>
          <w:color w:val="000000" w:themeColor="text1"/>
          <w:szCs w:val="24"/>
        </w:rPr>
        <w:t>ego</w:t>
      </w:r>
      <w:r w:rsidR="0063744B" w:rsidRPr="000019BD">
        <w:rPr>
          <w:rFonts w:ascii="Times New Roman" w:hAnsi="Times New Roman" w:cs="Times New Roman"/>
          <w:color w:val="000000" w:themeColor="text1"/>
          <w:szCs w:val="24"/>
        </w:rPr>
        <w:t>.</w:t>
      </w:r>
      <w:r w:rsidR="000B275F" w:rsidRPr="000019B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4084E">
        <w:rPr>
          <w:rFonts w:ascii="Times New Roman" w:hAnsi="Times New Roman" w:cs="Times New Roman"/>
          <w:color w:val="000000" w:themeColor="text1"/>
          <w:szCs w:val="24"/>
        </w:rPr>
        <w:t>Prze</w:t>
      </w:r>
      <w:r w:rsidR="000B275F" w:rsidRPr="000019BD">
        <w:rPr>
          <w:rFonts w:ascii="Times New Roman" w:hAnsi="Times New Roman" w:cs="Times New Roman"/>
          <w:color w:val="000000" w:themeColor="text1"/>
          <w:szCs w:val="24"/>
        </w:rPr>
        <w:t>pisy te maj</w:t>
      </w:r>
      <w:r w:rsidR="006376AF">
        <w:rPr>
          <w:rFonts w:ascii="Times New Roman" w:hAnsi="Times New Roman" w:cs="Times New Roman"/>
          <w:color w:val="000000" w:themeColor="text1"/>
          <w:szCs w:val="24"/>
        </w:rPr>
        <w:t>ą</w:t>
      </w:r>
      <w:r w:rsidR="000B275F" w:rsidRPr="000019BD">
        <w:rPr>
          <w:rFonts w:ascii="Times New Roman" w:hAnsi="Times New Roman" w:cs="Times New Roman"/>
          <w:color w:val="000000" w:themeColor="text1"/>
          <w:szCs w:val="24"/>
        </w:rPr>
        <w:t xml:space="preserve"> zapobiegać unikaniu kontroli przez niestawianie się przez kontr</w:t>
      </w:r>
      <w:r w:rsidR="00343E49" w:rsidRPr="000019BD">
        <w:rPr>
          <w:rFonts w:ascii="Times New Roman" w:hAnsi="Times New Roman" w:cs="Times New Roman"/>
          <w:color w:val="000000" w:themeColor="text1"/>
          <w:szCs w:val="24"/>
        </w:rPr>
        <w:t>o</w:t>
      </w:r>
      <w:r w:rsidR="000B275F" w:rsidRPr="000019BD">
        <w:rPr>
          <w:rFonts w:ascii="Times New Roman" w:hAnsi="Times New Roman" w:cs="Times New Roman"/>
          <w:color w:val="000000" w:themeColor="text1"/>
          <w:szCs w:val="24"/>
        </w:rPr>
        <w:t xml:space="preserve">lowanego w siedzibie lub </w:t>
      </w:r>
      <w:r w:rsidR="000B275F" w:rsidRPr="000019BD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miejscu prowadzonej przez </w:t>
      </w:r>
      <w:r w:rsidR="006376AF">
        <w:rPr>
          <w:rFonts w:ascii="Times New Roman" w:hAnsi="Times New Roman" w:cs="Times New Roman"/>
          <w:color w:val="000000" w:themeColor="text1"/>
          <w:szCs w:val="24"/>
        </w:rPr>
        <w:t>niego</w:t>
      </w:r>
      <w:r w:rsidR="006376AF" w:rsidRPr="000019B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B275F" w:rsidRPr="000019BD">
        <w:rPr>
          <w:rFonts w:ascii="Times New Roman" w:hAnsi="Times New Roman" w:cs="Times New Roman"/>
          <w:color w:val="000000" w:themeColor="text1"/>
          <w:szCs w:val="24"/>
        </w:rPr>
        <w:t>działalności i uniemożliwiani</w:t>
      </w:r>
      <w:r w:rsidR="006376AF">
        <w:rPr>
          <w:rFonts w:ascii="Times New Roman" w:hAnsi="Times New Roman" w:cs="Times New Roman"/>
          <w:color w:val="000000" w:themeColor="text1"/>
          <w:szCs w:val="24"/>
        </w:rPr>
        <w:t>u</w:t>
      </w:r>
      <w:r w:rsidR="000B275F" w:rsidRPr="000019BD">
        <w:rPr>
          <w:rFonts w:ascii="Times New Roman" w:hAnsi="Times New Roman" w:cs="Times New Roman"/>
          <w:color w:val="000000" w:themeColor="text1"/>
          <w:szCs w:val="24"/>
        </w:rPr>
        <w:t xml:space="preserve"> w ten sposób jej przeprowadzenia.</w:t>
      </w:r>
    </w:p>
    <w:p w14:paraId="6D0C57E0" w14:textId="6DC54BE5" w:rsidR="008D084D" w:rsidRPr="000019BD" w:rsidRDefault="0058430E" w:rsidP="00702E07">
      <w:pPr>
        <w:autoSpaceDE w:val="0"/>
        <w:autoSpaceDN w:val="0"/>
        <w:adjustRightInd w:val="0"/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Zmianie uległ</w:t>
      </w:r>
      <w:r w:rsidR="0075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też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9 w stosu</w:t>
      </w:r>
      <w:r w:rsidR="0081790F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nku do rozporządzenia </w:t>
      </w:r>
      <w:r w:rsidR="0063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dotychczasowego –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wprowadzono </w:t>
      </w:r>
      <w:r w:rsidR="00637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przeprowadz</w:t>
      </w:r>
      <w:r w:rsidR="0064519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6376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kontroli w sposób zdalny za </w:t>
      </w:r>
      <w:r w:rsidR="00BC367A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godą kontrolowanego</w:t>
      </w:r>
      <w:r w:rsidR="007602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pośrednictwem operatora pocztowego lub za pośrednictwem środków komunikacji elektronicznej. </w:t>
      </w:r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umożliwić przeprowadzanie kontroli bez konieczności przybycia na miejsce osoby kontrolującej, jeśli obecność osobista nie jest bezwzględnym warunkiem prawidłowego przeprowadzenia kontroli (kontrola dotyczy np. wyłącznie </w:t>
      </w:r>
      <w:r w:rsidR="00BC367A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badania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dokumentów). Ma to także duże znaczenie w okresie obowiązującego wciąż stanu zagrożenia epidemią oraz upowszechniania się pracy zdalnej i obiegu dokumentów w formie elektronicznej.</w:t>
      </w:r>
      <w:r w:rsidR="006D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6D1591" w:rsidRPr="006D1591">
        <w:rPr>
          <w:rFonts w:ascii="Times New Roman" w:hAnsi="Times New Roman" w:cs="Times New Roman"/>
          <w:color w:val="000000" w:themeColor="text1"/>
          <w:sz w:val="24"/>
          <w:szCs w:val="24"/>
        </w:rPr>
        <w:t>§ 9</w:t>
      </w:r>
      <w:r w:rsidR="006D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wprowadzono również możliwość kontroli </w:t>
      </w:r>
      <w:r w:rsidR="006D1591" w:rsidRPr="006D1591">
        <w:rPr>
          <w:rFonts w:ascii="Times New Roman" w:hAnsi="Times New Roman" w:cs="Times New Roman"/>
          <w:color w:val="000000" w:themeColor="text1"/>
          <w:sz w:val="24"/>
          <w:szCs w:val="24"/>
        </w:rPr>
        <w:t>w miejscu przechowywania przez kontrolowanego dokumentacji dotyczącej działalności podlegającej kontroli</w:t>
      </w:r>
      <w:r w:rsidR="006D15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9412A8" w14:textId="22AF6897" w:rsidR="00C56D44" w:rsidRPr="000019BD" w:rsidRDefault="002C526E" w:rsidP="00702E07">
      <w:pPr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Modyfikacji</w:t>
      </w:r>
      <w:r w:rsidR="0076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odniesieniu do rozporządzenia </w:t>
      </w:r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>dotychczasowego</w:t>
      </w:r>
      <w:r w:rsidR="00941FEA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uległ </w:t>
      </w:r>
      <w:r w:rsidR="00CA1F77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CA1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 w:rsidR="0076027C">
        <w:rPr>
          <w:rFonts w:ascii="Times New Roman" w:hAnsi="Times New Roman" w:cs="Times New Roman"/>
          <w:color w:val="000000" w:themeColor="text1"/>
          <w:sz w:val="24"/>
          <w:szCs w:val="24"/>
        </w:rPr>
        <w:t>projektu</w:t>
      </w:r>
      <w:r w:rsidR="0076027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warunków, jakie kontrolowany ma zapewnić kontrolującym i biegłym. </w:t>
      </w:r>
      <w:r w:rsidR="00C56D44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Kontrolowany będzie </w:t>
      </w:r>
      <w:r w:rsidR="0076027C">
        <w:rPr>
          <w:rFonts w:ascii="Times New Roman" w:hAnsi="Times New Roman" w:cs="Times New Roman"/>
          <w:color w:val="000000" w:themeColor="text1"/>
          <w:sz w:val="24"/>
          <w:szCs w:val="24"/>
        </w:rPr>
        <w:t>musiał</w:t>
      </w:r>
      <w:r w:rsidR="0076027C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D44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zapewnić dodatkowo możliwość podłączenia do sieci elektrycznej sprzętu komputerowego i elektronicznego służącego do prowadzenia kontroli oraz możliwość korzystania z innych środków technicznych (drukarki, kserokopiarki) niezbędnych do przeprowadzenia kontroli, o ile dysponuje takimi środkami technicznymi. </w:t>
      </w:r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>Propozycje</w:t>
      </w:r>
      <w:r w:rsidR="00941FEA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D44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są konsekwencją zgłaszanych przez Państwowy Fundusz Rehabilitacji Osób </w:t>
      </w:r>
      <w:r w:rsidR="0049207E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Niepełnosprawnych</w:t>
      </w:r>
      <w:r w:rsidR="00C56D44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problemów w tym zakresie</w:t>
      </w:r>
      <w:r w:rsidR="00DA36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6D44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napotykanych w czasie prowadzonych kontroli.</w:t>
      </w:r>
    </w:p>
    <w:p w14:paraId="049C76A6" w14:textId="5350D0C5" w:rsidR="002D679F" w:rsidRDefault="006773B9" w:rsidP="00702E07">
      <w:pPr>
        <w:pStyle w:val="ARTartustawynprozporzdzenia"/>
        <w:rPr>
          <w:rFonts w:ascii="Times New Roman" w:hAnsi="Times New Roman" w:cs="Times New Roman"/>
          <w:color w:val="000000" w:themeColor="text1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Cs w:val="24"/>
        </w:rPr>
        <w:t>Wpro</w:t>
      </w:r>
      <w:r w:rsidR="002D679F" w:rsidRPr="000019BD">
        <w:rPr>
          <w:rFonts w:ascii="Times New Roman" w:hAnsi="Times New Roman" w:cs="Times New Roman"/>
          <w:color w:val="000000" w:themeColor="text1"/>
          <w:szCs w:val="24"/>
        </w:rPr>
        <w:t xml:space="preserve">wadzono także zmianę w </w:t>
      </w:r>
      <w:bookmarkStart w:id="1" w:name="_Hlk129780635"/>
      <w:r w:rsidR="002D679F" w:rsidRPr="000019BD">
        <w:rPr>
          <w:rFonts w:ascii="Times New Roman" w:hAnsi="Times New Roman" w:cs="Times New Roman"/>
          <w:color w:val="000000" w:themeColor="text1"/>
          <w:szCs w:val="24"/>
        </w:rPr>
        <w:t>§ 15 ust. 1</w:t>
      </w:r>
      <w:bookmarkEnd w:id="1"/>
      <w:r w:rsidR="002D679F" w:rsidRPr="000019BD">
        <w:rPr>
          <w:rFonts w:ascii="Times New Roman" w:hAnsi="Times New Roman" w:cs="Times New Roman"/>
          <w:color w:val="000000" w:themeColor="text1"/>
          <w:szCs w:val="24"/>
        </w:rPr>
        <w:t>, zgodnie z którą w przypadku zmiany składu zespołu kontrolującego i wydania nowego upoważnienia do kontroli protokół kontroli podpisują kontrolujący wskazani w tym upoważnieniu. Przepis ten ma usunąć ewentualne wątpliwości w zakresie tego, kto ma podpisać protokół kontroli w przypadku zmiany osoby kontrolującego.</w:t>
      </w:r>
      <w:r w:rsidR="00166D22">
        <w:rPr>
          <w:rFonts w:ascii="Times New Roman" w:hAnsi="Times New Roman" w:cs="Times New Roman"/>
          <w:color w:val="000000" w:themeColor="text1"/>
          <w:szCs w:val="24"/>
        </w:rPr>
        <w:t xml:space="preserve"> W </w:t>
      </w:r>
      <w:r w:rsidR="00166D22" w:rsidRPr="00166D22">
        <w:rPr>
          <w:rFonts w:ascii="Times New Roman" w:hAnsi="Times New Roman" w:cs="Times New Roman"/>
          <w:color w:val="000000" w:themeColor="text1"/>
          <w:szCs w:val="24"/>
        </w:rPr>
        <w:t xml:space="preserve">§ 15 ust. </w:t>
      </w:r>
      <w:r w:rsidR="00166D22">
        <w:rPr>
          <w:rFonts w:ascii="Times New Roman" w:hAnsi="Times New Roman" w:cs="Times New Roman"/>
          <w:color w:val="000000" w:themeColor="text1"/>
          <w:szCs w:val="24"/>
        </w:rPr>
        <w:t xml:space="preserve">2 wprowadzono możliwość przekazania protokołu kontrolowanemu celem jego podpisania za </w:t>
      </w:r>
      <w:r w:rsidR="00166D22" w:rsidRPr="00166D22">
        <w:rPr>
          <w:rFonts w:ascii="Times New Roman" w:hAnsi="Times New Roman" w:cs="Times New Roman"/>
          <w:color w:val="000000" w:themeColor="text1"/>
          <w:szCs w:val="24"/>
        </w:rPr>
        <w:t>pośrednictwem operatora pocztowego</w:t>
      </w:r>
      <w:r w:rsidR="00166D22">
        <w:rPr>
          <w:rFonts w:ascii="Times New Roman" w:hAnsi="Times New Roman" w:cs="Times New Roman"/>
          <w:color w:val="000000" w:themeColor="text1"/>
          <w:szCs w:val="24"/>
        </w:rPr>
        <w:t xml:space="preserve"> albo też </w:t>
      </w:r>
      <w:r w:rsidR="00166D22" w:rsidRPr="00166D22">
        <w:rPr>
          <w:rFonts w:ascii="Times New Roman" w:hAnsi="Times New Roman" w:cs="Times New Roman"/>
          <w:color w:val="000000" w:themeColor="text1"/>
          <w:szCs w:val="24"/>
        </w:rPr>
        <w:t>z wykorzystaniem publicznej usługi rejestrowanego doręczenia elektronicznego</w:t>
      </w:r>
      <w:r w:rsidR="00166D2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5E65EF2E" w14:textId="211EDC09" w:rsidR="00166D22" w:rsidRPr="000019BD" w:rsidRDefault="00166D22" w:rsidP="00702E07">
      <w:pPr>
        <w:pStyle w:val="ARTartustawynprozporzdzenia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W </w:t>
      </w:r>
      <w:r w:rsidRPr="00166D22">
        <w:rPr>
          <w:rFonts w:ascii="Times New Roman" w:hAnsi="Times New Roman" w:cs="Times New Roman"/>
          <w:color w:val="000000" w:themeColor="text1"/>
          <w:szCs w:val="24"/>
        </w:rPr>
        <w:t>§ 1</w:t>
      </w:r>
      <w:r>
        <w:rPr>
          <w:rFonts w:ascii="Times New Roman" w:hAnsi="Times New Roman" w:cs="Times New Roman"/>
          <w:color w:val="000000" w:themeColor="text1"/>
          <w:szCs w:val="24"/>
        </w:rPr>
        <w:t>6</w:t>
      </w:r>
      <w:r w:rsidRPr="00166D22">
        <w:rPr>
          <w:rFonts w:ascii="Times New Roman" w:hAnsi="Times New Roman" w:cs="Times New Roman"/>
          <w:color w:val="000000" w:themeColor="text1"/>
          <w:szCs w:val="24"/>
        </w:rPr>
        <w:t xml:space="preserve"> ust.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3 wprowadzono domniemanie prawne co do </w:t>
      </w:r>
      <w:r w:rsidRPr="00166D22">
        <w:rPr>
          <w:rFonts w:ascii="Times New Roman" w:hAnsi="Times New Roman" w:cs="Times New Roman"/>
          <w:color w:val="000000" w:themeColor="text1"/>
          <w:szCs w:val="24"/>
        </w:rPr>
        <w:t>odmow</w:t>
      </w:r>
      <w:r>
        <w:rPr>
          <w:rFonts w:ascii="Times New Roman" w:hAnsi="Times New Roman" w:cs="Times New Roman"/>
          <w:color w:val="000000" w:themeColor="text1"/>
          <w:szCs w:val="24"/>
        </w:rPr>
        <w:t>y</w:t>
      </w:r>
      <w:r w:rsidRPr="00166D22">
        <w:rPr>
          <w:rFonts w:ascii="Times New Roman" w:hAnsi="Times New Roman" w:cs="Times New Roman"/>
          <w:color w:val="000000" w:themeColor="text1"/>
          <w:szCs w:val="24"/>
        </w:rPr>
        <w:t xml:space="preserve"> podpisania protokołu kontroli</w:t>
      </w:r>
      <w:r>
        <w:rPr>
          <w:rFonts w:ascii="Times New Roman" w:hAnsi="Times New Roman" w:cs="Times New Roman"/>
          <w:color w:val="000000" w:themeColor="text1"/>
          <w:szCs w:val="24"/>
        </w:rPr>
        <w:t>, w przypadku unikania przez kontrolowanego kontaktu z organem po otrzymaniu do podpisania protokołu kontroli.</w:t>
      </w:r>
    </w:p>
    <w:p w14:paraId="018079F4" w14:textId="36A932B2" w:rsidR="00F5236C" w:rsidRPr="000019BD" w:rsidRDefault="00F5236C" w:rsidP="00702E07">
      <w:pPr>
        <w:autoSpaceDE w:val="0"/>
        <w:autoSpaceDN w:val="0"/>
        <w:adjustRightInd w:val="0"/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Zmianie uległ dodatkowo ust. 3</w:t>
      </w:r>
      <w:r w:rsidR="00D01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17 rozporządzenia. Zrezygnowano z </w:t>
      </w:r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>prze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pisu, ż</w:t>
      </w:r>
      <w:r w:rsidR="00DA368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wystąpieniu pokontrolnym ma znaleźć się ocena kontrolowanej działalności, wynikająca z ustaleń opisanych w protokole kontroli, a </w:t>
      </w:r>
      <w:r w:rsidR="00DA3686">
        <w:rPr>
          <w:rFonts w:ascii="Times New Roman" w:hAnsi="Times New Roman" w:cs="Times New Roman"/>
          <w:color w:val="000000" w:themeColor="text1"/>
          <w:sz w:val="24"/>
          <w:szCs w:val="24"/>
        </w:rPr>
        <w:t>pozostawiono jedynie wymóg zamieszczenia</w:t>
      </w:r>
      <w:r w:rsidR="00DA3686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opis</w:t>
      </w:r>
      <w:r w:rsidR="00DA368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stwierdzonych nieprawidłowości</w:t>
      </w:r>
      <w:r w:rsidR="00F05904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. Wynika to z faktu, że zawarcie w wystąpieniu pokontrolnym rzetelnej oceny kontrolowanej działalności w przypadku kontroli w zakresie art. 22 i art. 26a</w:t>
      </w:r>
      <w:r w:rsidR="00A54D7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05904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26c ustawy o rehabilitacji wymagał</w:t>
      </w:r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05904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by przeprowadzenia pełnego audytu kontrolowanego podmiotu</w:t>
      </w:r>
      <w:r w:rsidR="00DA36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5904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wykraczałoby poza zakres upoważnienia do kontroli w przedmiotowych </w:t>
      </w:r>
      <w:r w:rsidR="00DA3686">
        <w:rPr>
          <w:rFonts w:ascii="Times New Roman" w:hAnsi="Times New Roman" w:cs="Times New Roman"/>
          <w:color w:val="000000" w:themeColor="text1"/>
          <w:sz w:val="24"/>
          <w:szCs w:val="24"/>
        </w:rPr>
        <w:t>obszarach</w:t>
      </w:r>
      <w:r w:rsidR="00F05904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2DFB0F" w14:textId="77777777" w:rsidR="002513F3" w:rsidRDefault="00BC367A" w:rsidP="0025785B">
      <w:pPr>
        <w:autoSpaceDE w:val="0"/>
        <w:autoSpaceDN w:val="0"/>
        <w:adjustRightInd w:val="0"/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wejściem </w:t>
      </w:r>
      <w:r w:rsidR="00A7671A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w życie z dniem 8 września 2016 r. ustawy z dnia 10 lipca 2015 r. o zmianie ustawy – Kodeks cywilny, ustawy – Kodeks postępowania cywilnego oraz niektórych innych ustaw (Dz.</w:t>
      </w:r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71A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U. poz. 1311</w:t>
      </w:r>
      <w:r w:rsidR="002513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A7671A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13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690B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wprowadzając</w:t>
      </w:r>
      <w:r w:rsidR="009C576F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90B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do polskiego porząd</w:t>
      </w:r>
      <w:r w:rsidR="0002549F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prawnego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przepisy w zakresie formy elektronicznej </w:t>
      </w:r>
      <w:r w:rsidR="0002549F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czynności pr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awnej – przepisy rozporządzenia zostały dost</w:t>
      </w:r>
      <w:r w:rsidR="00343E49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osowane do tych </w:t>
      </w:r>
      <w:r w:rsidR="0049207E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regulacji</w:t>
      </w:r>
      <w:r w:rsidR="00343E49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umożliwiono m.in. sporządzenie protokołu w postaci elektronicznej lub papierowej, zawiadomienie o kontroli może być przekazane w formie </w:t>
      </w:r>
      <w:r w:rsidR="0049207E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pisemnej</w:t>
      </w:r>
      <w:r w:rsidR="002D679F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elektronicznej. Wprowadzono regulacje umożliwiające doręczenie protokołu za pośrednictwem operatora pocztowego oraz możliwość doręczenia elektronicznego.</w:t>
      </w:r>
    </w:p>
    <w:p w14:paraId="38D3293B" w14:textId="464D2CD3" w:rsidR="0049207E" w:rsidRPr="000019BD" w:rsidRDefault="00766BDF" w:rsidP="0025785B">
      <w:pPr>
        <w:autoSpaceDE w:val="0"/>
        <w:autoSpaceDN w:val="0"/>
        <w:adjustRightInd w:val="0"/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rozporządzeniu wprowadzono określenie „kontrolowany” w miejsce używanego w rozporządzeniu </w:t>
      </w:r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>dotychczasowym</w:t>
      </w:r>
      <w:r w:rsidR="00941FEA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„podmiot kontrolowany” </w:t>
      </w:r>
      <w:r w:rsidR="008D682D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lub „kierownik podmiotu kontr</w:t>
      </w:r>
      <w:r w:rsidR="001C154B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D682D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lowanego” </w:t>
      </w:r>
      <w:r w:rsidR="00941F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B5178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zmiana ta ma charakter techniczno-legislacyjny, jest określeniem krótszym, dodatkowo obejmuje swoim zakresem także osoby fizyczne (prowadzące działalność gospodarczą), które również są kontrolowane na podstawie rozporządzenia.</w:t>
      </w:r>
    </w:p>
    <w:p w14:paraId="45E9E612" w14:textId="137A2924" w:rsidR="007152FE" w:rsidRPr="000019BD" w:rsidRDefault="007152FE" w:rsidP="006E0602">
      <w:pPr>
        <w:autoSpaceDE w:val="0"/>
        <w:autoSpaceDN w:val="0"/>
        <w:adjustRightInd w:val="0"/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</w:t>
      </w:r>
      <w:r w:rsidR="009263A5">
        <w:rPr>
          <w:rFonts w:ascii="Times New Roman" w:hAnsi="Times New Roman" w:cs="Times New Roman"/>
          <w:color w:val="000000" w:themeColor="text1"/>
          <w:sz w:val="24"/>
          <w:szCs w:val="24"/>
        </w:rPr>
        <w:t>powinno wejść</w:t>
      </w:r>
      <w:r w:rsidR="009263A5"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życie </w:t>
      </w:r>
      <w:r w:rsidR="008454EE">
        <w:rPr>
          <w:rFonts w:ascii="Times New Roman" w:hAnsi="Times New Roman" w:cs="Times New Roman"/>
          <w:color w:val="000000" w:themeColor="text1"/>
          <w:sz w:val="24"/>
          <w:szCs w:val="24"/>
        </w:rPr>
        <w:t>z dniem następującym po dniu ogłoszenia.</w:t>
      </w:r>
      <w:r w:rsidR="00C6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Wynika to z faktu, że przepis art. 33 ust. 7 </w:t>
      </w:r>
      <w:r w:rsidR="00C64B5B" w:rsidRPr="00C64B5B">
        <w:rPr>
          <w:rFonts w:ascii="Times New Roman" w:hAnsi="Times New Roman" w:cs="Times New Roman"/>
          <w:color w:val="000000" w:themeColor="text1"/>
          <w:sz w:val="24"/>
          <w:szCs w:val="24"/>
        </w:rPr>
        <w:t>ustawy o rehabilitacji</w:t>
      </w:r>
      <w:r w:rsidR="00C64B5B">
        <w:rPr>
          <w:rFonts w:ascii="Times New Roman" w:hAnsi="Times New Roman" w:cs="Times New Roman"/>
          <w:color w:val="000000" w:themeColor="text1"/>
          <w:sz w:val="24"/>
          <w:szCs w:val="24"/>
        </w:rPr>
        <w:t>, modyfikujący upoważnienie ustawowe do wydania przedmiotowego rozporządzenia, zawart</w:t>
      </w:r>
      <w:r w:rsidR="004A5D2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6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art. 34 ust. 9</w:t>
      </w:r>
      <w:r w:rsidR="00F87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tejże ustawy, wszedł w życie z dniem 10 marca 202</w:t>
      </w:r>
      <w:r w:rsidR="006E06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87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6E0602">
        <w:rPr>
          <w:rFonts w:ascii="Times New Roman" w:hAnsi="Times New Roman" w:cs="Times New Roman"/>
          <w:color w:val="000000" w:themeColor="text1"/>
          <w:sz w:val="24"/>
          <w:szCs w:val="24"/>
        </w:rPr>
        <w:t>, zaś zgodnie z treścią art. 6 ustawy zmieniającej d</w:t>
      </w:r>
      <w:r w:rsidR="006E0602" w:rsidRPr="006E0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otychczasowe przepisy wykonawcze wydane na podstawie art. 34 ust. 9 ustawy </w:t>
      </w:r>
      <w:r w:rsidR="006E0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rehabilitacji </w:t>
      </w:r>
      <w:r w:rsidR="006E0602" w:rsidRPr="006E0602">
        <w:rPr>
          <w:rFonts w:ascii="Times New Roman" w:hAnsi="Times New Roman" w:cs="Times New Roman"/>
          <w:color w:val="000000" w:themeColor="text1"/>
          <w:sz w:val="24"/>
          <w:szCs w:val="24"/>
        </w:rPr>
        <w:t>zachowują moc do dnia wejścia w życie nowych przepisów wykonawczych wydanych na</w:t>
      </w:r>
      <w:r w:rsidR="006E0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</w:t>
      </w:r>
      <w:r w:rsidR="006E0602" w:rsidRPr="006E0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podstawie, jednak nie dłużej niż przez 12 miesięcy od dnia </w:t>
      </w:r>
      <w:r w:rsidR="006E0602">
        <w:rPr>
          <w:rFonts w:ascii="Times New Roman" w:hAnsi="Times New Roman" w:cs="Times New Roman"/>
          <w:color w:val="000000" w:themeColor="text1"/>
          <w:sz w:val="24"/>
          <w:szCs w:val="24"/>
        </w:rPr>
        <w:t>10 marca 2022 r.</w:t>
      </w:r>
      <w:r w:rsidR="009E5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79D" w:rsidRPr="009E579D">
        <w:rPr>
          <w:rFonts w:ascii="Times New Roman" w:hAnsi="Times New Roman" w:cs="Times New Roman"/>
          <w:color w:val="000000" w:themeColor="text1"/>
          <w:sz w:val="24"/>
          <w:szCs w:val="24"/>
        </w:rPr>
        <w:t>Termin wejścia w życie r</w:t>
      </w:r>
      <w:r w:rsidR="004A5D21">
        <w:rPr>
          <w:rFonts w:ascii="Times New Roman" w:hAnsi="Times New Roman" w:cs="Times New Roman"/>
          <w:color w:val="000000" w:themeColor="text1"/>
          <w:sz w:val="24"/>
          <w:szCs w:val="24"/>
        </w:rPr>
        <w:t>ozporządzenia nie narusza zasad</w:t>
      </w:r>
      <w:r w:rsidR="009E579D" w:rsidRPr="009E5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demokratycznego państwa prawnego.</w:t>
      </w:r>
    </w:p>
    <w:p w14:paraId="48C03645" w14:textId="77777777" w:rsidR="009263A5" w:rsidRPr="009263A5" w:rsidRDefault="009263A5" w:rsidP="008454EE">
      <w:pPr>
        <w:spacing w:before="0" w:line="360" w:lineRule="auto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63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Stosownie do postanowień art. 5 ustawy z dnia 7 lipca 2005 r. o działalności lobbingowej w procesie stanowienia prawa (Dz. U. z 2017 r. poz. 248) oraz § 52 uchwały nr 190 Rady Ministrów z dnia 29 października 2013 r. – Regulamin pracy Rady Ministrów (M.P. z 2022 r. poz. 348) projekt rozporządzenia został udostępniony w Biuletynie Informacji Publicznej Rządowego Centrum Legislacji na stronie internetowej Rządowego Centrum Legislacji, w serwisie Rządowy Proces Legislacyjny oraz w Biuletynie Informacji Publicznej Ministerstwa Rodziny i Polityki Społecznej.</w:t>
      </w:r>
    </w:p>
    <w:p w14:paraId="10EED49A" w14:textId="43684B16" w:rsidR="009263A5" w:rsidRPr="009263A5" w:rsidRDefault="009263A5" w:rsidP="008454EE">
      <w:pPr>
        <w:spacing w:before="0" w:line="360" w:lineRule="auto"/>
        <w:ind w:left="0"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63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 opinii projektodawców projekt rozporządzenia jest zgodny z prawem Unii Europejskiej i nie podlega obowiązkowi przedstawienia właściwym instytucjom Unii Europejskiej, w tym Europejskiemu Bankowi Centralnemu, w celu uzyskania opinii, dokonania powiadomienia, konsultacji albo uzgodnienia. Projekt rozporządzenia nie podlega procedurze notyfikacji aktów prawnych określonej w przepisach rozporządzenia Rady Ministrów z dnia 23 grudnia 2002 r. w sprawie sposobu funkcjonowania krajowego systemu notyfikacji norm i aktów prawnych (Dz. U. poz. 2039</w:t>
      </w:r>
      <w:r w:rsidR="004A5D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263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1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991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9917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zm.</w:t>
      </w:r>
      <w:r w:rsidRPr="009263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B09C7BA" w14:textId="7A0840D2" w:rsidR="00DC35C0" w:rsidRPr="000019BD" w:rsidRDefault="009263A5" w:rsidP="00F7111E">
      <w:pPr>
        <w:spacing w:before="0" w:line="36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3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Projektowana regulacja nie stwarza zagrożeń korupcyjnych.</w:t>
      </w:r>
    </w:p>
    <w:sectPr w:rsidR="00DC35C0" w:rsidRPr="000019BD" w:rsidSect="00DC35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661"/>
    <w:multiLevelType w:val="hybridMultilevel"/>
    <w:tmpl w:val="3670AE24"/>
    <w:lvl w:ilvl="0" w:tplc="CF68596E">
      <w:start w:val="1"/>
      <w:numFmt w:val="decimal"/>
      <w:lvlText w:val="%1)"/>
      <w:lvlJc w:val="left"/>
      <w:pPr>
        <w:ind w:left="127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76B5BB3"/>
    <w:multiLevelType w:val="hybridMultilevel"/>
    <w:tmpl w:val="7B9CA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3CCD"/>
    <w:multiLevelType w:val="hybridMultilevel"/>
    <w:tmpl w:val="A21211B6"/>
    <w:lvl w:ilvl="0" w:tplc="17A211E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5"/>
    <w:rsid w:val="000019BD"/>
    <w:rsid w:val="0000352D"/>
    <w:rsid w:val="00010A66"/>
    <w:rsid w:val="00015036"/>
    <w:rsid w:val="00015A94"/>
    <w:rsid w:val="0002445A"/>
    <w:rsid w:val="0002549F"/>
    <w:rsid w:val="00034456"/>
    <w:rsid w:val="00036EA0"/>
    <w:rsid w:val="000401B1"/>
    <w:rsid w:val="000528C9"/>
    <w:rsid w:val="00082FAC"/>
    <w:rsid w:val="00094819"/>
    <w:rsid w:val="00097541"/>
    <w:rsid w:val="000A4979"/>
    <w:rsid w:val="000A51F6"/>
    <w:rsid w:val="000B275F"/>
    <w:rsid w:val="000B59E5"/>
    <w:rsid w:val="000B62D4"/>
    <w:rsid w:val="000C32C0"/>
    <w:rsid w:val="000D3B9E"/>
    <w:rsid w:val="000E3427"/>
    <w:rsid w:val="00112E9C"/>
    <w:rsid w:val="00112F07"/>
    <w:rsid w:val="00130304"/>
    <w:rsid w:val="00137713"/>
    <w:rsid w:val="001538B1"/>
    <w:rsid w:val="0015577D"/>
    <w:rsid w:val="0016047C"/>
    <w:rsid w:val="00166D22"/>
    <w:rsid w:val="001B0C77"/>
    <w:rsid w:val="001B5178"/>
    <w:rsid w:val="001C0594"/>
    <w:rsid w:val="001C154B"/>
    <w:rsid w:val="001D3B0E"/>
    <w:rsid w:val="001F04E3"/>
    <w:rsid w:val="001F170B"/>
    <w:rsid w:val="002000F7"/>
    <w:rsid w:val="0021017E"/>
    <w:rsid w:val="00222D7C"/>
    <w:rsid w:val="002233DE"/>
    <w:rsid w:val="00233C02"/>
    <w:rsid w:val="00250F00"/>
    <w:rsid w:val="002513F3"/>
    <w:rsid w:val="0025785B"/>
    <w:rsid w:val="00280E48"/>
    <w:rsid w:val="002A77C8"/>
    <w:rsid w:val="002B2C76"/>
    <w:rsid w:val="002B3F4E"/>
    <w:rsid w:val="002C526E"/>
    <w:rsid w:val="002D3595"/>
    <w:rsid w:val="002D679F"/>
    <w:rsid w:val="002E1B15"/>
    <w:rsid w:val="002F0065"/>
    <w:rsid w:val="003018AE"/>
    <w:rsid w:val="0032103E"/>
    <w:rsid w:val="00321477"/>
    <w:rsid w:val="00343044"/>
    <w:rsid w:val="00343E49"/>
    <w:rsid w:val="00354DCD"/>
    <w:rsid w:val="00357E85"/>
    <w:rsid w:val="0038477F"/>
    <w:rsid w:val="00384D1A"/>
    <w:rsid w:val="003867B2"/>
    <w:rsid w:val="0039099A"/>
    <w:rsid w:val="003D1245"/>
    <w:rsid w:val="003F5558"/>
    <w:rsid w:val="00404583"/>
    <w:rsid w:val="00416937"/>
    <w:rsid w:val="00417ABB"/>
    <w:rsid w:val="00421975"/>
    <w:rsid w:val="00430628"/>
    <w:rsid w:val="0044690B"/>
    <w:rsid w:val="004738DE"/>
    <w:rsid w:val="00475523"/>
    <w:rsid w:val="0049207E"/>
    <w:rsid w:val="00493ABE"/>
    <w:rsid w:val="0049500C"/>
    <w:rsid w:val="004A1432"/>
    <w:rsid w:val="004A2D8D"/>
    <w:rsid w:val="004A5D21"/>
    <w:rsid w:val="004C66E9"/>
    <w:rsid w:val="004D3E29"/>
    <w:rsid w:val="004F333C"/>
    <w:rsid w:val="00507786"/>
    <w:rsid w:val="00511491"/>
    <w:rsid w:val="005125DF"/>
    <w:rsid w:val="00533F33"/>
    <w:rsid w:val="005513E3"/>
    <w:rsid w:val="0055505F"/>
    <w:rsid w:val="00560A55"/>
    <w:rsid w:val="00582BA1"/>
    <w:rsid w:val="005833E3"/>
    <w:rsid w:val="0058430E"/>
    <w:rsid w:val="005A3DDC"/>
    <w:rsid w:val="005C3399"/>
    <w:rsid w:val="005D51B8"/>
    <w:rsid w:val="005E0591"/>
    <w:rsid w:val="005E670C"/>
    <w:rsid w:val="005E775E"/>
    <w:rsid w:val="00612B18"/>
    <w:rsid w:val="00620895"/>
    <w:rsid w:val="00624C62"/>
    <w:rsid w:val="00627232"/>
    <w:rsid w:val="0063744B"/>
    <w:rsid w:val="006376AF"/>
    <w:rsid w:val="0064519E"/>
    <w:rsid w:val="00650557"/>
    <w:rsid w:val="00657F00"/>
    <w:rsid w:val="006773B9"/>
    <w:rsid w:val="00680789"/>
    <w:rsid w:val="006A7D17"/>
    <w:rsid w:val="006B6581"/>
    <w:rsid w:val="006C0757"/>
    <w:rsid w:val="006C241E"/>
    <w:rsid w:val="006D1591"/>
    <w:rsid w:val="006D178A"/>
    <w:rsid w:val="006D25CF"/>
    <w:rsid w:val="006D5914"/>
    <w:rsid w:val="006E0602"/>
    <w:rsid w:val="006E43F2"/>
    <w:rsid w:val="006E61F6"/>
    <w:rsid w:val="006F1731"/>
    <w:rsid w:val="00702E07"/>
    <w:rsid w:val="00706043"/>
    <w:rsid w:val="00707FB4"/>
    <w:rsid w:val="007152FE"/>
    <w:rsid w:val="00715FEB"/>
    <w:rsid w:val="00735763"/>
    <w:rsid w:val="00756592"/>
    <w:rsid w:val="0076027C"/>
    <w:rsid w:val="00762D8D"/>
    <w:rsid w:val="00765B81"/>
    <w:rsid w:val="00766BDF"/>
    <w:rsid w:val="00766BEE"/>
    <w:rsid w:val="00771DD7"/>
    <w:rsid w:val="00791E4F"/>
    <w:rsid w:val="007A45BE"/>
    <w:rsid w:val="007A47FE"/>
    <w:rsid w:val="007B4D95"/>
    <w:rsid w:val="007C2332"/>
    <w:rsid w:val="007C237F"/>
    <w:rsid w:val="007D2358"/>
    <w:rsid w:val="007E6C58"/>
    <w:rsid w:val="0081790F"/>
    <w:rsid w:val="0082300F"/>
    <w:rsid w:val="0083037A"/>
    <w:rsid w:val="00830FEF"/>
    <w:rsid w:val="008454EE"/>
    <w:rsid w:val="00881303"/>
    <w:rsid w:val="00884926"/>
    <w:rsid w:val="008B4818"/>
    <w:rsid w:val="008B6373"/>
    <w:rsid w:val="008B6E1A"/>
    <w:rsid w:val="008C07A7"/>
    <w:rsid w:val="008C5C35"/>
    <w:rsid w:val="008D084D"/>
    <w:rsid w:val="008D0C15"/>
    <w:rsid w:val="008D682D"/>
    <w:rsid w:val="008F7455"/>
    <w:rsid w:val="00902225"/>
    <w:rsid w:val="009263A5"/>
    <w:rsid w:val="00941FEA"/>
    <w:rsid w:val="00945CDB"/>
    <w:rsid w:val="00971E4B"/>
    <w:rsid w:val="00974979"/>
    <w:rsid w:val="00982B95"/>
    <w:rsid w:val="00984332"/>
    <w:rsid w:val="009917B5"/>
    <w:rsid w:val="009A259B"/>
    <w:rsid w:val="009B7B55"/>
    <w:rsid w:val="009C576F"/>
    <w:rsid w:val="009D26B2"/>
    <w:rsid w:val="009D5DAC"/>
    <w:rsid w:val="009E579D"/>
    <w:rsid w:val="00A15E70"/>
    <w:rsid w:val="00A33F8F"/>
    <w:rsid w:val="00A344B4"/>
    <w:rsid w:val="00A4445D"/>
    <w:rsid w:val="00A45AB1"/>
    <w:rsid w:val="00A52D25"/>
    <w:rsid w:val="00A54D7F"/>
    <w:rsid w:val="00A6593B"/>
    <w:rsid w:val="00A7671A"/>
    <w:rsid w:val="00A7687D"/>
    <w:rsid w:val="00A94929"/>
    <w:rsid w:val="00A94F5C"/>
    <w:rsid w:val="00AB5516"/>
    <w:rsid w:val="00AB59F2"/>
    <w:rsid w:val="00AB773A"/>
    <w:rsid w:val="00AD4547"/>
    <w:rsid w:val="00AE1C2C"/>
    <w:rsid w:val="00AE79EF"/>
    <w:rsid w:val="00AF1946"/>
    <w:rsid w:val="00AF7ADF"/>
    <w:rsid w:val="00B112F6"/>
    <w:rsid w:val="00B26DBB"/>
    <w:rsid w:val="00B434C0"/>
    <w:rsid w:val="00B50228"/>
    <w:rsid w:val="00B86393"/>
    <w:rsid w:val="00BA4967"/>
    <w:rsid w:val="00BC367A"/>
    <w:rsid w:val="00BC6060"/>
    <w:rsid w:val="00BD60E2"/>
    <w:rsid w:val="00BE1E07"/>
    <w:rsid w:val="00BE2969"/>
    <w:rsid w:val="00C518E1"/>
    <w:rsid w:val="00C51ECE"/>
    <w:rsid w:val="00C56D44"/>
    <w:rsid w:val="00C631FE"/>
    <w:rsid w:val="00C64B5B"/>
    <w:rsid w:val="00C66A3E"/>
    <w:rsid w:val="00C70822"/>
    <w:rsid w:val="00C70A73"/>
    <w:rsid w:val="00C73DE0"/>
    <w:rsid w:val="00C849F5"/>
    <w:rsid w:val="00CA1F77"/>
    <w:rsid w:val="00CA48FC"/>
    <w:rsid w:val="00CC0BA7"/>
    <w:rsid w:val="00CD219F"/>
    <w:rsid w:val="00D01C99"/>
    <w:rsid w:val="00D206B5"/>
    <w:rsid w:val="00D76389"/>
    <w:rsid w:val="00D803BC"/>
    <w:rsid w:val="00D858B7"/>
    <w:rsid w:val="00D94C08"/>
    <w:rsid w:val="00DA26C6"/>
    <w:rsid w:val="00DA3686"/>
    <w:rsid w:val="00DB07DB"/>
    <w:rsid w:val="00DC35C0"/>
    <w:rsid w:val="00DD443C"/>
    <w:rsid w:val="00DD5891"/>
    <w:rsid w:val="00E31FC3"/>
    <w:rsid w:val="00E32068"/>
    <w:rsid w:val="00E35AC1"/>
    <w:rsid w:val="00E36345"/>
    <w:rsid w:val="00E45D02"/>
    <w:rsid w:val="00E50567"/>
    <w:rsid w:val="00E515EB"/>
    <w:rsid w:val="00E528BB"/>
    <w:rsid w:val="00E85EF8"/>
    <w:rsid w:val="00E87641"/>
    <w:rsid w:val="00EA29DA"/>
    <w:rsid w:val="00EA6F3B"/>
    <w:rsid w:val="00EB6EA5"/>
    <w:rsid w:val="00EC461D"/>
    <w:rsid w:val="00ED4C6A"/>
    <w:rsid w:val="00F05904"/>
    <w:rsid w:val="00F117B6"/>
    <w:rsid w:val="00F27F01"/>
    <w:rsid w:val="00F3055B"/>
    <w:rsid w:val="00F4084E"/>
    <w:rsid w:val="00F428B6"/>
    <w:rsid w:val="00F5236C"/>
    <w:rsid w:val="00F7111E"/>
    <w:rsid w:val="00F76D49"/>
    <w:rsid w:val="00F87C60"/>
    <w:rsid w:val="00F9202E"/>
    <w:rsid w:val="00FA4603"/>
    <w:rsid w:val="00FC1768"/>
    <w:rsid w:val="00FD553F"/>
    <w:rsid w:val="00FE7109"/>
    <w:rsid w:val="00FF3D0B"/>
    <w:rsid w:val="00FF49F3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1CB6"/>
  <w15:docId w15:val="{A28FDC91-35CD-46E9-B70A-3F394A7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ierwszyWiersz"/>
    <w:qFormat/>
    <w:rsid w:val="000B59E5"/>
    <w:pPr>
      <w:spacing w:before="100" w:after="0" w:line="252" w:lineRule="auto"/>
      <w:ind w:left="357" w:firstLine="352"/>
      <w:jc w:val="both"/>
    </w:pPr>
    <w:rPr>
      <w:rFonts w:eastAsia="Times New Roman" w:cstheme="minorHAnsi"/>
      <w:sz w:val="21"/>
      <w:szCs w:val="21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2BA1"/>
    <w:pPr>
      <w:spacing w:beforeAutospacing="1" w:after="100" w:afterAutospacing="1" w:line="240" w:lineRule="auto"/>
      <w:ind w:left="0"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entarz">
    <w:name w:val="komentarz"/>
    <w:basedOn w:val="Tekstkomentarza"/>
    <w:link w:val="komentarzZnak"/>
    <w:autoRedefine/>
    <w:qFormat/>
    <w:rsid w:val="00974979"/>
    <w:pPr>
      <w:shd w:val="clear" w:color="auto" w:fill="8DD3B8"/>
    </w:pPr>
    <w:rPr>
      <w:sz w:val="21"/>
      <w:szCs w:val="21"/>
    </w:rPr>
  </w:style>
  <w:style w:type="character" w:customStyle="1" w:styleId="komentarzZnak">
    <w:name w:val="komentarz Znak"/>
    <w:basedOn w:val="TekstkomentarzaZnak"/>
    <w:link w:val="komentarz"/>
    <w:rsid w:val="00974979"/>
    <w:rPr>
      <w:sz w:val="21"/>
      <w:szCs w:val="21"/>
      <w:shd w:val="clear" w:color="auto" w:fill="8DD3B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F8F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B59E5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B59E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0A66"/>
    <w:pPr>
      <w:spacing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10A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3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399"/>
    <w:rPr>
      <w:rFonts w:eastAsia="Times New Roman" w:cstheme="minorHAns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2B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38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FFD8-ECB6-44ED-A81E-0B645308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1603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"Abel"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Klimkiewicz</dc:creator>
  <cp:lastModifiedBy>Zbigniew Sepioł</cp:lastModifiedBy>
  <cp:revision>5</cp:revision>
  <dcterms:created xsi:type="dcterms:W3CDTF">2023-03-15T11:22:00Z</dcterms:created>
  <dcterms:modified xsi:type="dcterms:W3CDTF">2023-03-22T15:27:00Z</dcterms:modified>
</cp:coreProperties>
</file>